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792D" w:rsidRDefault="0022792D" w:rsidP="00A32409">
      <w:pPr>
        <w:rPr>
          <w:rFonts w:ascii="Calibri" w:eastAsia="Times New Roman" w:hAnsi="Calibri" w:cs="Times New Roman"/>
          <w:lang w:eastAsia="zh-CN"/>
        </w:rPr>
      </w:pPr>
    </w:p>
    <w:p w:rsidR="00A32409" w:rsidRPr="00904D01" w:rsidRDefault="00A32409" w:rsidP="00A32409">
      <w:pPr>
        <w:rPr>
          <w:rFonts w:ascii="Calibri" w:eastAsia="Times New Roman" w:hAnsi="Calibri" w:cs="Times New Roman"/>
          <w:lang w:eastAsia="zh-CN"/>
        </w:rPr>
      </w:pPr>
      <w:r w:rsidRPr="00904D01">
        <w:rPr>
          <w:rFonts w:ascii="Calibri" w:eastAsia="Times New Roman" w:hAnsi="Calibri" w:cs="Times New Roman"/>
          <w:noProof/>
          <w:lang w:val="bg-BG" w:eastAsia="bg-BG"/>
        </w:rPr>
        <w:drawing>
          <wp:inline distT="0" distB="0" distL="0" distR="0" wp14:anchorId="0D5F9086" wp14:editId="26382545">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rsidR="00A32409" w:rsidRPr="00904D01" w:rsidRDefault="00A32409" w:rsidP="00A32409">
      <w:pPr>
        <w:rPr>
          <w:rFonts w:ascii="Calibri" w:eastAsia="Times New Roman" w:hAnsi="Calibri" w:cs="Times New Roman"/>
          <w:lang w:eastAsia="zh-CN"/>
        </w:rPr>
      </w:pPr>
    </w:p>
    <w:p w:rsidR="00A32409" w:rsidRPr="00904D01" w:rsidRDefault="00A32409" w:rsidP="00A32409">
      <w:pPr>
        <w:rPr>
          <w:rFonts w:ascii="Calibri" w:eastAsia="Times New Roman" w:hAnsi="Calibri" w:cs="Times New Roman"/>
          <w:lang w:eastAsia="zh-CN"/>
        </w:rPr>
      </w:pPr>
    </w:p>
    <w:p w:rsidR="00A32409" w:rsidRPr="00904D01" w:rsidRDefault="00A32409" w:rsidP="00A32409">
      <w:pPr>
        <w:rPr>
          <w:rFonts w:ascii="Calibri" w:eastAsia="Times New Roman" w:hAnsi="Calibri" w:cs="Times New Roman"/>
          <w:lang w:eastAsia="zh-CN"/>
        </w:rPr>
      </w:pPr>
    </w:p>
    <w:p w:rsidR="00A32409" w:rsidRPr="00904D01" w:rsidRDefault="00A32409" w:rsidP="00A32409">
      <w:pPr>
        <w:rPr>
          <w:rFonts w:ascii="Calibri" w:eastAsia="Times New Roman" w:hAnsi="Calibri" w:cs="Times New Roman"/>
          <w:lang w:eastAsia="zh-CN"/>
        </w:rPr>
      </w:pPr>
    </w:p>
    <w:p w:rsidR="00A32409" w:rsidRPr="00904D01" w:rsidRDefault="00A32409" w:rsidP="00A32409">
      <w:pPr>
        <w:rPr>
          <w:rFonts w:ascii="Arial" w:eastAsia="Times New Roman" w:hAnsi="Arial" w:cs="Arial"/>
          <w:b/>
          <w:bCs/>
          <w:sz w:val="56"/>
          <w:szCs w:val="56"/>
          <w:lang w:eastAsia="zh-CN"/>
        </w:rPr>
      </w:pPr>
      <w:r w:rsidRPr="00904D01">
        <w:rPr>
          <w:rFonts w:ascii="Arial" w:eastAsia="Times New Roman" w:hAnsi="Arial" w:cs="Arial"/>
          <w:b/>
          <w:bCs/>
          <w:sz w:val="56"/>
          <w:szCs w:val="56"/>
          <w:lang w:eastAsia="zh-CN"/>
        </w:rPr>
        <w:t xml:space="preserve">BA(Hons) Business Management </w:t>
      </w:r>
    </w:p>
    <w:p w:rsidR="00A32409" w:rsidRPr="00904D01" w:rsidRDefault="00A32409" w:rsidP="00A32409">
      <w:pPr>
        <w:spacing w:line="600" w:lineRule="auto"/>
        <w:rPr>
          <w:rFonts w:ascii="Arial" w:eastAsia="Times New Roman" w:hAnsi="Arial" w:cs="Arial"/>
          <w:i/>
          <w:iCs/>
          <w:lang w:eastAsia="zh-CN"/>
        </w:rPr>
      </w:pPr>
    </w:p>
    <w:p w:rsidR="00A32409" w:rsidRPr="00904D01" w:rsidRDefault="00A32409" w:rsidP="00A32409">
      <w:pPr>
        <w:spacing w:line="600" w:lineRule="auto"/>
        <w:rPr>
          <w:rFonts w:ascii="Arial" w:eastAsia="Times New Roman" w:hAnsi="Arial" w:cs="Arial"/>
          <w:i/>
          <w:iCs/>
          <w:lang w:eastAsia="zh-CN"/>
        </w:rPr>
      </w:pPr>
    </w:p>
    <w:p w:rsidR="00A32409" w:rsidRPr="00904D01" w:rsidRDefault="00A32409" w:rsidP="00A32409">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Student Name: Rumyana Popova</w:t>
      </w:r>
    </w:p>
    <w:p w:rsidR="00A32409" w:rsidRDefault="00A32409" w:rsidP="00A32409">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Student Number: 1909673</w:t>
      </w:r>
    </w:p>
    <w:p w:rsidR="00A32409" w:rsidRPr="00904D01" w:rsidRDefault="00A32409" w:rsidP="00A32409">
      <w:pPr>
        <w:spacing w:line="600" w:lineRule="auto"/>
        <w:rPr>
          <w:rFonts w:ascii="Arial" w:eastAsia="Times New Roman" w:hAnsi="Arial" w:cs="Arial"/>
          <w:b/>
          <w:bCs/>
          <w:i/>
          <w:iCs/>
          <w:lang w:eastAsia="zh-CN"/>
        </w:rPr>
      </w:pPr>
      <w:r>
        <w:rPr>
          <w:rFonts w:ascii="Arial" w:eastAsia="Times New Roman" w:hAnsi="Arial" w:cs="Arial"/>
          <w:b/>
          <w:bCs/>
          <w:i/>
          <w:iCs/>
          <w:lang w:eastAsia="zh-CN"/>
        </w:rPr>
        <w:t>Module Code: LCBB5008</w:t>
      </w:r>
    </w:p>
    <w:p w:rsidR="00A32409" w:rsidRDefault="00A32409" w:rsidP="00A32409">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 xml:space="preserve">Course Name: </w:t>
      </w:r>
      <w:r>
        <w:rPr>
          <w:rFonts w:ascii="Arial" w:eastAsia="Times New Roman" w:hAnsi="Arial" w:cs="Arial"/>
          <w:b/>
          <w:bCs/>
          <w:i/>
          <w:iCs/>
          <w:lang w:eastAsia="zh-CN"/>
        </w:rPr>
        <w:t>Management</w:t>
      </w:r>
      <w:r>
        <w:rPr>
          <w:rFonts w:ascii="Arial" w:eastAsia="Times New Roman" w:hAnsi="Arial" w:cs="Arial"/>
          <w:b/>
          <w:bCs/>
          <w:i/>
          <w:iCs/>
          <w:lang w:eastAsia="zh-CN"/>
        </w:rPr>
        <w:t xml:space="preserve"> Economics</w:t>
      </w:r>
    </w:p>
    <w:p w:rsidR="00A32409" w:rsidRDefault="00A32409" w:rsidP="00A32409">
      <w:pPr>
        <w:spacing w:line="600" w:lineRule="auto"/>
        <w:rPr>
          <w:rFonts w:ascii="Arial" w:eastAsia="Times New Roman" w:hAnsi="Arial" w:cs="Arial"/>
          <w:b/>
          <w:bCs/>
          <w:i/>
          <w:iCs/>
          <w:lang w:eastAsia="zh-CN"/>
        </w:rPr>
      </w:pPr>
      <w:r w:rsidRPr="00904D01">
        <w:rPr>
          <w:rFonts w:ascii="Arial" w:eastAsia="Times New Roman" w:hAnsi="Arial" w:cs="Arial"/>
          <w:i/>
          <w:iCs/>
          <w:lang w:eastAsia="zh-CN"/>
        </w:rPr>
        <w:t xml:space="preserve"> </w:t>
      </w:r>
      <w:r>
        <w:rPr>
          <w:rFonts w:ascii="Arial" w:eastAsia="Times New Roman" w:hAnsi="Arial" w:cs="Arial"/>
          <w:b/>
          <w:bCs/>
          <w:i/>
          <w:iCs/>
          <w:lang w:eastAsia="zh-CN"/>
        </w:rPr>
        <w:t>Assessment Title: Assessment 1</w:t>
      </w:r>
    </w:p>
    <w:p w:rsidR="00A32409" w:rsidRPr="00904D01" w:rsidRDefault="00A32409" w:rsidP="00A32409">
      <w:pPr>
        <w:spacing w:line="600" w:lineRule="auto"/>
        <w:rPr>
          <w:rFonts w:ascii="Arial" w:eastAsia="Times New Roman" w:hAnsi="Arial" w:cs="Arial"/>
          <w:i/>
          <w:iCs/>
          <w:lang w:eastAsia="zh-CN"/>
        </w:rPr>
      </w:pPr>
      <w:r w:rsidRPr="00904D01">
        <w:rPr>
          <w:rFonts w:ascii="Arial" w:eastAsia="Times New Roman" w:hAnsi="Arial" w:cs="Arial"/>
          <w:b/>
          <w:bCs/>
          <w:i/>
          <w:iCs/>
          <w:lang w:eastAsia="zh-CN"/>
        </w:rPr>
        <w:t xml:space="preserve">Lecturer Name: </w:t>
      </w:r>
      <w:r>
        <w:rPr>
          <w:rFonts w:ascii="Arial" w:eastAsia="Times New Roman" w:hAnsi="Arial" w:cs="Arial"/>
          <w:b/>
          <w:bCs/>
          <w:i/>
          <w:iCs/>
          <w:lang w:eastAsia="zh-CN"/>
        </w:rPr>
        <w:t>T</w:t>
      </w:r>
      <w:r w:rsidR="004646CA">
        <w:rPr>
          <w:rFonts w:ascii="Arial" w:eastAsia="Times New Roman" w:hAnsi="Arial" w:cs="Arial"/>
          <w:b/>
          <w:bCs/>
          <w:i/>
          <w:iCs/>
          <w:lang w:eastAsia="zh-CN"/>
        </w:rPr>
        <w:t>aye Osadiya</w:t>
      </w:r>
    </w:p>
    <w:p w:rsidR="00A32409" w:rsidRPr="00904D01" w:rsidRDefault="00A32409" w:rsidP="00A32409">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Session</w:t>
      </w:r>
      <w:r w:rsidRPr="00904D01">
        <w:rPr>
          <w:rFonts w:ascii="Arial" w:eastAsia="Times New Roman" w:hAnsi="Arial" w:cs="Arial"/>
          <w:i/>
          <w:iCs/>
          <w:lang w:eastAsia="zh-CN"/>
        </w:rPr>
        <w:t xml:space="preserve">: </w:t>
      </w:r>
      <w:r w:rsidRPr="00904D01">
        <w:rPr>
          <w:rFonts w:ascii="Arial" w:eastAsia="Times New Roman" w:hAnsi="Arial" w:cs="Arial"/>
          <w:b/>
          <w:bCs/>
          <w:i/>
          <w:iCs/>
          <w:lang w:eastAsia="zh-CN"/>
        </w:rPr>
        <w:t>June 2023 Term</w:t>
      </w:r>
      <w:r>
        <w:rPr>
          <w:rFonts w:ascii="Arial" w:eastAsia="Times New Roman" w:hAnsi="Arial" w:cs="Arial"/>
          <w:b/>
          <w:bCs/>
          <w:i/>
          <w:iCs/>
          <w:lang w:eastAsia="zh-CN"/>
        </w:rPr>
        <w:t xml:space="preserve"> 2</w:t>
      </w:r>
      <w:r w:rsidRPr="00904D01">
        <w:rPr>
          <w:rFonts w:ascii="Arial" w:eastAsia="Times New Roman" w:hAnsi="Arial" w:cs="Arial"/>
          <w:b/>
          <w:bCs/>
          <w:i/>
          <w:iCs/>
          <w:lang w:eastAsia="zh-CN"/>
        </w:rPr>
        <w:t xml:space="preserve"> </w:t>
      </w:r>
    </w:p>
    <w:p w:rsidR="00A32409" w:rsidRPr="00904D01" w:rsidRDefault="00A32409" w:rsidP="00A32409">
      <w:pPr>
        <w:spacing w:line="600" w:lineRule="auto"/>
        <w:rPr>
          <w:rFonts w:ascii="Arial" w:eastAsia="Times New Roman" w:hAnsi="Arial" w:cs="Arial"/>
          <w:b/>
          <w:bCs/>
          <w:i/>
          <w:iCs/>
          <w:lang w:eastAsia="zh-CN"/>
        </w:rPr>
      </w:pPr>
    </w:p>
    <w:p w:rsidR="004D0608" w:rsidRDefault="004D0608" w:rsidP="004D0608">
      <w:pPr>
        <w:rPr>
          <w:rFonts w:ascii="Arial" w:hAnsi="Arial" w:cs="Arial"/>
        </w:rPr>
      </w:pPr>
    </w:p>
    <w:p w:rsidR="000D1B8B" w:rsidRPr="00FB369C" w:rsidRDefault="000D1B8B" w:rsidP="004D0608">
      <w:pPr>
        <w:rPr>
          <w:rFonts w:ascii="Arial" w:hAnsi="Arial" w:cs="Arial"/>
        </w:rPr>
      </w:pPr>
    </w:p>
    <w:sdt>
      <w:sdtPr>
        <w:rPr>
          <w:rFonts w:ascii="Times New Roman" w:eastAsiaTheme="minorHAnsi" w:hAnsi="Times New Roman" w:cstheme="minorBidi"/>
          <w:b w:val="0"/>
          <w:color w:val="auto"/>
          <w:sz w:val="24"/>
          <w:szCs w:val="22"/>
        </w:rPr>
        <w:id w:val="727196555"/>
        <w:docPartObj>
          <w:docPartGallery w:val="Table of Contents"/>
          <w:docPartUnique/>
        </w:docPartObj>
      </w:sdtPr>
      <w:sdtEndPr>
        <w:rPr>
          <w:rFonts w:ascii="Arial" w:hAnsi="Arial"/>
          <w:bCs/>
          <w:noProof/>
          <w:sz w:val="22"/>
          <w:lang w:val="en-GB"/>
        </w:rPr>
      </w:sdtEndPr>
      <w:sdtContent>
        <w:p w:rsidR="004D0608" w:rsidRPr="000D1B8B" w:rsidRDefault="004D0608" w:rsidP="004D0608">
          <w:pPr>
            <w:pStyle w:val="a4"/>
            <w:rPr>
              <w:rFonts w:eastAsia="Times New Roman" w:cstheme="majorHAnsi"/>
              <w:color w:val="1F4E79" w:themeColor="accent1" w:themeShade="80"/>
              <w:sz w:val="28"/>
              <w:szCs w:val="28"/>
              <w:lang w:val="en-GB" w:eastAsia="zh-CN"/>
            </w:rPr>
          </w:pPr>
          <w:r w:rsidRPr="000D1B8B">
            <w:rPr>
              <w:rFonts w:eastAsia="Times New Roman" w:cstheme="majorHAnsi"/>
              <w:color w:val="1F4E79" w:themeColor="accent1" w:themeShade="80"/>
              <w:sz w:val="28"/>
              <w:szCs w:val="28"/>
              <w:lang w:val="en-GB" w:eastAsia="zh-CN"/>
            </w:rPr>
            <w:t>Table of Conte</w:t>
          </w:r>
          <w:bookmarkStart w:id="0" w:name="_GoBack"/>
          <w:bookmarkEnd w:id="0"/>
          <w:r w:rsidRPr="000D1B8B">
            <w:rPr>
              <w:rFonts w:eastAsia="Times New Roman" w:cstheme="majorHAnsi"/>
              <w:color w:val="1F4E79" w:themeColor="accent1" w:themeShade="80"/>
              <w:sz w:val="28"/>
              <w:szCs w:val="28"/>
              <w:lang w:val="en-GB" w:eastAsia="zh-CN"/>
            </w:rPr>
            <w:t>nts</w:t>
          </w:r>
        </w:p>
        <w:p w:rsidR="000D1B8B" w:rsidRPr="000D1B8B" w:rsidRDefault="000D1B8B" w:rsidP="000D1B8B">
          <w:pPr>
            <w:rPr>
              <w:lang w:val="en-US"/>
            </w:rPr>
          </w:pPr>
        </w:p>
        <w:p w:rsidR="000D1B8B" w:rsidRPr="000D1B8B" w:rsidRDefault="004D0608" w:rsidP="000D1B8B">
          <w:pPr>
            <w:pStyle w:val="11"/>
            <w:rPr>
              <w:rFonts w:asciiTheme="minorHAnsi" w:eastAsiaTheme="minorEastAsia" w:hAnsiTheme="minorHAnsi"/>
              <w:sz w:val="22"/>
              <w:lang w:val="bg-BG" w:eastAsia="bg-BG"/>
            </w:rPr>
          </w:pPr>
          <w:r w:rsidRPr="00FB369C">
            <w:rPr>
              <w:rFonts w:ascii="Arial" w:hAnsi="Arial" w:cs="Arial"/>
              <w:noProof w:val="0"/>
            </w:rPr>
            <w:fldChar w:fldCharType="begin"/>
          </w:r>
          <w:r w:rsidRPr="00FB369C">
            <w:rPr>
              <w:rFonts w:ascii="Arial" w:hAnsi="Arial" w:cs="Arial"/>
            </w:rPr>
            <w:instrText xml:space="preserve"> TOC \o "1-3" \h \z \u </w:instrText>
          </w:r>
          <w:r w:rsidRPr="00FB369C">
            <w:rPr>
              <w:rFonts w:ascii="Arial" w:hAnsi="Arial" w:cs="Arial"/>
              <w:noProof w:val="0"/>
            </w:rPr>
            <w:fldChar w:fldCharType="separate"/>
          </w:r>
          <w:hyperlink w:anchor="_Toc142828174" w:history="1">
            <w:r w:rsidR="000D1B8B" w:rsidRPr="000D1B8B">
              <w:rPr>
                <w:rStyle w:val="a5"/>
              </w:rPr>
              <w:t>Introduction</w:t>
            </w:r>
            <w:r w:rsidR="000D1B8B" w:rsidRPr="000D1B8B">
              <w:rPr>
                <w:webHidden/>
              </w:rPr>
              <w:tab/>
            </w:r>
            <w:r w:rsidR="000D1B8B" w:rsidRPr="000D1B8B">
              <w:rPr>
                <w:webHidden/>
              </w:rPr>
              <w:fldChar w:fldCharType="begin"/>
            </w:r>
            <w:r w:rsidR="000D1B8B" w:rsidRPr="000D1B8B">
              <w:rPr>
                <w:webHidden/>
              </w:rPr>
              <w:instrText xml:space="preserve"> PAGEREF _Toc142828174 \h </w:instrText>
            </w:r>
            <w:r w:rsidR="000D1B8B" w:rsidRPr="000D1B8B">
              <w:rPr>
                <w:webHidden/>
              </w:rPr>
            </w:r>
            <w:r w:rsidR="000D1B8B" w:rsidRPr="000D1B8B">
              <w:rPr>
                <w:webHidden/>
              </w:rPr>
              <w:fldChar w:fldCharType="separate"/>
            </w:r>
            <w:r w:rsidR="0058115F">
              <w:rPr>
                <w:webHidden/>
              </w:rPr>
              <w:t>2</w:t>
            </w:r>
            <w:r w:rsidR="000D1B8B" w:rsidRPr="000D1B8B">
              <w:rPr>
                <w:webHidden/>
              </w:rPr>
              <w:fldChar w:fldCharType="end"/>
            </w:r>
          </w:hyperlink>
        </w:p>
        <w:p w:rsidR="000D1B8B" w:rsidRPr="000D1B8B" w:rsidRDefault="000D1B8B" w:rsidP="000D1B8B">
          <w:pPr>
            <w:pStyle w:val="11"/>
            <w:rPr>
              <w:rFonts w:asciiTheme="minorHAnsi" w:eastAsiaTheme="minorEastAsia" w:hAnsiTheme="minorHAnsi"/>
              <w:sz w:val="22"/>
              <w:lang w:val="bg-BG" w:eastAsia="bg-BG"/>
            </w:rPr>
          </w:pPr>
          <w:hyperlink w:anchor="_Toc142828175" w:history="1">
            <w:r w:rsidRPr="000D1B8B">
              <w:rPr>
                <w:rStyle w:val="a5"/>
              </w:rPr>
              <w:t>Overview</w:t>
            </w:r>
            <w:r w:rsidRPr="000D1B8B">
              <w:rPr>
                <w:webHidden/>
              </w:rPr>
              <w:tab/>
            </w:r>
            <w:r w:rsidRPr="000D1B8B">
              <w:rPr>
                <w:webHidden/>
              </w:rPr>
              <w:fldChar w:fldCharType="begin"/>
            </w:r>
            <w:r w:rsidRPr="000D1B8B">
              <w:rPr>
                <w:webHidden/>
              </w:rPr>
              <w:instrText xml:space="preserve"> PAGEREF _Toc142828175 \h </w:instrText>
            </w:r>
            <w:r w:rsidRPr="000D1B8B">
              <w:rPr>
                <w:webHidden/>
              </w:rPr>
            </w:r>
            <w:r w:rsidRPr="000D1B8B">
              <w:rPr>
                <w:webHidden/>
              </w:rPr>
              <w:fldChar w:fldCharType="separate"/>
            </w:r>
            <w:r w:rsidR="0058115F">
              <w:rPr>
                <w:webHidden/>
              </w:rPr>
              <w:t>2</w:t>
            </w:r>
            <w:r w:rsidRPr="000D1B8B">
              <w:rPr>
                <w:webHidden/>
              </w:rPr>
              <w:fldChar w:fldCharType="end"/>
            </w:r>
          </w:hyperlink>
        </w:p>
        <w:p w:rsidR="000D1B8B" w:rsidRPr="000D1B8B" w:rsidRDefault="000D1B8B" w:rsidP="000D1B8B">
          <w:pPr>
            <w:pStyle w:val="11"/>
            <w:rPr>
              <w:rFonts w:asciiTheme="minorHAnsi" w:eastAsiaTheme="minorEastAsia" w:hAnsiTheme="minorHAnsi"/>
              <w:sz w:val="22"/>
              <w:lang w:val="bg-BG" w:eastAsia="bg-BG"/>
            </w:rPr>
          </w:pPr>
          <w:hyperlink w:anchor="_Toc142828176" w:history="1">
            <w:r w:rsidRPr="000D1B8B">
              <w:rPr>
                <w:rStyle w:val="a5"/>
              </w:rPr>
              <w:t>Demand and Market Equilibrium of Coca-Cola</w:t>
            </w:r>
            <w:r w:rsidRPr="000D1B8B">
              <w:rPr>
                <w:webHidden/>
              </w:rPr>
              <w:tab/>
            </w:r>
            <w:r w:rsidRPr="000D1B8B">
              <w:rPr>
                <w:webHidden/>
              </w:rPr>
              <w:fldChar w:fldCharType="begin"/>
            </w:r>
            <w:r w:rsidRPr="000D1B8B">
              <w:rPr>
                <w:webHidden/>
              </w:rPr>
              <w:instrText xml:space="preserve"> PAGEREF _Toc142828176 \h </w:instrText>
            </w:r>
            <w:r w:rsidRPr="000D1B8B">
              <w:rPr>
                <w:webHidden/>
              </w:rPr>
            </w:r>
            <w:r w:rsidRPr="000D1B8B">
              <w:rPr>
                <w:webHidden/>
              </w:rPr>
              <w:fldChar w:fldCharType="separate"/>
            </w:r>
            <w:r w:rsidR="0058115F">
              <w:rPr>
                <w:webHidden/>
              </w:rPr>
              <w:t>3</w:t>
            </w:r>
            <w:r w:rsidRPr="000D1B8B">
              <w:rPr>
                <w:webHidden/>
              </w:rPr>
              <w:fldChar w:fldCharType="end"/>
            </w:r>
          </w:hyperlink>
        </w:p>
        <w:p w:rsidR="000D1B8B" w:rsidRPr="000D1B8B" w:rsidRDefault="000D1B8B" w:rsidP="000D1B8B">
          <w:pPr>
            <w:pStyle w:val="11"/>
            <w:rPr>
              <w:rFonts w:asciiTheme="minorHAnsi" w:eastAsiaTheme="minorEastAsia" w:hAnsiTheme="minorHAnsi"/>
              <w:sz w:val="22"/>
              <w:lang w:val="bg-BG" w:eastAsia="bg-BG"/>
            </w:rPr>
          </w:pPr>
          <w:hyperlink w:anchor="_Toc142828177" w:history="1">
            <w:r w:rsidRPr="000D1B8B">
              <w:rPr>
                <w:rStyle w:val="a5"/>
              </w:rPr>
              <w:t>Factors influencing the price elasticity of demand</w:t>
            </w:r>
            <w:r w:rsidRPr="000D1B8B">
              <w:rPr>
                <w:webHidden/>
              </w:rPr>
              <w:tab/>
            </w:r>
            <w:r w:rsidRPr="000D1B8B">
              <w:rPr>
                <w:webHidden/>
              </w:rPr>
              <w:fldChar w:fldCharType="begin"/>
            </w:r>
            <w:r w:rsidRPr="000D1B8B">
              <w:rPr>
                <w:webHidden/>
              </w:rPr>
              <w:instrText xml:space="preserve"> PAGEREF _Toc142828177 \h </w:instrText>
            </w:r>
            <w:r w:rsidRPr="000D1B8B">
              <w:rPr>
                <w:webHidden/>
              </w:rPr>
            </w:r>
            <w:r w:rsidRPr="000D1B8B">
              <w:rPr>
                <w:webHidden/>
              </w:rPr>
              <w:fldChar w:fldCharType="separate"/>
            </w:r>
            <w:r w:rsidR="0058115F">
              <w:rPr>
                <w:webHidden/>
              </w:rPr>
              <w:t>8</w:t>
            </w:r>
            <w:r w:rsidRPr="000D1B8B">
              <w:rPr>
                <w:webHidden/>
              </w:rPr>
              <w:fldChar w:fldCharType="end"/>
            </w:r>
          </w:hyperlink>
        </w:p>
        <w:p w:rsidR="000D1B8B" w:rsidRPr="000D1B8B" w:rsidRDefault="000D1B8B" w:rsidP="000D1B8B">
          <w:pPr>
            <w:pStyle w:val="11"/>
            <w:rPr>
              <w:rFonts w:asciiTheme="minorHAnsi" w:eastAsiaTheme="minorEastAsia" w:hAnsiTheme="minorHAnsi"/>
              <w:sz w:val="22"/>
              <w:lang w:val="bg-BG" w:eastAsia="bg-BG"/>
            </w:rPr>
          </w:pPr>
          <w:hyperlink w:anchor="_Toc142828178" w:history="1">
            <w:r w:rsidRPr="000D1B8B">
              <w:rPr>
                <w:rStyle w:val="a5"/>
              </w:rPr>
              <w:t>Conclusion</w:t>
            </w:r>
            <w:r w:rsidRPr="000D1B8B">
              <w:rPr>
                <w:webHidden/>
              </w:rPr>
              <w:tab/>
            </w:r>
            <w:r w:rsidRPr="000D1B8B">
              <w:rPr>
                <w:webHidden/>
              </w:rPr>
              <w:fldChar w:fldCharType="begin"/>
            </w:r>
            <w:r w:rsidRPr="000D1B8B">
              <w:rPr>
                <w:webHidden/>
              </w:rPr>
              <w:instrText xml:space="preserve"> PAGEREF _Toc142828178 \h </w:instrText>
            </w:r>
            <w:r w:rsidRPr="000D1B8B">
              <w:rPr>
                <w:webHidden/>
              </w:rPr>
            </w:r>
            <w:r w:rsidRPr="000D1B8B">
              <w:rPr>
                <w:webHidden/>
              </w:rPr>
              <w:fldChar w:fldCharType="separate"/>
            </w:r>
            <w:r w:rsidR="0058115F">
              <w:rPr>
                <w:webHidden/>
              </w:rPr>
              <w:t>10</w:t>
            </w:r>
            <w:r w:rsidRPr="000D1B8B">
              <w:rPr>
                <w:webHidden/>
              </w:rPr>
              <w:fldChar w:fldCharType="end"/>
            </w:r>
          </w:hyperlink>
        </w:p>
        <w:p w:rsidR="000D1B8B" w:rsidRPr="000D1B8B" w:rsidRDefault="000D1B8B" w:rsidP="000D1B8B">
          <w:pPr>
            <w:pStyle w:val="11"/>
            <w:rPr>
              <w:rFonts w:asciiTheme="minorHAnsi" w:eastAsiaTheme="minorEastAsia" w:hAnsiTheme="minorHAnsi"/>
              <w:sz w:val="22"/>
              <w:lang w:val="bg-BG" w:eastAsia="bg-BG"/>
            </w:rPr>
          </w:pPr>
          <w:hyperlink w:anchor="_Toc142828179" w:history="1">
            <w:r w:rsidRPr="000D1B8B">
              <w:rPr>
                <w:rStyle w:val="a5"/>
              </w:rPr>
              <w:t>References</w:t>
            </w:r>
            <w:r w:rsidRPr="000D1B8B">
              <w:rPr>
                <w:webHidden/>
              </w:rPr>
              <w:tab/>
            </w:r>
            <w:r w:rsidRPr="000D1B8B">
              <w:rPr>
                <w:webHidden/>
              </w:rPr>
              <w:fldChar w:fldCharType="begin"/>
            </w:r>
            <w:r w:rsidRPr="000D1B8B">
              <w:rPr>
                <w:webHidden/>
              </w:rPr>
              <w:instrText xml:space="preserve"> PAGEREF _Toc142828179 \h </w:instrText>
            </w:r>
            <w:r w:rsidRPr="000D1B8B">
              <w:rPr>
                <w:webHidden/>
              </w:rPr>
            </w:r>
            <w:r w:rsidRPr="000D1B8B">
              <w:rPr>
                <w:webHidden/>
              </w:rPr>
              <w:fldChar w:fldCharType="separate"/>
            </w:r>
            <w:r w:rsidR="0058115F">
              <w:rPr>
                <w:webHidden/>
              </w:rPr>
              <w:t>11</w:t>
            </w:r>
            <w:r w:rsidRPr="000D1B8B">
              <w:rPr>
                <w:webHidden/>
              </w:rPr>
              <w:fldChar w:fldCharType="end"/>
            </w:r>
          </w:hyperlink>
        </w:p>
        <w:p w:rsidR="004D0608" w:rsidRPr="00FB369C" w:rsidRDefault="004D0608" w:rsidP="004D0608">
          <w:pPr>
            <w:rPr>
              <w:rFonts w:ascii="Arial" w:hAnsi="Arial" w:cs="Arial"/>
            </w:rPr>
          </w:pPr>
          <w:r w:rsidRPr="00FB369C">
            <w:rPr>
              <w:rFonts w:ascii="Arial" w:hAnsi="Arial" w:cs="Arial"/>
              <w:b/>
              <w:bCs/>
              <w:noProof/>
            </w:rPr>
            <w:fldChar w:fldCharType="end"/>
          </w:r>
        </w:p>
      </w:sdtContent>
    </w:sdt>
    <w:p w:rsidR="004D0608" w:rsidRPr="00FB369C" w:rsidRDefault="004D0608" w:rsidP="004D0608">
      <w:pPr>
        <w:rPr>
          <w:rFonts w:ascii="Arial" w:hAnsi="Arial" w:cs="Arial"/>
        </w:rPr>
      </w:pPr>
    </w:p>
    <w:p w:rsidR="004D0608" w:rsidRPr="00FB369C" w:rsidRDefault="004D0608" w:rsidP="004D0608">
      <w:pPr>
        <w:rPr>
          <w:rFonts w:ascii="Arial" w:hAnsi="Arial" w:cs="Arial"/>
        </w:rPr>
      </w:pPr>
    </w:p>
    <w:p w:rsidR="004D0608" w:rsidRPr="00FB369C" w:rsidRDefault="004D0608" w:rsidP="004D0608">
      <w:pPr>
        <w:rPr>
          <w:rFonts w:ascii="Arial" w:hAnsi="Arial" w:cs="Arial"/>
        </w:rPr>
      </w:pPr>
    </w:p>
    <w:p w:rsidR="004D0608" w:rsidRPr="00FB369C" w:rsidRDefault="004D0608" w:rsidP="004D0608">
      <w:pPr>
        <w:rPr>
          <w:rFonts w:ascii="Arial" w:hAnsi="Arial" w:cs="Arial"/>
        </w:rPr>
      </w:pPr>
    </w:p>
    <w:p w:rsidR="004D0608" w:rsidRPr="00FB369C" w:rsidRDefault="004D0608" w:rsidP="004D0608">
      <w:pPr>
        <w:rPr>
          <w:rFonts w:ascii="Arial" w:hAnsi="Arial" w:cs="Arial"/>
        </w:rPr>
      </w:pPr>
    </w:p>
    <w:p w:rsidR="004D0608" w:rsidRPr="00FB369C" w:rsidRDefault="004D0608" w:rsidP="004D0608">
      <w:pPr>
        <w:rPr>
          <w:rFonts w:ascii="Arial" w:hAnsi="Arial" w:cs="Arial"/>
        </w:rPr>
      </w:pPr>
    </w:p>
    <w:p w:rsidR="004D0608" w:rsidRPr="00FB369C" w:rsidRDefault="004D0608" w:rsidP="004D0608">
      <w:pPr>
        <w:rPr>
          <w:rFonts w:ascii="Arial" w:hAnsi="Arial" w:cs="Arial"/>
        </w:rPr>
      </w:pPr>
    </w:p>
    <w:p w:rsidR="004D0608" w:rsidRPr="00FB369C" w:rsidRDefault="004D0608" w:rsidP="004D0608">
      <w:pPr>
        <w:rPr>
          <w:rFonts w:ascii="Arial" w:hAnsi="Arial" w:cs="Arial"/>
        </w:rPr>
      </w:pPr>
    </w:p>
    <w:p w:rsidR="004D0608" w:rsidRPr="00FB369C" w:rsidRDefault="004D0608" w:rsidP="004D0608">
      <w:pPr>
        <w:rPr>
          <w:rFonts w:ascii="Arial" w:hAnsi="Arial" w:cs="Arial"/>
        </w:rPr>
      </w:pPr>
    </w:p>
    <w:p w:rsidR="004D0608" w:rsidRPr="00FB369C" w:rsidRDefault="004D0608" w:rsidP="004D0608">
      <w:pPr>
        <w:rPr>
          <w:rFonts w:ascii="Arial" w:hAnsi="Arial" w:cs="Arial"/>
        </w:rPr>
      </w:pPr>
    </w:p>
    <w:p w:rsidR="004D0608" w:rsidRPr="00FB369C" w:rsidRDefault="004D0608" w:rsidP="004D0608">
      <w:pPr>
        <w:rPr>
          <w:rFonts w:ascii="Arial" w:hAnsi="Arial" w:cs="Arial"/>
        </w:rPr>
      </w:pPr>
    </w:p>
    <w:p w:rsidR="004D0608" w:rsidRPr="00FB369C" w:rsidRDefault="004D0608" w:rsidP="004D0608">
      <w:pPr>
        <w:rPr>
          <w:rFonts w:ascii="Arial" w:hAnsi="Arial" w:cs="Arial"/>
        </w:rPr>
      </w:pPr>
    </w:p>
    <w:p w:rsidR="004D0608" w:rsidRDefault="004D0608" w:rsidP="004D0608">
      <w:pPr>
        <w:rPr>
          <w:rFonts w:ascii="Arial" w:hAnsi="Arial" w:cs="Arial"/>
        </w:rPr>
      </w:pPr>
    </w:p>
    <w:p w:rsidR="004D0608" w:rsidRDefault="004D0608" w:rsidP="004D0608">
      <w:pPr>
        <w:rPr>
          <w:rFonts w:ascii="Arial" w:hAnsi="Arial" w:cs="Arial"/>
        </w:rPr>
      </w:pPr>
    </w:p>
    <w:p w:rsidR="004D0608" w:rsidRDefault="004D0608" w:rsidP="004D0608">
      <w:pPr>
        <w:rPr>
          <w:rFonts w:ascii="Arial" w:hAnsi="Arial" w:cs="Arial"/>
        </w:rPr>
      </w:pPr>
    </w:p>
    <w:p w:rsidR="004D0608" w:rsidRDefault="004D0608" w:rsidP="004D0608">
      <w:pPr>
        <w:rPr>
          <w:rFonts w:ascii="Arial" w:hAnsi="Arial" w:cs="Arial"/>
        </w:rPr>
      </w:pPr>
    </w:p>
    <w:p w:rsidR="004D0608" w:rsidRDefault="004D0608" w:rsidP="004D0608">
      <w:pPr>
        <w:rPr>
          <w:rFonts w:ascii="Arial" w:hAnsi="Arial" w:cs="Arial"/>
        </w:rPr>
      </w:pPr>
    </w:p>
    <w:p w:rsidR="004D0608" w:rsidRDefault="004D0608" w:rsidP="004D0608">
      <w:pPr>
        <w:rPr>
          <w:rFonts w:ascii="Arial" w:hAnsi="Arial" w:cs="Arial"/>
        </w:rPr>
      </w:pPr>
    </w:p>
    <w:p w:rsidR="004D0608" w:rsidRDefault="004D0608" w:rsidP="004D0608">
      <w:pPr>
        <w:rPr>
          <w:rFonts w:ascii="Arial" w:hAnsi="Arial" w:cs="Arial"/>
        </w:rPr>
      </w:pPr>
    </w:p>
    <w:p w:rsidR="004D0608" w:rsidRPr="00FB369C" w:rsidRDefault="004D0608" w:rsidP="004D0608">
      <w:pPr>
        <w:rPr>
          <w:rFonts w:ascii="Arial" w:hAnsi="Arial" w:cs="Arial"/>
        </w:rPr>
      </w:pPr>
    </w:p>
    <w:p w:rsidR="004D0608" w:rsidRDefault="004D0608" w:rsidP="004D0608">
      <w:pPr>
        <w:pStyle w:val="1"/>
      </w:pPr>
      <w:bookmarkStart w:id="1" w:name="_Toc142828174"/>
      <w:r w:rsidRPr="00FB369C">
        <w:lastRenderedPageBreak/>
        <w:t>Introduction</w:t>
      </w:r>
      <w:bookmarkEnd w:id="1"/>
      <w:r w:rsidRPr="00FB369C">
        <w:t xml:space="preserve"> </w:t>
      </w:r>
    </w:p>
    <w:p w:rsidR="000D1B8B" w:rsidRPr="000D1B8B" w:rsidRDefault="000D1B8B" w:rsidP="000D1B8B">
      <w:pPr>
        <w:rPr>
          <w:lang w:val="en-US"/>
        </w:rPr>
      </w:pPr>
    </w:p>
    <w:p w:rsidR="004D0608" w:rsidRPr="004D0608" w:rsidRDefault="004D0608" w:rsidP="004D0608">
      <w:pPr>
        <w:rPr>
          <w:rFonts w:ascii="Arial" w:hAnsi="Arial" w:cs="Arial"/>
          <w:sz w:val="24"/>
          <w:szCs w:val="24"/>
        </w:rPr>
      </w:pPr>
      <w:r w:rsidRPr="004D0608">
        <w:rPr>
          <w:rFonts w:ascii="Arial" w:hAnsi="Arial" w:cs="Arial"/>
          <w:sz w:val="24"/>
          <w:szCs w:val="24"/>
        </w:rPr>
        <w:t xml:space="preserve">A company's product or service demand fluctuates throughout the economic environment. Analysing this variability is difficult since many factors influence it. This report examines this complex web of factors, concentrating on demand and market equilibrium with a single corporate entity. Starting with demand and market equilibrium, is the market condition when consumers' demand matches providers' supply. Market efficiency depends on equilibrium. This balance fluctuates due to different circumstances. Then, the report will discuss what drives market demand for the company's product. Market demand is the aggregate desire of prospective buyers to buy a product or service at a particular price. Demographic transitions, socioeconomic developments, and technological advances can affect market demand. Thus, this section of the report will explain how these variables affect market demand for the company's product, improving demand dynamics comprehension. The next section will examine product pricing elasticity. Price elasticity of demand is a significant economic metric that assesses how price changes affect product or service demand. </w:t>
      </w:r>
    </w:p>
    <w:p w:rsidR="000D1B8B" w:rsidRDefault="000D1B8B" w:rsidP="004D0608">
      <w:pPr>
        <w:pStyle w:val="1"/>
      </w:pPr>
      <w:bookmarkStart w:id="2" w:name="_Toc142828175"/>
    </w:p>
    <w:p w:rsidR="004D0608" w:rsidRPr="00FB369C" w:rsidRDefault="004D0608" w:rsidP="004D0608">
      <w:pPr>
        <w:pStyle w:val="1"/>
      </w:pPr>
      <w:r>
        <w:t>Overview</w:t>
      </w:r>
      <w:bookmarkEnd w:id="2"/>
    </w:p>
    <w:p w:rsidR="000D1B8B" w:rsidRDefault="000D1B8B" w:rsidP="004D0608">
      <w:pPr>
        <w:rPr>
          <w:rFonts w:ascii="Arial" w:hAnsi="Arial" w:cs="Arial"/>
          <w:sz w:val="24"/>
          <w:szCs w:val="24"/>
        </w:rPr>
      </w:pPr>
    </w:p>
    <w:p w:rsidR="004D0608" w:rsidRPr="004D0608" w:rsidRDefault="004D0608" w:rsidP="004D0608">
      <w:pPr>
        <w:rPr>
          <w:rFonts w:ascii="Arial" w:hAnsi="Arial" w:cs="Arial"/>
          <w:sz w:val="24"/>
          <w:szCs w:val="24"/>
        </w:rPr>
      </w:pPr>
      <w:r w:rsidRPr="004D0608">
        <w:rPr>
          <w:rFonts w:ascii="Arial" w:hAnsi="Arial" w:cs="Arial"/>
          <w:sz w:val="24"/>
          <w:szCs w:val="24"/>
        </w:rPr>
        <w:t>This academic report has been conducted on Coca-Cola, a global beverage manufacturer. This company's lengthy and storied history began in 1892 in Atlanta, Georgia, the state capital and present global headquarters. The Coca-Cola Company is one of the world's most recognised brands due to the power of its main product. The company's global success is due to this recognition.</w:t>
      </w:r>
    </w:p>
    <w:p w:rsidR="004D0608" w:rsidRPr="004D0608" w:rsidRDefault="004D0608" w:rsidP="004D0608">
      <w:pPr>
        <w:rPr>
          <w:rFonts w:ascii="Arial" w:hAnsi="Arial" w:cs="Arial"/>
          <w:sz w:val="24"/>
          <w:szCs w:val="24"/>
        </w:rPr>
      </w:pPr>
      <w:r w:rsidRPr="004D0608">
        <w:rPr>
          <w:rFonts w:ascii="Arial" w:hAnsi="Arial" w:cs="Arial"/>
          <w:sz w:val="24"/>
          <w:szCs w:val="24"/>
        </w:rPr>
        <w:t xml:space="preserve">This company sells ready-to-drink alcoholic beverages, coffee, tea, plant-based dairy substitutes, juices, and a range of water and hydration solutions (The Coca-Cola company, 2023). Online purchases from this company include a wide range of products. Its main business is soft drinks, where it competes with several other companies for market share. Competition is fierce in this field. Despite strong market rivalry, the company has expanded into 200 countries and sold its products under 200 brand names. Due to the company's extensive portfolio, customers have several beverage options. Since Coca-Cola's major product is soft drinks, it was selected for this investigation. It was chosen for the study due to the limited competition in this market and the product's brand value, which is unmatched by other beverage companies. Thus, the best option was Coca-Cola (The Coca-Cola Company, 2023). Since this soft drink is so popular, there is a lot of information on its business. An in-depth review of this data can reveal competitive variables, demand dynamics, and market conditions that affect this product and the organisation as a whole. </w:t>
      </w:r>
    </w:p>
    <w:p w:rsidR="004D0608" w:rsidRPr="00FB369C" w:rsidRDefault="004D0608" w:rsidP="004D0608">
      <w:pPr>
        <w:rPr>
          <w:rFonts w:ascii="Arial" w:hAnsi="Arial" w:cs="Arial"/>
        </w:rPr>
      </w:pPr>
      <w:r w:rsidRPr="004D0608">
        <w:rPr>
          <w:rFonts w:ascii="Arial" w:hAnsi="Arial" w:cs="Arial"/>
          <w:sz w:val="24"/>
          <w:szCs w:val="24"/>
        </w:rPr>
        <w:lastRenderedPageBreak/>
        <w:t>Coca-Cola's dominance in the soft drink market can be seen in the following figure. This supports this analysis's focus on Coca-Cola. By doing this extensive study, we want to better understand market dynamics and their effects on a globally recognised product.</w:t>
      </w:r>
      <w:r w:rsidRPr="00FB369C">
        <w:rPr>
          <w:rFonts w:ascii="Arial" w:hAnsi="Arial" w:cs="Arial"/>
        </w:rPr>
        <w:t xml:space="preserve"> </w:t>
      </w:r>
    </w:p>
    <w:p w:rsidR="004D0608" w:rsidRPr="00FB369C" w:rsidRDefault="004D0608" w:rsidP="004D0608">
      <w:pPr>
        <w:jc w:val="center"/>
        <w:rPr>
          <w:rFonts w:ascii="Arial" w:hAnsi="Arial" w:cs="Arial"/>
        </w:rPr>
      </w:pPr>
      <w:r w:rsidRPr="00FB369C">
        <w:rPr>
          <w:rFonts w:ascii="Arial" w:hAnsi="Arial" w:cs="Arial"/>
          <w:noProof/>
          <w:lang w:val="bg-BG" w:eastAsia="bg-BG"/>
        </w:rPr>
        <w:drawing>
          <wp:inline distT="0" distB="0" distL="0" distR="0" wp14:anchorId="24117FC3" wp14:editId="4E5F1CF4">
            <wp:extent cx="4920615" cy="302912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BEBA8EAE-BF5A-486C-A8C5-ECC9F3942E4B}">
                          <a14:imgProps xmlns:a14="http://schemas.microsoft.com/office/drawing/2010/main">
                            <a14:imgLayer r:embed="rId8">
                              <a14:imgEffect>
                                <a14:sharpenSoften amount="50000"/>
                              </a14:imgEffect>
                            </a14:imgLayer>
                          </a14:imgProps>
                        </a:ext>
                      </a:extLst>
                    </a:blip>
                    <a:stretch>
                      <a:fillRect/>
                    </a:stretch>
                  </pic:blipFill>
                  <pic:spPr>
                    <a:xfrm>
                      <a:off x="0" y="0"/>
                      <a:ext cx="4951470" cy="3048116"/>
                    </a:xfrm>
                    <a:prstGeom prst="rect">
                      <a:avLst/>
                    </a:prstGeom>
                  </pic:spPr>
                </pic:pic>
              </a:graphicData>
            </a:graphic>
          </wp:inline>
        </w:drawing>
      </w:r>
    </w:p>
    <w:p w:rsidR="004D0608" w:rsidRPr="00FB369C" w:rsidRDefault="004D0608" w:rsidP="004D0608">
      <w:pPr>
        <w:jc w:val="center"/>
        <w:rPr>
          <w:rFonts w:ascii="Arial" w:hAnsi="Arial" w:cs="Arial"/>
        </w:rPr>
      </w:pPr>
      <w:r w:rsidRPr="00FB369C">
        <w:rPr>
          <w:rFonts w:ascii="Arial" w:hAnsi="Arial" w:cs="Arial"/>
        </w:rPr>
        <w:t xml:space="preserve">Figure 1: Soft Drinks worldwide value (Statista, 2022). </w:t>
      </w:r>
    </w:p>
    <w:p w:rsidR="000D1B8B" w:rsidRDefault="000D1B8B" w:rsidP="004D0608">
      <w:pPr>
        <w:pStyle w:val="1"/>
      </w:pPr>
      <w:bookmarkStart w:id="3" w:name="OLE_LINK55"/>
      <w:bookmarkStart w:id="4" w:name="OLE_LINK56"/>
      <w:bookmarkStart w:id="5" w:name="_Toc142828176"/>
    </w:p>
    <w:p w:rsidR="004D0608" w:rsidRPr="00FB369C" w:rsidRDefault="004D0608" w:rsidP="004D0608">
      <w:pPr>
        <w:pStyle w:val="1"/>
      </w:pPr>
      <w:r w:rsidRPr="00FB369C">
        <w:t xml:space="preserve">Demand and Market Equilibrium </w:t>
      </w:r>
      <w:bookmarkEnd w:id="3"/>
      <w:bookmarkEnd w:id="4"/>
      <w:r w:rsidRPr="00FB369C">
        <w:t>of Coca-Cola</w:t>
      </w:r>
      <w:bookmarkEnd w:id="5"/>
      <w:r w:rsidRPr="00FB369C">
        <w:t xml:space="preserve"> </w:t>
      </w:r>
    </w:p>
    <w:p w:rsidR="000D1B8B" w:rsidRDefault="000D1B8B" w:rsidP="004D0608">
      <w:pPr>
        <w:rPr>
          <w:rFonts w:ascii="Arial" w:hAnsi="Arial" w:cs="Arial"/>
          <w:sz w:val="24"/>
          <w:szCs w:val="24"/>
        </w:rPr>
      </w:pPr>
      <w:bookmarkStart w:id="6" w:name="OLE_LINK27"/>
      <w:bookmarkStart w:id="7" w:name="OLE_LINK28"/>
    </w:p>
    <w:p w:rsidR="004D0608" w:rsidRPr="004D0608" w:rsidRDefault="004D0608" w:rsidP="004D0608">
      <w:pPr>
        <w:rPr>
          <w:rFonts w:ascii="Arial" w:hAnsi="Arial" w:cs="Arial"/>
          <w:sz w:val="24"/>
          <w:szCs w:val="24"/>
        </w:rPr>
      </w:pPr>
      <w:r w:rsidRPr="004D0608">
        <w:rPr>
          <w:rFonts w:ascii="Arial" w:hAnsi="Arial" w:cs="Arial"/>
          <w:sz w:val="24"/>
          <w:szCs w:val="24"/>
        </w:rPr>
        <w:t>Market dynamics are characterised by demand fluctuations, which can rise or fall depending on circumstances and variables. Conversely, market equilibrium occurs when a product or service's supply matches its demand. At this point, supply and demand balance, assuring neither a surplus nor a deficit of the product or service, provides a condition of balance or equilibrium for a company's product (Codenotti et al., 2005). Demand changes due to several variables, thus it's important to recognise that. In particular, several factors might boost or lower Coca-Cola's market demand. The price of substitutes is a major factor.</w:t>
      </w:r>
    </w:p>
    <w:p w:rsidR="004D0608" w:rsidRPr="004D0608" w:rsidRDefault="004D0608" w:rsidP="004D0608">
      <w:pPr>
        <w:rPr>
          <w:rFonts w:ascii="Arial" w:hAnsi="Arial" w:cs="Arial"/>
          <w:sz w:val="24"/>
          <w:szCs w:val="24"/>
        </w:rPr>
      </w:pPr>
      <w:r w:rsidRPr="004D0608">
        <w:rPr>
          <w:rFonts w:ascii="Arial" w:hAnsi="Arial" w:cs="Arial"/>
          <w:b/>
          <w:bCs/>
          <w:sz w:val="24"/>
          <w:szCs w:val="24"/>
        </w:rPr>
        <w:t>Price of Substitutes:</w:t>
      </w:r>
      <w:r w:rsidRPr="004D0608">
        <w:rPr>
          <w:rFonts w:ascii="Arial" w:hAnsi="Arial" w:cs="Arial"/>
          <w:sz w:val="24"/>
          <w:szCs w:val="24"/>
        </w:rPr>
        <w:t xml:space="preserve"> There are many competitors of Coca Cola like Pepsi, Fanta, Sprite, and Red Bull in the beverage market. In this competitive setting, the price changes of these alternative commodities and their effects on the chosen company's production must be examined. When a competitor's product gets cheaper, customer demand for Coca-Cola decreases, but when it rises, it increases (Stapleton and Subrahmanyam, 2017). Coca-Cola's pricing strategy is heavily influenced by Pepsi, a direct rival.</w:t>
      </w:r>
    </w:p>
    <w:p w:rsidR="004D0608" w:rsidRDefault="004D0608" w:rsidP="004D0608">
      <w:pPr>
        <w:rPr>
          <w:rFonts w:ascii="Arial" w:hAnsi="Arial" w:cs="Arial"/>
          <w:sz w:val="24"/>
          <w:szCs w:val="24"/>
        </w:rPr>
      </w:pPr>
      <w:r w:rsidRPr="004D0608">
        <w:rPr>
          <w:rFonts w:ascii="Arial" w:hAnsi="Arial" w:cs="Arial"/>
          <w:sz w:val="24"/>
          <w:szCs w:val="24"/>
        </w:rPr>
        <w:t xml:space="preserve">Coca-Cola's price seems more expensive than Pepsi's. In the UK, a 500 ml bottle of Pepsi costs £1.45, whereas a Coca-Cola bottle costs £1.79. Due to Pepsi's cheaper </w:t>
      </w:r>
      <w:r w:rsidRPr="004D0608">
        <w:rPr>
          <w:rFonts w:ascii="Arial" w:hAnsi="Arial" w:cs="Arial"/>
          <w:sz w:val="24"/>
          <w:szCs w:val="24"/>
        </w:rPr>
        <w:lastRenderedPageBreak/>
        <w:t xml:space="preserve">pricing, cost-conscious customers can choose it over Coca-Cola. This scenario likewise relies on the price elasticity of demand. A good's quantity requested responds to price changes (The Guardian, 2022). One can argue that Coca-Cola and its rivals' demand is fairly elastic, meaning a minor change in price could lead to a large change in the amount desired. The intricate interaction of these elements and their impact on market demand for a company's product like Coca-Cola emphasises the necessity of knowing market dynamics and strategically reacting to them. Thus, </w:t>
      </w:r>
      <w:r w:rsidRPr="004D0608">
        <w:rPr>
          <w:rFonts w:ascii="Arial" w:hAnsi="Arial" w:cs="Arial"/>
          <w:sz w:val="24"/>
          <w:szCs w:val="24"/>
        </w:rPr>
        <w:t>companies</w:t>
      </w:r>
      <w:r w:rsidRPr="004D0608">
        <w:rPr>
          <w:rFonts w:ascii="Arial" w:hAnsi="Arial" w:cs="Arial"/>
          <w:sz w:val="24"/>
          <w:szCs w:val="24"/>
        </w:rPr>
        <w:t xml:space="preserve"> must continuously analyse their competitive environment and make intelligent price choices to ensure demand stability and market equilibrium.</w:t>
      </w:r>
      <w:bookmarkEnd w:id="6"/>
      <w:bookmarkEnd w:id="7"/>
      <w:r w:rsidRPr="004D0608">
        <w:rPr>
          <w:rFonts w:ascii="Arial" w:hAnsi="Arial" w:cs="Arial"/>
          <w:sz w:val="24"/>
          <w:szCs w:val="24"/>
        </w:rPr>
        <w:t xml:space="preserve"> </w:t>
      </w:r>
    </w:p>
    <w:p w:rsidR="000D1B8B" w:rsidRPr="004D0608" w:rsidRDefault="000D1B8B" w:rsidP="004D0608">
      <w:pPr>
        <w:rPr>
          <w:rFonts w:ascii="Arial" w:hAnsi="Arial" w:cs="Arial"/>
          <w:sz w:val="24"/>
          <w:szCs w:val="24"/>
        </w:rPr>
      </w:pPr>
    </w:p>
    <w:p w:rsidR="004D0608" w:rsidRDefault="004D0608" w:rsidP="004D0608">
      <w:pPr>
        <w:rPr>
          <w:rFonts w:ascii="Arial" w:hAnsi="Arial" w:cs="Arial"/>
          <w:sz w:val="24"/>
          <w:szCs w:val="24"/>
        </w:rPr>
      </w:pPr>
      <w:bookmarkStart w:id="8" w:name="OLE_LINK29"/>
      <w:bookmarkStart w:id="9" w:name="OLE_LINK30"/>
      <w:r w:rsidRPr="004D0608">
        <w:rPr>
          <w:rFonts w:ascii="Arial" w:hAnsi="Arial" w:cs="Arial"/>
          <w:b/>
          <w:bCs/>
          <w:sz w:val="24"/>
          <w:szCs w:val="24"/>
        </w:rPr>
        <w:t>Price of complements:</w:t>
      </w:r>
      <w:r w:rsidRPr="00FB369C">
        <w:rPr>
          <w:rFonts w:ascii="Arial" w:hAnsi="Arial" w:cs="Arial"/>
        </w:rPr>
        <w:t xml:space="preserve"> </w:t>
      </w:r>
      <w:r w:rsidRPr="004D0608">
        <w:rPr>
          <w:rFonts w:ascii="Arial" w:hAnsi="Arial" w:cs="Arial"/>
          <w:sz w:val="24"/>
          <w:szCs w:val="24"/>
        </w:rPr>
        <w:t>The price of complementary items has a significant impact on demand dynamics. French fries, whether made of potatoes or chicken, as well as other fast-food products like burgers and pizza, are often paired with a cold Coca-Cola beverage. In the United Kingdom, a single serving of KFC fried chicken costs £1.99, whereas the cheapest pizza choice at Domino's costs £9.99. The expenditures associated with these fees can be a substantial obstacle, especially for customers with lower socioeconomic levels (Financial Times, 2023). Due to increased market rivalry, the costs of pizza, fries, and other important food products in the United Kingdom have risen. Customers' possible decrease in consumption of complementary food items owing to rising prices can have an influence on demand for Coca-Cola soft drinks. Coca-Cola beverage demand can fall, resulting in a shift to the left of the demand curve and a matching drop in supply.</w:t>
      </w:r>
    </w:p>
    <w:p w:rsidR="000D1B8B" w:rsidRPr="004D0608" w:rsidRDefault="000D1B8B" w:rsidP="004D0608">
      <w:pPr>
        <w:rPr>
          <w:rFonts w:ascii="Arial" w:hAnsi="Arial" w:cs="Arial"/>
          <w:sz w:val="24"/>
          <w:szCs w:val="24"/>
        </w:rPr>
      </w:pPr>
    </w:p>
    <w:p w:rsidR="004D0608" w:rsidRPr="004D0608" w:rsidRDefault="004D0608" w:rsidP="004D0608">
      <w:pPr>
        <w:rPr>
          <w:rFonts w:ascii="Arial" w:hAnsi="Arial" w:cs="Arial"/>
          <w:sz w:val="24"/>
          <w:szCs w:val="24"/>
        </w:rPr>
      </w:pPr>
      <w:r w:rsidRPr="004D0608">
        <w:rPr>
          <w:rFonts w:ascii="Arial" w:hAnsi="Arial" w:cs="Arial"/>
          <w:b/>
          <w:bCs/>
          <w:sz w:val="24"/>
          <w:szCs w:val="24"/>
        </w:rPr>
        <w:t>Consumer income:</w:t>
      </w:r>
      <w:r w:rsidRPr="00FB369C">
        <w:rPr>
          <w:rFonts w:ascii="Arial" w:hAnsi="Arial" w:cs="Arial"/>
        </w:rPr>
        <w:t xml:space="preserve"> </w:t>
      </w:r>
      <w:bookmarkEnd w:id="8"/>
      <w:bookmarkEnd w:id="9"/>
      <w:r w:rsidRPr="004D0608">
        <w:rPr>
          <w:rFonts w:ascii="Arial" w:hAnsi="Arial" w:cs="Arial"/>
          <w:sz w:val="24"/>
          <w:szCs w:val="24"/>
        </w:rPr>
        <w:t xml:space="preserve">Consumer income is a crucial element that determines the likelihood of a person making a purchase. Individuals obtain more discretionary cash when their salaries rise, resulting in increased consumption of a variety of products and services. According to Mankiw (2020), a rise in income has the ability to improve an individual's buying power, but a loss in income has the potential to lead to a significant fall in demand for a certain item. In general, a fall in demand is matched by a similar decrease in supply, suggesting that the decrease in demand will affect supply. To further this line of investigation, it is critical to recognise that disposable income does not exist in isolation. Individual income can be affected by inflation, changes in job levels, and economic recession and booms. Each of these elements has the potential to significantly alter consumer buying habits and preferences. By allocating resources to properly explore these aspects, businesses can improve their capacity to optimise supply and demand dynamics and efficiently traverse the complexities of the economic environment. </w:t>
      </w:r>
    </w:p>
    <w:p w:rsidR="004D0608" w:rsidRPr="00FB369C" w:rsidRDefault="004D0608" w:rsidP="004D0608">
      <w:pPr>
        <w:jc w:val="center"/>
        <w:rPr>
          <w:rFonts w:ascii="Arial" w:hAnsi="Arial" w:cs="Arial"/>
        </w:rPr>
      </w:pPr>
      <w:r w:rsidRPr="00FB369C">
        <w:rPr>
          <w:rFonts w:ascii="Arial" w:hAnsi="Arial" w:cs="Arial"/>
          <w:noProof/>
          <w:lang w:val="bg-BG" w:eastAsia="bg-BG"/>
        </w:rPr>
        <w:lastRenderedPageBreak/>
        <w:drawing>
          <wp:inline distT="0" distB="0" distL="0" distR="0" wp14:anchorId="31E69090" wp14:editId="7544A892">
            <wp:extent cx="5298919" cy="3225206"/>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BEBA8EAE-BF5A-486C-A8C5-ECC9F3942E4B}">
                          <a14:imgProps xmlns:a14="http://schemas.microsoft.com/office/drawing/2010/main">
                            <a14:imgLayer r:embed="rId10">
                              <a14:imgEffect>
                                <a14:sharpenSoften amount="50000"/>
                              </a14:imgEffect>
                            </a14:imgLayer>
                          </a14:imgProps>
                        </a:ext>
                      </a:extLst>
                    </a:blip>
                    <a:stretch>
                      <a:fillRect/>
                    </a:stretch>
                  </pic:blipFill>
                  <pic:spPr>
                    <a:xfrm>
                      <a:off x="0" y="0"/>
                      <a:ext cx="5310357" cy="3232168"/>
                    </a:xfrm>
                    <a:prstGeom prst="rect">
                      <a:avLst/>
                    </a:prstGeom>
                  </pic:spPr>
                </pic:pic>
              </a:graphicData>
            </a:graphic>
          </wp:inline>
        </w:drawing>
      </w:r>
    </w:p>
    <w:p w:rsidR="004D0608" w:rsidRPr="00FB369C" w:rsidRDefault="004D0608" w:rsidP="004D0608">
      <w:pPr>
        <w:jc w:val="center"/>
        <w:rPr>
          <w:rFonts w:ascii="Arial" w:hAnsi="Arial" w:cs="Arial"/>
        </w:rPr>
      </w:pPr>
      <w:r w:rsidRPr="00FB369C">
        <w:rPr>
          <w:rFonts w:ascii="Arial" w:hAnsi="Arial" w:cs="Arial"/>
        </w:rPr>
        <w:t xml:space="preserve">Figure 2: UK job holder’s average yearly income (Statista, 2022). </w:t>
      </w:r>
    </w:p>
    <w:p w:rsidR="000D1B8B" w:rsidRDefault="000D1B8B" w:rsidP="004D0608">
      <w:pPr>
        <w:rPr>
          <w:rFonts w:ascii="Arial" w:hAnsi="Arial" w:cs="Arial"/>
        </w:rPr>
      </w:pPr>
    </w:p>
    <w:p w:rsidR="004D0608" w:rsidRPr="00FB369C" w:rsidRDefault="004D0608" w:rsidP="004D0608">
      <w:pPr>
        <w:rPr>
          <w:rFonts w:ascii="Arial" w:hAnsi="Arial" w:cs="Arial"/>
        </w:rPr>
      </w:pPr>
      <w:r w:rsidRPr="00FB369C">
        <w:rPr>
          <w:rFonts w:ascii="Arial" w:hAnsi="Arial" w:cs="Arial"/>
        </w:rPr>
        <w:t xml:space="preserve">The graphic shows how age and gender affect UK workers' yearly incomes. The graphic shows that men earn more than women. The 40–49 age group earns the most. This shows that consumer income fluctuates over time. Consumer income affects soft drink consumption. Consumer behaviour shows that income variations affect demand for certain drinks. Consumers' desire to buy soft drinks fluctuates with income, affecting demand dynamics. </w:t>
      </w:r>
    </w:p>
    <w:p w:rsidR="004D0608" w:rsidRPr="00FB369C" w:rsidRDefault="004D0608" w:rsidP="004D0608">
      <w:pPr>
        <w:jc w:val="center"/>
        <w:rPr>
          <w:rFonts w:ascii="Arial" w:hAnsi="Arial" w:cs="Arial"/>
        </w:rPr>
      </w:pPr>
      <w:r w:rsidRPr="00FB369C">
        <w:rPr>
          <w:rFonts w:ascii="Arial" w:hAnsi="Arial" w:cs="Arial"/>
          <w:noProof/>
          <w:lang w:val="bg-BG" w:eastAsia="bg-BG"/>
        </w:rPr>
        <w:drawing>
          <wp:inline distT="0" distB="0" distL="0" distR="0" wp14:anchorId="6603D515" wp14:editId="3C128422">
            <wp:extent cx="5630545" cy="2911521"/>
            <wp:effectExtent l="0" t="0" r="8255" b="317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50000"/>
                              </a14:imgEffect>
                            </a14:imgLayer>
                          </a14:imgProps>
                        </a:ext>
                      </a:extLst>
                    </a:blip>
                    <a:stretch>
                      <a:fillRect/>
                    </a:stretch>
                  </pic:blipFill>
                  <pic:spPr>
                    <a:xfrm>
                      <a:off x="0" y="0"/>
                      <a:ext cx="5655487" cy="2924418"/>
                    </a:xfrm>
                    <a:prstGeom prst="rect">
                      <a:avLst/>
                    </a:prstGeom>
                  </pic:spPr>
                </pic:pic>
              </a:graphicData>
            </a:graphic>
          </wp:inline>
        </w:drawing>
      </w:r>
    </w:p>
    <w:p w:rsidR="004D0608" w:rsidRPr="00FB369C" w:rsidRDefault="004D0608" w:rsidP="004D0608">
      <w:pPr>
        <w:jc w:val="center"/>
        <w:rPr>
          <w:rFonts w:ascii="Arial" w:hAnsi="Arial" w:cs="Arial"/>
        </w:rPr>
      </w:pPr>
      <w:r w:rsidRPr="00FB369C">
        <w:rPr>
          <w:rFonts w:ascii="Arial" w:hAnsi="Arial" w:cs="Arial"/>
        </w:rPr>
        <w:t xml:space="preserve">Figure 3: A rise in median income </w:t>
      </w:r>
    </w:p>
    <w:p w:rsidR="004D0608" w:rsidRPr="000D1B8B" w:rsidRDefault="004D0608" w:rsidP="004D0608">
      <w:pPr>
        <w:rPr>
          <w:rFonts w:ascii="Arial" w:hAnsi="Arial" w:cs="Arial"/>
          <w:sz w:val="24"/>
          <w:szCs w:val="24"/>
        </w:rPr>
      </w:pPr>
      <w:r w:rsidRPr="000D1B8B">
        <w:rPr>
          <w:rFonts w:ascii="Arial" w:hAnsi="Arial" w:cs="Arial"/>
          <w:sz w:val="24"/>
          <w:szCs w:val="24"/>
        </w:rPr>
        <w:t xml:space="preserve">The statistics also show an increasing median income over time. This suggests increased consumer spending power. With greater disposable cash, people buy more expensive things like soft drinks. Suppliers expand output to meet rising demand. </w:t>
      </w:r>
      <w:r w:rsidRPr="000D1B8B">
        <w:rPr>
          <w:rFonts w:ascii="Arial" w:hAnsi="Arial" w:cs="Arial"/>
          <w:sz w:val="24"/>
          <w:szCs w:val="24"/>
        </w:rPr>
        <w:lastRenderedPageBreak/>
        <w:t xml:space="preserve">Supply augmentation helps restore market balance. These findings show how consumer income, spending power, and market demand and supply are linked. The Coca-Cola Company can use such knowledge to modify their product offers, pricing, and marketing to shift income levels and customer demand patterns. </w:t>
      </w:r>
    </w:p>
    <w:p w:rsidR="000D1B8B" w:rsidRDefault="000D1B8B" w:rsidP="004D0608">
      <w:pPr>
        <w:rPr>
          <w:rFonts w:ascii="Arial" w:hAnsi="Arial" w:cs="Arial"/>
          <w:b/>
          <w:bCs/>
          <w:sz w:val="24"/>
          <w:szCs w:val="24"/>
        </w:rPr>
      </w:pPr>
    </w:p>
    <w:p w:rsidR="004D0608" w:rsidRPr="000D1B8B" w:rsidRDefault="004D0608" w:rsidP="004D0608">
      <w:pPr>
        <w:rPr>
          <w:rFonts w:ascii="Arial" w:hAnsi="Arial" w:cs="Arial"/>
          <w:sz w:val="24"/>
          <w:szCs w:val="24"/>
        </w:rPr>
      </w:pPr>
      <w:r w:rsidRPr="000D1B8B">
        <w:rPr>
          <w:rFonts w:ascii="Arial" w:hAnsi="Arial" w:cs="Arial"/>
          <w:b/>
          <w:bCs/>
          <w:sz w:val="24"/>
          <w:szCs w:val="24"/>
        </w:rPr>
        <w:t>Consumers’ tastes and preferences:</w:t>
      </w:r>
      <w:r w:rsidRPr="000D1B8B">
        <w:rPr>
          <w:rFonts w:ascii="Arial" w:hAnsi="Arial" w:cs="Arial"/>
          <w:sz w:val="24"/>
          <w:szCs w:val="24"/>
        </w:rPr>
        <w:t xml:space="preserve"> The decisions consumers make greatly impact product supply and demand. Consumers' purchasing decisions might be influenced by a product's perceived usefulness or beauty. If customers enjoy a product, they buy more of it; if not, they buy less (Taussig, 2013). Brands like Coca-Cola, which are widely consumed worldwide, frequently have strong demand that defies taste differences. These well-known companies generally meet or exceed client expectations, which keeps demand for their goods high.</w:t>
      </w:r>
    </w:p>
    <w:p w:rsidR="004D0608" w:rsidRPr="00FB369C" w:rsidRDefault="004D0608" w:rsidP="004D0608">
      <w:pPr>
        <w:jc w:val="center"/>
        <w:rPr>
          <w:rFonts w:ascii="Arial" w:hAnsi="Arial" w:cs="Arial"/>
        </w:rPr>
      </w:pPr>
      <w:r w:rsidRPr="00FB369C">
        <w:rPr>
          <w:rFonts w:ascii="Arial" w:hAnsi="Arial" w:cs="Arial"/>
          <w:noProof/>
          <w:lang w:val="bg-BG" w:eastAsia="bg-BG"/>
        </w:rPr>
        <w:drawing>
          <wp:inline distT="0" distB="0" distL="0" distR="0" wp14:anchorId="2D63EFB5" wp14:editId="6DEFC70C">
            <wp:extent cx="5499098" cy="2658484"/>
            <wp:effectExtent l="0" t="0" r="6985" b="889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BEBA8EAE-BF5A-486C-A8C5-ECC9F3942E4B}">
                          <a14:imgProps xmlns:a14="http://schemas.microsoft.com/office/drawing/2010/main">
                            <a14:imgLayer r:embed="rId14">
                              <a14:imgEffect>
                                <a14:sharpenSoften amount="50000"/>
                              </a14:imgEffect>
                              <a14:imgEffect>
                                <a14:colorTemperature colorTemp="5300"/>
                              </a14:imgEffect>
                            </a14:imgLayer>
                          </a14:imgProps>
                        </a:ext>
                      </a:extLst>
                    </a:blip>
                    <a:stretch>
                      <a:fillRect/>
                    </a:stretch>
                  </pic:blipFill>
                  <pic:spPr>
                    <a:xfrm>
                      <a:off x="0" y="0"/>
                      <a:ext cx="5561232" cy="2688522"/>
                    </a:xfrm>
                    <a:prstGeom prst="rect">
                      <a:avLst/>
                    </a:prstGeom>
                  </pic:spPr>
                </pic:pic>
              </a:graphicData>
            </a:graphic>
          </wp:inline>
        </w:drawing>
      </w:r>
    </w:p>
    <w:p w:rsidR="004D0608" w:rsidRPr="00FB369C" w:rsidRDefault="004D0608" w:rsidP="004D0608">
      <w:pPr>
        <w:jc w:val="center"/>
        <w:rPr>
          <w:rFonts w:ascii="Arial" w:hAnsi="Arial" w:cs="Arial"/>
        </w:rPr>
      </w:pPr>
      <w:r w:rsidRPr="00FB369C">
        <w:rPr>
          <w:rFonts w:ascii="Arial" w:hAnsi="Arial" w:cs="Arial"/>
        </w:rPr>
        <w:t>Figure 4: Coca-Cola</w:t>
      </w:r>
      <w:r>
        <w:rPr>
          <w:rFonts w:ascii="Arial" w:hAnsi="Arial" w:cs="Arial"/>
        </w:rPr>
        <w:t xml:space="preserve"> sales volume across the globe</w:t>
      </w:r>
      <w:r w:rsidRPr="00FB369C">
        <w:rPr>
          <w:rFonts w:ascii="Arial" w:hAnsi="Arial" w:cs="Arial"/>
        </w:rPr>
        <w:t xml:space="preserve"> (Statista, 2022)</w:t>
      </w:r>
    </w:p>
    <w:p w:rsidR="000D1B8B" w:rsidRDefault="000D1B8B" w:rsidP="004D0608">
      <w:pPr>
        <w:rPr>
          <w:rFonts w:ascii="Arial" w:hAnsi="Arial" w:cs="Arial"/>
          <w:sz w:val="24"/>
          <w:szCs w:val="24"/>
        </w:rPr>
      </w:pPr>
    </w:p>
    <w:p w:rsidR="004D0608" w:rsidRPr="000D1B8B" w:rsidRDefault="004D0608" w:rsidP="004D0608">
      <w:pPr>
        <w:rPr>
          <w:rFonts w:ascii="Arial" w:hAnsi="Arial" w:cs="Arial"/>
          <w:sz w:val="24"/>
          <w:szCs w:val="24"/>
        </w:rPr>
      </w:pPr>
      <w:r w:rsidRPr="000D1B8B">
        <w:rPr>
          <w:rFonts w:ascii="Arial" w:hAnsi="Arial" w:cs="Arial"/>
          <w:sz w:val="24"/>
          <w:szCs w:val="24"/>
        </w:rPr>
        <w:t xml:space="preserve">Coca-Cola's market share is shown in the above graph. The findings show that people worldwide prefer Coca-Cola products, demonstrating the company's ability to adapt to shifting consumer demands. Every second, people worldwide drink ten thousand Coca-Cola soft drinks. This astounding number shows the brand's worldwide prominence and the company's drinks strong demand. It is also important to analyse Coca-Cola's consumer retention elements. Product innovation, strong branding, and smart marketing can influence Coca-Cola's product preferences. Coca-Cola's global reach and ability to adapt to market shifts and customer preferences have kept its goods in demand worldwide. </w:t>
      </w:r>
    </w:p>
    <w:p w:rsidR="000D1B8B" w:rsidRDefault="000D1B8B" w:rsidP="004D0608">
      <w:pPr>
        <w:rPr>
          <w:rFonts w:ascii="Arial" w:hAnsi="Arial" w:cs="Arial"/>
          <w:b/>
          <w:bCs/>
          <w:sz w:val="24"/>
          <w:szCs w:val="24"/>
        </w:rPr>
      </w:pPr>
    </w:p>
    <w:p w:rsidR="004D0608" w:rsidRPr="000D1B8B" w:rsidRDefault="004D0608" w:rsidP="004D0608">
      <w:pPr>
        <w:rPr>
          <w:rFonts w:ascii="Arial" w:hAnsi="Arial" w:cs="Arial"/>
          <w:sz w:val="24"/>
          <w:szCs w:val="24"/>
        </w:rPr>
      </w:pPr>
      <w:r w:rsidRPr="000D1B8B">
        <w:rPr>
          <w:rFonts w:ascii="Arial" w:hAnsi="Arial" w:cs="Arial"/>
          <w:b/>
          <w:bCs/>
          <w:sz w:val="24"/>
          <w:szCs w:val="24"/>
        </w:rPr>
        <w:t>Consumer expectations of price:</w:t>
      </w:r>
      <w:r w:rsidRPr="000D1B8B">
        <w:rPr>
          <w:rFonts w:ascii="Arial" w:hAnsi="Arial" w:cs="Arial"/>
          <w:sz w:val="24"/>
          <w:szCs w:val="24"/>
        </w:rPr>
        <w:t xml:space="preserve"> Coca-Cola drinkers favour steady or declining costs. This pricing propensity suggests that customer demand for Coca-Cola products increases when prices are low and decreases when prices rise. The demand curve changes to the right or left to show demand increase or contraction </w:t>
      </w:r>
      <w:r w:rsidRPr="000D1B8B">
        <w:rPr>
          <w:rFonts w:ascii="Arial" w:hAnsi="Arial" w:cs="Arial"/>
          <w:sz w:val="24"/>
          <w:szCs w:val="24"/>
        </w:rPr>
        <w:lastRenderedPageBreak/>
        <w:t>(Mankiw, 2014). Demand changes affect the supply curve. The supply curve moves rightward as demand rises, showing that producers are prepared to offer more at each price level. When demand falls, the supply curve shifts left, indicating a lower supply ready. Market equilibrium, a key economic concept, occurs when the supply and demand curves cross.</w:t>
      </w:r>
    </w:p>
    <w:p w:rsidR="004D0608" w:rsidRPr="00FB369C" w:rsidRDefault="004D0608" w:rsidP="004D0608">
      <w:pPr>
        <w:rPr>
          <w:rFonts w:ascii="Arial" w:hAnsi="Arial" w:cs="Arial"/>
        </w:rPr>
      </w:pPr>
    </w:p>
    <w:p w:rsidR="004D0608" w:rsidRPr="00FB369C" w:rsidRDefault="004D0608" w:rsidP="004D0608">
      <w:pPr>
        <w:jc w:val="center"/>
        <w:rPr>
          <w:rFonts w:ascii="Arial" w:hAnsi="Arial" w:cs="Arial"/>
        </w:rPr>
      </w:pPr>
      <w:r w:rsidRPr="00FB369C">
        <w:rPr>
          <w:rFonts w:ascii="Arial" w:hAnsi="Arial" w:cs="Arial"/>
          <w:noProof/>
          <w:lang w:val="bg-BG" w:eastAsia="bg-BG"/>
        </w:rPr>
        <w:drawing>
          <wp:inline distT="0" distB="0" distL="0" distR="0" wp14:anchorId="22B3FE76" wp14:editId="6E35CC4E">
            <wp:extent cx="4316095" cy="3647404"/>
            <wp:effectExtent l="0" t="0" r="8255"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Lst>
                    </a:blip>
                    <a:stretch>
                      <a:fillRect/>
                    </a:stretch>
                  </pic:blipFill>
                  <pic:spPr>
                    <a:xfrm>
                      <a:off x="0" y="0"/>
                      <a:ext cx="4334408" cy="3662880"/>
                    </a:xfrm>
                    <a:prstGeom prst="rect">
                      <a:avLst/>
                    </a:prstGeom>
                  </pic:spPr>
                </pic:pic>
              </a:graphicData>
            </a:graphic>
          </wp:inline>
        </w:drawing>
      </w:r>
    </w:p>
    <w:p w:rsidR="004D0608" w:rsidRPr="00FB369C" w:rsidRDefault="004D0608" w:rsidP="004D0608">
      <w:pPr>
        <w:jc w:val="center"/>
        <w:rPr>
          <w:rFonts w:ascii="Arial" w:hAnsi="Arial" w:cs="Arial"/>
        </w:rPr>
      </w:pPr>
      <w:r w:rsidRPr="00FB369C">
        <w:rPr>
          <w:rFonts w:ascii="Arial" w:hAnsi="Arial" w:cs="Arial"/>
        </w:rPr>
        <w:t xml:space="preserve">Figure 5: Equilibrium Point (Fetter, 2019). </w:t>
      </w:r>
    </w:p>
    <w:p w:rsidR="000D1B8B" w:rsidRDefault="000D1B8B" w:rsidP="004D0608">
      <w:pPr>
        <w:rPr>
          <w:rFonts w:ascii="Arial" w:hAnsi="Arial" w:cs="Arial"/>
          <w:b/>
          <w:bCs/>
          <w:sz w:val="24"/>
          <w:szCs w:val="24"/>
        </w:rPr>
      </w:pPr>
    </w:p>
    <w:p w:rsidR="004D0608" w:rsidRDefault="004D0608" w:rsidP="004D0608">
      <w:pPr>
        <w:rPr>
          <w:rFonts w:ascii="Arial" w:hAnsi="Arial" w:cs="Arial"/>
          <w:sz w:val="24"/>
          <w:szCs w:val="24"/>
        </w:rPr>
      </w:pPr>
      <w:r w:rsidRPr="000D1B8B">
        <w:rPr>
          <w:rFonts w:ascii="Arial" w:hAnsi="Arial" w:cs="Arial"/>
          <w:b/>
          <w:bCs/>
          <w:sz w:val="24"/>
          <w:szCs w:val="24"/>
        </w:rPr>
        <w:t>Demographics:</w:t>
      </w:r>
      <w:r w:rsidRPr="000D1B8B">
        <w:rPr>
          <w:rFonts w:ascii="Arial" w:hAnsi="Arial" w:cs="Arial"/>
          <w:sz w:val="24"/>
          <w:szCs w:val="24"/>
        </w:rPr>
        <w:t xml:space="preserve"> Coca-Cola soft drink sales have grown steadily. In 2020, the UK had 13.3 million consumers and a 4.5% sales rise (Statista, 2023). These figures show that Coca-Cola beverage demand is rising, requiring a supply increase. As the customer base develops, demand increases and market forces compel the manufacturer to increase supply to meet this need. These market dynamics might modify demand and supply curves, rebalancing the market. Thus, Coca-Cola must comprehend these complex connections between demand, supply, and price to effectively control product pricing and production. Thus, they can best fulfil market demand, satisfy customers, and preserve their competitive advantage while growing and profiting</w:t>
      </w:r>
      <w:r w:rsidR="000D1B8B">
        <w:rPr>
          <w:rFonts w:ascii="Arial" w:hAnsi="Arial" w:cs="Arial"/>
          <w:sz w:val="24"/>
          <w:szCs w:val="24"/>
        </w:rPr>
        <w:t>.</w:t>
      </w:r>
      <w:r w:rsidRPr="000D1B8B">
        <w:rPr>
          <w:rFonts w:ascii="Arial" w:hAnsi="Arial" w:cs="Arial"/>
          <w:sz w:val="24"/>
          <w:szCs w:val="24"/>
        </w:rPr>
        <w:t xml:space="preserve"> </w:t>
      </w:r>
    </w:p>
    <w:p w:rsidR="000D1B8B" w:rsidRPr="000D1B8B" w:rsidRDefault="000D1B8B" w:rsidP="004D0608">
      <w:pPr>
        <w:rPr>
          <w:rFonts w:ascii="Arial" w:hAnsi="Arial" w:cs="Arial"/>
          <w:sz w:val="24"/>
          <w:szCs w:val="24"/>
        </w:rPr>
      </w:pPr>
    </w:p>
    <w:p w:rsidR="000D1B8B" w:rsidRDefault="000D1B8B" w:rsidP="004D0608">
      <w:pPr>
        <w:pStyle w:val="1"/>
      </w:pPr>
      <w:bookmarkStart w:id="10" w:name="_Toc142828177"/>
    </w:p>
    <w:p w:rsidR="000D1B8B" w:rsidRPr="000D1B8B" w:rsidRDefault="004D0608" w:rsidP="000D1B8B">
      <w:pPr>
        <w:pStyle w:val="1"/>
      </w:pPr>
      <w:r w:rsidRPr="00FB369C">
        <w:t>Factors</w:t>
      </w:r>
      <w:r>
        <w:t xml:space="preserve"> influencing</w:t>
      </w:r>
      <w:r w:rsidRPr="00FB369C">
        <w:t xml:space="preserve"> the price elasticity of demand</w:t>
      </w:r>
      <w:bookmarkEnd w:id="10"/>
      <w:r w:rsidRPr="00FB369C">
        <w:t xml:space="preserve"> </w:t>
      </w:r>
      <w:bookmarkStart w:id="11" w:name="OLE_LINK43"/>
      <w:bookmarkStart w:id="12" w:name="OLE_LINK44"/>
    </w:p>
    <w:p w:rsidR="004D0608" w:rsidRPr="000D1B8B" w:rsidRDefault="004D0608" w:rsidP="004D0608">
      <w:pPr>
        <w:rPr>
          <w:rFonts w:ascii="Arial" w:hAnsi="Arial" w:cs="Arial"/>
          <w:sz w:val="24"/>
          <w:szCs w:val="24"/>
        </w:rPr>
      </w:pPr>
      <w:r w:rsidRPr="000D1B8B">
        <w:rPr>
          <w:rFonts w:ascii="Arial" w:hAnsi="Arial" w:cs="Arial"/>
          <w:sz w:val="24"/>
          <w:szCs w:val="24"/>
        </w:rPr>
        <w:t xml:space="preserve">This academic study in the previous sections examined how income, customer preferences, demographics, replacement products price, and other factors affect demand. This section examines the substitution effect's impact on the price elasticity of demand. </w:t>
      </w:r>
    </w:p>
    <w:p w:rsidR="004D0608" w:rsidRPr="000D1B8B" w:rsidRDefault="004D0608" w:rsidP="004D0608">
      <w:pPr>
        <w:rPr>
          <w:rFonts w:ascii="Arial" w:hAnsi="Arial" w:cs="Arial"/>
          <w:sz w:val="24"/>
          <w:szCs w:val="24"/>
        </w:rPr>
      </w:pPr>
      <w:r w:rsidRPr="000D1B8B">
        <w:rPr>
          <w:rFonts w:ascii="Arial" w:hAnsi="Arial" w:cs="Arial"/>
          <w:b/>
          <w:bCs/>
          <w:sz w:val="24"/>
          <w:szCs w:val="24"/>
        </w:rPr>
        <w:t>Substitution effects:</w:t>
      </w:r>
      <w:bookmarkEnd w:id="11"/>
      <w:bookmarkEnd w:id="12"/>
      <w:r w:rsidRPr="000D1B8B">
        <w:rPr>
          <w:rFonts w:ascii="Arial" w:hAnsi="Arial" w:cs="Arial"/>
          <w:sz w:val="24"/>
          <w:szCs w:val="24"/>
        </w:rPr>
        <w:t xml:space="preserve"> The Coca-Cola Company has several rivals in the beverage sector. These substitutes' prices strongly influence consumer behaviour. Consumers can turn to other manufacturers if alternative drinks become more expensive. Soft drinks, in general, make parties, New Year's Eve celebrations, and family gatherings more enjoyable (Mankiw, 2020). These events sometimes appear incomplete without such drinks.  This makes the price elasticity of demand and the substitution impact important. Price elasticity of demand, which measures how much the quantity required of a product varies when its price changes, is crucial to understanding consumer behaviour in the face of alternative items. Consumers will switch to cheaper goods when their price rises, according to substitution. Coca-Cola's demand can grow when alternatives prices rise, and vice versa. The typical consumer views The Coca-Cola Company's soft drink as a common beverage, frequently essential to social events. This impacts Coca-Cola's price elasticity of demand. Thus, substitution effects, income, customer tastes, and the societal necessity for such drinks affect Coca-Cola's price elasticity. The company must carefully manage these issues, adjust its price strategy, and analyse its competitive environment to preserve market equilibrium and sustained demand. </w:t>
      </w:r>
    </w:p>
    <w:p w:rsidR="004D0608" w:rsidRPr="00FB369C" w:rsidRDefault="004D0608" w:rsidP="004D0608">
      <w:pPr>
        <w:jc w:val="center"/>
        <w:rPr>
          <w:rFonts w:ascii="Arial" w:hAnsi="Arial" w:cs="Arial"/>
        </w:rPr>
      </w:pPr>
      <w:r w:rsidRPr="00FB369C">
        <w:rPr>
          <w:rFonts w:ascii="Arial" w:hAnsi="Arial" w:cs="Arial"/>
          <w:noProof/>
          <w:lang w:val="bg-BG" w:eastAsia="bg-BG"/>
        </w:rPr>
        <w:drawing>
          <wp:inline distT="0" distB="0" distL="0" distR="0" wp14:anchorId="20EBCB91" wp14:editId="10ED3DA4">
            <wp:extent cx="3444240" cy="2646860"/>
            <wp:effectExtent l="0" t="0" r="3810" b="127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BEBA8EAE-BF5A-486C-A8C5-ECC9F3942E4B}">
                          <a14:imgProps xmlns:a14="http://schemas.microsoft.com/office/drawing/2010/main">
                            <a14:imgLayer r:embed="rId18">
                              <a14:imgEffect>
                                <a14:sharpenSoften amount="50000"/>
                              </a14:imgEffect>
                              <a14:imgEffect>
                                <a14:colorTemperature colorTemp="5300"/>
                              </a14:imgEffect>
                            </a14:imgLayer>
                          </a14:imgProps>
                        </a:ext>
                      </a:extLst>
                    </a:blip>
                    <a:srcRect r="1583"/>
                    <a:stretch/>
                  </pic:blipFill>
                  <pic:spPr bwMode="auto">
                    <a:xfrm>
                      <a:off x="0" y="0"/>
                      <a:ext cx="3521280" cy="2706064"/>
                    </a:xfrm>
                    <a:prstGeom prst="rect">
                      <a:avLst/>
                    </a:prstGeom>
                    <a:ln>
                      <a:noFill/>
                    </a:ln>
                    <a:extLst>
                      <a:ext uri="{53640926-AAD7-44D8-BBD7-CCE9431645EC}">
                        <a14:shadowObscured xmlns:a14="http://schemas.microsoft.com/office/drawing/2010/main"/>
                      </a:ext>
                    </a:extLst>
                  </pic:spPr>
                </pic:pic>
              </a:graphicData>
            </a:graphic>
          </wp:inline>
        </w:drawing>
      </w:r>
    </w:p>
    <w:p w:rsidR="004D0608" w:rsidRPr="00FB369C" w:rsidRDefault="004D0608" w:rsidP="004D0608">
      <w:pPr>
        <w:jc w:val="center"/>
        <w:rPr>
          <w:rFonts w:ascii="Arial" w:hAnsi="Arial" w:cs="Arial"/>
        </w:rPr>
      </w:pPr>
      <w:r w:rsidRPr="00FB369C">
        <w:rPr>
          <w:rFonts w:ascii="Arial" w:hAnsi="Arial" w:cs="Arial"/>
        </w:rPr>
        <w:t xml:space="preserve">Figure 6: Coca-Cola and consumer consumption (Ridder, 2022). </w:t>
      </w:r>
    </w:p>
    <w:p w:rsidR="004D0608" w:rsidRPr="000D1B8B" w:rsidRDefault="004D0608" w:rsidP="004D0608">
      <w:pPr>
        <w:rPr>
          <w:rFonts w:ascii="Arial" w:hAnsi="Arial" w:cs="Arial"/>
          <w:sz w:val="24"/>
          <w:szCs w:val="24"/>
        </w:rPr>
      </w:pPr>
      <w:r w:rsidRPr="000D1B8B">
        <w:rPr>
          <w:rFonts w:ascii="Arial" w:hAnsi="Arial" w:cs="Arial"/>
          <w:sz w:val="24"/>
          <w:szCs w:val="24"/>
        </w:rPr>
        <w:t xml:space="preserve">An independent study found that consumers drink Coca-Cola during meals, social gatherings, national celebrations and while watching films. Consumers observed this. The consumer's consumption pattern shows that meal times make up a large portion of overall consumption. This implies that Coca-Cola is essential. If the thing in </w:t>
      </w:r>
      <w:r w:rsidRPr="000D1B8B">
        <w:rPr>
          <w:rFonts w:ascii="Arial" w:hAnsi="Arial" w:cs="Arial"/>
          <w:sz w:val="24"/>
          <w:szCs w:val="24"/>
        </w:rPr>
        <w:lastRenderedPageBreak/>
        <w:t xml:space="preserve">question were luxury goods, people with a range of incomes would not buy it. As Lewis (2003) remarked, this situation shows how crucial price elasticity knowledge is. Because of the inferred necessity, "essential" or "indispensable," labels attract more buyers. Despite Pepsi's higher price, Coca-Cola's demand is inelastic. Despite Pepsi's decreased price, Coca-Cola's demand did not alter. Coca-Cola's demand persisted.  Coca-Cola's competitors provide cheaper alternatives; thus their impact is significant. Despite this competition, Coca-Cola's demand has not decreased. However, Coca-Cola's demand can fluctuate. A hypothetical price increase might change demand from inelastic to elastic.  Customer price responsiveness increases the price elasticity of demand. If market conditions change, Coca-Cola can shift towards elastic demand even though consumer responses have not yet shown elasticity. The company hasn't seen any customer elasticity yet. To further understand this situation, consider the numerous factors that might change the price elasticity of demand. This would help one grasp this problem. If a disruptive competitor entered the market with a similar product at a cheaper price, people can reconsider their loyalty to Coca-Cola. Similar to an economic downturn or widespread income loss, large social upheavals can enhance consumer price sensitivity and price elasticity. Thus, even if Coca-Cola's demand is inelastic, the company must be aware and flexible to respond to market developments. This lets the company adapt to market changes. </w:t>
      </w:r>
    </w:p>
    <w:p w:rsidR="004D0608" w:rsidRPr="000D1B8B" w:rsidRDefault="004D0608" w:rsidP="004D0608">
      <w:pPr>
        <w:rPr>
          <w:rFonts w:ascii="Arial" w:hAnsi="Arial" w:cs="Arial"/>
          <w:sz w:val="24"/>
          <w:szCs w:val="24"/>
        </w:rPr>
      </w:pPr>
      <w:r w:rsidRPr="000D1B8B">
        <w:rPr>
          <w:rFonts w:ascii="Arial" w:hAnsi="Arial" w:cs="Arial"/>
          <w:b/>
          <w:bCs/>
          <w:sz w:val="24"/>
          <w:szCs w:val="24"/>
        </w:rPr>
        <w:t>Income effects:</w:t>
      </w:r>
      <w:r w:rsidRPr="000D1B8B">
        <w:rPr>
          <w:rFonts w:ascii="Arial" w:hAnsi="Arial" w:cs="Arial"/>
          <w:sz w:val="24"/>
          <w:szCs w:val="24"/>
        </w:rPr>
        <w:t xml:space="preserve"> Consumer income is a critical factor in determining demand elasticity. According to Dwivedi (2000), when consumer wealth rises, so does their buying power, which in turn makes product pricing a less significant factor in purchase decisions. The fact that clients with greater incomes are less price sensitive causes demand to become inelastic. When customers have less disposable money, they become more price sensitive. When these circumstances exist, there is a decline in demand, and it becomes elastic, which means that even a little adjustment in price can have a significant impact on product demand.</w:t>
      </w:r>
    </w:p>
    <w:p w:rsidR="004D0608" w:rsidRPr="00FB369C" w:rsidRDefault="004D0608" w:rsidP="004D0608">
      <w:pPr>
        <w:jc w:val="center"/>
        <w:rPr>
          <w:rFonts w:ascii="Arial" w:hAnsi="Arial" w:cs="Arial"/>
        </w:rPr>
      </w:pPr>
      <w:r w:rsidRPr="00FB369C">
        <w:rPr>
          <w:rFonts w:ascii="Arial" w:hAnsi="Arial" w:cs="Arial"/>
          <w:noProof/>
          <w:lang w:val="bg-BG" w:eastAsia="bg-BG"/>
        </w:rPr>
        <w:drawing>
          <wp:inline distT="0" distB="0" distL="0" distR="0" wp14:anchorId="78626663" wp14:editId="71FECB70">
            <wp:extent cx="4907280" cy="3082778"/>
            <wp:effectExtent l="0" t="0" r="7620" b="381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BEBA8EAE-BF5A-486C-A8C5-ECC9F3942E4B}">
                          <a14:imgProps xmlns:a14="http://schemas.microsoft.com/office/drawing/2010/main">
                            <a14:imgLayer r:embed="rId20">
                              <a14:imgEffect>
                                <a14:sharpenSoften amount="50000"/>
                              </a14:imgEffect>
                            </a14:imgLayer>
                          </a14:imgProps>
                        </a:ext>
                      </a:extLst>
                    </a:blip>
                    <a:stretch>
                      <a:fillRect/>
                    </a:stretch>
                  </pic:blipFill>
                  <pic:spPr>
                    <a:xfrm>
                      <a:off x="0" y="0"/>
                      <a:ext cx="4931137" cy="3097765"/>
                    </a:xfrm>
                    <a:prstGeom prst="rect">
                      <a:avLst/>
                    </a:prstGeom>
                  </pic:spPr>
                </pic:pic>
              </a:graphicData>
            </a:graphic>
          </wp:inline>
        </w:drawing>
      </w:r>
    </w:p>
    <w:p w:rsidR="004D0608" w:rsidRPr="00FB369C" w:rsidRDefault="004D0608" w:rsidP="004D0608">
      <w:pPr>
        <w:jc w:val="center"/>
        <w:rPr>
          <w:rFonts w:ascii="Arial" w:hAnsi="Arial" w:cs="Arial"/>
        </w:rPr>
      </w:pPr>
      <w:r w:rsidRPr="00FB369C">
        <w:rPr>
          <w:rFonts w:ascii="Arial" w:hAnsi="Arial" w:cs="Arial"/>
        </w:rPr>
        <w:t xml:space="preserve">Figure 7: </w:t>
      </w:r>
      <w:r>
        <w:rPr>
          <w:rFonts w:ascii="Arial" w:hAnsi="Arial" w:cs="Arial"/>
        </w:rPr>
        <w:t xml:space="preserve">Average spending on food in the UK </w:t>
      </w:r>
      <w:r w:rsidRPr="00FB369C">
        <w:rPr>
          <w:rFonts w:ascii="Arial" w:hAnsi="Arial" w:cs="Arial"/>
        </w:rPr>
        <w:t>(Statista, 2022)</w:t>
      </w:r>
    </w:p>
    <w:p w:rsidR="004D0608" w:rsidRPr="000D1B8B" w:rsidRDefault="004D0608" w:rsidP="004D0608">
      <w:pPr>
        <w:rPr>
          <w:rFonts w:ascii="Arial" w:hAnsi="Arial" w:cs="Arial"/>
          <w:sz w:val="24"/>
          <w:szCs w:val="24"/>
        </w:rPr>
      </w:pPr>
      <w:r w:rsidRPr="000D1B8B">
        <w:rPr>
          <w:rFonts w:ascii="Arial" w:hAnsi="Arial" w:cs="Arial"/>
          <w:sz w:val="24"/>
          <w:szCs w:val="24"/>
        </w:rPr>
        <w:lastRenderedPageBreak/>
        <w:t>In the UK's food and beverage business, consumer spending has steadily increased (Cowen and Tabarrok, 2009). A careful analysis of relevant expenditure data shows that food and drink spending has grown. This trend suggests rising consumer income, allowing them to spend more on food and beverages.</w:t>
      </w:r>
    </w:p>
    <w:p w:rsidR="004D0608" w:rsidRPr="000D1B8B" w:rsidRDefault="004D0608" w:rsidP="004D0608">
      <w:pPr>
        <w:rPr>
          <w:rFonts w:ascii="Arial" w:hAnsi="Arial" w:cs="Arial"/>
          <w:sz w:val="24"/>
          <w:szCs w:val="24"/>
        </w:rPr>
      </w:pPr>
      <w:r w:rsidRPr="000D1B8B">
        <w:rPr>
          <w:rFonts w:ascii="Arial" w:hAnsi="Arial" w:cs="Arial"/>
          <w:sz w:val="24"/>
          <w:szCs w:val="24"/>
        </w:rPr>
        <w:t xml:space="preserve">This rising income level has changed demand elasticity for things like soft drinks. Consumer income increases soft drink demand, which becomes inelastic.  Income-induced inelastic demand shows that soft drink buyers are less price sensitive. They consume more soft drinks when their disposable income rises, independent of price changes. This income-demand elasticity connection is not unique. Consumer preferences, market competitiveness, replacement availability, and others affect it. Understanding these interrelationships would improve demand dynamics, helping companies like Coca-Cola create better marketing and pricing strategies. </w:t>
      </w:r>
    </w:p>
    <w:p w:rsidR="004D0608" w:rsidRDefault="004D0608" w:rsidP="004D0608">
      <w:pPr>
        <w:rPr>
          <w:rFonts w:ascii="Arial" w:hAnsi="Arial" w:cs="Arial"/>
          <w:sz w:val="24"/>
          <w:szCs w:val="24"/>
        </w:rPr>
      </w:pPr>
      <w:r w:rsidRPr="000D1B8B">
        <w:rPr>
          <w:rFonts w:ascii="Arial" w:hAnsi="Arial" w:cs="Arial"/>
          <w:b/>
          <w:bCs/>
          <w:sz w:val="24"/>
          <w:szCs w:val="24"/>
        </w:rPr>
        <w:t>Pricing Policy:</w:t>
      </w:r>
      <w:r w:rsidRPr="000D1B8B">
        <w:rPr>
          <w:rFonts w:ascii="Arial" w:hAnsi="Arial" w:cs="Arial"/>
          <w:sz w:val="24"/>
          <w:szCs w:val="24"/>
        </w:rPr>
        <w:t xml:space="preserve"> Coca-Cola might use cost-based pricing. Coca-Cola's drinks cost more than its rivals. Intriguingly, its higher prices have not yet hurt demand. However, the market is extremely competitive and intrinsically changeable, and premium pricing can eventually hurt customer demand (Goodwin et al., 2019). The company can benefit from cost-based pricing, which bases product prices on manufacturing costs. This technique calculates the overall cost of manufacturing a product and adds a predetermined percentage of profit to determine the retail price. This pricing strategy might have several benefits. First, it can attract price-sensitive customers, increasing market competition. Since pricing includes a profit margin, it can help maintain profitability. It optimises resource use, preventing waste. Finally, it might help the organisation understand client preferences and market demand to improve its products. </w:t>
      </w:r>
    </w:p>
    <w:p w:rsidR="000D1B8B" w:rsidRDefault="000D1B8B" w:rsidP="004D0608">
      <w:pPr>
        <w:rPr>
          <w:rFonts w:ascii="Arial" w:hAnsi="Arial" w:cs="Arial"/>
          <w:sz w:val="24"/>
          <w:szCs w:val="24"/>
        </w:rPr>
      </w:pPr>
    </w:p>
    <w:p w:rsidR="000D1B8B" w:rsidRPr="000D1B8B" w:rsidRDefault="000D1B8B" w:rsidP="004D0608">
      <w:pPr>
        <w:rPr>
          <w:rFonts w:ascii="Arial" w:hAnsi="Arial" w:cs="Arial"/>
          <w:sz w:val="24"/>
          <w:szCs w:val="24"/>
        </w:rPr>
      </w:pPr>
    </w:p>
    <w:p w:rsidR="004D0608" w:rsidRPr="00FB369C" w:rsidRDefault="004D0608" w:rsidP="004D0608">
      <w:pPr>
        <w:pStyle w:val="1"/>
      </w:pPr>
      <w:bookmarkStart w:id="13" w:name="_Toc142828178"/>
      <w:r w:rsidRPr="00FB369C">
        <w:t>Conclusion</w:t>
      </w:r>
      <w:bookmarkEnd w:id="13"/>
      <w:r w:rsidRPr="00FB369C">
        <w:t xml:space="preserve"> </w:t>
      </w:r>
    </w:p>
    <w:p w:rsidR="004D0608" w:rsidRPr="000D1B8B" w:rsidRDefault="004D0608" w:rsidP="004D0608">
      <w:pPr>
        <w:rPr>
          <w:rFonts w:ascii="Arial" w:hAnsi="Arial" w:cs="Arial"/>
          <w:sz w:val="24"/>
          <w:szCs w:val="24"/>
        </w:rPr>
      </w:pPr>
      <w:r w:rsidRPr="000D1B8B">
        <w:rPr>
          <w:rFonts w:ascii="Arial" w:hAnsi="Arial" w:cs="Arial"/>
          <w:sz w:val="24"/>
          <w:szCs w:val="24"/>
        </w:rPr>
        <w:t xml:space="preserve">The report emphasises the volatility of a company's product's demand and supply. These patterns are affected by income, replacement product costs, and customer preferences. Thus, to preserve market equilibrium and competitiveness, companies must vigilantly monitor these parameters. Coca-Cola needs precise data and smart pricing to identify market trends and reach a balance. These factors can help them make educated choices, enabling smooth market adaption and market resilience. This dynamic, sophisticated approach to market research and strategy execution helps a company succeed in an ever-changing competitive field. </w:t>
      </w:r>
    </w:p>
    <w:p w:rsidR="000D1B8B" w:rsidRDefault="000D1B8B" w:rsidP="004D0608">
      <w:pPr>
        <w:pStyle w:val="1"/>
      </w:pPr>
    </w:p>
    <w:p w:rsidR="000D1B8B" w:rsidRDefault="000D1B8B" w:rsidP="004D0608">
      <w:pPr>
        <w:pStyle w:val="1"/>
      </w:pPr>
    </w:p>
    <w:p w:rsidR="000D1B8B" w:rsidRPr="000D1B8B" w:rsidRDefault="000D1B8B" w:rsidP="000D1B8B">
      <w:pPr>
        <w:rPr>
          <w:lang w:val="en-US"/>
        </w:rPr>
      </w:pPr>
    </w:p>
    <w:p w:rsidR="004D0608" w:rsidRPr="00FB369C" w:rsidRDefault="004D0608" w:rsidP="004D0608">
      <w:pPr>
        <w:pStyle w:val="1"/>
        <w:rPr>
          <w:szCs w:val="22"/>
        </w:rPr>
      </w:pPr>
      <w:bookmarkStart w:id="14" w:name="_Toc142828179"/>
      <w:r w:rsidRPr="00FB369C">
        <w:lastRenderedPageBreak/>
        <w:t>References</w:t>
      </w:r>
      <w:bookmarkEnd w:id="14"/>
      <w:r w:rsidRPr="00FB369C">
        <w:t xml:space="preserve"> </w:t>
      </w:r>
    </w:p>
    <w:p w:rsidR="004D0608" w:rsidRPr="000D1B8B" w:rsidRDefault="004D0608" w:rsidP="004D0608">
      <w:pPr>
        <w:pStyle w:val="a3"/>
        <w:spacing w:line="360" w:lineRule="auto"/>
        <w:jc w:val="both"/>
        <w:rPr>
          <w:rFonts w:ascii="Arial" w:hAnsi="Arial" w:cs="Arial"/>
          <w:color w:val="222222"/>
          <w:shd w:val="clear" w:color="auto" w:fill="FFFFFF"/>
        </w:rPr>
      </w:pPr>
      <w:bookmarkStart w:id="15" w:name="_Hlk124176092"/>
      <w:r w:rsidRPr="000D1B8B">
        <w:rPr>
          <w:rFonts w:ascii="Arial" w:hAnsi="Arial" w:cs="Arial"/>
          <w:color w:val="222222"/>
          <w:shd w:val="clear" w:color="auto" w:fill="FFFFFF"/>
        </w:rPr>
        <w:t>Codenotti, B., McCune, B. and Varadarajan, K., 2005, May. Market equilibrium via the excess demand function. In </w:t>
      </w:r>
      <w:r w:rsidRPr="000D1B8B">
        <w:rPr>
          <w:rFonts w:ascii="Arial" w:hAnsi="Arial" w:cs="Arial"/>
          <w:i/>
          <w:iCs/>
          <w:color w:val="222222"/>
          <w:shd w:val="clear" w:color="auto" w:fill="FFFFFF"/>
        </w:rPr>
        <w:t>Proceedings of the thirty-seventh annual ACM symposium on Theory of computing</w:t>
      </w:r>
      <w:r w:rsidRPr="000D1B8B">
        <w:rPr>
          <w:rFonts w:ascii="Arial" w:hAnsi="Arial" w:cs="Arial"/>
          <w:color w:val="222222"/>
          <w:shd w:val="clear" w:color="auto" w:fill="FFFFFF"/>
        </w:rPr>
        <w:t> (pp. 74-83).</w:t>
      </w:r>
    </w:p>
    <w:p w:rsidR="004D0608" w:rsidRPr="000D1B8B" w:rsidRDefault="004D0608" w:rsidP="004D0608">
      <w:pPr>
        <w:pStyle w:val="a3"/>
        <w:spacing w:line="360" w:lineRule="auto"/>
        <w:jc w:val="both"/>
        <w:rPr>
          <w:rFonts w:ascii="Arial" w:hAnsi="Arial" w:cs="Arial"/>
          <w:color w:val="222222"/>
          <w:shd w:val="clear" w:color="auto" w:fill="FFFFFF"/>
        </w:rPr>
      </w:pPr>
      <w:r w:rsidRPr="000D1B8B">
        <w:rPr>
          <w:rFonts w:ascii="Arial" w:hAnsi="Arial" w:cs="Arial"/>
          <w:color w:val="222222"/>
          <w:shd w:val="clear" w:color="auto" w:fill="FFFFFF"/>
        </w:rPr>
        <w:t>Cowen, T. and Tabarrok, A., 2009. </w:t>
      </w:r>
      <w:r w:rsidRPr="000D1B8B">
        <w:rPr>
          <w:rFonts w:ascii="Arial" w:hAnsi="Arial" w:cs="Arial"/>
          <w:i/>
          <w:iCs/>
          <w:color w:val="222222"/>
          <w:shd w:val="clear" w:color="auto" w:fill="FFFFFF"/>
        </w:rPr>
        <w:t>Modern principles of economics</w:t>
      </w:r>
      <w:r w:rsidRPr="000D1B8B">
        <w:rPr>
          <w:rFonts w:ascii="Arial" w:hAnsi="Arial" w:cs="Arial"/>
          <w:color w:val="222222"/>
          <w:shd w:val="clear" w:color="auto" w:fill="FFFFFF"/>
        </w:rPr>
        <w:t>. Macmillan.</w:t>
      </w:r>
    </w:p>
    <w:p w:rsidR="004D0608" w:rsidRPr="000D1B8B" w:rsidRDefault="004D0608" w:rsidP="004D0608">
      <w:pPr>
        <w:pStyle w:val="a3"/>
        <w:spacing w:line="360" w:lineRule="auto"/>
        <w:jc w:val="both"/>
        <w:rPr>
          <w:rFonts w:ascii="Arial" w:hAnsi="Arial" w:cs="Arial"/>
          <w:color w:val="222222"/>
          <w:shd w:val="clear" w:color="auto" w:fill="FFFFFF"/>
        </w:rPr>
      </w:pPr>
      <w:r w:rsidRPr="000D1B8B">
        <w:rPr>
          <w:rFonts w:ascii="Arial" w:hAnsi="Arial" w:cs="Arial"/>
          <w:color w:val="222222"/>
          <w:shd w:val="clear" w:color="auto" w:fill="FFFFFF"/>
        </w:rPr>
        <w:t>Dwivedi, D.N., 2009. </w:t>
      </w:r>
      <w:r w:rsidRPr="000D1B8B">
        <w:rPr>
          <w:rFonts w:ascii="Arial" w:hAnsi="Arial" w:cs="Arial"/>
          <w:i/>
          <w:iCs/>
          <w:color w:val="222222"/>
          <w:shd w:val="clear" w:color="auto" w:fill="FFFFFF"/>
        </w:rPr>
        <w:t>Principles of economics</w:t>
      </w:r>
      <w:r w:rsidRPr="000D1B8B">
        <w:rPr>
          <w:rFonts w:ascii="Arial" w:hAnsi="Arial" w:cs="Arial"/>
          <w:color w:val="222222"/>
          <w:shd w:val="clear" w:color="auto" w:fill="FFFFFF"/>
        </w:rPr>
        <w:t>. Vikas Publishing House.</w:t>
      </w:r>
    </w:p>
    <w:p w:rsidR="004D0608" w:rsidRPr="000D1B8B" w:rsidRDefault="004D0608" w:rsidP="004D0608">
      <w:pPr>
        <w:pStyle w:val="a3"/>
        <w:spacing w:line="360" w:lineRule="auto"/>
        <w:jc w:val="both"/>
        <w:rPr>
          <w:rFonts w:ascii="Arial" w:hAnsi="Arial" w:cs="Arial"/>
          <w:color w:val="222222"/>
          <w:shd w:val="clear" w:color="auto" w:fill="FFFFFF"/>
        </w:rPr>
      </w:pPr>
      <w:r w:rsidRPr="000D1B8B">
        <w:rPr>
          <w:rFonts w:ascii="Arial" w:hAnsi="Arial" w:cs="Arial"/>
          <w:color w:val="222222"/>
          <w:shd w:val="clear" w:color="auto" w:fill="FFFFFF"/>
        </w:rPr>
        <w:t>Fetter, F.A., 2019. </w:t>
      </w:r>
      <w:r w:rsidRPr="000D1B8B">
        <w:rPr>
          <w:rFonts w:ascii="Arial" w:hAnsi="Arial" w:cs="Arial"/>
          <w:i/>
          <w:iCs/>
          <w:color w:val="222222"/>
          <w:shd w:val="clear" w:color="auto" w:fill="FFFFFF"/>
        </w:rPr>
        <w:t>The principles of economics, with applications to practical problems</w:t>
      </w:r>
      <w:r w:rsidRPr="000D1B8B">
        <w:rPr>
          <w:rFonts w:ascii="Arial" w:hAnsi="Arial" w:cs="Arial"/>
          <w:color w:val="222222"/>
          <w:shd w:val="clear" w:color="auto" w:fill="FFFFFF"/>
        </w:rPr>
        <w:t>. Good Press.</w:t>
      </w:r>
    </w:p>
    <w:p w:rsidR="004D0608" w:rsidRPr="000D1B8B" w:rsidRDefault="004D0608" w:rsidP="004D0608">
      <w:pPr>
        <w:pStyle w:val="a3"/>
        <w:spacing w:line="360" w:lineRule="auto"/>
        <w:jc w:val="both"/>
        <w:rPr>
          <w:rFonts w:ascii="Arial" w:hAnsi="Arial" w:cs="Arial"/>
        </w:rPr>
      </w:pPr>
      <w:r w:rsidRPr="000D1B8B">
        <w:rPr>
          <w:rFonts w:ascii="Arial" w:hAnsi="Arial" w:cs="Arial"/>
        </w:rPr>
        <w:t xml:space="preserve">Financial Times, 2023. </w:t>
      </w:r>
      <w:r w:rsidRPr="000D1B8B">
        <w:rPr>
          <w:rFonts w:ascii="Arial" w:hAnsi="Arial" w:cs="Arial"/>
          <w:i/>
          <w:iCs/>
        </w:rPr>
        <w:t>Case study: Coca-Cola</w:t>
      </w:r>
      <w:r w:rsidRPr="000D1B8B">
        <w:rPr>
          <w:rFonts w:ascii="Arial" w:hAnsi="Arial" w:cs="Arial"/>
        </w:rPr>
        <w:t xml:space="preserve">, </w:t>
      </w:r>
      <w:r w:rsidR="000D1B8B" w:rsidRPr="000D1B8B">
        <w:rPr>
          <w:rFonts w:ascii="Arial" w:hAnsi="Arial" w:cs="Arial"/>
          <w:i/>
          <w:iCs/>
        </w:rPr>
        <w:t>subscribe</w:t>
      </w:r>
      <w:r w:rsidRPr="000D1B8B">
        <w:rPr>
          <w:rFonts w:ascii="Arial" w:hAnsi="Arial" w:cs="Arial"/>
          <w:i/>
          <w:iCs/>
        </w:rPr>
        <w:t xml:space="preserve"> to read | Financial Times</w:t>
      </w:r>
      <w:r w:rsidRPr="000D1B8B">
        <w:rPr>
          <w:rFonts w:ascii="Arial" w:hAnsi="Arial" w:cs="Arial"/>
        </w:rPr>
        <w:t xml:space="preserve">. Financial Times. Available at: https://www.ft.com/content/aad28ad0-2417-11e0-a89a-00144feab49a [Accessed 13 Jul. 2023]. </w:t>
      </w:r>
    </w:p>
    <w:p w:rsidR="004D0608" w:rsidRPr="000D1B8B" w:rsidRDefault="004D0608" w:rsidP="004D0608">
      <w:pPr>
        <w:pStyle w:val="a3"/>
        <w:spacing w:line="360" w:lineRule="auto"/>
        <w:jc w:val="both"/>
        <w:rPr>
          <w:rFonts w:ascii="Arial" w:hAnsi="Arial" w:cs="Arial"/>
          <w:color w:val="222222"/>
          <w:shd w:val="clear" w:color="auto" w:fill="FFFFFF"/>
        </w:rPr>
      </w:pPr>
      <w:r w:rsidRPr="000D1B8B">
        <w:rPr>
          <w:rFonts w:ascii="Arial" w:hAnsi="Arial" w:cs="Arial"/>
          <w:color w:val="222222"/>
          <w:shd w:val="clear" w:color="auto" w:fill="FFFFFF"/>
        </w:rPr>
        <w:t>Goodwin, N., Harris, J.M., Nelson, J.A., Roach, B. and Torras, M., 2019. </w:t>
      </w:r>
      <w:r w:rsidRPr="000D1B8B">
        <w:rPr>
          <w:rFonts w:ascii="Arial" w:hAnsi="Arial" w:cs="Arial"/>
          <w:i/>
          <w:iCs/>
          <w:color w:val="222222"/>
          <w:shd w:val="clear" w:color="auto" w:fill="FFFFFF"/>
        </w:rPr>
        <w:t>Principles of economics in context</w:t>
      </w:r>
      <w:r w:rsidRPr="000D1B8B">
        <w:rPr>
          <w:rFonts w:ascii="Arial" w:hAnsi="Arial" w:cs="Arial"/>
          <w:color w:val="222222"/>
          <w:shd w:val="clear" w:color="auto" w:fill="FFFFFF"/>
        </w:rPr>
        <w:t>. Routledge.</w:t>
      </w:r>
    </w:p>
    <w:p w:rsidR="004D0608" w:rsidRPr="000D1B8B" w:rsidRDefault="004D0608" w:rsidP="004D0608">
      <w:pPr>
        <w:pStyle w:val="a3"/>
        <w:spacing w:line="360" w:lineRule="auto"/>
        <w:jc w:val="both"/>
        <w:rPr>
          <w:rFonts w:ascii="Arial" w:hAnsi="Arial" w:cs="Arial"/>
          <w:color w:val="222222"/>
          <w:shd w:val="clear" w:color="auto" w:fill="FFFFFF"/>
        </w:rPr>
      </w:pPr>
      <w:r w:rsidRPr="000D1B8B">
        <w:rPr>
          <w:rFonts w:ascii="Arial" w:hAnsi="Arial" w:cs="Arial"/>
          <w:color w:val="222222"/>
          <w:shd w:val="clear" w:color="auto" w:fill="FFFFFF"/>
        </w:rPr>
        <w:t>Lewis, W.A., 2003. </w:t>
      </w:r>
      <w:r w:rsidRPr="000D1B8B">
        <w:rPr>
          <w:rFonts w:ascii="Arial" w:hAnsi="Arial" w:cs="Arial"/>
          <w:i/>
          <w:iCs/>
          <w:color w:val="222222"/>
          <w:shd w:val="clear" w:color="auto" w:fill="FFFFFF"/>
        </w:rPr>
        <w:t>The principles of economic planning</w:t>
      </w:r>
      <w:r w:rsidRPr="000D1B8B">
        <w:rPr>
          <w:rFonts w:ascii="Arial" w:hAnsi="Arial" w:cs="Arial"/>
          <w:color w:val="222222"/>
          <w:shd w:val="clear" w:color="auto" w:fill="FFFFFF"/>
        </w:rPr>
        <w:t> (Vol. 5). Psychology Press.</w:t>
      </w:r>
    </w:p>
    <w:p w:rsidR="004D0608" w:rsidRPr="000D1B8B" w:rsidRDefault="004D0608" w:rsidP="004D0608">
      <w:pPr>
        <w:pStyle w:val="a3"/>
        <w:spacing w:line="360" w:lineRule="auto"/>
        <w:jc w:val="both"/>
        <w:rPr>
          <w:rFonts w:ascii="Arial" w:hAnsi="Arial" w:cs="Arial"/>
          <w:color w:val="222222"/>
          <w:shd w:val="clear" w:color="auto" w:fill="FFFFFF"/>
        </w:rPr>
      </w:pPr>
      <w:r w:rsidRPr="000D1B8B">
        <w:rPr>
          <w:rFonts w:ascii="Arial" w:hAnsi="Arial" w:cs="Arial"/>
          <w:color w:val="222222"/>
          <w:shd w:val="clear" w:color="auto" w:fill="FFFFFF"/>
        </w:rPr>
        <w:t>Mankiw, N.G., 2014. </w:t>
      </w:r>
      <w:r w:rsidRPr="000D1B8B">
        <w:rPr>
          <w:rFonts w:ascii="Arial" w:hAnsi="Arial" w:cs="Arial"/>
          <w:i/>
          <w:iCs/>
          <w:color w:val="222222"/>
          <w:shd w:val="clear" w:color="auto" w:fill="FFFFFF"/>
        </w:rPr>
        <w:t>Principles of economics</w:t>
      </w:r>
      <w:r w:rsidRPr="000D1B8B">
        <w:rPr>
          <w:rFonts w:ascii="Arial" w:hAnsi="Arial" w:cs="Arial"/>
          <w:color w:val="222222"/>
          <w:shd w:val="clear" w:color="auto" w:fill="FFFFFF"/>
        </w:rPr>
        <w:t>. Cengage Learning.</w:t>
      </w:r>
    </w:p>
    <w:p w:rsidR="004D0608" w:rsidRPr="000D1B8B" w:rsidRDefault="004D0608" w:rsidP="004D0608">
      <w:pPr>
        <w:pStyle w:val="a3"/>
        <w:spacing w:line="360" w:lineRule="auto"/>
        <w:jc w:val="both"/>
        <w:rPr>
          <w:rFonts w:ascii="Arial" w:hAnsi="Arial" w:cs="Arial"/>
          <w:color w:val="222222"/>
          <w:shd w:val="clear" w:color="auto" w:fill="FFFFFF"/>
        </w:rPr>
      </w:pPr>
      <w:r w:rsidRPr="000D1B8B">
        <w:rPr>
          <w:rFonts w:ascii="Arial" w:hAnsi="Arial" w:cs="Arial"/>
          <w:color w:val="222222"/>
          <w:shd w:val="clear" w:color="auto" w:fill="FFFFFF"/>
        </w:rPr>
        <w:t>Mankiw, N.G., 2020. </w:t>
      </w:r>
      <w:r w:rsidRPr="000D1B8B">
        <w:rPr>
          <w:rFonts w:ascii="Arial" w:hAnsi="Arial" w:cs="Arial"/>
          <w:i/>
          <w:iCs/>
          <w:color w:val="222222"/>
          <w:shd w:val="clear" w:color="auto" w:fill="FFFFFF"/>
        </w:rPr>
        <w:t>Principles of economics</w:t>
      </w:r>
      <w:r w:rsidRPr="000D1B8B">
        <w:rPr>
          <w:rFonts w:ascii="Arial" w:hAnsi="Arial" w:cs="Arial"/>
          <w:color w:val="222222"/>
          <w:shd w:val="clear" w:color="auto" w:fill="FFFFFF"/>
        </w:rPr>
        <w:t>. Cengage Learning.</w:t>
      </w:r>
    </w:p>
    <w:p w:rsidR="004D0608" w:rsidRPr="000D1B8B" w:rsidRDefault="004D0608" w:rsidP="004D0608">
      <w:pPr>
        <w:pStyle w:val="a3"/>
        <w:spacing w:line="360" w:lineRule="auto"/>
        <w:jc w:val="both"/>
        <w:rPr>
          <w:rFonts w:ascii="Arial" w:hAnsi="Arial" w:cs="Arial"/>
        </w:rPr>
      </w:pPr>
      <w:r w:rsidRPr="000D1B8B">
        <w:rPr>
          <w:rFonts w:ascii="Arial" w:hAnsi="Arial" w:cs="Arial"/>
        </w:rPr>
        <w:t xml:space="preserve">Statista, 2023.  </w:t>
      </w:r>
      <w:r w:rsidRPr="000D1B8B">
        <w:rPr>
          <w:rFonts w:ascii="Arial" w:hAnsi="Arial" w:cs="Arial"/>
          <w:i/>
          <w:iCs/>
        </w:rPr>
        <w:t>Topic: Coca-Cola Company</w:t>
      </w:r>
      <w:r w:rsidRPr="000D1B8B">
        <w:rPr>
          <w:rFonts w:ascii="Arial" w:hAnsi="Arial" w:cs="Arial"/>
        </w:rPr>
        <w:t xml:space="preserve">, </w:t>
      </w:r>
      <w:r w:rsidRPr="000D1B8B">
        <w:rPr>
          <w:rFonts w:ascii="Arial" w:hAnsi="Arial" w:cs="Arial"/>
          <w:i/>
          <w:iCs/>
        </w:rPr>
        <w:t>Statista</w:t>
      </w:r>
      <w:r w:rsidRPr="000D1B8B">
        <w:rPr>
          <w:rFonts w:ascii="Arial" w:hAnsi="Arial" w:cs="Arial"/>
        </w:rPr>
        <w:t xml:space="preserve">. Available at: https://www.statista.com/topics/1392/coca-cola-company/ [Accessed 13 Jul. 2023]. </w:t>
      </w:r>
    </w:p>
    <w:p w:rsidR="004D0608" w:rsidRPr="000D1B8B" w:rsidRDefault="004D0608" w:rsidP="004D0608">
      <w:pPr>
        <w:pStyle w:val="a3"/>
        <w:spacing w:line="360" w:lineRule="auto"/>
        <w:jc w:val="both"/>
        <w:rPr>
          <w:rFonts w:ascii="Arial" w:hAnsi="Arial" w:cs="Arial"/>
        </w:rPr>
      </w:pPr>
      <w:r w:rsidRPr="000D1B8B">
        <w:rPr>
          <w:rFonts w:ascii="Arial" w:hAnsi="Arial" w:cs="Arial"/>
        </w:rPr>
        <w:t xml:space="preserve">Statista, 2023. </w:t>
      </w:r>
      <w:r w:rsidRPr="000D1B8B">
        <w:rPr>
          <w:rFonts w:ascii="Arial" w:hAnsi="Arial" w:cs="Arial"/>
          <w:i/>
          <w:iCs/>
        </w:rPr>
        <w:t>Full-time annual salary in the UK 2022, by age and gender</w:t>
      </w:r>
      <w:r w:rsidRPr="000D1B8B">
        <w:rPr>
          <w:rFonts w:ascii="Arial" w:hAnsi="Arial" w:cs="Arial"/>
        </w:rPr>
        <w:t xml:space="preserve">. Available at: https://www.statista.com/statistics/802183/annual-pay-employees-in-the-uk/ [Accessed 13 Jul. 2023]. </w:t>
      </w:r>
    </w:p>
    <w:p w:rsidR="004D0608" w:rsidRPr="000D1B8B" w:rsidRDefault="004D0608" w:rsidP="004D0608">
      <w:pPr>
        <w:pStyle w:val="a3"/>
        <w:spacing w:before="0" w:beforeAutospacing="0" w:after="240" w:afterAutospacing="0" w:line="360" w:lineRule="auto"/>
        <w:jc w:val="both"/>
        <w:rPr>
          <w:rFonts w:ascii="Arial" w:hAnsi="Arial" w:cs="Arial"/>
          <w:color w:val="000000"/>
        </w:rPr>
      </w:pPr>
      <w:r w:rsidRPr="000D1B8B">
        <w:rPr>
          <w:rFonts w:ascii="Arial" w:hAnsi="Arial" w:cs="Arial"/>
          <w:color w:val="000000"/>
        </w:rPr>
        <w:t>Statista. 2023. </w:t>
      </w:r>
      <w:r w:rsidRPr="000D1B8B">
        <w:rPr>
          <w:rFonts w:ascii="Arial" w:hAnsi="Arial" w:cs="Arial"/>
          <w:i/>
          <w:iCs/>
          <w:color w:val="000000"/>
        </w:rPr>
        <w:t>UK consumer confidence index 2023 | Statista</w:t>
      </w:r>
      <w:r w:rsidRPr="000D1B8B">
        <w:rPr>
          <w:rFonts w:ascii="Arial" w:hAnsi="Arial" w:cs="Arial"/>
          <w:color w:val="000000"/>
        </w:rPr>
        <w:t xml:space="preserve">. [online] Available at: https://www.statista.com/statistics/623579/consumer-confidence-in-the-uk/ </w:t>
      </w:r>
      <w:bookmarkStart w:id="16" w:name="OLE_LINK59"/>
      <w:bookmarkStart w:id="17" w:name="OLE_LINK60"/>
      <w:r w:rsidRPr="000D1B8B">
        <w:rPr>
          <w:rFonts w:ascii="Arial" w:hAnsi="Arial" w:cs="Arial"/>
          <w:color w:val="000000"/>
        </w:rPr>
        <w:t>[Accessed 13 Jul. 2023]</w:t>
      </w:r>
      <w:bookmarkEnd w:id="16"/>
      <w:bookmarkEnd w:id="17"/>
      <w:r w:rsidRPr="000D1B8B">
        <w:rPr>
          <w:rFonts w:ascii="Arial" w:hAnsi="Arial" w:cs="Arial"/>
          <w:color w:val="000000"/>
        </w:rPr>
        <w:t>.</w:t>
      </w:r>
    </w:p>
    <w:p w:rsidR="004D0608" w:rsidRPr="000D1B8B" w:rsidRDefault="004D0608" w:rsidP="004D0608">
      <w:pPr>
        <w:pStyle w:val="a3"/>
        <w:spacing w:line="360" w:lineRule="auto"/>
        <w:jc w:val="both"/>
        <w:rPr>
          <w:rFonts w:ascii="Arial" w:hAnsi="Arial" w:cs="Arial"/>
        </w:rPr>
      </w:pPr>
      <w:r w:rsidRPr="000D1B8B">
        <w:rPr>
          <w:rFonts w:ascii="Arial" w:hAnsi="Arial" w:cs="Arial"/>
        </w:rPr>
        <w:lastRenderedPageBreak/>
        <w:t xml:space="preserve">Ridder, 2023. </w:t>
      </w:r>
      <w:r w:rsidRPr="000D1B8B">
        <w:rPr>
          <w:rFonts w:ascii="Arial" w:hAnsi="Arial" w:cs="Arial"/>
          <w:i/>
          <w:iCs/>
        </w:rPr>
        <w:t>Most valuable beverage brands worldwide 2021</w:t>
      </w:r>
      <w:r w:rsidRPr="000D1B8B">
        <w:rPr>
          <w:rFonts w:ascii="Arial" w:hAnsi="Arial" w:cs="Arial"/>
        </w:rPr>
        <w:t xml:space="preserve">, </w:t>
      </w:r>
      <w:r w:rsidRPr="000D1B8B">
        <w:rPr>
          <w:rFonts w:ascii="Arial" w:hAnsi="Arial" w:cs="Arial"/>
          <w:i/>
          <w:iCs/>
        </w:rPr>
        <w:t>Statista</w:t>
      </w:r>
      <w:r w:rsidRPr="000D1B8B">
        <w:rPr>
          <w:rFonts w:ascii="Arial" w:hAnsi="Arial" w:cs="Arial"/>
        </w:rPr>
        <w:t xml:space="preserve">. Available at: https://www.statista.com/statistics/273063/leading-15-most-valuable-global-soft-drink-brands-based-on-brand-value/ [Accessed 13 Jul. 2023]. </w:t>
      </w:r>
    </w:p>
    <w:p w:rsidR="004D0608" w:rsidRPr="000D1B8B" w:rsidRDefault="004D0608" w:rsidP="004D0608">
      <w:pPr>
        <w:pStyle w:val="a3"/>
        <w:spacing w:line="360" w:lineRule="auto"/>
        <w:jc w:val="both"/>
        <w:rPr>
          <w:rFonts w:ascii="Arial" w:hAnsi="Arial" w:cs="Arial"/>
          <w:color w:val="222222"/>
          <w:shd w:val="clear" w:color="auto" w:fill="FFFFFF"/>
        </w:rPr>
      </w:pPr>
      <w:r w:rsidRPr="000D1B8B">
        <w:rPr>
          <w:rFonts w:ascii="Arial" w:hAnsi="Arial" w:cs="Arial"/>
          <w:color w:val="222222"/>
          <w:shd w:val="clear" w:color="auto" w:fill="FFFFFF"/>
        </w:rPr>
        <w:t>Stapleton, R.C. and Subrahmanyam, M.G., 1977. Market imperfections, capital market equilibrium and corporation finance. </w:t>
      </w:r>
      <w:r w:rsidRPr="000D1B8B">
        <w:rPr>
          <w:rFonts w:ascii="Arial" w:hAnsi="Arial" w:cs="Arial"/>
          <w:i/>
          <w:iCs/>
          <w:color w:val="222222"/>
          <w:shd w:val="clear" w:color="auto" w:fill="FFFFFF"/>
        </w:rPr>
        <w:t>The Journal of Finance</w:t>
      </w:r>
      <w:r w:rsidRPr="000D1B8B">
        <w:rPr>
          <w:rFonts w:ascii="Arial" w:hAnsi="Arial" w:cs="Arial"/>
          <w:color w:val="222222"/>
          <w:shd w:val="clear" w:color="auto" w:fill="FFFFFF"/>
        </w:rPr>
        <w:t>, </w:t>
      </w:r>
      <w:r w:rsidRPr="000D1B8B">
        <w:rPr>
          <w:rFonts w:ascii="Arial" w:hAnsi="Arial" w:cs="Arial"/>
          <w:i/>
          <w:iCs/>
          <w:color w:val="222222"/>
          <w:shd w:val="clear" w:color="auto" w:fill="FFFFFF"/>
        </w:rPr>
        <w:t>32</w:t>
      </w:r>
      <w:r w:rsidRPr="000D1B8B">
        <w:rPr>
          <w:rFonts w:ascii="Arial" w:hAnsi="Arial" w:cs="Arial"/>
          <w:color w:val="222222"/>
          <w:shd w:val="clear" w:color="auto" w:fill="FFFFFF"/>
        </w:rPr>
        <w:t>(2), pp.307-319.</w:t>
      </w:r>
    </w:p>
    <w:p w:rsidR="004D0608" w:rsidRPr="000D1B8B" w:rsidRDefault="004D0608" w:rsidP="004D0608">
      <w:pPr>
        <w:pStyle w:val="a3"/>
        <w:spacing w:line="360" w:lineRule="auto"/>
        <w:jc w:val="both"/>
        <w:rPr>
          <w:rFonts w:ascii="Arial" w:hAnsi="Arial" w:cs="Arial"/>
        </w:rPr>
      </w:pPr>
      <w:r w:rsidRPr="000D1B8B">
        <w:rPr>
          <w:rFonts w:ascii="Arial" w:hAnsi="Arial" w:cs="Arial"/>
        </w:rPr>
        <w:t xml:space="preserve">Statista, 2023. </w:t>
      </w:r>
      <w:r w:rsidRPr="000D1B8B">
        <w:rPr>
          <w:rFonts w:ascii="Arial" w:hAnsi="Arial" w:cs="Arial"/>
          <w:i/>
          <w:iCs/>
        </w:rPr>
        <w:t>Weekly Food and drink expenditure per person 2020</w:t>
      </w:r>
      <w:r w:rsidRPr="000D1B8B">
        <w:rPr>
          <w:rFonts w:ascii="Arial" w:hAnsi="Arial" w:cs="Arial"/>
        </w:rPr>
        <w:t xml:space="preserve">, </w:t>
      </w:r>
      <w:r w:rsidRPr="000D1B8B">
        <w:rPr>
          <w:rFonts w:ascii="Arial" w:hAnsi="Arial" w:cs="Arial"/>
          <w:i/>
          <w:iCs/>
        </w:rPr>
        <w:t>Statista</w:t>
      </w:r>
      <w:r w:rsidRPr="000D1B8B">
        <w:rPr>
          <w:rFonts w:ascii="Arial" w:hAnsi="Arial" w:cs="Arial"/>
        </w:rPr>
        <w:t xml:space="preserve">. Available at: https://www.statista.com/statistics/284059/food-and-drink-weekly-expenditure-in-the-united-kingdom-uk-per-person/ [Accessed 13 Jul. 2023]. </w:t>
      </w:r>
    </w:p>
    <w:p w:rsidR="004D0608" w:rsidRPr="000D1B8B" w:rsidRDefault="004D0608" w:rsidP="004D0608">
      <w:pPr>
        <w:pStyle w:val="a3"/>
        <w:spacing w:line="360" w:lineRule="auto"/>
        <w:jc w:val="both"/>
        <w:rPr>
          <w:rFonts w:ascii="Arial" w:hAnsi="Arial" w:cs="Arial"/>
          <w:color w:val="222222"/>
          <w:shd w:val="clear" w:color="auto" w:fill="FFFFFF"/>
        </w:rPr>
      </w:pPr>
      <w:r w:rsidRPr="000D1B8B">
        <w:rPr>
          <w:rFonts w:ascii="Arial" w:hAnsi="Arial" w:cs="Arial"/>
          <w:color w:val="222222"/>
          <w:shd w:val="clear" w:color="auto" w:fill="FFFFFF"/>
        </w:rPr>
        <w:t>Taussig, F.W., 2013. </w:t>
      </w:r>
      <w:r w:rsidRPr="000D1B8B">
        <w:rPr>
          <w:rFonts w:ascii="Arial" w:hAnsi="Arial" w:cs="Arial"/>
          <w:i/>
          <w:iCs/>
          <w:color w:val="222222"/>
          <w:shd w:val="clear" w:color="auto" w:fill="FFFFFF"/>
        </w:rPr>
        <w:t>Principles of economics</w:t>
      </w:r>
      <w:r w:rsidRPr="000D1B8B">
        <w:rPr>
          <w:rFonts w:ascii="Arial" w:hAnsi="Arial" w:cs="Arial"/>
          <w:color w:val="222222"/>
          <w:shd w:val="clear" w:color="auto" w:fill="FFFFFF"/>
        </w:rPr>
        <w:t xml:space="preserve"> (Vol. 2). Cosimo, </w:t>
      </w:r>
      <w:r w:rsidR="000D1B8B" w:rsidRPr="000D1B8B">
        <w:rPr>
          <w:rFonts w:ascii="Arial" w:hAnsi="Arial" w:cs="Arial"/>
          <w:color w:val="222222"/>
          <w:shd w:val="clear" w:color="auto" w:fill="FFFFFF"/>
        </w:rPr>
        <w:t>Inc.</w:t>
      </w:r>
    </w:p>
    <w:p w:rsidR="004D0608" w:rsidRPr="000D1B8B" w:rsidRDefault="004D0608" w:rsidP="004D0608">
      <w:pPr>
        <w:pStyle w:val="a3"/>
        <w:spacing w:line="360" w:lineRule="auto"/>
        <w:jc w:val="both"/>
        <w:rPr>
          <w:rFonts w:ascii="Arial" w:hAnsi="Arial" w:cs="Arial"/>
        </w:rPr>
      </w:pPr>
      <w:r w:rsidRPr="000D1B8B">
        <w:rPr>
          <w:rFonts w:ascii="Arial" w:hAnsi="Arial" w:cs="Arial"/>
        </w:rPr>
        <w:t xml:space="preserve">The Coca-Cola Company, 2023. </w:t>
      </w:r>
      <w:r w:rsidRPr="000D1B8B">
        <w:rPr>
          <w:rFonts w:ascii="Arial" w:hAnsi="Arial" w:cs="Arial"/>
          <w:i/>
          <w:iCs/>
        </w:rPr>
        <w:t>Refresh the world. make a difference</w:t>
      </w:r>
      <w:r w:rsidRPr="000D1B8B">
        <w:rPr>
          <w:rFonts w:ascii="Arial" w:hAnsi="Arial" w:cs="Arial"/>
        </w:rPr>
        <w:t xml:space="preserve">, </w:t>
      </w:r>
      <w:r w:rsidRPr="000D1B8B">
        <w:rPr>
          <w:rFonts w:ascii="Arial" w:hAnsi="Arial" w:cs="Arial"/>
          <w:i/>
          <w:iCs/>
        </w:rPr>
        <w:t>The Coca-Cola Company</w:t>
      </w:r>
      <w:r w:rsidRPr="000D1B8B">
        <w:rPr>
          <w:rFonts w:ascii="Arial" w:hAnsi="Arial" w:cs="Arial"/>
        </w:rPr>
        <w:t xml:space="preserve">. Available at: https://www.coca-colacompany.com/ [Accessed 13 Jul. 2023]. </w:t>
      </w:r>
    </w:p>
    <w:p w:rsidR="004D0608" w:rsidRPr="000D1B8B" w:rsidRDefault="004D0608" w:rsidP="004D0608">
      <w:pPr>
        <w:pStyle w:val="a3"/>
        <w:spacing w:line="360" w:lineRule="auto"/>
        <w:jc w:val="both"/>
        <w:rPr>
          <w:rFonts w:ascii="Arial" w:hAnsi="Arial" w:cs="Arial"/>
        </w:rPr>
      </w:pPr>
      <w:r w:rsidRPr="000D1B8B">
        <w:rPr>
          <w:rFonts w:ascii="Arial" w:hAnsi="Arial" w:cs="Arial"/>
        </w:rPr>
        <w:t xml:space="preserve">The Guardian, 2018.  </w:t>
      </w:r>
      <w:r w:rsidRPr="000D1B8B">
        <w:rPr>
          <w:rFonts w:ascii="Arial" w:hAnsi="Arial" w:cs="Arial"/>
          <w:i/>
          <w:iCs/>
        </w:rPr>
        <w:t>Coca-Cola to sell smaller bottles at higher prices in response to sugar tax</w:t>
      </w:r>
      <w:r w:rsidRPr="000D1B8B">
        <w:rPr>
          <w:rFonts w:ascii="Arial" w:hAnsi="Arial" w:cs="Arial"/>
        </w:rPr>
        <w:t xml:space="preserve">, </w:t>
      </w:r>
      <w:r w:rsidRPr="000D1B8B">
        <w:rPr>
          <w:rFonts w:ascii="Arial" w:hAnsi="Arial" w:cs="Arial"/>
          <w:i/>
          <w:iCs/>
        </w:rPr>
        <w:t>The Guardian</w:t>
      </w:r>
      <w:r w:rsidRPr="000D1B8B">
        <w:rPr>
          <w:rFonts w:ascii="Arial" w:hAnsi="Arial" w:cs="Arial"/>
        </w:rPr>
        <w:t xml:space="preserve">. Guardian News and Media. Available at: https://www.theguardian.com/society/2018/jan/05/coca-cola-to-sell-smaller-bottles-at-higher-prices-in-response-to-sugar-tax [Accessed 13 Jul. 2023]. </w:t>
      </w:r>
    </w:p>
    <w:bookmarkEnd w:id="15"/>
    <w:p w:rsidR="004D0608" w:rsidRPr="00FB369C" w:rsidRDefault="004D0608" w:rsidP="004D0608">
      <w:pPr>
        <w:rPr>
          <w:rFonts w:ascii="Arial" w:hAnsi="Arial" w:cs="Arial"/>
          <w:szCs w:val="24"/>
        </w:rPr>
      </w:pPr>
    </w:p>
    <w:p w:rsidR="006D0839" w:rsidRPr="00D017FB" w:rsidRDefault="006D0839">
      <w:pPr>
        <w:rPr>
          <w:lang w:val="en-US"/>
        </w:rPr>
      </w:pPr>
    </w:p>
    <w:sectPr w:rsidR="006D0839" w:rsidRPr="00D017FB" w:rsidSect="0058115F">
      <w:footerReference w:type="default" r:id="rId21"/>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7D3D" w:rsidRDefault="004F7D3D" w:rsidP="000D1B8B">
      <w:pPr>
        <w:spacing w:after="0" w:line="240" w:lineRule="auto"/>
      </w:pPr>
      <w:r>
        <w:separator/>
      </w:r>
    </w:p>
  </w:endnote>
  <w:endnote w:type="continuationSeparator" w:id="0">
    <w:p w:rsidR="004F7D3D" w:rsidRDefault="004F7D3D" w:rsidP="000D1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67090376"/>
      <w:docPartObj>
        <w:docPartGallery w:val="Page Numbers (Bottom of Page)"/>
        <w:docPartUnique/>
      </w:docPartObj>
    </w:sdtPr>
    <w:sdtContent>
      <w:p w:rsidR="0058115F" w:rsidRDefault="0058115F">
        <w:pPr>
          <w:pStyle w:val="a8"/>
          <w:jc w:val="right"/>
        </w:pPr>
        <w:r>
          <w:fldChar w:fldCharType="begin"/>
        </w:r>
        <w:r>
          <w:instrText>PAGE   \* MERGEFORMAT</w:instrText>
        </w:r>
        <w:r>
          <w:fldChar w:fldCharType="separate"/>
        </w:r>
        <w:r w:rsidRPr="0058115F">
          <w:rPr>
            <w:noProof/>
            <w:lang w:val="bg-BG"/>
          </w:rPr>
          <w:t>12</w:t>
        </w:r>
        <w:r>
          <w:fldChar w:fldCharType="end"/>
        </w:r>
      </w:p>
    </w:sdtContent>
  </w:sdt>
  <w:p w:rsidR="000D1B8B" w:rsidRDefault="000D1B8B">
    <w:pPr>
      <w:pStyle w:val="a8"/>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7D3D" w:rsidRDefault="004F7D3D" w:rsidP="000D1B8B">
      <w:pPr>
        <w:spacing w:after="0" w:line="240" w:lineRule="auto"/>
      </w:pPr>
      <w:r>
        <w:separator/>
      </w:r>
    </w:p>
  </w:footnote>
  <w:footnote w:type="continuationSeparator" w:id="0">
    <w:p w:rsidR="004F7D3D" w:rsidRDefault="004F7D3D" w:rsidP="000D1B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5066"/>
    <w:rsid w:val="000D1B8B"/>
    <w:rsid w:val="0022792D"/>
    <w:rsid w:val="002A2530"/>
    <w:rsid w:val="004646CA"/>
    <w:rsid w:val="004D0608"/>
    <w:rsid w:val="004F7D3D"/>
    <w:rsid w:val="0058115F"/>
    <w:rsid w:val="006D0839"/>
    <w:rsid w:val="007D20D2"/>
    <w:rsid w:val="00855066"/>
    <w:rsid w:val="00A32409"/>
    <w:rsid w:val="00B60BF3"/>
    <w:rsid w:val="00D017FB"/>
    <w:rsid w:val="00D94CD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F7F773"/>
  <w15:chartTrackingRefBased/>
  <w15:docId w15:val="{175F720B-5ED5-4C42-AFB8-7CBDA5C38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32409"/>
    <w:rPr>
      <w:lang w:val="en-GB"/>
    </w:rPr>
  </w:style>
  <w:style w:type="paragraph" w:styleId="1">
    <w:name w:val="heading 1"/>
    <w:basedOn w:val="a"/>
    <w:next w:val="a"/>
    <w:link w:val="10"/>
    <w:autoRedefine/>
    <w:uiPriority w:val="9"/>
    <w:qFormat/>
    <w:rsid w:val="004D0608"/>
    <w:pPr>
      <w:keepNext/>
      <w:keepLines/>
      <w:spacing w:before="240" w:after="0" w:line="360" w:lineRule="auto"/>
      <w:jc w:val="both"/>
      <w:outlineLvl w:val="0"/>
    </w:pPr>
    <w:rPr>
      <w:rFonts w:ascii="Arial" w:eastAsiaTheme="majorEastAsia" w:hAnsi="Arial" w:cs="Arial"/>
      <w:b/>
      <w:color w:val="000000" w:themeColor="text1"/>
      <w:sz w:val="32"/>
      <w:szCs w:val="32"/>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4D0608"/>
    <w:rPr>
      <w:rFonts w:ascii="Arial" w:eastAsiaTheme="majorEastAsia" w:hAnsi="Arial" w:cs="Arial"/>
      <w:b/>
      <w:color w:val="000000" w:themeColor="text1"/>
      <w:sz w:val="32"/>
      <w:szCs w:val="32"/>
      <w:lang w:val="en-US"/>
    </w:rPr>
  </w:style>
  <w:style w:type="paragraph" w:styleId="a3">
    <w:name w:val="Normal (Web)"/>
    <w:basedOn w:val="a"/>
    <w:uiPriority w:val="99"/>
    <w:unhideWhenUsed/>
    <w:rsid w:val="004D060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a4">
    <w:name w:val="TOC Heading"/>
    <w:basedOn w:val="1"/>
    <w:next w:val="a"/>
    <w:uiPriority w:val="39"/>
    <w:unhideWhenUsed/>
    <w:qFormat/>
    <w:rsid w:val="004D0608"/>
    <w:pPr>
      <w:spacing w:line="259" w:lineRule="auto"/>
      <w:jc w:val="left"/>
      <w:outlineLvl w:val="9"/>
    </w:pPr>
    <w:rPr>
      <w:rFonts w:asciiTheme="majorHAnsi" w:hAnsiTheme="majorHAnsi"/>
    </w:rPr>
  </w:style>
  <w:style w:type="paragraph" w:styleId="11">
    <w:name w:val="toc 1"/>
    <w:basedOn w:val="a"/>
    <w:next w:val="a"/>
    <w:autoRedefine/>
    <w:uiPriority w:val="39"/>
    <w:unhideWhenUsed/>
    <w:rsid w:val="000D1B8B"/>
    <w:pPr>
      <w:tabs>
        <w:tab w:val="right" w:leader="dot" w:pos="9062"/>
      </w:tabs>
      <w:spacing w:after="100" w:line="360" w:lineRule="auto"/>
      <w:jc w:val="both"/>
    </w:pPr>
    <w:rPr>
      <w:rFonts w:ascii="Times New Roman" w:hAnsi="Times New Roman"/>
      <w:b/>
      <w:noProof/>
      <w:sz w:val="24"/>
      <w:lang w:val="en-US"/>
    </w:rPr>
  </w:style>
  <w:style w:type="character" w:styleId="a5">
    <w:name w:val="Hyperlink"/>
    <w:basedOn w:val="a0"/>
    <w:uiPriority w:val="99"/>
    <w:unhideWhenUsed/>
    <w:rsid w:val="004D0608"/>
    <w:rPr>
      <w:color w:val="0563C1" w:themeColor="hyperlink"/>
      <w:u w:val="single"/>
    </w:rPr>
  </w:style>
  <w:style w:type="paragraph" w:styleId="a6">
    <w:name w:val="header"/>
    <w:basedOn w:val="a"/>
    <w:link w:val="a7"/>
    <w:uiPriority w:val="99"/>
    <w:unhideWhenUsed/>
    <w:rsid w:val="000D1B8B"/>
    <w:pPr>
      <w:tabs>
        <w:tab w:val="center" w:pos="4536"/>
        <w:tab w:val="right" w:pos="9072"/>
      </w:tabs>
      <w:spacing w:after="0" w:line="240" w:lineRule="auto"/>
    </w:pPr>
  </w:style>
  <w:style w:type="character" w:customStyle="1" w:styleId="a7">
    <w:name w:val="Горен колонтитул Знак"/>
    <w:basedOn w:val="a0"/>
    <w:link w:val="a6"/>
    <w:uiPriority w:val="99"/>
    <w:rsid w:val="000D1B8B"/>
    <w:rPr>
      <w:lang w:val="en-GB"/>
    </w:rPr>
  </w:style>
  <w:style w:type="paragraph" w:styleId="a8">
    <w:name w:val="footer"/>
    <w:basedOn w:val="a"/>
    <w:link w:val="a9"/>
    <w:uiPriority w:val="99"/>
    <w:unhideWhenUsed/>
    <w:rsid w:val="000D1B8B"/>
    <w:pPr>
      <w:tabs>
        <w:tab w:val="center" w:pos="4536"/>
        <w:tab w:val="right" w:pos="9072"/>
      </w:tabs>
      <w:spacing w:after="0" w:line="240" w:lineRule="auto"/>
    </w:pPr>
  </w:style>
  <w:style w:type="character" w:customStyle="1" w:styleId="a9">
    <w:name w:val="Долен колонтитул Знак"/>
    <w:basedOn w:val="a0"/>
    <w:link w:val="a8"/>
    <w:uiPriority w:val="99"/>
    <w:rsid w:val="000D1B8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5.png"/><Relationship Id="rId18" Type="http://schemas.microsoft.com/office/2007/relationships/hdphoto" Target="media/hdphoto6.wdp"/><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microsoft.com/office/2007/relationships/hdphoto" Target="media/hdphoto3.wdp"/><Relationship Id="rId17" Type="http://schemas.openxmlformats.org/officeDocument/2006/relationships/image" Target="media/image7.png"/><Relationship Id="rId2" Type="http://schemas.openxmlformats.org/officeDocument/2006/relationships/settings" Target="settings.xml"/><Relationship Id="rId16" Type="http://schemas.microsoft.com/office/2007/relationships/hdphoto" Target="media/hdphoto5.wdp"/><Relationship Id="rId20" Type="http://schemas.microsoft.com/office/2007/relationships/hdphoto" Target="media/hdphoto7.wdp"/><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theme" Target="theme/theme1.xml"/><Relationship Id="rId10" Type="http://schemas.microsoft.com/office/2007/relationships/hdphoto" Target="media/hdphoto2.wdp"/><Relationship Id="rId19" Type="http://schemas.openxmlformats.org/officeDocument/2006/relationships/image" Target="media/image8.png"/><Relationship Id="rId4" Type="http://schemas.openxmlformats.org/officeDocument/2006/relationships/footnotes" Target="footnotes.xml"/><Relationship Id="rId9" Type="http://schemas.openxmlformats.org/officeDocument/2006/relationships/image" Target="media/image3.png"/><Relationship Id="rId14" Type="http://schemas.microsoft.com/office/2007/relationships/hdphoto" Target="media/hdphoto4.wdp"/><Relationship Id="rId22"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570</TotalTime>
  <Pages>13</Pages>
  <Words>3176</Words>
  <Characters>18106</Characters>
  <Application>Microsoft Office Word</Application>
  <DocSecurity>0</DocSecurity>
  <Lines>150</Lines>
  <Paragraphs>42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10</cp:revision>
  <dcterms:created xsi:type="dcterms:W3CDTF">2023-07-22T20:18:00Z</dcterms:created>
  <dcterms:modified xsi:type="dcterms:W3CDTF">2023-08-13T13:15:00Z</dcterms:modified>
</cp:coreProperties>
</file>