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814986F" wp14:paraId="7CCFBFD5" wp14:textId="3F61F3AF">
      <w:pPr>
        <w:spacing w:before="0" w:beforeAutospacing="off" w:after="0" w:afterAutospacing="off"/>
        <w:ind w:left="0" w:right="0"/>
        <w:jc w:val="center"/>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lang w:val="en-US"/>
        </w:rPr>
      </w:pPr>
      <w:r w:rsidRPr="5814986F" w:rsidR="23740F49">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lang w:val="en-US"/>
        </w:rPr>
        <w:t>Academic Journal Review – Sports Management</w:t>
      </w:r>
    </w:p>
    <w:tbl>
      <w:tblPr>
        <w:tblStyle w:val="TableNormal"/>
        <w:tblW w:w="0" w:type="auto"/>
        <w:tblLayout w:type="fixed"/>
        <w:tblLook w:val="06A0" w:firstRow="1" w:lastRow="0" w:firstColumn="1" w:lastColumn="0" w:noHBand="1" w:noVBand="1"/>
      </w:tblPr>
      <w:tblGrid>
        <w:gridCol w:w="9360"/>
      </w:tblGrid>
      <w:tr w:rsidR="464EFA03" w:rsidTr="5814986F" w14:paraId="048D3378">
        <w:trPr>
          <w:trHeight w:val="360"/>
        </w:trPr>
        <w:tc>
          <w:tcPr>
            <w:tcW w:w="9360" w:type="dxa"/>
            <w:tcBorders>
              <w:top w:val="single" w:color="000000" w:themeColor="text1" w:sz="12"/>
              <w:left w:val="single" w:color="000000" w:themeColor="text1" w:sz="12"/>
              <w:bottom w:val="single" w:color="000000" w:themeColor="text1" w:sz="8"/>
              <w:right w:val="single" w:color="000000" w:themeColor="text1" w:sz="8"/>
            </w:tcBorders>
            <w:tcMar>
              <w:left w:w="108" w:type="dxa"/>
              <w:right w:w="108" w:type="dxa"/>
            </w:tcMar>
            <w:vAlign w:val="top"/>
          </w:tcPr>
          <w:p w:rsidR="464EFA03" w:rsidP="464EFA03" w:rsidRDefault="464EFA03" w14:paraId="3BC68A22" w14:textId="4B0B50D5">
            <w:pPr>
              <w:spacing w:before="0" w:beforeAutospacing="off" w:after="0" w:afterAutospacing="off"/>
              <w:rPr>
                <w:rFonts w:ascii="Aptos Display" w:hAnsi="Aptos Display" w:eastAsia="Aptos Display" w:cs="Aptos Display" w:asciiTheme="majorAscii" w:hAnsiTheme="majorAscii" w:eastAsiaTheme="majorAscii" w:cstheme="majorAscii"/>
                <w:b w:val="1"/>
                <w:bCs w:val="1"/>
                <w:color w:val="000000" w:themeColor="text1" w:themeTint="FF" w:themeShade="FF"/>
                <w:sz w:val="20"/>
                <w:szCs w:val="20"/>
                <w:lang w:val="en-US"/>
              </w:rPr>
            </w:pPr>
            <w:r w:rsidRPr="464EFA03" w:rsidR="464EFA03">
              <w:rPr>
                <w:rFonts w:ascii="Aptos Display" w:hAnsi="Aptos Display" w:eastAsia="Aptos Display" w:cs="Aptos Display" w:asciiTheme="majorAscii" w:hAnsiTheme="majorAscii" w:eastAsiaTheme="majorAscii" w:cstheme="majorAscii"/>
                <w:b w:val="1"/>
                <w:bCs w:val="1"/>
                <w:color w:val="000000" w:themeColor="text1" w:themeTint="FF" w:themeShade="FF"/>
                <w:sz w:val="20"/>
                <w:szCs w:val="20"/>
                <w:lang w:val="en-US"/>
              </w:rPr>
              <w:t xml:space="preserve">Student Name: </w:t>
            </w:r>
            <w:r w:rsidRPr="464EFA03" w:rsidR="09EA14F6">
              <w:rPr>
                <w:rFonts w:ascii="Aptos Display" w:hAnsi="Aptos Display" w:eastAsia="Aptos Display" w:cs="Aptos Display" w:asciiTheme="majorAscii" w:hAnsiTheme="majorAscii" w:eastAsiaTheme="majorAscii" w:cstheme="majorAscii"/>
                <w:b w:val="1"/>
                <w:bCs w:val="1"/>
                <w:color w:val="000000" w:themeColor="text1" w:themeTint="FF" w:themeShade="FF"/>
                <w:sz w:val="20"/>
                <w:szCs w:val="20"/>
                <w:lang w:val="en-US"/>
              </w:rPr>
              <w:t>Cole Darley</w:t>
            </w:r>
          </w:p>
        </w:tc>
      </w:tr>
      <w:tr w:rsidR="464EFA03" w:rsidTr="5814986F" w14:paraId="3B8A667F">
        <w:trPr>
          <w:trHeight w:val="360"/>
        </w:trPr>
        <w:tc>
          <w:tcPr>
            <w:tcW w:w="9360" w:type="dxa"/>
            <w:tcBorders>
              <w:top w:val="single" w:color="000000" w:themeColor="text1" w:sz="8"/>
              <w:left w:val="single" w:color="000000" w:themeColor="text1" w:sz="12"/>
              <w:bottom w:val="single" w:color="000000" w:themeColor="text1" w:sz="8"/>
              <w:right w:val="single" w:color="000000" w:themeColor="text1" w:sz="8"/>
            </w:tcBorders>
            <w:tcMar>
              <w:left w:w="108" w:type="dxa"/>
              <w:right w:w="108" w:type="dxa"/>
            </w:tcMar>
            <w:vAlign w:val="top"/>
          </w:tcPr>
          <w:p w:rsidR="464EFA03" w:rsidP="464EFA03" w:rsidRDefault="464EFA03" w14:paraId="6DC413AF" w14:textId="22A48D01">
            <w:pPr>
              <w:spacing w:before="0" w:beforeAutospacing="off" w:after="0" w:afterAutospacing="off"/>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pPr>
            <w:r w:rsidRPr="5814986F" w:rsidR="464EFA03">
              <w:rPr>
                <w:rFonts w:ascii="Aptos Display" w:hAnsi="Aptos Display" w:eastAsia="Aptos Display" w:cs="Aptos Display" w:asciiTheme="majorAscii" w:hAnsiTheme="majorAscii" w:eastAsiaTheme="majorAscii" w:cstheme="majorAscii"/>
                <w:b w:val="1"/>
                <w:bCs w:val="1"/>
                <w:color w:val="000000" w:themeColor="text1" w:themeTint="FF" w:themeShade="FF"/>
                <w:sz w:val="20"/>
                <w:szCs w:val="20"/>
                <w:lang w:val="en-US"/>
              </w:rPr>
              <w:t>Title of Work:</w:t>
            </w:r>
            <w:r w:rsidRPr="5814986F" w:rsidR="464EFA03">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 xml:space="preserve"> </w:t>
            </w:r>
            <w:r w:rsidRPr="5814986F" w:rsidR="7D9DADEE">
              <w:rPr>
                <w:rFonts w:ascii="Aptos Display" w:hAnsi="Aptos Display" w:eastAsia="Aptos Display" w:cs="Aptos Display" w:asciiTheme="majorAscii" w:hAnsiTheme="majorAscii" w:eastAsiaTheme="majorAscii" w:cstheme="majorAscii"/>
                <w:i w:val="0"/>
                <w:iCs w:val="0"/>
                <w:color w:val="000000" w:themeColor="text1" w:themeTint="FF" w:themeShade="FF"/>
                <w:sz w:val="24"/>
                <w:szCs w:val="24"/>
                <w:lang w:val="en-US"/>
              </w:rPr>
              <w:t xml:space="preserve">Academic Journal Review on </w:t>
            </w:r>
            <w:r w:rsidRPr="5814986F" w:rsidR="7D9DADEE">
              <w:rPr>
                <w:rFonts w:ascii="Aptos Display" w:hAnsi="Aptos Display" w:eastAsia="Aptos Display" w:cs="Aptos Display"/>
                <w:i w:val="0"/>
                <w:iCs w:val="0"/>
                <w:noProof w:val="0"/>
                <w:color w:val="000000" w:themeColor="text1" w:themeTint="FF" w:themeShade="FF"/>
                <w:sz w:val="24"/>
                <w:szCs w:val="24"/>
                <w:lang w:val="en-US"/>
              </w:rPr>
              <w:t xml:space="preserve">Scaffolding athlete learning in preparation for competition: What matters. </w:t>
            </w:r>
          </w:p>
        </w:tc>
      </w:tr>
      <w:tr w:rsidR="464EFA03" w:rsidTr="5814986F" w14:paraId="1BE70F4A">
        <w:trPr>
          <w:trHeight w:val="360"/>
        </w:trPr>
        <w:tc>
          <w:tcPr>
            <w:tcW w:w="9360" w:type="dxa"/>
            <w:tcBorders>
              <w:top w:val="single" w:color="000000" w:themeColor="text1" w:sz="8"/>
              <w:left w:val="single" w:color="000000" w:themeColor="text1" w:sz="12"/>
              <w:bottom w:val="single" w:color="000000" w:themeColor="text1" w:sz="8"/>
              <w:right w:val="single" w:color="000000" w:themeColor="text1" w:sz="8"/>
            </w:tcBorders>
            <w:tcMar>
              <w:left w:w="108" w:type="dxa"/>
              <w:right w:w="108" w:type="dxa"/>
            </w:tcMar>
            <w:vAlign w:val="top"/>
          </w:tcPr>
          <w:p w:rsidR="464EFA03" w:rsidP="464EFA03" w:rsidRDefault="464EFA03" w14:paraId="040E6EB7" w14:textId="56FB2C67">
            <w:pPr>
              <w:spacing w:before="0" w:beforeAutospacing="off" w:after="0" w:afterAutospacing="off"/>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pPr>
            <w:r w:rsidRPr="5814986F" w:rsidR="464EFA03">
              <w:rPr>
                <w:rFonts w:ascii="Aptos Display" w:hAnsi="Aptos Display" w:eastAsia="Aptos Display" w:cs="Aptos Display" w:asciiTheme="majorAscii" w:hAnsiTheme="majorAscii" w:eastAsiaTheme="majorAscii" w:cstheme="majorAscii"/>
                <w:b w:val="1"/>
                <w:bCs w:val="1"/>
                <w:color w:val="000000" w:themeColor="text1" w:themeTint="FF" w:themeShade="FF"/>
                <w:sz w:val="20"/>
                <w:szCs w:val="20"/>
                <w:lang w:val="en-US"/>
              </w:rPr>
              <w:t>Author:</w:t>
            </w:r>
            <w:r w:rsidRPr="5814986F" w:rsidR="464EFA03">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 xml:space="preserve"> </w:t>
            </w:r>
            <w:r w:rsidRPr="5814986F" w:rsidR="343169F0">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 xml:space="preserve">Gethin Llewellyn Thomas, Jake </w:t>
            </w:r>
            <w:r w:rsidRPr="5814986F" w:rsidR="64A416E2">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Bailey,</w:t>
            </w:r>
            <w:r w:rsidRPr="5814986F" w:rsidR="343169F0">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 xml:space="preserve"> and Irina </w:t>
            </w:r>
            <w:r w:rsidRPr="5814986F" w:rsidR="343169F0">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Engeness</w:t>
            </w:r>
          </w:p>
        </w:tc>
      </w:tr>
      <w:tr w:rsidR="464EFA03" w:rsidTr="5814986F" w14:paraId="09338053">
        <w:trPr>
          <w:trHeight w:val="525"/>
        </w:trPr>
        <w:tc>
          <w:tcPr>
            <w:tcW w:w="9360" w:type="dxa"/>
            <w:tcBorders>
              <w:top w:val="single" w:color="000000" w:themeColor="text1" w:sz="8"/>
              <w:left w:val="single" w:color="000000" w:themeColor="text1" w:sz="12"/>
              <w:bottom w:val="single" w:color="000000" w:themeColor="text1" w:sz="8"/>
              <w:right w:val="single" w:color="000000" w:themeColor="text1" w:sz="8"/>
            </w:tcBorders>
            <w:tcMar>
              <w:left w:w="108" w:type="dxa"/>
              <w:right w:w="108" w:type="dxa"/>
            </w:tcMar>
            <w:vAlign w:val="top"/>
          </w:tcPr>
          <w:p w:rsidR="464EFA03" w:rsidP="5814986F" w:rsidRDefault="464EFA03" w14:paraId="115A12FD" w14:textId="51D37D1D">
            <w:pPr>
              <w:spacing w:before="0" w:beforeAutospacing="off" w:after="0" w:afterAutospacing="off"/>
              <w:rPr>
                <w:rFonts w:ascii="Aptos Display" w:hAnsi="Aptos Display" w:eastAsia="Aptos Display" w:cs="Aptos Display" w:asciiTheme="majorAscii" w:hAnsiTheme="majorAscii" w:eastAsiaTheme="majorAscii" w:cstheme="majorAscii"/>
                <w:i w:val="0"/>
                <w:iCs w:val="0"/>
                <w:color w:val="000000" w:themeColor="text1" w:themeTint="FF" w:themeShade="FF"/>
                <w:sz w:val="24"/>
                <w:szCs w:val="24"/>
                <w:lang w:val="en-US"/>
              </w:rPr>
            </w:pPr>
            <w:r w:rsidRPr="5814986F" w:rsidR="464EFA03">
              <w:rPr>
                <w:rFonts w:ascii="Aptos Display" w:hAnsi="Aptos Display" w:eastAsia="Aptos Display" w:cs="Aptos Display" w:asciiTheme="majorAscii" w:hAnsiTheme="majorAscii" w:eastAsiaTheme="majorAscii" w:cstheme="majorAscii"/>
                <w:b w:val="1"/>
                <w:bCs w:val="1"/>
                <w:color w:val="000000" w:themeColor="text1" w:themeTint="FF" w:themeShade="FF"/>
                <w:sz w:val="20"/>
                <w:szCs w:val="20"/>
                <w:lang w:val="en-US"/>
              </w:rPr>
              <w:t>Reference:</w:t>
            </w:r>
            <w:r w:rsidRPr="5814986F" w:rsidR="464EFA03">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 xml:space="preserve"> </w:t>
            </w:r>
            <w:r w:rsidRPr="5814986F" w:rsidR="6F394853">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 xml:space="preserve">Thomas, G.L., Bailiey, J., and </w:t>
            </w:r>
            <w:r w:rsidRPr="5814986F" w:rsidR="6F394853">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Engeness</w:t>
            </w:r>
            <w:r w:rsidRPr="5814986F" w:rsidR="6F394853">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 xml:space="preserve">, I. (2021) </w:t>
            </w:r>
            <w:r w:rsidRPr="5814986F" w:rsidR="6F394853">
              <w:rPr>
                <w:rFonts w:ascii="Aptos Display" w:hAnsi="Aptos Display" w:eastAsia="Aptos Display" w:cs="Aptos Display" w:asciiTheme="majorAscii" w:hAnsiTheme="majorAscii" w:eastAsiaTheme="majorAscii" w:cstheme="majorAscii"/>
                <w:i w:val="1"/>
                <w:iCs w:val="1"/>
                <w:color w:val="000000" w:themeColor="text1" w:themeTint="FF" w:themeShade="FF"/>
                <w:sz w:val="24"/>
                <w:szCs w:val="24"/>
                <w:lang w:val="en-US"/>
              </w:rPr>
              <w:t>Scaffolding athlete learning in preparation for competition: What matters</w:t>
            </w:r>
            <w:r w:rsidRPr="5814986F" w:rsidR="55F7882B">
              <w:rPr>
                <w:rFonts w:ascii="Aptos Display" w:hAnsi="Aptos Display" w:eastAsia="Aptos Display" w:cs="Aptos Display" w:asciiTheme="majorAscii" w:hAnsiTheme="majorAscii" w:eastAsiaTheme="majorAscii" w:cstheme="majorAscii"/>
                <w:i w:val="1"/>
                <w:iCs w:val="1"/>
                <w:color w:val="000000" w:themeColor="text1" w:themeTint="FF" w:themeShade="FF"/>
                <w:sz w:val="24"/>
                <w:szCs w:val="24"/>
                <w:lang w:val="en-US"/>
              </w:rPr>
              <w:t xml:space="preserve">. </w:t>
            </w:r>
            <w:r w:rsidRPr="5814986F" w:rsidR="55F7882B">
              <w:rPr>
                <w:rFonts w:ascii="Aptos Display" w:hAnsi="Aptos Display" w:eastAsia="Aptos Display" w:cs="Aptos Display" w:asciiTheme="majorAscii" w:hAnsiTheme="majorAscii" w:eastAsiaTheme="majorAscii" w:cstheme="majorAscii"/>
                <w:i w:val="0"/>
                <w:iCs w:val="0"/>
                <w:color w:val="000000" w:themeColor="text1" w:themeTint="FF" w:themeShade="FF"/>
                <w:sz w:val="24"/>
                <w:szCs w:val="24"/>
                <w:lang w:val="en-US"/>
              </w:rPr>
              <w:t>Sports Coaching Review</w:t>
            </w:r>
          </w:p>
        </w:tc>
      </w:tr>
      <w:tr w:rsidR="464EFA03" w:rsidTr="5814986F" w14:paraId="0C49563E">
        <w:trPr>
          <w:trHeight w:val="255"/>
        </w:trPr>
        <w:tc>
          <w:tcPr>
            <w:tcW w:w="9360" w:type="dxa"/>
            <w:tcBorders>
              <w:top w:val="single" w:color="000000" w:themeColor="text1" w:sz="8"/>
              <w:left w:val="single" w:color="000000" w:themeColor="text1" w:sz="12"/>
              <w:bottom w:val="single" w:color="000000" w:themeColor="text1" w:sz="8"/>
              <w:right w:val="single" w:color="000000" w:themeColor="text1" w:sz="8"/>
            </w:tcBorders>
            <w:tcMar>
              <w:left w:w="108" w:type="dxa"/>
              <w:right w:w="108" w:type="dxa"/>
            </w:tcMar>
            <w:vAlign w:val="top"/>
          </w:tcPr>
          <w:p w:rsidR="464EFA03" w:rsidP="464EFA03" w:rsidRDefault="464EFA03" w14:paraId="77AE1D33" w14:textId="14CAF0CE">
            <w:pPr>
              <w:spacing w:before="0" w:beforeAutospacing="off" w:after="0" w:afterAutospacing="off"/>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pPr>
            <w:r w:rsidRPr="5814986F" w:rsidR="464EFA03">
              <w:rPr>
                <w:rFonts w:ascii="Aptos Display" w:hAnsi="Aptos Display" w:eastAsia="Aptos Display" w:cs="Aptos Display" w:asciiTheme="majorAscii" w:hAnsiTheme="majorAscii" w:eastAsiaTheme="majorAscii" w:cstheme="majorAscii"/>
                <w:b w:val="1"/>
                <w:bCs w:val="1"/>
                <w:color w:val="000000" w:themeColor="text1" w:themeTint="FF" w:themeShade="FF"/>
                <w:sz w:val="20"/>
                <w:szCs w:val="20"/>
                <w:lang w:val="en-US"/>
              </w:rPr>
              <w:t>Date of Article:</w:t>
            </w:r>
            <w:r w:rsidRPr="5814986F" w:rsidR="464EFA03">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 xml:space="preserve"> </w:t>
            </w:r>
            <w:r w:rsidRPr="5814986F" w:rsidR="46D3EEAA">
              <w:rPr>
                <w:rFonts w:ascii="Aptos Display" w:hAnsi="Aptos Display" w:eastAsia="Aptos Display" w:cs="Aptos Display" w:asciiTheme="majorAscii" w:hAnsiTheme="majorAscii" w:eastAsiaTheme="majorAscii" w:cstheme="majorAscii"/>
                <w:color w:val="000000" w:themeColor="text1" w:themeTint="FF" w:themeShade="FF"/>
                <w:sz w:val="24"/>
                <w:szCs w:val="24"/>
                <w:lang w:val="en-US"/>
              </w:rPr>
              <w:t>2021</w:t>
            </w:r>
          </w:p>
        </w:tc>
      </w:tr>
      <w:tr w:rsidR="464EFA03" w:rsidTr="5814986F" w14:paraId="3C4C4372">
        <w:trPr>
          <w:trHeight w:val="345"/>
        </w:trPr>
        <w:tc>
          <w:tcPr>
            <w:tcW w:w="9360" w:type="dxa"/>
            <w:tcBorders>
              <w:top w:val="single" w:color="000000" w:themeColor="text1" w:sz="8"/>
              <w:left w:val="single" w:color="000000" w:themeColor="text1" w:sz="12"/>
              <w:bottom w:val="single" w:color="000000" w:themeColor="text1" w:sz="8"/>
              <w:right w:val="single" w:color="000000" w:themeColor="text1" w:sz="12"/>
            </w:tcBorders>
            <w:shd w:val="clear" w:color="auto" w:fill="C0C0C0"/>
            <w:tcMar>
              <w:left w:w="108" w:type="dxa"/>
              <w:right w:w="108" w:type="dxa"/>
            </w:tcMar>
            <w:vAlign w:val="top"/>
          </w:tcPr>
          <w:p w:rsidR="464EFA03" w:rsidP="464EFA03" w:rsidRDefault="464EFA03" w14:paraId="6F39EC7A" w14:textId="75B1C36F">
            <w:pPr>
              <w:spacing w:before="0" w:beforeAutospacing="off" w:after="0" w:afterAutospacing="off"/>
              <w:rPr>
                <w:rFonts w:ascii="Aptos Display" w:hAnsi="Aptos Display" w:eastAsia="Aptos Display" w:cs="Aptos Display" w:asciiTheme="majorAscii" w:hAnsiTheme="majorAscii" w:eastAsiaTheme="majorAscii" w:cstheme="majorAscii"/>
                <w:b w:val="1"/>
                <w:bCs w:val="1"/>
                <w:color w:val="000000" w:themeColor="text1" w:themeTint="FF" w:themeShade="FF"/>
                <w:sz w:val="20"/>
                <w:szCs w:val="20"/>
                <w:lang w:val="en-US"/>
              </w:rPr>
            </w:pPr>
            <w:r w:rsidRPr="464EFA03" w:rsidR="464EFA03">
              <w:rPr>
                <w:rFonts w:ascii="Aptos Display" w:hAnsi="Aptos Display" w:eastAsia="Aptos Display" w:cs="Aptos Display" w:asciiTheme="majorAscii" w:hAnsiTheme="majorAscii" w:eastAsiaTheme="majorAscii" w:cstheme="majorAscii"/>
                <w:b w:val="1"/>
                <w:bCs w:val="1"/>
                <w:color w:val="000000" w:themeColor="text1" w:themeTint="FF" w:themeShade="FF"/>
                <w:sz w:val="20"/>
                <w:szCs w:val="20"/>
                <w:lang w:val="en-US"/>
              </w:rPr>
              <w:t>PERSONAL REVIEW</w:t>
            </w:r>
          </w:p>
        </w:tc>
      </w:tr>
      <w:tr w:rsidR="464EFA03" w:rsidTr="5814986F" w14:paraId="0C1BA572">
        <w:trPr>
          <w:trHeight w:val="2400"/>
        </w:trPr>
        <w:tc>
          <w:tcPr>
            <w:tcW w:w="9360" w:type="dxa"/>
            <w:tcBorders>
              <w:top w:val="single" w:color="000000" w:themeColor="text1" w:sz="8"/>
              <w:left w:val="single" w:color="000000" w:themeColor="text1" w:sz="12"/>
              <w:bottom w:val="single" w:color="000000" w:themeColor="text1" w:sz="12"/>
              <w:right w:val="single" w:color="000000" w:themeColor="text1" w:sz="12"/>
            </w:tcBorders>
            <w:tcMar>
              <w:left w:w="108" w:type="dxa"/>
              <w:right w:w="108" w:type="dxa"/>
            </w:tcMar>
            <w:vAlign w:val="top"/>
          </w:tcPr>
          <w:p w:rsidR="464EFA03" w:rsidP="464EFA03" w:rsidRDefault="464EFA03" w14:paraId="4B8E79E0" w14:textId="1DD56352">
            <w:pPr>
              <w:spacing w:before="0" w:beforeAutospacing="off" w:after="0" w:afterAutospacing="off"/>
              <w:rPr>
                <w:rFonts w:ascii="Aptos Display" w:hAnsi="Aptos Display" w:eastAsia="Aptos Display" w:cs="Aptos Display" w:asciiTheme="majorAscii" w:hAnsiTheme="majorAscii" w:eastAsiaTheme="majorAscii" w:cstheme="majorAscii"/>
                <w:b w:val="1"/>
                <w:bCs w:val="1"/>
                <w:sz w:val="20"/>
                <w:szCs w:val="20"/>
                <w:u w:val="single"/>
                <w:lang w:val="en-US"/>
              </w:rPr>
            </w:pPr>
            <w:r w:rsidRPr="464EFA03" w:rsidR="464EFA03">
              <w:rPr>
                <w:rFonts w:ascii="Aptos Display" w:hAnsi="Aptos Display" w:eastAsia="Aptos Display" w:cs="Aptos Display" w:asciiTheme="majorAscii" w:hAnsiTheme="majorAscii" w:eastAsiaTheme="majorAscii" w:cstheme="majorAscii"/>
                <w:b w:val="1"/>
                <w:bCs w:val="1"/>
                <w:sz w:val="20"/>
                <w:szCs w:val="20"/>
                <w:u w:val="single"/>
                <w:lang w:val="en-US"/>
              </w:rPr>
              <w:t>Personal Review (300 words)</w:t>
            </w:r>
          </w:p>
          <w:p w:rsidR="520071FB" w:rsidP="464EFA03" w:rsidRDefault="520071FB" w14:paraId="2BFB8729" w14:textId="1960AE7F">
            <w:pPr>
              <w:spacing w:before="0" w:beforeAutospacing="off" w:after="0" w:afterAutospacing="off"/>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pPr>
            <w:r w:rsidRPr="464EFA03" w:rsidR="520071FB">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The article explores the structured nature of scaffolding</w:t>
            </w:r>
            <w:r w:rsidRPr="464EFA03" w:rsidR="1A527A06">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looking into its origins from Wood, et al (1976) and Vygotsky (1978). Scaffolding provides a temporary, yet structured </w:t>
            </w:r>
            <w:r w:rsidRPr="464EFA03" w:rsidR="40616E06">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support</w:t>
            </w:r>
            <w:r w:rsidRPr="464EFA03" w:rsidR="1A527A06">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for learnings and can be eas</w:t>
            </w:r>
            <w:r w:rsidRPr="464EFA03" w:rsidR="14984434">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ily adapted to their progress. </w:t>
            </w:r>
            <w:r w:rsidRPr="464EFA03" w:rsidR="1F4338CB">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Scaffolding is then research in relation to sports coachin</w:t>
            </w:r>
            <w:r w:rsidRPr="464EFA03" w:rsidR="2D8CE4F2">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g</w:t>
            </w:r>
            <w:r w:rsidRPr="464EFA03" w:rsidR="1F4338CB">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where </w:t>
            </w:r>
            <w:r w:rsidRPr="464EFA03" w:rsidR="284292FC">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challenge</w:t>
            </w:r>
            <w:r w:rsidRPr="464EFA03" w:rsidR="1F4338CB">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arises due to the ongoing development of athletes. The </w:t>
            </w:r>
            <w:r w:rsidRPr="464EFA03" w:rsidR="328E39AB">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author's</w:t>
            </w:r>
            <w:r w:rsidRPr="464EFA03" w:rsidR="1F4338CB">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aim of the article is to critically assess the nature and balance between support (scaffolding) and indep</w:t>
            </w:r>
            <w:r w:rsidRPr="464EFA03" w:rsidR="681B0ABE">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endent learning, with a particular insight into coaching. The article highlights several key points including the ability to learn from failure (Sitkin, 1996</w:t>
            </w:r>
            <w:r w:rsidRPr="464EFA03" w:rsidR="3AD185FC">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dynamic assessment, ghost frameworks, the use of scaffolding in pedagogy and coaching, and the use of adaptive learning support. The intended audience for this article </w:t>
            </w:r>
            <w:r w:rsidRPr="464EFA03" w:rsidR="2C096462">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is</w:t>
            </w:r>
            <w:r w:rsidRPr="464EFA03" w:rsidR="3AD185FC">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educa</w:t>
            </w:r>
            <w:r w:rsidRPr="464EFA03" w:rsidR="27C4DC9E">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tors and coaching, with particular focus on those interested in using the framework as well as researchers exploring learning theory. </w:t>
            </w:r>
            <w:r w:rsidRPr="464EFA03" w:rsidR="1267E66D">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Some key terms are </w:t>
            </w:r>
            <w:r w:rsidRPr="464EFA03" w:rsidR="4BB281DD">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elaborated</w:t>
            </w:r>
            <w:r w:rsidRPr="464EFA03" w:rsidR="1267E66D">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upon throughout the article including ‘scaffolding</w:t>
            </w:r>
            <w:r w:rsidRPr="464EFA03" w:rsidR="1267E66D">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w:t>
            </w:r>
            <w:r w:rsidRPr="464EFA03" w:rsidR="1267E66D">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‘ghost framework’ and </w:t>
            </w:r>
            <w:r w:rsidRPr="464EFA03" w:rsidR="7242CD73">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w:t>
            </w:r>
            <w:r w:rsidRPr="464EFA03" w:rsidR="1267E66D">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proximal dev</w:t>
            </w:r>
            <w:r w:rsidRPr="464EFA03" w:rsidR="0512130C">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elopment</w:t>
            </w:r>
            <w:r w:rsidRPr="464EFA03" w:rsidR="0512130C">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w:t>
            </w:r>
            <w:r w:rsidRPr="464EFA03" w:rsidR="303275F3">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w:t>
            </w:r>
            <w:r w:rsidRPr="464EFA03" w:rsidR="303275F3">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The key finding of the article </w:t>
            </w:r>
            <w:r w:rsidRPr="464EFA03" w:rsidR="303275F3">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are</w:t>
            </w:r>
            <w:r w:rsidRPr="464EFA03" w:rsidR="303275F3">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that scaffolding is not simply a structured approach to learning, but also an interactional process that requires adaptability. It also highlights the</w:t>
            </w:r>
            <w:r w:rsidRPr="464EFA03" w:rsidR="2E0594F7">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presence of scaffolding in coaching, though minor, working in the background. </w:t>
            </w:r>
          </w:p>
          <w:p w:rsidR="464EFA03" w:rsidP="464EFA03" w:rsidRDefault="464EFA03" w14:paraId="27D40F83" w14:textId="7769FBF2">
            <w:pPr>
              <w:spacing w:before="0" w:beforeAutospacing="off" w:after="0" w:afterAutospacing="off"/>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pPr>
          </w:p>
          <w:p w:rsidR="6770F38E" w:rsidP="464EFA03" w:rsidRDefault="6770F38E" w14:paraId="19BDD632" w14:textId="7B535C53">
            <w:pPr>
              <w:spacing w:before="0" w:beforeAutospacing="off" w:after="0" w:afterAutospacing="off"/>
              <w:rPr>
                <w:rFonts w:ascii="Aptos Display" w:hAnsi="Aptos Display" w:eastAsia="Aptos Display" w:cs="Aptos Display" w:asciiTheme="majorAscii" w:hAnsiTheme="majorAscii" w:eastAsiaTheme="majorAscii" w:cstheme="majorAscii"/>
                <w:sz w:val="24"/>
                <w:szCs w:val="24"/>
                <w:lang w:val="en-US"/>
              </w:rPr>
            </w:pPr>
            <w:r w:rsidRPr="5814986F" w:rsidR="46B5E316">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Some aspects of the article that struck me were the contrasts between scaffolding in education versus scaffolding in coaching. In education, the scaffolding structure slowly fades away, whilst in coaching, it continues in the background as a ghost framework. </w:t>
            </w:r>
            <w:r w:rsidRPr="5814986F" w:rsidR="1F0A19EC">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There is also a significant emphasis on failure being a productive part of learning, which is understandable, </w:t>
            </w:r>
            <w:r w:rsidRPr="5814986F" w:rsidR="6770F38E">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but I had never thought of it in that context before. </w:t>
            </w:r>
            <w:r w:rsidRPr="5814986F" w:rsidR="6770F38E">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The author suggests that there is a lack of research into scaffolding within the sports coaching landscape, and that there is unexplored ideas and concepts that still need to be addressed, particularly focusing on the suppor</w:t>
            </w:r>
            <w:r w:rsidRPr="5814986F" w:rsidR="0F5A46EE">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t framework and how it is revisited over time, even as a ghost framework</w:t>
            </w:r>
            <w:r w:rsidRPr="5814986F" w:rsidR="0F5A46EE">
              <w:rPr>
                <w:rFonts w:ascii="Aptos Display" w:hAnsi="Aptos Display" w:eastAsia="Aptos Display" w:cs="Aptos Display" w:asciiTheme="majorAscii" w:hAnsiTheme="majorAscii" w:eastAsiaTheme="majorAscii" w:cstheme="majorAscii"/>
                <w:color w:val="000000" w:themeColor="text1" w:themeTint="FF" w:themeShade="FF"/>
                <w:sz w:val="20"/>
                <w:szCs w:val="20"/>
                <w:lang w:val="en-US"/>
              </w:rPr>
              <w:t xml:space="preserve">. </w:t>
            </w:r>
            <w:r w:rsidRPr="5814986F" w:rsidR="464EFA03">
              <w:rPr>
                <w:rFonts w:ascii="Aptos Display" w:hAnsi="Aptos Display" w:eastAsia="Aptos Display" w:cs="Aptos Display" w:asciiTheme="majorAscii" w:hAnsiTheme="majorAscii" w:eastAsiaTheme="majorAscii" w:cstheme="majorAscii"/>
                <w:sz w:val="24"/>
                <w:szCs w:val="24"/>
                <w:lang w:val="en-US"/>
              </w:rPr>
              <w:t xml:space="preserve"> </w:t>
            </w:r>
          </w:p>
        </w:tc>
      </w:tr>
    </w:tbl>
    <w:p xmlns:wp14="http://schemas.microsoft.com/office/word/2010/wordml" w:rsidP="464EFA03" wp14:paraId="6B2951C0" wp14:textId="38209549">
      <w:pPr>
        <w:spacing w:before="0" w:beforeAutospacing="off" w:after="0" w:afterAutospacing="off"/>
      </w:pPr>
      <w:r w:rsidRPr="464EFA03" w:rsidR="23740F49">
        <w:rPr>
          <w:rFonts w:ascii="Times New Roman" w:hAnsi="Times New Roman" w:eastAsia="Times New Roman" w:cs="Times New Roman"/>
          <w:noProof w:val="0"/>
          <w:color w:val="000000" w:themeColor="text1" w:themeTint="FF" w:themeShade="FF"/>
          <w:sz w:val="20"/>
          <w:szCs w:val="20"/>
          <w:lang w:val="en-US"/>
        </w:rPr>
        <w:t xml:space="preserve"> </w:t>
      </w:r>
    </w:p>
    <w:p xmlns:wp14="http://schemas.microsoft.com/office/word/2010/wordml" w:rsidP="464EFA03" wp14:paraId="7D871725" wp14:textId="7E034C95">
      <w:pPr>
        <w:spacing w:before="0" w:beforeAutospacing="off" w:after="0" w:afterAutospacing="off"/>
        <w:ind w:left="0" w:right="329"/>
        <w:rPr>
          <w:rFonts w:ascii="Times New Roman" w:hAnsi="Times New Roman" w:eastAsia="Times New Roman" w:cs="Times New Roman"/>
          <w:noProof w:val="0"/>
          <w:color w:val="000000" w:themeColor="text1" w:themeTint="FF" w:themeShade="FF"/>
          <w:sz w:val="20"/>
          <w:szCs w:val="20"/>
          <w:lang w:val="en-US"/>
        </w:rPr>
      </w:pPr>
    </w:p>
    <w:p xmlns:wp14="http://schemas.microsoft.com/office/word/2010/wordml" wp14:paraId="2C078E63" wp14:textId="6236FE52"/>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LFcJX0hOiFph+" int2:id="XGDetdor">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ae023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FFCE"/>
    <w:rsid w:val="00F7FFCE"/>
    <w:rsid w:val="0193DF5C"/>
    <w:rsid w:val="0193DF5C"/>
    <w:rsid w:val="024E64E6"/>
    <w:rsid w:val="02E71A07"/>
    <w:rsid w:val="02E71A07"/>
    <w:rsid w:val="0512130C"/>
    <w:rsid w:val="09EA14F6"/>
    <w:rsid w:val="0ACAD706"/>
    <w:rsid w:val="0CA8A990"/>
    <w:rsid w:val="0D379C01"/>
    <w:rsid w:val="0E3462B7"/>
    <w:rsid w:val="0EAAC135"/>
    <w:rsid w:val="0F5A46EE"/>
    <w:rsid w:val="1267E66D"/>
    <w:rsid w:val="14984434"/>
    <w:rsid w:val="15ECBCC7"/>
    <w:rsid w:val="1A527A06"/>
    <w:rsid w:val="1F0A19EC"/>
    <w:rsid w:val="1F4338CB"/>
    <w:rsid w:val="23740F49"/>
    <w:rsid w:val="27C4DC9E"/>
    <w:rsid w:val="284292FC"/>
    <w:rsid w:val="2A2E50F8"/>
    <w:rsid w:val="2A7E1272"/>
    <w:rsid w:val="2C096462"/>
    <w:rsid w:val="2D8CE4F2"/>
    <w:rsid w:val="2E0594F7"/>
    <w:rsid w:val="303275F3"/>
    <w:rsid w:val="328E39AB"/>
    <w:rsid w:val="343169F0"/>
    <w:rsid w:val="3AD185FC"/>
    <w:rsid w:val="3B374965"/>
    <w:rsid w:val="3B374965"/>
    <w:rsid w:val="3F89FCC3"/>
    <w:rsid w:val="3FF2A4F9"/>
    <w:rsid w:val="400464CB"/>
    <w:rsid w:val="40616E06"/>
    <w:rsid w:val="4326CC3D"/>
    <w:rsid w:val="4326CC3D"/>
    <w:rsid w:val="464EFA03"/>
    <w:rsid w:val="46B5E316"/>
    <w:rsid w:val="46D3EEAA"/>
    <w:rsid w:val="4BB281DD"/>
    <w:rsid w:val="4DA6B557"/>
    <w:rsid w:val="4E94A1F7"/>
    <w:rsid w:val="520071FB"/>
    <w:rsid w:val="55F7882B"/>
    <w:rsid w:val="564CE5BC"/>
    <w:rsid w:val="564CE5BC"/>
    <w:rsid w:val="580042FB"/>
    <w:rsid w:val="5814986F"/>
    <w:rsid w:val="5CC98734"/>
    <w:rsid w:val="5E48146D"/>
    <w:rsid w:val="624855BC"/>
    <w:rsid w:val="64A416E2"/>
    <w:rsid w:val="6770F38E"/>
    <w:rsid w:val="681B0ABE"/>
    <w:rsid w:val="6D290749"/>
    <w:rsid w:val="6F394853"/>
    <w:rsid w:val="7242CD73"/>
    <w:rsid w:val="7D9DA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7FFCE"/>
  <w15:chartTrackingRefBased/>
  <w15:docId w15:val="{6C5C3CD5-4055-4C99-97E3-437298CC08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64EFA0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2334fadae824bfc" /><Relationship Type="http://schemas.microsoft.com/office/2020/10/relationships/intelligence" Target="intelligence2.xml" Id="R111171e97b044e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2025-02-27T19:46:58.4940324Z</dcterms:created>
  <dcterms:modified xsi:type="dcterms:W3CDTF">2025-02-28T08:45:01.2864367Z</dcterms:modified>
  <dc:creator>Cole Darley (2314546)</dc:creator>
  <lastModifiedBy>Cole Darley (2314546)</lastModifiedBy>
</coreProperties>
</file>