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rPr>
          <w:sz w:val="24"/>
          <w:szCs w:val="24"/>
          <w:u w:val="single"/>
        </w:rPr>
      </w:pPr>
      <w:r w:rsidDel="00000000" w:rsidR="00000000" w:rsidRPr="00000000">
        <w:rPr>
          <w:sz w:val="24"/>
          <w:szCs w:val="24"/>
          <w:u w:val="single"/>
          <w:rtl w:val="0"/>
        </w:rPr>
        <w:t xml:space="preserve">Western ideas about the body and life compared to a Chinese understanding</w:t>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t xml:space="preserve">Secular Western and Chinese presuppositions about the human body and life are very different but do have some similar aspects. The intention of this essay is to explore and analyse the similarities and differences between the two distinct ways of thinking about the body and life. Focusing firstly on the body, looking at how society, medicine and science perceives the human body in both China and the West. Rene Descartes and Laozi are the main philosophers that are examined in relation to this topic. Then moving onto views of life and more specifically, how to lead a good life and the meaning of life according to each of these cultures. In this section, there is a focus on the Daoist understanding of life in comparison with some Western philosophers such as Aristotle.</w:t>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pPr>
      <w:r w:rsidDel="00000000" w:rsidR="00000000" w:rsidRPr="00000000">
        <w:rPr>
          <w:rtl w:val="0"/>
        </w:rPr>
        <w:t xml:space="preserve">In the West the human body is seen in many different ways, from the medical perspective to the societal one. Medically, the body is understood through the study of anatomy, the structure and relationships between body parts, and physiology, the science of how these parts come together to function correctly</w:t>
      </w:r>
      <w:r w:rsidDel="00000000" w:rsidR="00000000" w:rsidRPr="00000000">
        <w:rPr>
          <w:vertAlign w:val="superscript"/>
        </w:rPr>
        <w:footnoteReference w:customMarkFollows="0" w:id="0"/>
      </w:r>
      <w:r w:rsidDel="00000000" w:rsidR="00000000" w:rsidRPr="00000000">
        <w:rPr>
          <w:rtl w:val="0"/>
        </w:rPr>
        <w:t xml:space="preserve">. There is little to no apparent room for discussion of the mind or soul within these topics from a medical perspective. In other words, that the physical body does not affect the mind and vice versa. With the exception of how physical illness might affect mental wellbeing. For example it is widely accepted that losing a limb or the use of a particular part of the body can cause depression. However this is more the causal link between loss, which is a </w:t>
      </w:r>
      <w:r w:rsidDel="00000000" w:rsidR="00000000" w:rsidRPr="00000000">
        <w:rPr>
          <w:i w:val="1"/>
          <w:rtl w:val="0"/>
        </w:rPr>
        <w:t xml:space="preserve">mental</w:t>
      </w:r>
      <w:r w:rsidDel="00000000" w:rsidR="00000000" w:rsidRPr="00000000">
        <w:rPr>
          <w:rtl w:val="0"/>
        </w:rPr>
        <w:t xml:space="preserve"> idea, and depression, a </w:t>
      </w:r>
      <w:r w:rsidDel="00000000" w:rsidR="00000000" w:rsidRPr="00000000">
        <w:rPr>
          <w:i w:val="1"/>
          <w:rtl w:val="0"/>
        </w:rPr>
        <w:t xml:space="preserve">mental </w:t>
      </w:r>
      <w:r w:rsidDel="00000000" w:rsidR="00000000" w:rsidRPr="00000000">
        <w:rPr>
          <w:rtl w:val="0"/>
        </w:rPr>
        <w:t xml:space="preserve">state, than evidence of an understanding that the physical has any bearing over the mental or vice versa. </w:t>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rPr/>
      </w:pPr>
      <w:r w:rsidDel="00000000" w:rsidR="00000000" w:rsidRPr="00000000">
        <w:rPr>
          <w:rtl w:val="0"/>
        </w:rPr>
        <w:t xml:space="preserve">This is strange because it is widely established that, from a neurobiological point of view, we are completely physical beings. Our thoughts and feelings surmount to hormones and the structure of the brain. In other words, physicalism is the primary mode of thinking in the West. However this has not seemed to have the desired effect on how people in the West understand mental health in relation to physical health. </w:t>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rPr/>
      </w:pPr>
      <w:r w:rsidDel="00000000" w:rsidR="00000000" w:rsidRPr="00000000">
        <w:rPr>
          <w:rtl w:val="0"/>
        </w:rPr>
        <w:t xml:space="preserve"> The subject of mental health is a medical one but in a completely separate area of study and practice. This falls under the category of psychology, which is the medical understanding of the brain and how hormones can affect mental states. Psychotherapy on the other hand is the study of mental health, which is totally foreign to a discussion of the body. For example, if you were to visit a medical doctor about a problem with your liver the doctor would prescribe medications to aid the functions of the liver and most likely advise you on diet. The doctor would not ask you about how life has been affecting you mentally, this would be left to the discretion of mental health professionals, psychologists or psychotherapists. Society tends to follow this division of understanding, that mental and physical health are seperate. </w:t>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pPr>
      <w:r w:rsidDel="00000000" w:rsidR="00000000" w:rsidRPr="00000000">
        <w:rPr>
          <w:rtl w:val="0"/>
        </w:rPr>
        <w:t xml:space="preserve">The way body and mind are discussed in Western society stems from the Cartesian understanding known and dualism or substance dualism. Rene Descartes, often called the father of modern philosophy, was a French philosopher who lived from 1596 to 1650</w:t>
      </w:r>
      <w:r w:rsidDel="00000000" w:rsidR="00000000" w:rsidRPr="00000000">
        <w:rPr>
          <w:vertAlign w:val="superscript"/>
        </w:rPr>
        <w:footnoteReference w:customMarkFollows="0" w:id="1"/>
      </w:r>
      <w:r w:rsidDel="00000000" w:rsidR="00000000" w:rsidRPr="00000000">
        <w:rPr>
          <w:rtl w:val="0"/>
        </w:rPr>
        <w:t xml:space="preserve">. Descartes used doubt to cement his understanding of reality. He believed that if he could doubt it, it might not actually exist. He came to realise that the only thing he could not doubt was his ability to doubt. In other words his own consciousness was the only thing he could be totally sure of, beyond doubt.</w:t>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tab/>
        <w:t xml:space="preserve">“There is thought: of this and this only I cannot be deprived. I am, I exist; that is certain. For how long? For as long as I am thinking; maybe if I wholly ceased to think, I should at once wholly cease to be. For the present I am admitting only what is necessarily true; I am, with this qualification, no more that a conscious being (</w:t>
      </w:r>
      <w:r w:rsidDel="00000000" w:rsidR="00000000" w:rsidRPr="00000000">
        <w:rPr>
          <w:i w:val="1"/>
          <w:rtl w:val="0"/>
        </w:rPr>
        <w:t xml:space="preserve">sum igitus precise tantum res cogitans</w:t>
      </w:r>
      <w:r w:rsidDel="00000000" w:rsidR="00000000" w:rsidRPr="00000000">
        <w:rPr>
          <w:rtl w:val="0"/>
        </w:rPr>
        <w:t xml:space="preserve">).” (AT VII, 27; HR I, 152). (Anthony Kenny, Descartes: a study of his philosophy, Thoemmes press, 1997, p85, sum res cogitans)</w:t>
      </w:r>
      <w:r w:rsidDel="00000000" w:rsidR="00000000" w:rsidRPr="00000000">
        <w:rPr>
          <w:vertAlign w:val="superscript"/>
        </w:rPr>
        <w:footnoteReference w:customMarkFollows="0" w:id="2"/>
      </w:r>
      <w:r w:rsidDel="00000000" w:rsidR="00000000" w:rsidRPr="00000000">
        <w:rPr>
          <w:rtl w:val="0"/>
        </w:rPr>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t xml:space="preserve"> Descartes thought that if a part of him could be doubted, his body (res extensa, extended corporeal substance), it must be made of a substance different from that of his mind (res cogitans, unextended thinking substance)</w:t>
      </w:r>
      <w:r w:rsidDel="00000000" w:rsidR="00000000" w:rsidRPr="00000000">
        <w:rPr>
          <w:vertAlign w:val="superscript"/>
        </w:rPr>
        <w:footnoteReference w:customMarkFollows="0" w:id="3"/>
      </w:r>
      <w:r w:rsidDel="00000000" w:rsidR="00000000" w:rsidRPr="00000000">
        <w:rPr>
          <w:rtl w:val="0"/>
        </w:rPr>
        <w:t xml:space="preserve">. This is why it is known as </w:t>
      </w:r>
      <w:r w:rsidDel="00000000" w:rsidR="00000000" w:rsidRPr="00000000">
        <w:rPr>
          <w:i w:val="1"/>
          <w:rtl w:val="0"/>
        </w:rPr>
        <w:t xml:space="preserve">substance</w:t>
      </w:r>
      <w:r w:rsidDel="00000000" w:rsidR="00000000" w:rsidRPr="00000000">
        <w:rPr>
          <w:rtl w:val="0"/>
        </w:rPr>
        <w:t xml:space="preserve"> dualism.</w:t>
      </w:r>
    </w:p>
    <w:p w:rsidR="00000000" w:rsidDel="00000000" w:rsidP="00000000" w:rsidRDefault="00000000" w:rsidRPr="00000000" w14:paraId="00000010">
      <w:pPr>
        <w:rPr/>
      </w:pPr>
      <w:r w:rsidDel="00000000" w:rsidR="00000000" w:rsidRPr="00000000">
        <w:rPr>
          <w:rtl w:val="0"/>
        </w:rPr>
      </w:r>
    </w:p>
    <w:p w:rsidR="00000000" w:rsidDel="00000000" w:rsidP="00000000" w:rsidRDefault="00000000" w:rsidRPr="00000000" w14:paraId="00000011">
      <w:pPr>
        <w:rPr/>
      </w:pPr>
      <w:r w:rsidDel="00000000" w:rsidR="00000000" w:rsidRPr="00000000">
        <w:rPr>
          <w:rtl w:val="0"/>
        </w:rPr>
        <w:t xml:space="preserve">This dualism can be heard and seen in the way we talk and write about human beings. Some phrases that demonstrate this include, ‘my body is here but my head is somewhere else’, ‘I’m physically exhausted but my mind is wide awake’ and even simply speaking of one’s self as mind and body. This way of understanding ourselves, as beings made up of two different things, comes from Descartes substance dualism. The problem with dualism is how the two substances interact and affect each other. Descartes believed that there is a part of the brain where the mind is tethered to the body, the pineal gland.</w:t>
      </w:r>
    </w:p>
    <w:p w:rsidR="00000000" w:rsidDel="00000000" w:rsidP="00000000" w:rsidRDefault="00000000" w:rsidRPr="00000000" w14:paraId="00000012">
      <w:pPr>
        <w:rPr/>
      </w:pPr>
      <w:r w:rsidDel="00000000" w:rsidR="00000000" w:rsidRPr="00000000">
        <w:rPr>
          <w:rtl w:val="0"/>
        </w:rPr>
      </w:r>
    </w:p>
    <w:p w:rsidR="00000000" w:rsidDel="00000000" w:rsidP="00000000" w:rsidRDefault="00000000" w:rsidRPr="00000000" w14:paraId="00000013">
      <w:pPr>
        <w:ind w:left="720" w:firstLine="0"/>
        <w:rPr/>
      </w:pPr>
      <w:r w:rsidDel="00000000" w:rsidR="00000000" w:rsidRPr="00000000">
        <w:rPr>
          <w:rtl w:val="0"/>
        </w:rPr>
        <w:t xml:space="preserve">“We need to recognise that although the soul is joined to the whole body, nevertheless there is a certain part of the body where it exercises its functions more particularly than in all the others. It is commonly held that this part is the brain, or perhaps the heart-the brain because the sense organs are related to it, and the heart because we feel the passions as if they were in it. But on carefully examining the matter I think I have clearly established that the part of the body in which the soul directly exercises its functions is not the heart at all, or the whole of the brain. It is rather the innermost part of the brain, which is a certain very small gland situated in the middle of the brain’s substance and above the passage through which the spirits in the brain’s anterior cavities communicate with those in it’s posterior cavities.” (Passions I, 31: AT XI 352; CSM I 340), (John Cottingham, Descartes, Blackwell, 1986 p120-121).</w:t>
      </w:r>
    </w:p>
    <w:p w:rsidR="00000000" w:rsidDel="00000000" w:rsidP="00000000" w:rsidRDefault="00000000" w:rsidRPr="00000000" w14:paraId="00000014">
      <w:pPr>
        <w:ind w:left="720" w:firstLine="0"/>
        <w:rPr/>
      </w:pPr>
      <w:r w:rsidDel="00000000" w:rsidR="00000000" w:rsidRPr="00000000">
        <w:rPr>
          <w:rtl w:val="0"/>
        </w:rPr>
      </w:r>
    </w:p>
    <w:p w:rsidR="00000000" w:rsidDel="00000000" w:rsidP="00000000" w:rsidRDefault="00000000" w:rsidRPr="00000000" w14:paraId="00000015">
      <w:pPr>
        <w:ind w:left="0" w:firstLine="0"/>
        <w:rPr/>
      </w:pPr>
      <w:r w:rsidDel="00000000" w:rsidR="00000000" w:rsidRPr="00000000">
        <w:rPr>
          <w:rtl w:val="0"/>
        </w:rPr>
        <w:t xml:space="preserve">In this quote Descartes clearly states that the brain is the place where emotions come from, not the heart. The idea that the mind is connected to the body by the pineal gland is evident from the quote. However some argue that this is insufficient because, if the mind is entirely non-physical and the body physical, each made of totally different substances then how can one be ‘tethered’ to another? </w:t>
      </w:r>
    </w:p>
    <w:p w:rsidR="00000000" w:rsidDel="00000000" w:rsidP="00000000" w:rsidRDefault="00000000" w:rsidRPr="00000000" w14:paraId="00000016">
      <w:pPr>
        <w:rPr/>
      </w:pPr>
      <w:r w:rsidDel="00000000" w:rsidR="00000000" w:rsidRPr="00000000">
        <w:rPr>
          <w:rtl w:val="0"/>
        </w:rPr>
      </w:r>
    </w:p>
    <w:p w:rsidR="00000000" w:rsidDel="00000000" w:rsidP="00000000" w:rsidRDefault="00000000" w:rsidRPr="00000000" w14:paraId="00000017">
      <w:pPr>
        <w:rPr/>
      </w:pPr>
      <w:r w:rsidDel="00000000" w:rsidR="00000000" w:rsidRPr="00000000">
        <w:rPr>
          <w:rtl w:val="0"/>
        </w:rPr>
        <w:t xml:space="preserve">The traditional Chinese understanding of the body is very different from the Western ideas. In China over the last century Western medicine has been combined with traditional Chinese medicine. While Western medicine focuses on surgery and drug treatments, traditional Chinese medicine takes a more holistic approach to healing and health. In the West the parts of the body are treated as individual areas to be treated. In China the body is seen as a whole, a complex set of systems that are all related. They treat the body as a whole because it is  believed that everything in the body is connected. This is done by treating the imbalances of energy within the body using acupuncture and many other methods. It seems the main difference between traditional Chinese medicine and Daoist medicine is that in Daoism there is a belief, similar to astrology, that says the environment of the universe when people are born affects their Qi. Qi is the energy that flows within the human body and the world around us. </w:t>
      </w:r>
    </w:p>
    <w:p w:rsidR="00000000" w:rsidDel="00000000" w:rsidP="00000000" w:rsidRDefault="00000000" w:rsidRPr="00000000" w14:paraId="00000018">
      <w:pPr>
        <w:rPr/>
      </w:pPr>
      <w:r w:rsidDel="00000000" w:rsidR="00000000" w:rsidRPr="00000000">
        <w:rPr>
          <w:rtl w:val="0"/>
        </w:rPr>
        <w:t xml:space="preserve">The Daoist understanding of the body can also be likened to a landscape. As seen in the image. This is the body without the limbs. The upper part represents the head, the pagoda symbolises the throat, beneath that are the lungs and liver, the heart and the kidneys each in correspondence with the mulberry grove, the weaver and the paddyfield respectively. Daoism also believes that the body is reflected by the state, in other words that the functions of the body are similar to and symbiotic with the functions of the state. This can be seen in The Yellow Emperor’s handbook of internal medicine:</w:t>
      </w:r>
      <w:r w:rsidDel="00000000" w:rsidR="00000000" w:rsidRPr="00000000">
        <w:drawing>
          <wp:anchor allowOverlap="1" behindDoc="0" distB="114300" distT="114300" distL="114300" distR="114300" hidden="0" layoutInCell="1" locked="0" relativeHeight="0" simplePos="0">
            <wp:simplePos x="0" y="0"/>
            <wp:positionH relativeFrom="column">
              <wp:posOffset>4171950</wp:posOffset>
            </wp:positionH>
            <wp:positionV relativeFrom="paragraph">
              <wp:posOffset>533400</wp:posOffset>
            </wp:positionV>
            <wp:extent cx="2176463" cy="3578252"/>
            <wp:effectExtent b="0" l="0" r="0" t="0"/>
            <wp:wrapSquare wrapText="bothSides" distB="114300" distT="114300" distL="114300" distR="114300"/>
            <wp:docPr id="1"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2176463" cy="3578252"/>
                    </a:xfrm>
                    <a:prstGeom prst="rect"/>
                    <a:ln/>
                  </pic:spPr>
                </pic:pic>
              </a:graphicData>
            </a:graphic>
          </wp:anchor>
        </w:drawing>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pPr>
      <w:r w:rsidDel="00000000" w:rsidR="00000000" w:rsidRPr="00000000">
        <w:rPr>
          <w:rtl w:val="0"/>
        </w:rPr>
        <w:t xml:space="preserve">“The heart has the function (kwan) of the ruler governing by means of the spirit (shen); the lungs are transmitting officers giving forth regulations; the liver is the general devising stratagems…”(Schipper, Kristofer. “The Taoist Body.” History of Religions, vol. 17, no. 3/4, 1978, pp. 355–386. JSTOR)</w:t>
      </w:r>
      <w:r w:rsidDel="00000000" w:rsidR="00000000" w:rsidRPr="00000000">
        <w:rPr>
          <w:vertAlign w:val="superscript"/>
        </w:rPr>
        <w:footnoteReference w:customMarkFollows="0" w:id="4"/>
      </w:r>
      <w:r w:rsidDel="00000000" w:rsidR="00000000" w:rsidRPr="00000000">
        <w:rPr>
          <w:rtl w:val="0"/>
        </w:rPr>
      </w:r>
    </w:p>
    <w:p w:rsidR="00000000" w:rsidDel="00000000" w:rsidP="00000000" w:rsidRDefault="00000000" w:rsidRPr="00000000" w14:paraId="0000001B">
      <w:pPr>
        <w:rPr/>
      </w:pPr>
      <w:r w:rsidDel="00000000" w:rsidR="00000000" w:rsidRPr="00000000">
        <w:rPr>
          <w:rtl w:val="0"/>
        </w:rPr>
      </w:r>
    </w:p>
    <w:p w:rsidR="00000000" w:rsidDel="00000000" w:rsidP="00000000" w:rsidRDefault="00000000" w:rsidRPr="00000000" w14:paraId="0000001C">
      <w:pPr>
        <w:rPr/>
      </w:pPr>
      <w:r w:rsidDel="00000000" w:rsidR="00000000" w:rsidRPr="00000000">
        <w:rPr>
          <w:rtl w:val="0"/>
        </w:rPr>
        <w:t xml:space="preserve">In traditional Chinese Medicine there is an elemental chart concerning the body and how it works. There are five elements: wood, fire, earth, metal and water. Each element is connected in different ways and for different reasons, and each element corresponds to organs, systems and parts of the body. They even correspond to different types of flavours, colours, emotions and weather. Wood corresponds with the; eyes, liver, gallbladder, tendons and also with the colour green, anger, wind and a taste of sourness. Fire relates to; the heart, pericardium, small intestine, sympathetic and parasympathetic nervous system, the tongue, and to the colour red, the flavour of bitterness, the feeling of joy and to heat/warmth. Earth corresponds with; the spleen, stomach and digestive processes such as the mouth, it also relates to the colour yellow, a taste of sweetness, the emotion worry, and damp weather. Metal is related to; skin, nose, lungs, collon and the large intestine, it is also connected to the colour white, grief, dryness and strong pungent flavours. Lastly but certainly not least, water corresponds with; the kidneys, ears, bladder, bones, the endocrine system, and with the colour black, fear, saltiness and cold weather.</w:t>
      </w:r>
    </w:p>
    <w:p w:rsidR="00000000" w:rsidDel="00000000" w:rsidP="00000000" w:rsidRDefault="00000000" w:rsidRPr="00000000" w14:paraId="0000001D">
      <w:pPr>
        <w:rPr/>
      </w:pPr>
      <w:r w:rsidDel="00000000" w:rsidR="00000000" w:rsidRPr="00000000">
        <w:rPr>
          <w:rtl w:val="0"/>
        </w:rPr>
        <w:t xml:space="preserve"> These elements, wood, fire, earth, metal and water each also correspond with and promote another. For instance, wood burns to make fire, fire becomes ash which fertilizes the earth, metal comes from the earth, metal can melt to become a fluid like water and water makes the wood grow. An example of how this might be used medically is, if someone was having a problem with their heart the practitioner would look at the corresponding organs to try and find a link. It may be that the person with heart problems is also an alcoholic so the treatment would be to drink less alcohol which would help the heart to recover. The elements are also linked in pairs of contrast, wood controls earth, earth controls water, water controls fire, fire controls metal and metal controls wood</w:t>
      </w:r>
      <w:r w:rsidDel="00000000" w:rsidR="00000000" w:rsidRPr="00000000">
        <w:rPr>
          <w:vertAlign w:val="superscript"/>
        </w:rPr>
        <w:footnoteReference w:customMarkFollows="0" w:id="5"/>
      </w:r>
      <w:r w:rsidDel="00000000" w:rsidR="00000000" w:rsidRPr="00000000">
        <w:rPr>
          <w:rtl w:val="0"/>
        </w:rPr>
        <w:t xml:space="preserve">. </w:t>
      </w:r>
    </w:p>
    <w:p w:rsidR="00000000" w:rsidDel="00000000" w:rsidP="00000000" w:rsidRDefault="00000000" w:rsidRPr="00000000" w14:paraId="0000001E">
      <w:pPr>
        <w:rPr/>
      </w:pPr>
      <w:r w:rsidDel="00000000" w:rsidR="00000000" w:rsidRPr="00000000">
        <w:rPr>
          <w:rtl w:val="0"/>
        </w:rPr>
      </w:r>
    </w:p>
    <w:p w:rsidR="00000000" w:rsidDel="00000000" w:rsidP="00000000" w:rsidRDefault="00000000" w:rsidRPr="00000000" w14:paraId="0000001F">
      <w:pPr>
        <w:rPr/>
      </w:pPr>
      <w:r w:rsidDel="00000000" w:rsidR="00000000" w:rsidRPr="00000000">
        <w:rPr>
          <w:rtl w:val="0"/>
        </w:rPr>
        <w:t xml:space="preserve">The deeply interconnected nature of traditional Chinese medicine leads me to think that it is it’s own kind of ‘evolved physicalism’. In which, it is understood that we are physical beings but that physicality is not limited in the same way as traditional western physicalism. </w:t>
      </w:r>
    </w:p>
    <w:p w:rsidR="00000000" w:rsidDel="00000000" w:rsidP="00000000" w:rsidRDefault="00000000" w:rsidRPr="00000000" w14:paraId="00000020">
      <w:pPr>
        <w:rPr/>
      </w:pPr>
      <w:r w:rsidDel="00000000" w:rsidR="00000000" w:rsidRPr="00000000">
        <w:rPr>
          <w:rtl w:val="0"/>
        </w:rPr>
      </w:r>
    </w:p>
    <w:p w:rsidR="00000000" w:rsidDel="00000000" w:rsidP="00000000" w:rsidRDefault="00000000" w:rsidRPr="00000000" w14:paraId="00000021">
      <w:pPr>
        <w:rPr/>
      </w:pPr>
      <w:r w:rsidDel="00000000" w:rsidR="00000000" w:rsidRPr="00000000">
        <w:rPr>
          <w:rtl w:val="0"/>
        </w:rPr>
        <w:t xml:space="preserve">According to Aristotle to lead a good life one must be morally virtuous</w:t>
      </w:r>
      <w:r w:rsidDel="00000000" w:rsidR="00000000" w:rsidRPr="00000000">
        <w:rPr>
          <w:vertAlign w:val="superscript"/>
        </w:rPr>
        <w:footnoteReference w:customMarkFollows="0" w:id="6"/>
      </w:r>
      <w:r w:rsidDel="00000000" w:rsidR="00000000" w:rsidRPr="00000000">
        <w:rPr>
          <w:rtl w:val="0"/>
        </w:rPr>
        <w:t xml:space="preserve">. If one lives a morally virtuous life they will also be living a happy life. In other words being morally virtuous leads to happiness. This is still a widely accepted thought process in Western society, shared also, by many other cultures.</w:t>
      </w:r>
    </w:p>
    <w:p w:rsidR="00000000" w:rsidDel="00000000" w:rsidP="00000000" w:rsidRDefault="00000000" w:rsidRPr="00000000" w14:paraId="00000022">
      <w:pPr>
        <w:rPr/>
      </w:pPr>
      <w:r w:rsidDel="00000000" w:rsidR="00000000" w:rsidRPr="00000000">
        <w:rPr>
          <w:rtl w:val="0"/>
        </w:rPr>
      </w:r>
    </w:p>
    <w:p w:rsidR="00000000" w:rsidDel="00000000" w:rsidP="00000000" w:rsidRDefault="00000000" w:rsidRPr="00000000" w14:paraId="00000023">
      <w:pPr>
        <w:rPr>
          <w:sz w:val="23"/>
          <w:szCs w:val="23"/>
          <w:highlight w:val="white"/>
        </w:rPr>
      </w:pPr>
      <w:r w:rsidDel="00000000" w:rsidR="00000000" w:rsidRPr="00000000">
        <w:rPr>
          <w:rtl w:val="0"/>
        </w:rPr>
        <w:t xml:space="preserve">“…the function of man is to live a certain kind of life, and this activity implies a rational principle, and the function of a good man is the good and noble performance of these, and if any action is well performed it is performed in accord with the appropriate excellence: if this is the case, then happiness turns out to be an activity of the soul in accordance with virtue.” (</w:t>
      </w:r>
      <w:r w:rsidDel="00000000" w:rsidR="00000000" w:rsidRPr="00000000">
        <w:rPr>
          <w:sz w:val="23"/>
          <w:szCs w:val="23"/>
          <w:highlight w:val="white"/>
          <w:rtl w:val="0"/>
        </w:rPr>
        <w:t xml:space="preserve">Rackham, and Rackham, H., </w:t>
      </w:r>
      <w:r w:rsidDel="00000000" w:rsidR="00000000" w:rsidRPr="00000000">
        <w:rPr>
          <w:i w:val="1"/>
          <w:sz w:val="23"/>
          <w:szCs w:val="23"/>
          <w:highlight w:val="white"/>
          <w:rtl w:val="0"/>
        </w:rPr>
        <w:t xml:space="preserve">Nicomachean Ethics</w:t>
      </w:r>
      <w:r w:rsidDel="00000000" w:rsidR="00000000" w:rsidRPr="00000000">
        <w:rPr>
          <w:sz w:val="23"/>
          <w:szCs w:val="23"/>
          <w:highlight w:val="white"/>
          <w:rtl w:val="0"/>
        </w:rPr>
        <w:t xml:space="preserve">, revised, 1926)</w:t>
      </w:r>
      <w:r w:rsidDel="00000000" w:rsidR="00000000" w:rsidRPr="00000000">
        <w:rPr>
          <w:sz w:val="23"/>
          <w:szCs w:val="23"/>
          <w:highlight w:val="white"/>
          <w:vertAlign w:val="superscript"/>
        </w:rPr>
        <w:footnoteReference w:customMarkFollows="0" w:id="7"/>
      </w:r>
      <w:r w:rsidDel="00000000" w:rsidR="00000000" w:rsidRPr="00000000">
        <w:rPr>
          <w:rtl w:val="0"/>
        </w:rPr>
      </w:r>
    </w:p>
    <w:p w:rsidR="00000000" w:rsidDel="00000000" w:rsidP="00000000" w:rsidRDefault="00000000" w:rsidRPr="00000000" w14:paraId="00000024">
      <w:pPr>
        <w:rPr>
          <w:sz w:val="23"/>
          <w:szCs w:val="23"/>
          <w:highlight w:val="white"/>
        </w:rPr>
      </w:pPr>
      <w:r w:rsidDel="00000000" w:rsidR="00000000" w:rsidRPr="00000000">
        <w:rPr>
          <w:rtl w:val="0"/>
        </w:rPr>
      </w:r>
    </w:p>
    <w:p w:rsidR="00000000" w:rsidDel="00000000" w:rsidP="00000000" w:rsidRDefault="00000000" w:rsidRPr="00000000" w14:paraId="00000025">
      <w:pPr>
        <w:rPr>
          <w:sz w:val="23"/>
          <w:szCs w:val="23"/>
          <w:highlight w:val="white"/>
        </w:rPr>
      </w:pPr>
      <w:r w:rsidDel="00000000" w:rsidR="00000000" w:rsidRPr="00000000">
        <w:rPr>
          <w:sz w:val="23"/>
          <w:szCs w:val="23"/>
          <w:highlight w:val="white"/>
          <w:rtl w:val="0"/>
        </w:rPr>
        <w:t xml:space="preserve">Meaning that people should carry out their actions from a place of good intent. This leads to a life of virtu, which is good. In his book, Nicomachean Ethics Aristotle goes through various vices that may befall humankind and the virtuous ways to act in the face of these potential vices. Taking a brief look at these should help demonstrate what Aristotle meant by virtue. </w:t>
      </w:r>
    </w:p>
    <w:p w:rsidR="00000000" w:rsidDel="00000000" w:rsidP="00000000" w:rsidRDefault="00000000" w:rsidRPr="00000000" w14:paraId="00000026">
      <w:pPr>
        <w:rPr>
          <w:sz w:val="23"/>
          <w:szCs w:val="23"/>
          <w:highlight w:val="white"/>
        </w:rPr>
      </w:pPr>
      <w:r w:rsidDel="00000000" w:rsidR="00000000" w:rsidRPr="00000000">
        <w:rPr>
          <w:sz w:val="23"/>
          <w:szCs w:val="23"/>
          <w:highlight w:val="white"/>
          <w:rtl w:val="0"/>
        </w:rPr>
        <w:t xml:space="preserve">One by one, Aristotle discusses the various moral virtues and their corresponding vices. Having courage means to have confidence when faced with fearful situations. One should not give in too easily to pleasure by practicing temperance and restraint. Giving money liberally to appropriate causes in tactful ways is very important. Magnanimity and the right amount of ambition means having the right disposition toward honor and understanding one’s duty. Patience must be exercised in the face of anger, however in some situations a measured amount of anger may be appropriate. There are also three social virtues; amiability, wit and sincerity these make for pleasant and engaging interaction with people around us</w:t>
      </w:r>
      <w:r w:rsidDel="00000000" w:rsidR="00000000" w:rsidRPr="00000000">
        <w:rPr>
          <w:sz w:val="23"/>
          <w:szCs w:val="23"/>
          <w:highlight w:val="white"/>
          <w:vertAlign w:val="superscript"/>
        </w:rPr>
        <w:footnoteReference w:customMarkFollows="0" w:id="8"/>
      </w:r>
      <w:r w:rsidDel="00000000" w:rsidR="00000000" w:rsidRPr="00000000">
        <w:rPr>
          <w:sz w:val="23"/>
          <w:szCs w:val="23"/>
          <w:highlight w:val="white"/>
          <w:rtl w:val="0"/>
        </w:rPr>
        <w:t xml:space="preserve">. </w:t>
      </w:r>
      <w:r w:rsidDel="00000000" w:rsidR="00000000" w:rsidRPr="00000000">
        <w:rPr>
          <w:rtl w:val="0"/>
        </w:rPr>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rPr/>
      </w:pPr>
      <w:r w:rsidDel="00000000" w:rsidR="00000000" w:rsidRPr="00000000">
        <w:rPr>
          <w:rtl w:val="0"/>
        </w:rPr>
        <w:t xml:space="preserve">Interestingly virtue is hugely important in living a good life from a Daoist perspective. One of the main philosophies in Chinese culture is Zhen which means genuineness</w:t>
      </w:r>
      <w:r w:rsidDel="00000000" w:rsidR="00000000" w:rsidRPr="00000000">
        <w:rPr>
          <w:vertAlign w:val="superscript"/>
        </w:rPr>
        <w:footnoteReference w:customMarkFollows="0" w:id="9"/>
      </w:r>
      <w:r w:rsidDel="00000000" w:rsidR="00000000" w:rsidRPr="00000000">
        <w:rPr>
          <w:rtl w:val="0"/>
        </w:rPr>
        <w:t xml:space="preserve">. This feels very closely related to virtue ethics. There is also de which can be translated as virtue. In fact the Dao de Jing, which is one of the most important and influential works followed by Daoism can be translated as, the ‘The book of the way and virtue’. However, although there is an overlap here in the importance of being virtuous the definitions of this are different. In Daoism living virtuously means living in accordance with nature and the Dao. The Dao is known as ‘the way’ or cosmic energy that is eternal</w:t>
      </w:r>
      <w:r w:rsidDel="00000000" w:rsidR="00000000" w:rsidRPr="00000000">
        <w:rPr>
          <w:vertAlign w:val="superscript"/>
        </w:rPr>
        <w:footnoteReference w:customMarkFollows="0" w:id="10"/>
      </w:r>
      <w:r w:rsidDel="00000000" w:rsidR="00000000" w:rsidRPr="00000000">
        <w:rPr>
          <w:rtl w:val="0"/>
        </w:rPr>
        <w:t xml:space="preserve">. To be virtuous is to be peaceful in the self and towards the world around us. In other words, from a Daoist point of view virtue seems less about moral actions and more about a state of being. There is also an extensive focus on the importance of nothing, being able to experience nothingness is a vital part of living a good life.</w:t>
      </w:r>
    </w:p>
    <w:p w:rsidR="00000000" w:rsidDel="00000000" w:rsidP="00000000" w:rsidRDefault="00000000" w:rsidRPr="00000000" w14:paraId="00000029">
      <w:pPr>
        <w:rPr/>
      </w:pPr>
      <w:r w:rsidDel="00000000" w:rsidR="00000000" w:rsidRPr="00000000">
        <w:rPr>
          <w:rtl w:val="0"/>
        </w:rPr>
      </w:r>
    </w:p>
    <w:p w:rsidR="00000000" w:rsidDel="00000000" w:rsidP="00000000" w:rsidRDefault="00000000" w:rsidRPr="00000000" w14:paraId="0000002A">
      <w:pPr>
        <w:rPr/>
      </w:pPr>
      <w:r w:rsidDel="00000000" w:rsidR="00000000" w:rsidRPr="00000000">
        <w:rPr>
          <w:rtl w:val="0"/>
        </w:rPr>
        <w:t xml:space="preserve">“Is not the space between Heaven and Earth like a bellows? It is empty, but lacks nothing. The more it moves, the more comes out of it.” (Roberts, Laozi, and Roberts, Moss, Dao de Jing = The Book of the Way, Berkeley, Calif. ; London: University of California Press, 2001, chapter five)</w:t>
      </w:r>
    </w:p>
    <w:p w:rsidR="00000000" w:rsidDel="00000000" w:rsidP="00000000" w:rsidRDefault="00000000" w:rsidRPr="00000000" w14:paraId="0000002B">
      <w:pPr>
        <w:rPr/>
      </w:pPr>
      <w:r w:rsidDel="00000000" w:rsidR="00000000" w:rsidRPr="00000000">
        <w:rPr>
          <w:rtl w:val="0"/>
        </w:rPr>
      </w:r>
    </w:p>
    <w:p w:rsidR="00000000" w:rsidDel="00000000" w:rsidP="00000000" w:rsidRDefault="00000000" w:rsidRPr="00000000" w14:paraId="0000002C">
      <w:pPr>
        <w:rPr/>
      </w:pPr>
      <w:r w:rsidDel="00000000" w:rsidR="00000000" w:rsidRPr="00000000">
        <w:rPr>
          <w:rtl w:val="0"/>
        </w:rPr>
        <w:t xml:space="preserve">It seems then that the body is seen very differently in China than it is in the West. In China the body is seen as a whole, just as it is in the West. However in the West, human beings are seen as the sum of their parts making a whole, whereas in Chinese culture the body is seen as a delicately balanced, symbiotic being. It is obvious, however, that dualism is an insufficient method of understanding consciousness and the body. When it comes to leading a good life there are many similarities, virtuousness and being genuine but the meaning of life is much clearer in Daoism than any Western philosophies. To follow and be one with the Dao may not be an easy task but at least it is a clear goal. In Western philosophy it may be widely agreed that leading a virtuous life is where meaning can be found but what constitutes virtue is subjective. </w:t>
      </w:r>
    </w:p>
    <w:p w:rsidR="00000000" w:rsidDel="00000000" w:rsidP="00000000" w:rsidRDefault="00000000" w:rsidRPr="00000000" w14:paraId="0000002D">
      <w:pPr>
        <w:rPr/>
      </w:pPr>
      <w:r w:rsidDel="00000000" w:rsidR="00000000" w:rsidRPr="00000000">
        <w:rPr>
          <w:rtl w:val="0"/>
        </w:rPr>
      </w:r>
    </w:p>
    <w:p w:rsidR="00000000" w:rsidDel="00000000" w:rsidP="00000000" w:rsidRDefault="00000000" w:rsidRPr="00000000" w14:paraId="0000002E">
      <w:pPr>
        <w:rPr/>
      </w:pPr>
      <w:r w:rsidDel="00000000" w:rsidR="00000000" w:rsidRPr="00000000">
        <w:rPr>
          <w:rtl w:val="0"/>
        </w:rPr>
      </w:r>
    </w:p>
    <w:p w:rsidR="00000000" w:rsidDel="00000000" w:rsidP="00000000" w:rsidRDefault="00000000" w:rsidRPr="00000000" w14:paraId="0000002F">
      <w:pPr>
        <w:rPr/>
      </w:pPr>
      <w:r w:rsidDel="00000000" w:rsidR="00000000" w:rsidRPr="00000000">
        <w:rPr>
          <w:rtl w:val="0"/>
        </w:rPr>
      </w:r>
    </w:p>
    <w:p w:rsidR="00000000" w:rsidDel="00000000" w:rsidP="00000000" w:rsidRDefault="00000000" w:rsidRPr="00000000" w14:paraId="00000030">
      <w:pPr>
        <w:rPr/>
      </w:pPr>
      <w:r w:rsidDel="00000000" w:rsidR="00000000" w:rsidRPr="00000000">
        <w:rPr>
          <w:rtl w:val="0"/>
        </w:rPr>
      </w:r>
    </w:p>
    <w:p w:rsidR="00000000" w:rsidDel="00000000" w:rsidP="00000000" w:rsidRDefault="00000000" w:rsidRPr="00000000" w14:paraId="00000031">
      <w:pPr>
        <w:rPr/>
      </w:pPr>
      <w:r w:rsidDel="00000000" w:rsidR="00000000" w:rsidRPr="00000000">
        <w:rPr>
          <w:rtl w:val="0"/>
        </w:rPr>
      </w:r>
    </w:p>
    <w:p w:rsidR="00000000" w:rsidDel="00000000" w:rsidP="00000000" w:rsidRDefault="00000000" w:rsidRPr="00000000" w14:paraId="00000032">
      <w:pPr>
        <w:rPr/>
      </w:pPr>
      <w:r w:rsidDel="00000000" w:rsidR="00000000" w:rsidRPr="00000000">
        <w:rPr>
          <w:rtl w:val="0"/>
        </w:rPr>
      </w:r>
    </w:p>
    <w:p w:rsidR="00000000" w:rsidDel="00000000" w:rsidP="00000000" w:rsidRDefault="00000000" w:rsidRPr="00000000" w14:paraId="00000033">
      <w:pPr>
        <w:rPr/>
      </w:pPr>
      <w:r w:rsidDel="00000000" w:rsidR="00000000" w:rsidRPr="00000000">
        <w:rPr>
          <w:rtl w:val="0"/>
        </w:rPr>
      </w:r>
    </w:p>
    <w:p w:rsidR="00000000" w:rsidDel="00000000" w:rsidP="00000000" w:rsidRDefault="00000000" w:rsidRPr="00000000" w14:paraId="00000034">
      <w:pPr>
        <w:rPr/>
      </w:pPr>
      <w:r w:rsidDel="00000000" w:rsidR="00000000" w:rsidRPr="00000000">
        <w:rPr>
          <w:rtl w:val="0"/>
        </w:rPr>
        <w:t xml:space="preserve"> </w:t>
      </w:r>
    </w:p>
    <w:p w:rsidR="00000000" w:rsidDel="00000000" w:rsidP="00000000" w:rsidRDefault="00000000" w:rsidRPr="00000000" w14:paraId="00000035">
      <w:pPr>
        <w:spacing w:line="240" w:lineRule="auto"/>
        <w:ind w:left="720" w:hanging="720"/>
        <w:rPr>
          <w:u w:val="single"/>
        </w:rPr>
      </w:pPr>
      <w:r w:rsidDel="00000000" w:rsidR="00000000" w:rsidRPr="00000000">
        <w:rPr>
          <w:u w:val="single"/>
          <w:rtl w:val="0"/>
        </w:rPr>
        <w:t xml:space="preserve">Bibliography:</w:t>
      </w:r>
    </w:p>
    <w:p w:rsidR="00000000" w:rsidDel="00000000" w:rsidP="00000000" w:rsidRDefault="00000000" w:rsidRPr="00000000" w14:paraId="00000036">
      <w:pPr>
        <w:spacing w:line="240" w:lineRule="auto"/>
        <w:ind w:left="720" w:hanging="720"/>
        <w:rPr>
          <w:u w:val="single"/>
        </w:rPr>
      </w:pPr>
      <w:r w:rsidDel="00000000" w:rsidR="00000000" w:rsidRPr="00000000">
        <w:rPr>
          <w:rtl w:val="0"/>
        </w:rPr>
      </w:r>
    </w:p>
    <w:p w:rsidR="00000000" w:rsidDel="00000000" w:rsidP="00000000" w:rsidRDefault="00000000" w:rsidRPr="00000000" w14:paraId="00000037">
      <w:pPr>
        <w:spacing w:line="240" w:lineRule="auto"/>
        <w:ind w:left="720" w:hanging="720"/>
        <w:rPr/>
      </w:pPr>
      <w:hyperlink r:id="rId8">
        <w:r w:rsidDel="00000000" w:rsidR="00000000" w:rsidRPr="00000000">
          <w:rPr>
            <w:vertAlign w:val="baseline"/>
            <w:rtl w:val="0"/>
          </w:rPr>
          <w:t xml:space="preserve">Aristotle, author, </w:t>
        </w:r>
      </w:hyperlink>
      <w:hyperlink r:id="rId9">
        <w:r w:rsidDel="00000000" w:rsidR="00000000" w:rsidRPr="00000000">
          <w:rPr>
            <w:i w:val="1"/>
            <w:vertAlign w:val="baseline"/>
            <w:rtl w:val="0"/>
          </w:rPr>
          <w:t xml:space="preserve">Nicomachean Ethics</w:t>
        </w:r>
      </w:hyperlink>
      <w:hyperlink r:id="rId10">
        <w:r w:rsidDel="00000000" w:rsidR="00000000" w:rsidRPr="00000000">
          <w:rPr>
            <w:vertAlign w:val="baseline"/>
            <w:rtl w:val="0"/>
          </w:rPr>
          <w:t xml:space="preserve">, revised. (Cambridge, MA: Harvard University Press, 2014)</w:t>
        </w:r>
      </w:hyperlink>
      <w:r w:rsidDel="00000000" w:rsidR="00000000" w:rsidRPr="00000000">
        <w:rPr>
          <w:rtl w:val="0"/>
        </w:rPr>
      </w:r>
    </w:p>
    <w:p w:rsidR="00000000" w:rsidDel="00000000" w:rsidP="00000000" w:rsidRDefault="00000000" w:rsidRPr="00000000" w14:paraId="00000038">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720" w:right="0" w:hanging="720"/>
        <w:jc w:val="left"/>
        <w:rPr/>
      </w:pPr>
      <w:r w:rsidDel="00000000" w:rsidR="00000000" w:rsidRPr="00000000">
        <w:rPr>
          <w:rtl w:val="0"/>
        </w:rPr>
      </w:r>
    </w:p>
    <w:p w:rsidR="00000000" w:rsidDel="00000000" w:rsidP="00000000" w:rsidRDefault="00000000" w:rsidRPr="00000000" w14:paraId="00000039">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720" w:right="0" w:hanging="720"/>
        <w:jc w:val="left"/>
        <w:rPr/>
      </w:pPr>
      <w:hyperlink r:id="rId11">
        <w:r w:rsidDel="00000000" w:rsidR="00000000" w:rsidRPr="00000000">
          <w:rPr>
            <w:vertAlign w:val="baseline"/>
            <w:rtl w:val="0"/>
          </w:rPr>
          <w:t xml:space="preserve">Cottingham, John, </w:t>
        </w:r>
      </w:hyperlink>
      <w:hyperlink r:id="rId12">
        <w:r w:rsidDel="00000000" w:rsidR="00000000" w:rsidRPr="00000000">
          <w:rPr>
            <w:i w:val="1"/>
            <w:vertAlign w:val="baseline"/>
            <w:rtl w:val="0"/>
          </w:rPr>
          <w:t xml:space="preserve">Descartes</w:t>
        </w:r>
      </w:hyperlink>
      <w:hyperlink r:id="rId13">
        <w:r w:rsidDel="00000000" w:rsidR="00000000" w:rsidRPr="00000000">
          <w:rPr>
            <w:vertAlign w:val="baseline"/>
            <w:rtl w:val="0"/>
          </w:rPr>
          <w:t xml:space="preserve"> (Blackwell, 1986)</w:t>
        </w:r>
      </w:hyperlink>
      <w:r w:rsidDel="00000000" w:rsidR="00000000" w:rsidRPr="00000000">
        <w:rPr>
          <w:rtl w:val="0"/>
        </w:rPr>
      </w:r>
    </w:p>
    <w:p w:rsidR="00000000" w:rsidDel="00000000" w:rsidP="00000000" w:rsidRDefault="00000000" w:rsidRPr="00000000" w14:paraId="0000003A">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720" w:right="0" w:hanging="720"/>
        <w:jc w:val="left"/>
        <w:rPr/>
      </w:pPr>
      <w:r w:rsidDel="00000000" w:rsidR="00000000" w:rsidRPr="00000000">
        <w:rPr>
          <w:rtl w:val="0"/>
        </w:rPr>
      </w:r>
    </w:p>
    <w:p w:rsidR="00000000" w:rsidDel="00000000" w:rsidP="00000000" w:rsidRDefault="00000000" w:rsidRPr="00000000" w14:paraId="0000003B">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720" w:right="0" w:hanging="720"/>
        <w:jc w:val="left"/>
        <w:rPr/>
      </w:pPr>
      <w:hyperlink r:id="rId14">
        <w:r w:rsidDel="00000000" w:rsidR="00000000" w:rsidRPr="00000000">
          <w:rPr>
            <w:vertAlign w:val="baseline"/>
            <w:rtl w:val="0"/>
          </w:rPr>
          <w:t xml:space="preserve">Coutinho, Steve, </w:t>
        </w:r>
      </w:hyperlink>
      <w:hyperlink r:id="rId15">
        <w:r w:rsidDel="00000000" w:rsidR="00000000" w:rsidRPr="00000000">
          <w:rPr>
            <w:i w:val="1"/>
            <w:vertAlign w:val="baseline"/>
            <w:rtl w:val="0"/>
          </w:rPr>
          <w:t xml:space="preserve">An Introduction of Daoist Philosophy</w:t>
        </w:r>
      </w:hyperlink>
      <w:hyperlink r:id="rId16">
        <w:r w:rsidDel="00000000" w:rsidR="00000000" w:rsidRPr="00000000">
          <w:rPr>
            <w:vertAlign w:val="baseline"/>
            <w:rtl w:val="0"/>
          </w:rPr>
          <w:t xml:space="preserve"> (Columbia University press, 2013)</w:t>
        </w:r>
      </w:hyperlink>
      <w:r w:rsidDel="00000000" w:rsidR="00000000" w:rsidRPr="00000000">
        <w:rPr>
          <w:rtl w:val="0"/>
        </w:rPr>
      </w:r>
    </w:p>
    <w:p w:rsidR="00000000" w:rsidDel="00000000" w:rsidP="00000000" w:rsidRDefault="00000000" w:rsidRPr="00000000" w14:paraId="0000003C">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720" w:right="0" w:hanging="720"/>
        <w:jc w:val="left"/>
        <w:rPr/>
      </w:pPr>
      <w:r w:rsidDel="00000000" w:rsidR="00000000" w:rsidRPr="00000000">
        <w:rPr>
          <w:rtl w:val="0"/>
        </w:rPr>
      </w:r>
    </w:p>
    <w:p w:rsidR="00000000" w:rsidDel="00000000" w:rsidP="00000000" w:rsidRDefault="00000000" w:rsidRPr="00000000" w14:paraId="0000003D">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720" w:right="0" w:hanging="720"/>
        <w:jc w:val="left"/>
        <w:rPr/>
      </w:pPr>
      <w:hyperlink r:id="rId17">
        <w:r w:rsidDel="00000000" w:rsidR="00000000" w:rsidRPr="00000000">
          <w:rPr>
            <w:vertAlign w:val="baseline"/>
            <w:rtl w:val="0"/>
          </w:rPr>
          <w:t xml:space="preserve">Kenny, Anthony, </w:t>
        </w:r>
      </w:hyperlink>
      <w:hyperlink r:id="rId18">
        <w:r w:rsidDel="00000000" w:rsidR="00000000" w:rsidRPr="00000000">
          <w:rPr>
            <w:i w:val="1"/>
            <w:vertAlign w:val="baseline"/>
            <w:rtl w:val="0"/>
          </w:rPr>
          <w:t xml:space="preserve">Descartes; a Study of His Philosophy</w:t>
        </w:r>
      </w:hyperlink>
      <w:hyperlink r:id="rId19">
        <w:r w:rsidDel="00000000" w:rsidR="00000000" w:rsidRPr="00000000">
          <w:rPr>
            <w:vertAlign w:val="baseline"/>
            <w:rtl w:val="0"/>
          </w:rPr>
          <w:t xml:space="preserve"> (Thoemmes press, 1997)</w:t>
        </w:r>
      </w:hyperlink>
      <w:r w:rsidDel="00000000" w:rsidR="00000000" w:rsidRPr="00000000">
        <w:rPr>
          <w:rtl w:val="0"/>
        </w:rPr>
      </w:r>
    </w:p>
    <w:p w:rsidR="00000000" w:rsidDel="00000000" w:rsidP="00000000" w:rsidRDefault="00000000" w:rsidRPr="00000000" w14:paraId="0000003E">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720" w:right="0" w:hanging="720"/>
        <w:jc w:val="left"/>
        <w:rPr/>
      </w:pPr>
      <w:r w:rsidDel="00000000" w:rsidR="00000000" w:rsidRPr="00000000">
        <w:rPr>
          <w:rtl w:val="0"/>
        </w:rPr>
      </w:r>
    </w:p>
    <w:p w:rsidR="00000000" w:rsidDel="00000000" w:rsidP="00000000" w:rsidRDefault="00000000" w:rsidRPr="00000000" w14:paraId="0000003F">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720" w:right="0" w:hanging="720"/>
        <w:jc w:val="left"/>
        <w:rPr/>
      </w:pPr>
      <w:hyperlink r:id="rId20">
        <w:r w:rsidDel="00000000" w:rsidR="00000000" w:rsidRPr="00000000">
          <w:rPr>
            <w:vertAlign w:val="baseline"/>
            <w:rtl w:val="0"/>
          </w:rPr>
          <w:t xml:space="preserve">Scanlon, Valerie C., and Tina Sanders, </w:t>
        </w:r>
      </w:hyperlink>
      <w:hyperlink r:id="rId21">
        <w:r w:rsidDel="00000000" w:rsidR="00000000" w:rsidRPr="00000000">
          <w:rPr>
            <w:i w:val="1"/>
            <w:vertAlign w:val="baseline"/>
            <w:rtl w:val="0"/>
          </w:rPr>
          <w:t xml:space="preserve">Essentials of Anatomy and Physiology</w:t>
        </w:r>
      </w:hyperlink>
      <w:hyperlink r:id="rId22">
        <w:r w:rsidDel="00000000" w:rsidR="00000000" w:rsidRPr="00000000">
          <w:rPr>
            <w:vertAlign w:val="baseline"/>
            <w:rtl w:val="0"/>
          </w:rPr>
          <w:t xml:space="preserve"> (F.A. Davis, 2018)</w:t>
        </w:r>
      </w:hyperlink>
      <w:r w:rsidDel="00000000" w:rsidR="00000000" w:rsidRPr="00000000">
        <w:rPr>
          <w:rtl w:val="0"/>
        </w:rPr>
      </w:r>
    </w:p>
    <w:p w:rsidR="00000000" w:rsidDel="00000000" w:rsidP="00000000" w:rsidRDefault="00000000" w:rsidRPr="00000000" w14:paraId="00000040">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720" w:right="0" w:hanging="720"/>
        <w:jc w:val="left"/>
        <w:rPr/>
      </w:pPr>
      <w:r w:rsidDel="00000000" w:rsidR="00000000" w:rsidRPr="00000000">
        <w:rPr>
          <w:rtl w:val="0"/>
        </w:rPr>
      </w:r>
    </w:p>
    <w:p w:rsidR="00000000" w:rsidDel="00000000" w:rsidP="00000000" w:rsidRDefault="00000000" w:rsidRPr="00000000" w14:paraId="00000041">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720" w:right="0" w:hanging="720"/>
        <w:jc w:val="left"/>
        <w:rPr/>
      </w:pPr>
      <w:hyperlink r:id="rId23">
        <w:r w:rsidDel="00000000" w:rsidR="00000000" w:rsidRPr="00000000">
          <w:rPr>
            <w:vertAlign w:val="baseline"/>
            <w:rtl w:val="0"/>
          </w:rPr>
          <w:t xml:space="preserve">Skirry, Justin, ‘Rene Descartes. Internet Encyclopedia of Philosophy | An Encyclopedia of Philosophy Articles Written by Professional Philosophers.’ &lt;https://iep.utm.edu/&gt; [accessed 6 May 2021]</w:t>
        </w:r>
      </w:hyperlink>
      <w:r w:rsidDel="00000000" w:rsidR="00000000" w:rsidRPr="00000000">
        <w:rPr>
          <w:rtl w:val="0"/>
        </w:rPr>
      </w:r>
    </w:p>
    <w:p w:rsidR="00000000" w:rsidDel="00000000" w:rsidP="00000000" w:rsidRDefault="00000000" w:rsidRPr="00000000" w14:paraId="00000042">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720" w:right="0" w:hanging="720"/>
        <w:jc w:val="left"/>
        <w:rPr/>
      </w:pPr>
      <w:r w:rsidDel="00000000" w:rsidR="00000000" w:rsidRPr="00000000">
        <w:rPr>
          <w:rtl w:val="0"/>
        </w:rPr>
      </w:r>
    </w:p>
    <w:p w:rsidR="00000000" w:rsidDel="00000000" w:rsidP="00000000" w:rsidRDefault="00000000" w:rsidRPr="00000000" w14:paraId="00000043">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720" w:right="0" w:hanging="720"/>
        <w:jc w:val="left"/>
        <w:rPr/>
      </w:pPr>
      <w:hyperlink r:id="rId24">
        <w:r w:rsidDel="00000000" w:rsidR="00000000" w:rsidRPr="00000000">
          <w:rPr>
            <w:vertAlign w:val="baseline"/>
            <w:rtl w:val="0"/>
          </w:rPr>
          <w:t xml:space="preserve">‘Taoism: The Landscape of a Body’, </w:t>
        </w:r>
      </w:hyperlink>
      <w:hyperlink r:id="rId25">
        <w:r w:rsidDel="00000000" w:rsidR="00000000" w:rsidRPr="00000000">
          <w:rPr>
            <w:i w:val="1"/>
            <w:vertAlign w:val="baseline"/>
            <w:rtl w:val="0"/>
          </w:rPr>
          <w:t xml:space="preserve">Chinese Medicine: A History and Understanding</w:t>
        </w:r>
      </w:hyperlink>
      <w:hyperlink r:id="rId26">
        <w:r w:rsidDel="00000000" w:rsidR="00000000" w:rsidRPr="00000000">
          <w:rPr>
            <w:vertAlign w:val="baseline"/>
            <w:rtl w:val="0"/>
          </w:rPr>
          <w:t xml:space="preserve">, 2013 &lt;https://nsansouci.wordpress.com/2013/03/12/taoism-the-landscape-of-a-body/&gt; [accessed 7 May 2021]</w:t>
        </w:r>
      </w:hyperlink>
      <w:r w:rsidDel="00000000" w:rsidR="00000000" w:rsidRPr="00000000">
        <w:rPr>
          <w:rtl w:val="0"/>
        </w:rPr>
      </w:r>
    </w:p>
    <w:p w:rsidR="00000000" w:rsidDel="00000000" w:rsidP="00000000" w:rsidRDefault="00000000" w:rsidRPr="00000000" w14:paraId="00000044">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720" w:right="0" w:hanging="720"/>
        <w:jc w:val="left"/>
        <w:rPr/>
      </w:pPr>
      <w:r w:rsidDel="00000000" w:rsidR="00000000" w:rsidRPr="00000000">
        <w:rPr>
          <w:rtl w:val="0"/>
        </w:rPr>
      </w:r>
    </w:p>
    <w:p w:rsidR="00000000" w:rsidDel="00000000" w:rsidP="00000000" w:rsidRDefault="00000000" w:rsidRPr="00000000" w14:paraId="00000045">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720" w:right="0" w:hanging="720"/>
        <w:jc w:val="left"/>
        <w:rPr/>
      </w:pPr>
      <w:hyperlink r:id="rId27">
        <w:r w:rsidDel="00000000" w:rsidR="00000000" w:rsidRPr="00000000">
          <w:rPr>
            <w:vertAlign w:val="baseline"/>
            <w:rtl w:val="0"/>
          </w:rPr>
          <w:t xml:space="preserve">‘The Five Elements’ &lt;https://www.mosherhealth.com/mosher-health-system/chinese-medicine/yin-yang/five-elements&gt; [accessed 7 May 2021]</w:t>
        </w:r>
      </w:hyperlink>
      <w:r w:rsidDel="00000000" w:rsidR="00000000" w:rsidRPr="00000000">
        <w:rPr>
          <w:rtl w:val="0"/>
        </w:rPr>
      </w:r>
    </w:p>
    <w:p w:rsidR="00000000" w:rsidDel="00000000" w:rsidP="00000000" w:rsidRDefault="00000000" w:rsidRPr="00000000" w14:paraId="00000046">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720" w:right="0" w:hanging="720"/>
        <w:jc w:val="left"/>
        <w:rPr/>
      </w:pPr>
      <w:r w:rsidDel="00000000" w:rsidR="00000000" w:rsidRPr="00000000">
        <w:rPr>
          <w:rtl w:val="0"/>
        </w:rPr>
      </w:r>
    </w:p>
    <w:p w:rsidR="00000000" w:rsidDel="00000000" w:rsidP="00000000" w:rsidRDefault="00000000" w:rsidRPr="00000000" w14:paraId="00000047">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720" w:right="0" w:hanging="720"/>
        <w:jc w:val="left"/>
        <w:rPr/>
      </w:pPr>
      <w:hyperlink r:id="rId28">
        <w:r w:rsidDel="00000000" w:rsidR="00000000" w:rsidRPr="00000000">
          <w:rPr>
            <w:vertAlign w:val="baseline"/>
            <w:rtl w:val="0"/>
          </w:rPr>
          <w:t xml:space="preserve">‘The Taoist Body on JSTOR’ &lt;https://www-jstor-org.ezproxy.uwtsd.ac.uk/stable/1062436?sid=primo&amp;seq=1#metadata_info_tab_contents&gt; [accessed 7 May 2021]</w:t>
        </w:r>
      </w:hyperlink>
      <w:r w:rsidDel="00000000" w:rsidR="00000000" w:rsidRPr="00000000">
        <w:rPr>
          <w:rtl w:val="0"/>
        </w:rPr>
      </w:r>
    </w:p>
    <w:p w:rsidR="00000000" w:rsidDel="00000000" w:rsidP="00000000" w:rsidRDefault="00000000" w:rsidRPr="00000000" w14:paraId="00000048">
      <w:pPr>
        <w:rPr>
          <w:sz w:val="24"/>
          <w:szCs w:val="24"/>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otnote w:id="0">
    <w:p w:rsidR="00000000" w:rsidDel="00000000" w:rsidP="00000000" w:rsidRDefault="00000000" w:rsidRPr="00000000" w14:paraId="00000049">
      <w:pPr>
        <w:spacing w:line="240" w:lineRule="auto"/>
        <w:rPr>
          <w:b w:val="1"/>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hyperlink r:id="rId1">
        <w:r w:rsidDel="00000000" w:rsidR="00000000" w:rsidRPr="00000000">
          <w:rPr>
            <w:sz w:val="20"/>
            <w:szCs w:val="20"/>
            <w:vertAlign w:val="baseline"/>
            <w:rtl w:val="0"/>
          </w:rPr>
          <w:t xml:space="preserve">Valerie C. Scanlon and Tina Sanders, </w:t>
        </w:r>
      </w:hyperlink>
      <w:hyperlink r:id="rId2">
        <w:r w:rsidDel="00000000" w:rsidR="00000000" w:rsidRPr="00000000">
          <w:rPr>
            <w:i w:val="1"/>
            <w:sz w:val="20"/>
            <w:szCs w:val="20"/>
            <w:vertAlign w:val="baseline"/>
            <w:rtl w:val="0"/>
          </w:rPr>
          <w:t xml:space="preserve">Essentials of Anatomy and Physiology</w:t>
        </w:r>
      </w:hyperlink>
      <w:hyperlink r:id="rId3">
        <w:r w:rsidDel="00000000" w:rsidR="00000000" w:rsidRPr="00000000">
          <w:rPr>
            <w:sz w:val="20"/>
            <w:szCs w:val="20"/>
            <w:vertAlign w:val="baseline"/>
            <w:rtl w:val="0"/>
          </w:rPr>
          <w:t xml:space="preserve"> (F.A. Davis, 2018).</w:t>
        </w:r>
      </w:hyperlink>
      <w:r w:rsidDel="00000000" w:rsidR="00000000" w:rsidRPr="00000000">
        <w:rPr>
          <w:rtl w:val="0"/>
        </w:rPr>
      </w:r>
    </w:p>
  </w:footnote>
  <w:footnote w:id="1">
    <w:p w:rsidR="00000000" w:rsidDel="00000000" w:rsidP="00000000" w:rsidRDefault="00000000" w:rsidRPr="00000000" w14:paraId="0000004A">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hyperlink r:id="rId4">
        <w:r w:rsidDel="00000000" w:rsidR="00000000" w:rsidRPr="00000000">
          <w:rPr>
            <w:sz w:val="20"/>
            <w:szCs w:val="20"/>
            <w:vertAlign w:val="baseline"/>
            <w:rtl w:val="0"/>
          </w:rPr>
          <w:t xml:space="preserve">Justin Skirry, ‘Rene Descartes. Internet Encyclopedia of Philosophy | An Encyclopedia of Philosophy Articles Written by Professional Philosophers.’ &lt;https://iep.utm.edu/&gt; [accessed 6 May 2021].</w:t>
        </w:r>
      </w:hyperlink>
      <w:r w:rsidDel="00000000" w:rsidR="00000000" w:rsidRPr="00000000">
        <w:rPr>
          <w:rtl w:val="0"/>
        </w:rPr>
      </w:r>
    </w:p>
  </w:footnote>
  <w:footnote w:id="3">
    <w:p w:rsidR="00000000" w:rsidDel="00000000" w:rsidP="00000000" w:rsidRDefault="00000000" w:rsidRPr="00000000" w14:paraId="0000004B">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hyperlink r:id="rId5">
        <w:r w:rsidDel="00000000" w:rsidR="00000000" w:rsidRPr="00000000">
          <w:rPr>
            <w:sz w:val="20"/>
            <w:szCs w:val="20"/>
            <w:vertAlign w:val="baseline"/>
            <w:rtl w:val="0"/>
          </w:rPr>
          <w:t xml:space="preserve">John Cottingham, </w:t>
        </w:r>
      </w:hyperlink>
      <w:hyperlink r:id="rId6">
        <w:r w:rsidDel="00000000" w:rsidR="00000000" w:rsidRPr="00000000">
          <w:rPr>
            <w:i w:val="1"/>
            <w:sz w:val="20"/>
            <w:szCs w:val="20"/>
            <w:vertAlign w:val="baseline"/>
            <w:rtl w:val="0"/>
          </w:rPr>
          <w:t xml:space="preserve">Descartes</w:t>
        </w:r>
      </w:hyperlink>
      <w:hyperlink r:id="rId7">
        <w:r w:rsidDel="00000000" w:rsidR="00000000" w:rsidRPr="00000000">
          <w:rPr>
            <w:sz w:val="20"/>
            <w:szCs w:val="20"/>
            <w:vertAlign w:val="baseline"/>
            <w:rtl w:val="0"/>
          </w:rPr>
          <w:t xml:space="preserve"> (Blackwell, 1986).</w:t>
        </w:r>
      </w:hyperlink>
      <w:r w:rsidDel="00000000" w:rsidR="00000000" w:rsidRPr="00000000">
        <w:rPr>
          <w:sz w:val="20"/>
          <w:szCs w:val="20"/>
          <w:rtl w:val="0"/>
        </w:rPr>
        <w:t xml:space="preserve"> </w:t>
      </w:r>
    </w:p>
    <w:p w:rsidR="00000000" w:rsidDel="00000000" w:rsidP="00000000" w:rsidRDefault="00000000" w:rsidRPr="00000000" w14:paraId="0000004C">
      <w:pPr>
        <w:rPr>
          <w:sz w:val="20"/>
          <w:szCs w:val="20"/>
        </w:rPr>
      </w:pPr>
      <w:r w:rsidDel="00000000" w:rsidR="00000000" w:rsidRPr="00000000">
        <w:rPr>
          <w:rtl w:val="0"/>
        </w:rPr>
        <w:t xml:space="preserve">Fig 1</w:t>
      </w:r>
      <w:hyperlink r:id="rId8">
        <w:r w:rsidDel="00000000" w:rsidR="00000000" w:rsidRPr="00000000">
          <w:rPr>
            <w:vertAlign w:val="baseline"/>
            <w:rtl w:val="0"/>
          </w:rPr>
          <w:t xml:space="preserve">‘Taoism: The Landscape of a Body’, </w:t>
        </w:r>
      </w:hyperlink>
      <w:hyperlink r:id="rId9">
        <w:r w:rsidDel="00000000" w:rsidR="00000000" w:rsidRPr="00000000">
          <w:rPr>
            <w:i w:val="1"/>
            <w:vertAlign w:val="baseline"/>
            <w:rtl w:val="0"/>
          </w:rPr>
          <w:t xml:space="preserve">Chinese Medicine: A History and Understanding</w:t>
        </w:r>
      </w:hyperlink>
      <w:hyperlink r:id="rId10">
        <w:r w:rsidDel="00000000" w:rsidR="00000000" w:rsidRPr="00000000">
          <w:rPr>
            <w:vertAlign w:val="baseline"/>
            <w:rtl w:val="0"/>
          </w:rPr>
          <w:t xml:space="preserve">, 2013 &lt;https://nsansouci.wordpress.com/2013/03/12/taoism-the-landscape-of-a-body/&gt; [accessed 7 May 2021].</w:t>
        </w:r>
      </w:hyperlink>
      <w:r w:rsidDel="00000000" w:rsidR="00000000" w:rsidRPr="00000000">
        <w:rPr>
          <w:rtl w:val="0"/>
        </w:rPr>
      </w:r>
    </w:p>
  </w:footnote>
  <w:footnote w:id="5">
    <w:p w:rsidR="00000000" w:rsidDel="00000000" w:rsidP="00000000" w:rsidRDefault="00000000" w:rsidRPr="00000000" w14:paraId="0000004D">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hyperlink r:id="rId11">
        <w:r w:rsidDel="00000000" w:rsidR="00000000" w:rsidRPr="00000000">
          <w:rPr>
            <w:sz w:val="20"/>
            <w:szCs w:val="20"/>
            <w:vertAlign w:val="baseline"/>
            <w:rtl w:val="0"/>
          </w:rPr>
          <w:t xml:space="preserve">‘The Five Elements’ &lt;https://www.mosherhealth.com/mosher-health-system/chinese-medicine/yin-yang/five-elements&gt; [accessed 7 May 2021].</w:t>
        </w:r>
      </w:hyperlink>
      <w:r w:rsidDel="00000000" w:rsidR="00000000" w:rsidRPr="00000000">
        <w:rPr>
          <w:rtl w:val="0"/>
        </w:rPr>
      </w:r>
    </w:p>
  </w:footnote>
  <w:footnote w:id="2">
    <w:p w:rsidR="00000000" w:rsidDel="00000000" w:rsidP="00000000" w:rsidRDefault="00000000" w:rsidRPr="00000000" w14:paraId="0000004E">
      <w:pPr>
        <w:spacing w:line="240" w:lineRule="auto"/>
        <w:rPr>
          <w:b w:val="1"/>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hyperlink r:id="rId12">
        <w:r w:rsidDel="00000000" w:rsidR="00000000" w:rsidRPr="00000000">
          <w:rPr>
            <w:sz w:val="20"/>
            <w:szCs w:val="20"/>
            <w:vertAlign w:val="baseline"/>
            <w:rtl w:val="0"/>
          </w:rPr>
          <w:t xml:space="preserve">Anthony Kenny, </w:t>
        </w:r>
      </w:hyperlink>
      <w:hyperlink r:id="rId13">
        <w:r w:rsidDel="00000000" w:rsidR="00000000" w:rsidRPr="00000000">
          <w:rPr>
            <w:i w:val="1"/>
            <w:sz w:val="20"/>
            <w:szCs w:val="20"/>
            <w:vertAlign w:val="baseline"/>
            <w:rtl w:val="0"/>
          </w:rPr>
          <w:t xml:space="preserve">Descartes; a Study of His Philosophy</w:t>
        </w:r>
      </w:hyperlink>
      <w:hyperlink r:id="rId14">
        <w:r w:rsidDel="00000000" w:rsidR="00000000" w:rsidRPr="00000000">
          <w:rPr>
            <w:sz w:val="20"/>
            <w:szCs w:val="20"/>
            <w:vertAlign w:val="baseline"/>
            <w:rtl w:val="0"/>
          </w:rPr>
          <w:t xml:space="preserve"> (Thoemmes press, 1997).</w:t>
        </w:r>
      </w:hyperlink>
      <w:r w:rsidDel="00000000" w:rsidR="00000000" w:rsidRPr="00000000">
        <w:rPr>
          <w:rtl w:val="0"/>
        </w:rPr>
      </w:r>
    </w:p>
  </w:footnote>
  <w:footnote w:id="4">
    <w:p w:rsidR="00000000" w:rsidDel="00000000" w:rsidP="00000000" w:rsidRDefault="00000000" w:rsidRPr="00000000" w14:paraId="0000004F">
      <w:pPr>
        <w:spacing w:line="240" w:lineRule="auto"/>
        <w:rPr>
          <w:b w:val="1"/>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hyperlink r:id="rId15">
        <w:r w:rsidDel="00000000" w:rsidR="00000000" w:rsidRPr="00000000">
          <w:rPr>
            <w:sz w:val="20"/>
            <w:szCs w:val="20"/>
            <w:vertAlign w:val="baseline"/>
            <w:rtl w:val="0"/>
          </w:rPr>
          <w:t xml:space="preserve">‘The Taoist Body on JSTOR’ &lt;https://www-jstor-org.ezproxy.uwtsd.ac.uk/stable/1062436?sid=primo&amp;seq=1#metadata_info_tab_contents&gt; [accessed 7 May 2021].</w:t>
        </w:r>
      </w:hyperlink>
      <w:r w:rsidDel="00000000" w:rsidR="00000000" w:rsidRPr="00000000">
        <w:rPr>
          <w:rtl w:val="0"/>
        </w:rPr>
      </w:r>
    </w:p>
  </w:footnote>
  <w:footnote w:id="7">
    <w:p w:rsidR="00000000" w:rsidDel="00000000" w:rsidP="00000000" w:rsidRDefault="00000000" w:rsidRPr="00000000" w14:paraId="00000050">
      <w:pPr>
        <w:spacing w:line="240" w:lineRule="auto"/>
        <w:rPr>
          <w:b w:val="1"/>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hyperlink r:id="rId16">
        <w:r w:rsidDel="00000000" w:rsidR="00000000" w:rsidRPr="00000000">
          <w:rPr>
            <w:sz w:val="20"/>
            <w:szCs w:val="20"/>
            <w:vertAlign w:val="baseline"/>
            <w:rtl w:val="0"/>
          </w:rPr>
          <w:t xml:space="preserve">Aristotle.</w:t>
        </w:r>
      </w:hyperlink>
      <w:r w:rsidDel="00000000" w:rsidR="00000000" w:rsidRPr="00000000">
        <w:rPr>
          <w:rtl w:val="0"/>
        </w:rPr>
      </w:r>
    </w:p>
  </w:footnote>
  <w:footnote w:id="6">
    <w:p w:rsidR="00000000" w:rsidDel="00000000" w:rsidP="00000000" w:rsidRDefault="00000000" w:rsidRPr="00000000" w14:paraId="00000051">
      <w:pPr>
        <w:spacing w:line="240" w:lineRule="auto"/>
        <w:rPr>
          <w:b w:val="1"/>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hyperlink r:id="rId17">
        <w:r w:rsidDel="00000000" w:rsidR="00000000" w:rsidRPr="00000000">
          <w:rPr>
            <w:sz w:val="20"/>
            <w:szCs w:val="20"/>
            <w:vertAlign w:val="baseline"/>
            <w:rtl w:val="0"/>
          </w:rPr>
          <w:t xml:space="preserve">author Aristotle, </w:t>
        </w:r>
      </w:hyperlink>
      <w:hyperlink r:id="rId18">
        <w:r w:rsidDel="00000000" w:rsidR="00000000" w:rsidRPr="00000000">
          <w:rPr>
            <w:i w:val="1"/>
            <w:sz w:val="20"/>
            <w:szCs w:val="20"/>
            <w:vertAlign w:val="baseline"/>
            <w:rtl w:val="0"/>
          </w:rPr>
          <w:t xml:space="preserve">Nicomachean Ethics</w:t>
        </w:r>
      </w:hyperlink>
      <w:hyperlink r:id="rId19">
        <w:r w:rsidDel="00000000" w:rsidR="00000000" w:rsidRPr="00000000">
          <w:rPr>
            <w:sz w:val="20"/>
            <w:szCs w:val="20"/>
            <w:vertAlign w:val="baseline"/>
            <w:rtl w:val="0"/>
          </w:rPr>
          <w:t xml:space="preserve">, revised. (Cambridge, MA: Harvard University Press, 2014).</w:t>
        </w:r>
      </w:hyperlink>
      <w:r w:rsidDel="00000000" w:rsidR="00000000" w:rsidRPr="00000000">
        <w:rPr>
          <w:rtl w:val="0"/>
        </w:rPr>
      </w:r>
    </w:p>
  </w:footnote>
  <w:footnote w:id="8">
    <w:p w:rsidR="00000000" w:rsidDel="00000000" w:rsidP="00000000" w:rsidRDefault="00000000" w:rsidRPr="00000000" w14:paraId="00000052">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hyperlink r:id="rId20">
        <w:r w:rsidDel="00000000" w:rsidR="00000000" w:rsidRPr="00000000">
          <w:rPr>
            <w:sz w:val="20"/>
            <w:szCs w:val="20"/>
            <w:vertAlign w:val="baseline"/>
            <w:rtl w:val="0"/>
          </w:rPr>
          <w:t xml:space="preserve">Aristotle.</w:t>
        </w:r>
      </w:hyperlink>
      <w:r w:rsidDel="00000000" w:rsidR="00000000" w:rsidRPr="00000000">
        <w:rPr>
          <w:rtl w:val="0"/>
        </w:rPr>
      </w:r>
    </w:p>
  </w:footnote>
  <w:footnote w:id="9">
    <w:p w:rsidR="00000000" w:rsidDel="00000000" w:rsidP="00000000" w:rsidRDefault="00000000" w:rsidRPr="00000000" w14:paraId="00000053">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hyperlink r:id="rId21">
        <w:r w:rsidDel="00000000" w:rsidR="00000000" w:rsidRPr="00000000">
          <w:rPr>
            <w:sz w:val="20"/>
            <w:szCs w:val="20"/>
            <w:vertAlign w:val="baseline"/>
            <w:rtl w:val="0"/>
          </w:rPr>
          <w:t xml:space="preserve">Steve Coutinho, </w:t>
        </w:r>
      </w:hyperlink>
      <w:hyperlink r:id="rId22">
        <w:r w:rsidDel="00000000" w:rsidR="00000000" w:rsidRPr="00000000">
          <w:rPr>
            <w:i w:val="1"/>
            <w:sz w:val="20"/>
            <w:szCs w:val="20"/>
            <w:vertAlign w:val="baseline"/>
            <w:rtl w:val="0"/>
          </w:rPr>
          <w:t xml:space="preserve">An Introduction of Daoist Philosophy</w:t>
        </w:r>
      </w:hyperlink>
      <w:hyperlink r:id="rId23">
        <w:r w:rsidDel="00000000" w:rsidR="00000000" w:rsidRPr="00000000">
          <w:rPr>
            <w:sz w:val="20"/>
            <w:szCs w:val="20"/>
            <w:vertAlign w:val="baseline"/>
            <w:rtl w:val="0"/>
          </w:rPr>
          <w:t xml:space="preserve"> (Columbia University press, 2013).</w:t>
        </w:r>
      </w:hyperlink>
      <w:r w:rsidDel="00000000" w:rsidR="00000000" w:rsidRPr="00000000">
        <w:rPr>
          <w:rtl w:val="0"/>
        </w:rPr>
      </w:r>
    </w:p>
  </w:footnote>
  <w:footnote w:id="10">
    <w:p w:rsidR="00000000" w:rsidDel="00000000" w:rsidP="00000000" w:rsidRDefault="00000000" w:rsidRPr="00000000" w14:paraId="00000054">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hyperlink r:id="rId24">
        <w:r w:rsidDel="00000000" w:rsidR="00000000" w:rsidRPr="00000000">
          <w:rPr>
            <w:sz w:val="20"/>
            <w:szCs w:val="20"/>
            <w:vertAlign w:val="baseline"/>
            <w:rtl w:val="0"/>
          </w:rPr>
          <w:t xml:space="preserve">Steve Coutinho, </w:t>
        </w:r>
      </w:hyperlink>
      <w:hyperlink r:id="rId25">
        <w:r w:rsidDel="00000000" w:rsidR="00000000" w:rsidRPr="00000000">
          <w:rPr>
            <w:i w:val="1"/>
            <w:sz w:val="20"/>
            <w:szCs w:val="20"/>
            <w:vertAlign w:val="baseline"/>
            <w:rtl w:val="0"/>
          </w:rPr>
          <w:t xml:space="preserve">An Introduction of Daoist Philosophy</w:t>
        </w:r>
      </w:hyperlink>
      <w:hyperlink r:id="rId26">
        <w:r w:rsidDel="00000000" w:rsidR="00000000" w:rsidRPr="00000000">
          <w:rPr>
            <w:sz w:val="20"/>
            <w:szCs w:val="20"/>
            <w:vertAlign w:val="baseline"/>
            <w:rtl w:val="0"/>
          </w:rPr>
          <w:t xml:space="preserve"> (Columbia University press, 2013).</w:t>
        </w:r>
      </w:hyperlink>
      <w:r w:rsidDel="00000000" w:rsidR="00000000" w:rsidRPr="00000000">
        <w:rPr>
          <w:rtl w:val="0"/>
        </w:rPr>
      </w:r>
    </w:p>
  </w:footnote>
</w:footnote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20" Type="http://schemas.openxmlformats.org/officeDocument/2006/relationships/hyperlink" Target="https://www.zotero.org/google-docs/?pbJKNW" TargetMode="External"/><Relationship Id="rId22" Type="http://schemas.openxmlformats.org/officeDocument/2006/relationships/hyperlink" Target="https://www.zotero.org/google-docs/?pbJKNW" TargetMode="External"/><Relationship Id="rId21" Type="http://schemas.openxmlformats.org/officeDocument/2006/relationships/hyperlink" Target="https://www.zotero.org/google-docs/?pbJKNW" TargetMode="External"/><Relationship Id="rId24" Type="http://schemas.openxmlformats.org/officeDocument/2006/relationships/hyperlink" Target="https://www.zotero.org/google-docs/?pbJKNW" TargetMode="External"/><Relationship Id="rId23" Type="http://schemas.openxmlformats.org/officeDocument/2006/relationships/hyperlink" Target="https://www.zotero.org/google-docs/?pbJKNW"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www.zotero.org/google-docs/?pbJKNW" TargetMode="External"/><Relationship Id="rId26" Type="http://schemas.openxmlformats.org/officeDocument/2006/relationships/hyperlink" Target="https://www.zotero.org/google-docs/?pbJKNW" TargetMode="External"/><Relationship Id="rId25" Type="http://schemas.openxmlformats.org/officeDocument/2006/relationships/hyperlink" Target="https://www.zotero.org/google-docs/?pbJKNW" TargetMode="External"/><Relationship Id="rId28" Type="http://schemas.openxmlformats.org/officeDocument/2006/relationships/hyperlink" Target="https://www.zotero.org/google-docs/?pbJKNW" TargetMode="External"/><Relationship Id="rId27" Type="http://schemas.openxmlformats.org/officeDocument/2006/relationships/hyperlink" Target="https://www.zotero.org/google-docs/?pbJKNW" TargetMode="External"/><Relationship Id="rId5" Type="http://schemas.openxmlformats.org/officeDocument/2006/relationships/numbering" Target="numbering.xml"/><Relationship Id="rId6" Type="http://schemas.openxmlformats.org/officeDocument/2006/relationships/styles" Target="styles.xml"/><Relationship Id="rId7" Type="http://schemas.openxmlformats.org/officeDocument/2006/relationships/image" Target="media/image1.png"/><Relationship Id="rId8" Type="http://schemas.openxmlformats.org/officeDocument/2006/relationships/hyperlink" Target="https://www.zotero.org/google-docs/?pbJKNW" TargetMode="External"/><Relationship Id="rId11" Type="http://schemas.openxmlformats.org/officeDocument/2006/relationships/hyperlink" Target="https://www.zotero.org/google-docs/?pbJKNW" TargetMode="External"/><Relationship Id="rId10" Type="http://schemas.openxmlformats.org/officeDocument/2006/relationships/hyperlink" Target="https://www.zotero.org/google-docs/?pbJKNW" TargetMode="External"/><Relationship Id="rId13" Type="http://schemas.openxmlformats.org/officeDocument/2006/relationships/hyperlink" Target="https://www.zotero.org/google-docs/?pbJKNW" TargetMode="External"/><Relationship Id="rId12" Type="http://schemas.openxmlformats.org/officeDocument/2006/relationships/hyperlink" Target="https://www.zotero.org/google-docs/?pbJKNW" TargetMode="External"/><Relationship Id="rId15" Type="http://schemas.openxmlformats.org/officeDocument/2006/relationships/hyperlink" Target="https://www.zotero.org/google-docs/?pbJKNW" TargetMode="External"/><Relationship Id="rId14" Type="http://schemas.openxmlformats.org/officeDocument/2006/relationships/hyperlink" Target="https://www.zotero.org/google-docs/?pbJKNW" TargetMode="External"/><Relationship Id="rId17" Type="http://schemas.openxmlformats.org/officeDocument/2006/relationships/hyperlink" Target="https://www.zotero.org/google-docs/?pbJKNW" TargetMode="External"/><Relationship Id="rId16" Type="http://schemas.openxmlformats.org/officeDocument/2006/relationships/hyperlink" Target="https://www.zotero.org/google-docs/?pbJKNW" TargetMode="External"/><Relationship Id="rId19" Type="http://schemas.openxmlformats.org/officeDocument/2006/relationships/hyperlink" Target="https://www.zotero.org/google-docs/?pbJKNW" TargetMode="External"/><Relationship Id="rId18" Type="http://schemas.openxmlformats.org/officeDocument/2006/relationships/hyperlink" Target="https://www.zotero.org/google-docs/?pbJKNW" TargetMode="External"/></Relationships>
</file>

<file path=word/_rels/footnotes.xml.rels><?xml version="1.0" encoding="UTF-8" standalone="yes"?><Relationships xmlns="http://schemas.openxmlformats.org/package/2006/relationships"><Relationship Id="rId20" Type="http://schemas.openxmlformats.org/officeDocument/2006/relationships/hyperlink" Target="https://www.zotero.org/google-docs/?DfBKHu" TargetMode="External"/><Relationship Id="rId22" Type="http://schemas.openxmlformats.org/officeDocument/2006/relationships/hyperlink" Target="https://www.zotero.org/google-docs/?Tf7Scr" TargetMode="External"/><Relationship Id="rId21" Type="http://schemas.openxmlformats.org/officeDocument/2006/relationships/hyperlink" Target="https://www.zotero.org/google-docs/?Tf7Scr" TargetMode="External"/><Relationship Id="rId24" Type="http://schemas.openxmlformats.org/officeDocument/2006/relationships/hyperlink" Target="https://www.zotero.org/google-docs/?BSbpEI" TargetMode="External"/><Relationship Id="rId23" Type="http://schemas.openxmlformats.org/officeDocument/2006/relationships/hyperlink" Target="https://www.zotero.org/google-docs/?Tf7Scr" TargetMode="External"/><Relationship Id="rId1" Type="http://schemas.openxmlformats.org/officeDocument/2006/relationships/hyperlink" Target="https://www.zotero.org/google-docs/?ric6QN" TargetMode="External"/><Relationship Id="rId2" Type="http://schemas.openxmlformats.org/officeDocument/2006/relationships/hyperlink" Target="https://www.zotero.org/google-docs/?ric6QN" TargetMode="External"/><Relationship Id="rId3" Type="http://schemas.openxmlformats.org/officeDocument/2006/relationships/hyperlink" Target="https://www.zotero.org/google-docs/?ric6QN" TargetMode="External"/><Relationship Id="rId4" Type="http://schemas.openxmlformats.org/officeDocument/2006/relationships/hyperlink" Target="https://www.zotero.org/google-docs/?NU5iyD" TargetMode="External"/><Relationship Id="rId9" Type="http://schemas.openxmlformats.org/officeDocument/2006/relationships/hyperlink" Target="https://www.zotero.org/google-docs/?MIs4N6" TargetMode="External"/><Relationship Id="rId26" Type="http://schemas.openxmlformats.org/officeDocument/2006/relationships/hyperlink" Target="https://www.zotero.org/google-docs/?BSbpEI" TargetMode="External"/><Relationship Id="rId25" Type="http://schemas.openxmlformats.org/officeDocument/2006/relationships/hyperlink" Target="https://www.zotero.org/google-docs/?BSbpEI" TargetMode="External"/><Relationship Id="rId5" Type="http://schemas.openxmlformats.org/officeDocument/2006/relationships/hyperlink" Target="https://www.zotero.org/google-docs/?31NC6G" TargetMode="External"/><Relationship Id="rId6" Type="http://schemas.openxmlformats.org/officeDocument/2006/relationships/hyperlink" Target="https://www.zotero.org/google-docs/?31NC6G" TargetMode="External"/><Relationship Id="rId7" Type="http://schemas.openxmlformats.org/officeDocument/2006/relationships/hyperlink" Target="https://www.zotero.org/google-docs/?31NC6G" TargetMode="External"/><Relationship Id="rId8" Type="http://schemas.openxmlformats.org/officeDocument/2006/relationships/hyperlink" Target="https://www.zotero.org/google-docs/?MIs4N6" TargetMode="External"/><Relationship Id="rId11" Type="http://schemas.openxmlformats.org/officeDocument/2006/relationships/hyperlink" Target="https://www.zotero.org/google-docs/?E2nNwj" TargetMode="External"/><Relationship Id="rId10" Type="http://schemas.openxmlformats.org/officeDocument/2006/relationships/hyperlink" Target="https://www.zotero.org/google-docs/?MIs4N6" TargetMode="External"/><Relationship Id="rId13" Type="http://schemas.openxmlformats.org/officeDocument/2006/relationships/hyperlink" Target="https://www.zotero.org/google-docs/?Xj5C2q" TargetMode="External"/><Relationship Id="rId12" Type="http://schemas.openxmlformats.org/officeDocument/2006/relationships/hyperlink" Target="https://www.zotero.org/google-docs/?Xj5C2q" TargetMode="External"/><Relationship Id="rId15" Type="http://schemas.openxmlformats.org/officeDocument/2006/relationships/hyperlink" Target="https://www.zotero.org/google-docs/?4SbJ1z" TargetMode="External"/><Relationship Id="rId14" Type="http://schemas.openxmlformats.org/officeDocument/2006/relationships/hyperlink" Target="https://www.zotero.org/google-docs/?Xj5C2q" TargetMode="External"/><Relationship Id="rId17" Type="http://schemas.openxmlformats.org/officeDocument/2006/relationships/hyperlink" Target="https://www.zotero.org/google-docs/?JfeeTu" TargetMode="External"/><Relationship Id="rId16" Type="http://schemas.openxmlformats.org/officeDocument/2006/relationships/hyperlink" Target="https://www.zotero.org/google-docs/?sKFmqD" TargetMode="External"/><Relationship Id="rId19" Type="http://schemas.openxmlformats.org/officeDocument/2006/relationships/hyperlink" Target="https://www.zotero.org/google-docs/?JfeeTu" TargetMode="External"/><Relationship Id="rId18" Type="http://schemas.openxmlformats.org/officeDocument/2006/relationships/hyperlink" Target="https://www.zotero.org/google-docs/?JfeeTu"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