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65735" w:rsidRPr="00265735" w:rsidRDefault="000D706D" w:rsidP="00265735">
      <w:pPr>
        <w:pStyle w:val="NormalWeb"/>
        <w:spacing w:after="0"/>
        <w:ind w:left="-180" w:right="-334"/>
        <w:rPr>
          <w:rFonts w:ascii="Georgia" w:eastAsia="SimSun" w:hAnsi="Georgia" w:cs="Georgia"/>
          <w:color w:val="000000"/>
          <w:sz w:val="21"/>
          <w:szCs w:val="21"/>
          <w:lang w:val="cy-GB" w:eastAsia="zh-CN"/>
        </w:rPr>
      </w:pPr>
      <w:r w:rsidRPr="00DF1C62">
        <w:rPr>
          <w:rFonts w:asciiTheme="majorHAnsi" w:hAnsiTheme="majorHAnsi" w:cstheme="majorHAnsi"/>
          <w:b/>
          <w:sz w:val="32"/>
        </w:rPr>
        <w:tab/>
      </w:r>
      <w:r w:rsidR="00265735" w:rsidRPr="00265735">
        <w:rPr>
          <w:rFonts w:ascii="Georgia" w:eastAsia="SimSun" w:hAnsi="Georgia" w:cs="Georgia"/>
          <w:noProof/>
          <w:color w:val="000000"/>
          <w:sz w:val="21"/>
          <w:szCs w:val="21"/>
          <w:lang w:eastAsia="zh-CN"/>
        </w:rPr>
        <w:drawing>
          <wp:inline distT="0" distB="0" distL="0" distR="0">
            <wp:extent cx="2838450" cy="1009650"/>
            <wp:effectExtent l="19050" t="19050" r="19050" b="190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38450" cy="1009650"/>
                    </a:xfrm>
                    <a:prstGeom prst="rect">
                      <a:avLst/>
                    </a:prstGeom>
                    <a:solidFill>
                      <a:srgbClr val="FFFFFF">
                        <a:alpha val="0"/>
                      </a:srgbClr>
                    </a:solidFill>
                    <a:ln w="19050" cmpd="sng">
                      <a:solidFill>
                        <a:srgbClr val="000000"/>
                      </a:solidFill>
                      <a:miter lim="800000"/>
                      <a:headEnd/>
                      <a:tailEnd/>
                    </a:ln>
                    <a:effectLst/>
                  </pic:spPr>
                </pic:pic>
              </a:graphicData>
            </a:graphic>
          </wp:inline>
        </w:drawing>
      </w:r>
    </w:p>
    <w:p w:rsidR="00265735" w:rsidRPr="00265735" w:rsidRDefault="00265735" w:rsidP="00265735">
      <w:pPr>
        <w:keepNext/>
        <w:tabs>
          <w:tab w:val="num" w:pos="0"/>
        </w:tabs>
        <w:suppressAutoHyphens/>
        <w:spacing w:before="240" w:after="60" w:line="240" w:lineRule="auto"/>
        <w:jc w:val="center"/>
        <w:outlineLvl w:val="0"/>
        <w:rPr>
          <w:rFonts w:ascii="Arial" w:eastAsia="SimSun" w:hAnsi="Arial" w:cs="Arial"/>
          <w:b/>
          <w:bCs/>
          <w:kern w:val="1"/>
          <w:sz w:val="32"/>
          <w:szCs w:val="32"/>
          <w:lang w:eastAsia="zh-CN"/>
        </w:rPr>
      </w:pPr>
      <w:r w:rsidRPr="00265735">
        <w:rPr>
          <w:rFonts w:ascii="Arial" w:eastAsia="SimSun" w:hAnsi="Arial" w:cs="Arial"/>
          <w:b/>
          <w:bCs/>
          <w:kern w:val="1"/>
          <w:sz w:val="32"/>
          <w:szCs w:val="32"/>
          <w:lang w:val="cy-GB" w:eastAsia="zh-CN"/>
        </w:rPr>
        <w:t>Undergraduate assignment feedback form</w:t>
      </w:r>
    </w:p>
    <w:p w:rsidR="00265735" w:rsidRPr="00265735" w:rsidRDefault="00265735" w:rsidP="00265735">
      <w:pPr>
        <w:suppressAutoHyphens/>
        <w:spacing w:after="0" w:line="240" w:lineRule="auto"/>
        <w:jc w:val="center"/>
        <w:rPr>
          <w:rFonts w:ascii="Times New Roman" w:eastAsia="SimSun" w:hAnsi="Times New Roman" w:cs="Times New Roman"/>
          <w:sz w:val="24"/>
          <w:szCs w:val="24"/>
          <w:lang w:eastAsia="zh-CN"/>
        </w:rPr>
      </w:pPr>
      <w:r w:rsidRPr="00265735">
        <w:rPr>
          <w:rFonts w:ascii="Arial" w:eastAsia="SimSun" w:hAnsi="Arial" w:cs="Arial"/>
          <w:b/>
          <w:sz w:val="24"/>
          <w:szCs w:val="24"/>
          <w:lang w:val="cy-GB" w:eastAsia="zh-CN"/>
        </w:rPr>
        <w:t>(to be completed by marker)</w:t>
      </w:r>
    </w:p>
    <w:p w:rsidR="00265735" w:rsidRPr="00265735" w:rsidRDefault="00265735" w:rsidP="00265735">
      <w:pPr>
        <w:suppressAutoHyphens/>
        <w:spacing w:after="0" w:line="240" w:lineRule="auto"/>
        <w:jc w:val="center"/>
        <w:rPr>
          <w:rFonts w:ascii="Arial" w:eastAsia="SimSun" w:hAnsi="Arial" w:cs="Arial"/>
          <w:b/>
          <w:sz w:val="24"/>
          <w:szCs w:val="24"/>
          <w:lang w:val="cy-GB" w:eastAsia="zh-CN"/>
        </w:rPr>
      </w:pPr>
    </w:p>
    <w:p w:rsidR="00265735" w:rsidRPr="00265735" w:rsidRDefault="00265735" w:rsidP="00265735">
      <w:pPr>
        <w:keepNext/>
        <w:numPr>
          <w:ilvl w:val="2"/>
          <w:numId w:val="0"/>
        </w:numPr>
        <w:tabs>
          <w:tab w:val="num" w:pos="0"/>
        </w:tabs>
        <w:suppressAutoHyphens/>
        <w:spacing w:after="0" w:line="240" w:lineRule="auto"/>
        <w:ind w:left="720"/>
        <w:jc w:val="both"/>
        <w:outlineLvl w:val="2"/>
        <w:rPr>
          <w:rFonts w:ascii="Trebuchet MS" w:eastAsia="SimSun" w:hAnsi="Trebuchet MS" w:cs="Trebuchet MS"/>
          <w:bCs/>
          <w:sz w:val="20"/>
          <w:szCs w:val="20"/>
          <w:lang w:val="cy-GB" w:eastAsia="zh-CN"/>
        </w:rPr>
      </w:pPr>
    </w:p>
    <w:tbl>
      <w:tblPr>
        <w:tblW w:w="0" w:type="auto"/>
        <w:tblInd w:w="-5" w:type="dxa"/>
        <w:tblLayout w:type="fixed"/>
        <w:tblLook w:val="0000" w:firstRow="0" w:lastRow="0" w:firstColumn="0" w:lastColumn="0" w:noHBand="0" w:noVBand="0"/>
      </w:tblPr>
      <w:tblGrid>
        <w:gridCol w:w="4788"/>
        <w:gridCol w:w="1980"/>
        <w:gridCol w:w="1997"/>
      </w:tblGrid>
      <w:tr w:rsidR="00265735" w:rsidRPr="00265735" w:rsidTr="00831D3E">
        <w:trPr>
          <w:trHeight w:val="718"/>
        </w:trPr>
        <w:tc>
          <w:tcPr>
            <w:tcW w:w="8765"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rsidR="00265735" w:rsidRPr="00265735" w:rsidRDefault="00265735" w:rsidP="00265735">
            <w:pPr>
              <w:suppressAutoHyphens/>
              <w:spacing w:after="0" w:line="240" w:lineRule="auto"/>
              <w:ind w:right="34"/>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Student Name:</w:t>
            </w:r>
          </w:p>
          <w:p w:rsidR="00265735" w:rsidRPr="00265735" w:rsidRDefault="00265735" w:rsidP="00265735">
            <w:pPr>
              <w:suppressAutoHyphens/>
              <w:spacing w:after="0" w:line="240" w:lineRule="auto"/>
              <w:ind w:right="34"/>
              <w:rPr>
                <w:rFonts w:ascii="Calibri" w:eastAsia="SimSun" w:hAnsi="Calibri" w:cs="Tahoma"/>
                <w:i/>
                <w:color w:val="000000"/>
                <w:sz w:val="24"/>
                <w:szCs w:val="24"/>
                <w:lang w:eastAsia="zh-CN"/>
              </w:rPr>
            </w:pPr>
          </w:p>
        </w:tc>
      </w:tr>
      <w:tr w:rsidR="00265735" w:rsidRPr="00265735" w:rsidTr="00831D3E">
        <w:trPr>
          <w:trHeight w:val="849"/>
        </w:trPr>
        <w:tc>
          <w:tcPr>
            <w:tcW w:w="4788" w:type="dxa"/>
            <w:tcBorders>
              <w:top w:val="single" w:sz="4" w:space="0" w:color="000000"/>
              <w:left w:val="single" w:sz="4" w:space="0" w:color="000000"/>
              <w:bottom w:val="single" w:sz="4" w:space="0" w:color="000000"/>
            </w:tcBorders>
            <w:shd w:val="clear" w:color="auto" w:fill="auto"/>
            <w:vAlign w:val="center"/>
          </w:tcPr>
          <w:p w:rsidR="00265735" w:rsidRPr="00265735" w:rsidRDefault="00265735" w:rsidP="00265735">
            <w:pPr>
              <w:suppressAutoHyphens/>
              <w:spacing w:after="0" w:line="240" w:lineRule="auto"/>
              <w:ind w:right="34"/>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Module title:</w:t>
            </w:r>
          </w:p>
        </w:tc>
        <w:tc>
          <w:tcPr>
            <w:tcW w:w="3977" w:type="dxa"/>
            <w:gridSpan w:val="2"/>
            <w:tcBorders>
              <w:top w:val="single" w:sz="4" w:space="0" w:color="000000"/>
              <w:left w:val="single" w:sz="4" w:space="0" w:color="000000"/>
              <w:bottom w:val="single" w:sz="4" w:space="0" w:color="000000"/>
              <w:right w:val="single" w:sz="4" w:space="0" w:color="000000"/>
            </w:tcBorders>
            <w:shd w:val="clear" w:color="auto" w:fill="auto"/>
          </w:tcPr>
          <w:p w:rsidR="00265735" w:rsidRPr="00265735" w:rsidRDefault="00265735" w:rsidP="00265735">
            <w:pPr>
              <w:suppressAutoHyphens/>
              <w:spacing w:after="0" w:line="240" w:lineRule="auto"/>
              <w:ind w:right="34"/>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Student number:</w:t>
            </w:r>
          </w:p>
        </w:tc>
      </w:tr>
      <w:tr w:rsidR="00265735" w:rsidRPr="00265735" w:rsidTr="00831D3E">
        <w:trPr>
          <w:trHeight w:val="3972"/>
        </w:trPr>
        <w:tc>
          <w:tcPr>
            <w:tcW w:w="8765" w:type="dxa"/>
            <w:gridSpan w:val="3"/>
            <w:tcBorders>
              <w:top w:val="single" w:sz="4" w:space="0" w:color="000000"/>
              <w:left w:val="single" w:sz="4" w:space="0" w:color="000000"/>
              <w:bottom w:val="single" w:sz="4" w:space="0" w:color="000000"/>
              <w:right w:val="single" w:sz="4" w:space="0" w:color="000000"/>
            </w:tcBorders>
            <w:shd w:val="clear" w:color="auto" w:fill="auto"/>
          </w:tcPr>
          <w:p w:rsidR="00265735" w:rsidRPr="00265735" w:rsidRDefault="00265735" w:rsidP="00265735">
            <w:pPr>
              <w:suppressAutoHyphens/>
              <w:spacing w:after="0" w:line="240" w:lineRule="auto"/>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For completion by marker:</w:t>
            </w:r>
          </w:p>
          <w:p w:rsidR="00265735" w:rsidRPr="00265735" w:rsidRDefault="00265735" w:rsidP="00265735">
            <w:pPr>
              <w:suppressAutoHyphens/>
              <w:spacing w:before="280" w:after="280" w:line="240" w:lineRule="auto"/>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Comments:</w:t>
            </w: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280" w:line="240" w:lineRule="auto"/>
              <w:rPr>
                <w:rFonts w:ascii="Calibri" w:eastAsia="SimSun" w:hAnsi="Calibri" w:cs="Tahoma"/>
                <w:i/>
                <w:color w:val="000000"/>
                <w:sz w:val="24"/>
                <w:szCs w:val="24"/>
                <w:lang w:eastAsia="zh-CN"/>
              </w:rPr>
            </w:pPr>
          </w:p>
          <w:p w:rsidR="00265735" w:rsidRPr="00265735" w:rsidRDefault="00265735" w:rsidP="00265735">
            <w:pPr>
              <w:suppressAutoHyphens/>
              <w:spacing w:before="280" w:after="0" w:line="240" w:lineRule="auto"/>
              <w:rPr>
                <w:rFonts w:ascii="Calibri" w:eastAsia="SimSun" w:hAnsi="Calibri" w:cs="Tahoma"/>
                <w:i/>
                <w:color w:val="000000"/>
                <w:sz w:val="24"/>
                <w:szCs w:val="24"/>
                <w:lang w:eastAsia="zh-CN"/>
              </w:rPr>
            </w:pPr>
          </w:p>
        </w:tc>
      </w:tr>
      <w:tr w:rsidR="00265735" w:rsidRPr="00265735" w:rsidTr="00831D3E">
        <w:trPr>
          <w:trHeight w:val="492"/>
        </w:trPr>
        <w:tc>
          <w:tcPr>
            <w:tcW w:w="6768" w:type="dxa"/>
            <w:gridSpan w:val="2"/>
            <w:tcBorders>
              <w:top w:val="single" w:sz="4" w:space="0" w:color="000000"/>
              <w:left w:val="single" w:sz="4" w:space="0" w:color="000000"/>
              <w:bottom w:val="single" w:sz="4" w:space="0" w:color="000000"/>
            </w:tcBorders>
            <w:shd w:val="clear" w:color="auto" w:fill="auto"/>
            <w:vAlign w:val="center"/>
          </w:tcPr>
          <w:p w:rsidR="00265735" w:rsidRPr="00265735" w:rsidRDefault="00265735" w:rsidP="00265735">
            <w:pPr>
              <w:suppressAutoHyphens/>
              <w:spacing w:before="280" w:after="0" w:line="240" w:lineRule="auto"/>
              <w:ind w:left="142" w:right="34"/>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Marker’s signature:</w:t>
            </w:r>
          </w:p>
        </w:tc>
        <w:tc>
          <w:tcPr>
            <w:tcW w:w="1997" w:type="dxa"/>
            <w:tcBorders>
              <w:top w:val="single" w:sz="4" w:space="0" w:color="000000"/>
              <w:left w:val="single" w:sz="4" w:space="0" w:color="000000"/>
              <w:bottom w:val="single" w:sz="4" w:space="0" w:color="000000"/>
              <w:right w:val="single" w:sz="4" w:space="0" w:color="000000"/>
            </w:tcBorders>
            <w:shd w:val="clear" w:color="auto" w:fill="auto"/>
            <w:vAlign w:val="center"/>
          </w:tcPr>
          <w:p w:rsidR="00265735" w:rsidRPr="00265735" w:rsidRDefault="00265735" w:rsidP="00265735">
            <w:pPr>
              <w:suppressAutoHyphens/>
              <w:spacing w:before="280" w:after="0" w:line="240" w:lineRule="auto"/>
              <w:ind w:left="142" w:right="34"/>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Date:</w:t>
            </w:r>
          </w:p>
        </w:tc>
      </w:tr>
      <w:tr w:rsidR="00265735" w:rsidRPr="00265735" w:rsidTr="00831D3E">
        <w:tc>
          <w:tcPr>
            <w:tcW w:w="8765" w:type="dxa"/>
            <w:gridSpan w:val="3"/>
            <w:tcBorders>
              <w:top w:val="single" w:sz="4" w:space="0" w:color="000000"/>
              <w:left w:val="single" w:sz="4" w:space="0" w:color="000000"/>
              <w:bottom w:val="single" w:sz="4" w:space="0" w:color="000000"/>
              <w:right w:val="single" w:sz="4" w:space="0" w:color="000000"/>
            </w:tcBorders>
            <w:shd w:val="clear" w:color="auto" w:fill="auto"/>
            <w:vAlign w:val="center"/>
          </w:tcPr>
          <w:p w:rsidR="00265735" w:rsidRPr="00265735" w:rsidRDefault="00265735" w:rsidP="00265735">
            <w:pPr>
              <w:suppressAutoHyphens/>
              <w:spacing w:after="0" w:line="240" w:lineRule="auto"/>
              <w:ind w:left="142" w:right="34"/>
              <w:rPr>
                <w:rFonts w:ascii="Georgia" w:eastAsia="SimSun" w:hAnsi="Georgia" w:cs="Georgia"/>
                <w:color w:val="000000"/>
                <w:sz w:val="21"/>
                <w:szCs w:val="21"/>
                <w:lang w:eastAsia="zh-CN"/>
              </w:rPr>
            </w:pPr>
            <w:r w:rsidRPr="00265735">
              <w:rPr>
                <w:rFonts w:ascii="Calibri" w:eastAsia="SimSun" w:hAnsi="Calibri" w:cs="Tahoma"/>
                <w:i/>
                <w:color w:val="000000"/>
                <w:sz w:val="24"/>
                <w:szCs w:val="24"/>
                <w:lang w:eastAsia="zh-CN"/>
              </w:rPr>
              <w:t xml:space="preserve">Provisional mark: </w:t>
            </w:r>
          </w:p>
          <w:p w:rsidR="00265735" w:rsidRPr="00265735" w:rsidRDefault="00265735" w:rsidP="00265735">
            <w:pPr>
              <w:suppressAutoHyphens/>
              <w:spacing w:after="0" w:line="240" w:lineRule="auto"/>
              <w:ind w:left="142" w:right="34"/>
              <w:rPr>
                <w:rFonts w:ascii="Georgia" w:eastAsia="SimSun" w:hAnsi="Georgia" w:cs="Georgia"/>
                <w:color w:val="000000"/>
                <w:sz w:val="21"/>
                <w:szCs w:val="21"/>
                <w:lang w:eastAsia="zh-CN"/>
              </w:rPr>
            </w:pPr>
            <w:r w:rsidRPr="00265735">
              <w:rPr>
                <w:rFonts w:ascii="Calibri" w:eastAsia="SimSun" w:hAnsi="Calibri" w:cs="Tahoma"/>
                <w:b/>
                <w:i/>
                <w:color w:val="000000"/>
                <w:sz w:val="24"/>
                <w:szCs w:val="24"/>
                <w:lang w:eastAsia="zh-CN"/>
              </w:rPr>
              <w:t>NB.</w:t>
            </w:r>
            <w:r w:rsidRPr="00265735">
              <w:rPr>
                <w:rFonts w:ascii="Calibri" w:eastAsia="SimSun" w:hAnsi="Calibri" w:cs="Tahoma"/>
                <w:i/>
                <w:color w:val="000000"/>
                <w:sz w:val="24"/>
                <w:szCs w:val="24"/>
                <w:lang w:eastAsia="zh-CN"/>
              </w:rPr>
              <w:t xml:space="preserve">  All marks are provisional until confirmed by the final examination board. </w:t>
            </w:r>
          </w:p>
        </w:tc>
      </w:tr>
    </w:tbl>
    <w:p w:rsidR="00265735" w:rsidRPr="00265735" w:rsidRDefault="00265735" w:rsidP="00265735">
      <w:pPr>
        <w:suppressAutoHyphens/>
        <w:spacing w:after="0" w:line="240" w:lineRule="auto"/>
        <w:rPr>
          <w:rFonts w:ascii="Times New Roman" w:eastAsia="SimSun" w:hAnsi="Times New Roman" w:cs="Times New Roman"/>
          <w:sz w:val="24"/>
          <w:szCs w:val="24"/>
          <w:lang w:eastAsia="zh-CN"/>
        </w:rPr>
      </w:pPr>
    </w:p>
    <w:p w:rsidR="00265735" w:rsidRPr="00265735" w:rsidRDefault="00265735" w:rsidP="00265735">
      <w:pPr>
        <w:suppressAutoHyphens/>
        <w:spacing w:after="0" w:line="240" w:lineRule="auto"/>
        <w:rPr>
          <w:rFonts w:ascii="Times New Roman" w:eastAsia="SimSun" w:hAnsi="Times New Roman" w:cs="Times New Roman"/>
          <w:sz w:val="24"/>
          <w:szCs w:val="24"/>
          <w:lang w:eastAsia="zh-CN"/>
        </w:rPr>
      </w:pPr>
    </w:p>
    <w:p w:rsidR="00265735" w:rsidRPr="00265735" w:rsidRDefault="00265735" w:rsidP="00265735">
      <w:pPr>
        <w:suppressAutoHyphens/>
        <w:spacing w:after="0" w:line="240" w:lineRule="auto"/>
        <w:rPr>
          <w:rFonts w:ascii="Times New Roman" w:eastAsia="SimSun" w:hAnsi="Times New Roman" w:cs="Times New Roman"/>
          <w:sz w:val="24"/>
          <w:szCs w:val="24"/>
          <w:lang w:eastAsia="zh-CN"/>
        </w:rPr>
      </w:pPr>
    </w:p>
    <w:p w:rsidR="00265735" w:rsidRPr="00265735" w:rsidRDefault="00265735" w:rsidP="00265735">
      <w:pPr>
        <w:suppressAutoHyphens/>
        <w:spacing w:after="0" w:line="240" w:lineRule="auto"/>
        <w:rPr>
          <w:rFonts w:ascii="Times New Roman" w:eastAsia="SimSun" w:hAnsi="Times New Roman" w:cs="Times New Roman"/>
          <w:sz w:val="24"/>
          <w:szCs w:val="24"/>
          <w:lang w:eastAsia="zh-CN"/>
        </w:rPr>
      </w:pPr>
    </w:p>
    <w:p w:rsidR="00047B50" w:rsidRPr="000F49D8" w:rsidRDefault="00FE1E6F" w:rsidP="009B2BD0">
      <w:pPr>
        <w:pStyle w:val="NoSpacing"/>
        <w:jc w:val="center"/>
        <w:rPr>
          <w:rFonts w:asciiTheme="majorHAnsi" w:hAnsiTheme="majorHAnsi" w:cstheme="majorHAnsi"/>
          <w:b/>
          <w:sz w:val="36"/>
          <w:szCs w:val="24"/>
        </w:rPr>
      </w:pPr>
      <w:r w:rsidRPr="000F49D8">
        <w:rPr>
          <w:rFonts w:asciiTheme="majorHAnsi" w:hAnsiTheme="majorHAnsi" w:cstheme="majorHAnsi"/>
          <w:b/>
          <w:sz w:val="36"/>
          <w:szCs w:val="24"/>
        </w:rPr>
        <w:t>How reliable are Tacitus’ works as a source on Britain between AD 43 and AD 120? What inconsistencies and biases can you detect? Do you have any complementary literary, epigraphic and archaeological support to verify Tacitus’ accounts?</w:t>
      </w:r>
    </w:p>
    <w:p w:rsidR="00FC18DF" w:rsidRPr="00DF1C62" w:rsidRDefault="00FC18DF" w:rsidP="00265735">
      <w:pPr>
        <w:pStyle w:val="NoSpacing"/>
        <w:rPr>
          <w:rFonts w:asciiTheme="majorHAnsi" w:hAnsiTheme="majorHAnsi" w:cstheme="majorHAnsi"/>
          <w:b/>
          <w:sz w:val="24"/>
          <w:szCs w:val="24"/>
        </w:rPr>
      </w:pPr>
    </w:p>
    <w:p w:rsidR="00FD3A2F" w:rsidRPr="00DF1C62" w:rsidRDefault="005F796F"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Between the Claudian invasion of AD 43 and the early reign of Hadrian in AD 120 there was profound change on the island of Britain. B</w:t>
      </w:r>
      <w:r w:rsidR="00545668" w:rsidRPr="00DF1C62">
        <w:rPr>
          <w:rFonts w:asciiTheme="majorHAnsi" w:hAnsiTheme="majorHAnsi" w:cstheme="majorHAnsi"/>
          <w:sz w:val="24"/>
          <w:szCs w:val="24"/>
        </w:rPr>
        <w:t>etween these years most of the i</w:t>
      </w:r>
      <w:r w:rsidRPr="00DF1C62">
        <w:rPr>
          <w:rFonts w:asciiTheme="majorHAnsi" w:hAnsiTheme="majorHAnsi" w:cstheme="majorHAnsi"/>
          <w:sz w:val="24"/>
          <w:szCs w:val="24"/>
        </w:rPr>
        <w:t xml:space="preserve">sland was transformed </w:t>
      </w:r>
      <w:r w:rsidR="009B2FD2" w:rsidRPr="00DF1C62">
        <w:rPr>
          <w:rFonts w:asciiTheme="majorHAnsi" w:hAnsiTheme="majorHAnsi" w:cstheme="majorHAnsi"/>
          <w:sz w:val="24"/>
          <w:szCs w:val="24"/>
        </w:rPr>
        <w:t xml:space="preserve">from </w:t>
      </w:r>
      <w:r w:rsidRPr="00DF1C62">
        <w:rPr>
          <w:rFonts w:asciiTheme="majorHAnsi" w:hAnsiTheme="majorHAnsi" w:cstheme="majorHAnsi"/>
          <w:sz w:val="24"/>
          <w:szCs w:val="24"/>
        </w:rPr>
        <w:t xml:space="preserve">an island ruled by independent </w:t>
      </w:r>
      <w:r w:rsidR="00545668" w:rsidRPr="00DF1C62">
        <w:rPr>
          <w:rFonts w:asciiTheme="majorHAnsi" w:hAnsiTheme="majorHAnsi" w:cstheme="majorHAnsi"/>
          <w:sz w:val="24"/>
          <w:szCs w:val="24"/>
        </w:rPr>
        <w:t>tribes into an imperial p</w:t>
      </w:r>
      <w:r w:rsidR="009B2FD2" w:rsidRPr="00DF1C62">
        <w:rPr>
          <w:rFonts w:asciiTheme="majorHAnsi" w:hAnsiTheme="majorHAnsi" w:cstheme="majorHAnsi"/>
          <w:sz w:val="24"/>
          <w:szCs w:val="24"/>
        </w:rPr>
        <w:t xml:space="preserve">rovince of the Roman Empire. Unfortunately, besides archaeological, and epigraphic evidence not much literary evidence about this period survives to this day. However, out of the few literacy sources that do survive are the works of Publius Cornelius Tacitus. Works which provides us with a comprehensive history of this period. His </w:t>
      </w:r>
      <w:r w:rsidR="009B2FD2" w:rsidRPr="00DF1C62">
        <w:rPr>
          <w:rFonts w:asciiTheme="majorHAnsi" w:hAnsiTheme="majorHAnsi" w:cstheme="majorHAnsi"/>
          <w:i/>
          <w:sz w:val="24"/>
          <w:szCs w:val="24"/>
        </w:rPr>
        <w:t xml:space="preserve">Agricola, Annals, </w:t>
      </w:r>
      <w:r w:rsidR="009B2FD2" w:rsidRPr="00DF1C62">
        <w:rPr>
          <w:rFonts w:asciiTheme="majorHAnsi" w:hAnsiTheme="majorHAnsi" w:cstheme="majorHAnsi"/>
          <w:sz w:val="24"/>
          <w:szCs w:val="24"/>
        </w:rPr>
        <w:t xml:space="preserve">and </w:t>
      </w:r>
      <w:r w:rsidR="009B2FD2" w:rsidRPr="00DF1C62">
        <w:rPr>
          <w:rFonts w:asciiTheme="majorHAnsi" w:hAnsiTheme="majorHAnsi" w:cstheme="majorHAnsi"/>
          <w:i/>
          <w:sz w:val="24"/>
          <w:szCs w:val="24"/>
        </w:rPr>
        <w:t>Histories</w:t>
      </w:r>
      <w:r w:rsidR="009B2FD2" w:rsidRPr="00DF1C62">
        <w:rPr>
          <w:rFonts w:asciiTheme="majorHAnsi" w:hAnsiTheme="majorHAnsi" w:cstheme="majorHAnsi"/>
          <w:sz w:val="24"/>
          <w:szCs w:val="24"/>
        </w:rPr>
        <w:t>, give us details on events such as the rebellion of Boudicca</w:t>
      </w:r>
      <w:r w:rsidR="00014AF9" w:rsidRPr="00DF1C62">
        <w:rPr>
          <w:rFonts w:asciiTheme="majorHAnsi" w:hAnsiTheme="majorHAnsi" w:cstheme="majorHAnsi"/>
          <w:sz w:val="24"/>
          <w:szCs w:val="24"/>
        </w:rPr>
        <w:t xml:space="preserve">, </w:t>
      </w:r>
      <w:r w:rsidR="009B2FD2" w:rsidRPr="00DF1C62">
        <w:rPr>
          <w:rFonts w:asciiTheme="majorHAnsi" w:hAnsiTheme="majorHAnsi" w:cstheme="majorHAnsi"/>
          <w:sz w:val="24"/>
          <w:szCs w:val="24"/>
        </w:rPr>
        <w:t>Agricola’</w:t>
      </w:r>
      <w:r w:rsidR="00014AF9" w:rsidRPr="00DF1C62">
        <w:rPr>
          <w:rFonts w:asciiTheme="majorHAnsi" w:hAnsiTheme="majorHAnsi" w:cstheme="majorHAnsi"/>
          <w:sz w:val="24"/>
          <w:szCs w:val="24"/>
        </w:rPr>
        <w:t>s Cam</w:t>
      </w:r>
      <w:r w:rsidR="00FA7A63" w:rsidRPr="00DF1C62">
        <w:rPr>
          <w:rFonts w:asciiTheme="majorHAnsi" w:hAnsiTheme="majorHAnsi" w:cstheme="majorHAnsi"/>
          <w:sz w:val="24"/>
          <w:szCs w:val="24"/>
        </w:rPr>
        <w:t>paigns in Scotland, and the organisation of the province</w:t>
      </w:r>
      <w:r w:rsidR="00014AF9" w:rsidRPr="00DF1C62">
        <w:rPr>
          <w:rFonts w:asciiTheme="majorHAnsi" w:hAnsiTheme="majorHAnsi" w:cstheme="majorHAnsi"/>
          <w:sz w:val="24"/>
          <w:szCs w:val="24"/>
        </w:rPr>
        <w:t>. However, even though this information proves useful in learning about the history</w:t>
      </w:r>
      <w:r w:rsidR="00545668" w:rsidRPr="00DF1C62">
        <w:rPr>
          <w:rFonts w:asciiTheme="majorHAnsi" w:hAnsiTheme="majorHAnsi" w:cstheme="majorHAnsi"/>
          <w:sz w:val="24"/>
          <w:szCs w:val="24"/>
        </w:rPr>
        <w:t xml:space="preserve"> of Britain during this period, q</w:t>
      </w:r>
      <w:r w:rsidR="00014AF9" w:rsidRPr="00DF1C62">
        <w:rPr>
          <w:rFonts w:asciiTheme="majorHAnsi" w:hAnsiTheme="majorHAnsi" w:cstheme="majorHAnsi"/>
          <w:sz w:val="24"/>
          <w:szCs w:val="24"/>
        </w:rPr>
        <w:t>uestions must be asked as to how reliable Tacitus’ reco</w:t>
      </w:r>
      <w:r w:rsidR="00C15BBC" w:rsidRPr="00DF1C62">
        <w:rPr>
          <w:rFonts w:asciiTheme="majorHAnsi" w:hAnsiTheme="majorHAnsi" w:cstheme="majorHAnsi"/>
          <w:sz w:val="24"/>
          <w:szCs w:val="24"/>
        </w:rPr>
        <w:t>rd is. Do his histories tell us what really happened during occupation, or does he write a history based on assumptions or with a personal bias instead of objective fact? This essay shall be an attempt to answer these questions. This shall be done by looking at literary sources, archaeological ev</w:t>
      </w:r>
      <w:r w:rsidR="00F16A8F" w:rsidRPr="00DF1C62">
        <w:rPr>
          <w:rFonts w:asciiTheme="majorHAnsi" w:hAnsiTheme="majorHAnsi" w:cstheme="majorHAnsi"/>
          <w:sz w:val="24"/>
          <w:szCs w:val="24"/>
        </w:rPr>
        <w:t>i</w:t>
      </w:r>
      <w:r w:rsidR="00894142" w:rsidRPr="00DF1C62">
        <w:rPr>
          <w:rFonts w:asciiTheme="majorHAnsi" w:hAnsiTheme="majorHAnsi" w:cstheme="majorHAnsi"/>
          <w:sz w:val="24"/>
          <w:szCs w:val="24"/>
        </w:rPr>
        <w:t>dence, and epigraphic sources w</w:t>
      </w:r>
      <w:r w:rsidR="00F16A8F" w:rsidRPr="00DF1C62">
        <w:rPr>
          <w:rFonts w:asciiTheme="majorHAnsi" w:hAnsiTheme="majorHAnsi" w:cstheme="majorHAnsi"/>
          <w:sz w:val="24"/>
          <w:szCs w:val="24"/>
        </w:rPr>
        <w:t xml:space="preserve">ith the aim to test the reliability of Tacitus’ work within the context of Roman Britain between AD 43 and AD 120. </w:t>
      </w:r>
    </w:p>
    <w:p w:rsidR="00084DD5" w:rsidRPr="00DF1C62" w:rsidRDefault="00084DD5" w:rsidP="00265735">
      <w:pPr>
        <w:pStyle w:val="NoSpacing"/>
        <w:spacing w:line="480" w:lineRule="auto"/>
        <w:rPr>
          <w:rFonts w:asciiTheme="majorHAnsi" w:hAnsiTheme="majorHAnsi" w:cstheme="majorHAnsi"/>
          <w:sz w:val="24"/>
          <w:szCs w:val="24"/>
        </w:rPr>
      </w:pPr>
    </w:p>
    <w:p w:rsidR="005F0608" w:rsidRPr="00DF1C62" w:rsidRDefault="0022312A"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lastRenderedPageBreak/>
        <w:t>One of the main events that is covered in Tacitus’ writings about the period is Boudicca’s rebellion.</w:t>
      </w:r>
      <w:r w:rsidR="00B347EF">
        <w:rPr>
          <w:rStyle w:val="FootnoteReference"/>
          <w:rFonts w:asciiTheme="majorHAnsi" w:hAnsiTheme="majorHAnsi" w:cstheme="majorHAnsi"/>
          <w:sz w:val="24"/>
          <w:szCs w:val="24"/>
        </w:rPr>
        <w:footnoteReference w:id="1"/>
      </w:r>
      <w:r w:rsidRPr="00DF1C62">
        <w:rPr>
          <w:rFonts w:asciiTheme="majorHAnsi" w:hAnsiTheme="majorHAnsi" w:cstheme="majorHAnsi"/>
          <w:sz w:val="24"/>
          <w:szCs w:val="24"/>
        </w:rPr>
        <w:t xml:space="preserve"> In AD 60, Queen Boudicca of the Iceni rebelled against the Romans.</w:t>
      </w:r>
      <w:r w:rsidR="00B9784F">
        <w:rPr>
          <w:rStyle w:val="FootnoteReference"/>
          <w:rFonts w:asciiTheme="majorHAnsi" w:hAnsiTheme="majorHAnsi" w:cstheme="majorHAnsi"/>
          <w:sz w:val="24"/>
          <w:szCs w:val="24"/>
        </w:rPr>
        <w:footnoteReference w:id="2"/>
      </w:r>
      <w:r w:rsidRPr="00DF1C62">
        <w:rPr>
          <w:rFonts w:asciiTheme="majorHAnsi" w:hAnsiTheme="majorHAnsi" w:cstheme="majorHAnsi"/>
          <w:sz w:val="24"/>
          <w:szCs w:val="24"/>
        </w:rPr>
        <w:t xml:space="preserve"> In his </w:t>
      </w:r>
      <w:r w:rsidRPr="00DF1C62">
        <w:rPr>
          <w:rFonts w:asciiTheme="majorHAnsi" w:hAnsiTheme="majorHAnsi" w:cstheme="majorHAnsi"/>
          <w:i/>
          <w:sz w:val="24"/>
          <w:szCs w:val="24"/>
        </w:rPr>
        <w:t>Annals</w:t>
      </w:r>
      <w:r w:rsidRPr="00DF1C62">
        <w:rPr>
          <w:rFonts w:asciiTheme="majorHAnsi" w:hAnsiTheme="majorHAnsi" w:cstheme="majorHAnsi"/>
          <w:sz w:val="24"/>
          <w:szCs w:val="24"/>
        </w:rPr>
        <w:t xml:space="preserve"> Tacitus describes how Boudicca came to rebel against the Romans.</w:t>
      </w:r>
      <w:r w:rsidR="009E52FF">
        <w:rPr>
          <w:rStyle w:val="FootnoteReference"/>
          <w:rFonts w:asciiTheme="majorHAnsi" w:hAnsiTheme="majorHAnsi" w:cstheme="majorHAnsi"/>
          <w:sz w:val="24"/>
          <w:szCs w:val="24"/>
        </w:rPr>
        <w:footnoteReference w:id="3"/>
      </w:r>
      <w:r w:rsidRPr="00DF1C62">
        <w:rPr>
          <w:rFonts w:asciiTheme="majorHAnsi" w:hAnsiTheme="majorHAnsi" w:cstheme="majorHAnsi"/>
          <w:sz w:val="24"/>
          <w:szCs w:val="24"/>
        </w:rPr>
        <w:t xml:space="preserve"> He states that after the death of her husband, who had left his kingdom to the Roman</w:t>
      </w:r>
      <w:r w:rsidR="00697C7D" w:rsidRPr="00DF1C62">
        <w:rPr>
          <w:rFonts w:asciiTheme="majorHAnsi" w:hAnsiTheme="majorHAnsi" w:cstheme="majorHAnsi"/>
          <w:sz w:val="24"/>
          <w:szCs w:val="24"/>
        </w:rPr>
        <w:t>s</w:t>
      </w:r>
      <w:r w:rsidRPr="00DF1C62">
        <w:rPr>
          <w:rFonts w:asciiTheme="majorHAnsi" w:hAnsiTheme="majorHAnsi" w:cstheme="majorHAnsi"/>
          <w:sz w:val="24"/>
          <w:szCs w:val="24"/>
        </w:rPr>
        <w:t>, Boudicca a</w:t>
      </w:r>
      <w:r w:rsidR="003C48F3" w:rsidRPr="00DF1C62">
        <w:rPr>
          <w:rFonts w:asciiTheme="majorHAnsi" w:hAnsiTheme="majorHAnsi" w:cstheme="majorHAnsi"/>
          <w:sz w:val="24"/>
          <w:szCs w:val="24"/>
        </w:rPr>
        <w:t>n</w:t>
      </w:r>
      <w:r w:rsidRPr="00DF1C62">
        <w:rPr>
          <w:rFonts w:asciiTheme="majorHAnsi" w:hAnsiTheme="majorHAnsi" w:cstheme="majorHAnsi"/>
          <w:sz w:val="24"/>
          <w:szCs w:val="24"/>
        </w:rPr>
        <w:t>d her daughter</w:t>
      </w:r>
      <w:r w:rsidR="003C48F3" w:rsidRPr="00DF1C62">
        <w:rPr>
          <w:rFonts w:asciiTheme="majorHAnsi" w:hAnsiTheme="majorHAnsi" w:cstheme="majorHAnsi"/>
          <w:sz w:val="24"/>
          <w:szCs w:val="24"/>
        </w:rPr>
        <w:t>s</w:t>
      </w:r>
      <w:r w:rsidR="00545668" w:rsidRPr="00DF1C62">
        <w:rPr>
          <w:rFonts w:asciiTheme="majorHAnsi" w:hAnsiTheme="majorHAnsi" w:cstheme="majorHAnsi"/>
          <w:sz w:val="24"/>
          <w:szCs w:val="24"/>
        </w:rPr>
        <w:t xml:space="preserve"> w</w:t>
      </w:r>
      <w:r w:rsidRPr="00DF1C62">
        <w:rPr>
          <w:rFonts w:asciiTheme="majorHAnsi" w:hAnsiTheme="majorHAnsi" w:cstheme="majorHAnsi"/>
          <w:sz w:val="24"/>
          <w:szCs w:val="24"/>
        </w:rPr>
        <w:t>ere raped.</w:t>
      </w:r>
      <w:r w:rsidR="00793627">
        <w:rPr>
          <w:rStyle w:val="FootnoteReference"/>
          <w:rFonts w:asciiTheme="majorHAnsi" w:hAnsiTheme="majorHAnsi" w:cstheme="majorHAnsi"/>
          <w:sz w:val="24"/>
          <w:szCs w:val="24"/>
        </w:rPr>
        <w:footnoteReference w:id="4"/>
      </w:r>
      <w:r w:rsidRPr="00DF1C62">
        <w:rPr>
          <w:rFonts w:asciiTheme="majorHAnsi" w:hAnsiTheme="majorHAnsi" w:cstheme="majorHAnsi"/>
          <w:sz w:val="24"/>
          <w:szCs w:val="24"/>
        </w:rPr>
        <w:t xml:space="preserve"> Whilst the tribal nobility </w:t>
      </w:r>
      <w:r w:rsidR="00C529A0" w:rsidRPr="00DF1C62">
        <w:rPr>
          <w:rFonts w:asciiTheme="majorHAnsi" w:hAnsiTheme="majorHAnsi" w:cstheme="majorHAnsi"/>
          <w:sz w:val="24"/>
          <w:szCs w:val="24"/>
        </w:rPr>
        <w:t>was</w:t>
      </w:r>
      <w:r w:rsidRPr="00DF1C62">
        <w:rPr>
          <w:rFonts w:asciiTheme="majorHAnsi" w:hAnsiTheme="majorHAnsi" w:cstheme="majorHAnsi"/>
          <w:sz w:val="24"/>
          <w:szCs w:val="24"/>
        </w:rPr>
        <w:t xml:space="preserve"> stripped of their fiefs an</w:t>
      </w:r>
      <w:r w:rsidR="00C529A0" w:rsidRPr="00DF1C62">
        <w:rPr>
          <w:rFonts w:asciiTheme="majorHAnsi" w:hAnsiTheme="majorHAnsi" w:cstheme="majorHAnsi"/>
          <w:sz w:val="24"/>
          <w:szCs w:val="24"/>
        </w:rPr>
        <w:t>d</w:t>
      </w:r>
      <w:r w:rsidRPr="00DF1C62">
        <w:rPr>
          <w:rFonts w:asciiTheme="majorHAnsi" w:hAnsiTheme="majorHAnsi" w:cstheme="majorHAnsi"/>
          <w:sz w:val="24"/>
          <w:szCs w:val="24"/>
        </w:rPr>
        <w:t xml:space="preserve"> the king’s family treated as slaves.</w:t>
      </w:r>
      <w:r w:rsidR="00700996">
        <w:rPr>
          <w:rStyle w:val="FootnoteReference"/>
          <w:rFonts w:asciiTheme="majorHAnsi" w:hAnsiTheme="majorHAnsi" w:cstheme="majorHAnsi"/>
          <w:sz w:val="24"/>
          <w:szCs w:val="24"/>
        </w:rPr>
        <w:footnoteReference w:id="5"/>
      </w:r>
      <w:r w:rsidRPr="00DF1C62">
        <w:rPr>
          <w:rFonts w:asciiTheme="majorHAnsi" w:hAnsiTheme="majorHAnsi" w:cstheme="majorHAnsi"/>
          <w:sz w:val="24"/>
          <w:szCs w:val="24"/>
        </w:rPr>
        <w:t xml:space="preserve"> </w:t>
      </w:r>
      <w:r w:rsidR="003C48F3" w:rsidRPr="00DF1C62">
        <w:rPr>
          <w:rFonts w:asciiTheme="majorHAnsi" w:hAnsiTheme="majorHAnsi" w:cstheme="majorHAnsi"/>
          <w:sz w:val="24"/>
          <w:szCs w:val="24"/>
        </w:rPr>
        <w:t xml:space="preserve">He then also states that Boudicca went on to sack </w:t>
      </w:r>
      <w:bookmarkStart w:id="0" w:name="_Hlk496303031"/>
      <w:r w:rsidR="003C48F3" w:rsidRPr="00DF1C62">
        <w:rPr>
          <w:rFonts w:asciiTheme="majorHAnsi" w:hAnsiTheme="majorHAnsi" w:cstheme="majorHAnsi"/>
          <w:sz w:val="24"/>
          <w:szCs w:val="24"/>
        </w:rPr>
        <w:t>Camulodunum</w:t>
      </w:r>
      <w:bookmarkEnd w:id="0"/>
      <w:r w:rsidR="003C48F3" w:rsidRPr="00DF1C62">
        <w:rPr>
          <w:rFonts w:asciiTheme="majorHAnsi" w:hAnsiTheme="majorHAnsi" w:cstheme="majorHAnsi"/>
          <w:sz w:val="24"/>
          <w:szCs w:val="24"/>
        </w:rPr>
        <w:t>, Londinium, and Verulamium.</w:t>
      </w:r>
      <w:r w:rsidR="00D42323">
        <w:rPr>
          <w:rStyle w:val="FootnoteReference"/>
          <w:rFonts w:asciiTheme="majorHAnsi" w:hAnsiTheme="majorHAnsi" w:cstheme="majorHAnsi"/>
          <w:sz w:val="24"/>
          <w:szCs w:val="24"/>
        </w:rPr>
        <w:footnoteReference w:id="6"/>
      </w:r>
      <w:r w:rsidR="003C48F3" w:rsidRPr="00DF1C62">
        <w:rPr>
          <w:rFonts w:asciiTheme="majorHAnsi" w:hAnsiTheme="majorHAnsi" w:cstheme="majorHAnsi"/>
          <w:sz w:val="24"/>
          <w:szCs w:val="24"/>
        </w:rPr>
        <w:t xml:space="preserve"> In can be safely assumed that Tacitus’ writings can be considered reliable in this instance since the archaeological record supports the idea that these cities were sacked.</w:t>
      </w:r>
      <w:r w:rsidR="00921114">
        <w:rPr>
          <w:rStyle w:val="FootnoteReference"/>
          <w:rFonts w:asciiTheme="majorHAnsi" w:hAnsiTheme="majorHAnsi" w:cstheme="majorHAnsi"/>
          <w:sz w:val="24"/>
          <w:szCs w:val="24"/>
        </w:rPr>
        <w:footnoteReference w:id="7"/>
      </w:r>
      <w:r w:rsidR="003C48F3" w:rsidRPr="00DF1C62">
        <w:rPr>
          <w:rFonts w:asciiTheme="majorHAnsi" w:hAnsiTheme="majorHAnsi" w:cstheme="majorHAnsi"/>
          <w:sz w:val="24"/>
          <w:szCs w:val="24"/>
        </w:rPr>
        <w:t xml:space="preserve"> </w:t>
      </w:r>
      <w:r w:rsidR="009B54A7" w:rsidRPr="00DF1C62">
        <w:rPr>
          <w:rFonts w:asciiTheme="majorHAnsi" w:hAnsiTheme="majorHAnsi" w:cstheme="majorHAnsi"/>
          <w:sz w:val="24"/>
          <w:szCs w:val="24"/>
        </w:rPr>
        <w:t xml:space="preserve">For </w:t>
      </w:r>
      <w:r w:rsidR="007939BF" w:rsidRPr="00DF1C62">
        <w:rPr>
          <w:rFonts w:asciiTheme="majorHAnsi" w:hAnsiTheme="majorHAnsi" w:cstheme="majorHAnsi"/>
          <w:sz w:val="24"/>
          <w:szCs w:val="24"/>
        </w:rPr>
        <w:t>example,</w:t>
      </w:r>
      <w:r w:rsidR="009B54A7" w:rsidRPr="00DF1C62">
        <w:rPr>
          <w:rFonts w:asciiTheme="majorHAnsi" w:hAnsiTheme="majorHAnsi" w:cstheme="majorHAnsi"/>
          <w:sz w:val="24"/>
          <w:szCs w:val="24"/>
        </w:rPr>
        <w:t xml:space="preserve"> in 2000 an excavation team found evidence that the city of </w:t>
      </w:r>
      <w:r w:rsidR="007939BF" w:rsidRPr="00DF1C62">
        <w:rPr>
          <w:rFonts w:asciiTheme="majorHAnsi" w:hAnsiTheme="majorHAnsi" w:cstheme="majorHAnsi"/>
          <w:sz w:val="24"/>
          <w:szCs w:val="24"/>
        </w:rPr>
        <w:t>Camulodunum, known today as Colchester, had been deliberately destroyed.</w:t>
      </w:r>
      <w:r w:rsidR="0044738B">
        <w:rPr>
          <w:rStyle w:val="FootnoteReference"/>
          <w:rFonts w:asciiTheme="majorHAnsi" w:hAnsiTheme="majorHAnsi" w:cstheme="majorHAnsi"/>
          <w:sz w:val="24"/>
          <w:szCs w:val="24"/>
        </w:rPr>
        <w:footnoteReference w:id="8"/>
      </w:r>
      <w:r w:rsidR="007939BF" w:rsidRPr="00DF1C62">
        <w:rPr>
          <w:rFonts w:asciiTheme="majorHAnsi" w:hAnsiTheme="majorHAnsi" w:cstheme="majorHAnsi"/>
          <w:sz w:val="24"/>
          <w:szCs w:val="24"/>
        </w:rPr>
        <w:t xml:space="preserve"> The lead archaeologist Philip Crummy believed that the buildings could n</w:t>
      </w:r>
      <w:r w:rsidR="008C369E" w:rsidRPr="00DF1C62">
        <w:rPr>
          <w:rFonts w:asciiTheme="majorHAnsi" w:hAnsiTheme="majorHAnsi" w:cstheme="majorHAnsi"/>
          <w:sz w:val="24"/>
          <w:szCs w:val="24"/>
        </w:rPr>
        <w:t>ot have easily been demolished l</w:t>
      </w:r>
      <w:r w:rsidR="007939BF" w:rsidRPr="00DF1C62">
        <w:rPr>
          <w:rFonts w:asciiTheme="majorHAnsi" w:hAnsiTheme="majorHAnsi" w:cstheme="majorHAnsi"/>
          <w:sz w:val="24"/>
          <w:szCs w:val="24"/>
        </w:rPr>
        <w:t>eading him to believe that the buildings were deliberately demolished as part of an organised attack.</w:t>
      </w:r>
      <w:r w:rsidR="0044738B">
        <w:rPr>
          <w:rStyle w:val="FootnoteReference"/>
          <w:rFonts w:asciiTheme="majorHAnsi" w:hAnsiTheme="majorHAnsi" w:cstheme="majorHAnsi"/>
          <w:sz w:val="24"/>
          <w:szCs w:val="24"/>
        </w:rPr>
        <w:footnoteReference w:id="9"/>
      </w:r>
      <w:r w:rsidR="007939BF" w:rsidRPr="00DF1C62">
        <w:rPr>
          <w:rFonts w:asciiTheme="majorHAnsi" w:hAnsiTheme="majorHAnsi" w:cstheme="majorHAnsi"/>
          <w:sz w:val="24"/>
          <w:szCs w:val="24"/>
        </w:rPr>
        <w:t xml:space="preserve"> </w:t>
      </w:r>
      <w:r w:rsidR="0040346B" w:rsidRPr="00DF1C62">
        <w:rPr>
          <w:rFonts w:asciiTheme="majorHAnsi" w:hAnsiTheme="majorHAnsi" w:cstheme="majorHAnsi"/>
          <w:sz w:val="24"/>
          <w:szCs w:val="24"/>
        </w:rPr>
        <w:t>There is also the fact that the historian Cassisus Dio also mentions the attacks.</w:t>
      </w:r>
      <w:r w:rsidR="0044738B">
        <w:rPr>
          <w:rStyle w:val="FootnoteReference"/>
          <w:rFonts w:asciiTheme="majorHAnsi" w:hAnsiTheme="majorHAnsi" w:cstheme="majorHAnsi"/>
          <w:sz w:val="24"/>
          <w:szCs w:val="24"/>
        </w:rPr>
        <w:footnoteReference w:id="10"/>
      </w:r>
      <w:r w:rsidR="0040346B" w:rsidRPr="00DF1C62">
        <w:rPr>
          <w:rFonts w:asciiTheme="majorHAnsi" w:hAnsiTheme="majorHAnsi" w:cstheme="majorHAnsi"/>
          <w:sz w:val="24"/>
          <w:szCs w:val="24"/>
        </w:rPr>
        <w:t xml:space="preserve"> </w:t>
      </w:r>
      <w:r w:rsidR="00163AF4" w:rsidRPr="00DF1C62">
        <w:rPr>
          <w:rFonts w:asciiTheme="majorHAnsi" w:hAnsiTheme="majorHAnsi" w:cstheme="majorHAnsi"/>
          <w:sz w:val="24"/>
          <w:szCs w:val="24"/>
        </w:rPr>
        <w:t xml:space="preserve">With this evidence it can be shown that Tacitus’ account of Boudicca’s rebellion may be </w:t>
      </w:r>
      <w:r w:rsidR="00FC028A" w:rsidRPr="00DF1C62">
        <w:rPr>
          <w:rFonts w:asciiTheme="majorHAnsi" w:hAnsiTheme="majorHAnsi" w:cstheme="majorHAnsi"/>
          <w:sz w:val="24"/>
          <w:szCs w:val="24"/>
        </w:rPr>
        <w:t xml:space="preserve">very </w:t>
      </w:r>
      <w:r w:rsidR="00163AF4" w:rsidRPr="00DF1C62">
        <w:rPr>
          <w:rFonts w:asciiTheme="majorHAnsi" w:hAnsiTheme="majorHAnsi" w:cstheme="majorHAnsi"/>
          <w:sz w:val="24"/>
          <w:szCs w:val="24"/>
        </w:rPr>
        <w:t xml:space="preserve">reliable. </w:t>
      </w:r>
      <w:r w:rsidR="00FC028A" w:rsidRPr="00DF1C62">
        <w:rPr>
          <w:rFonts w:asciiTheme="majorHAnsi" w:hAnsiTheme="majorHAnsi" w:cstheme="majorHAnsi"/>
          <w:sz w:val="24"/>
          <w:szCs w:val="24"/>
        </w:rPr>
        <w:t>However, t</w:t>
      </w:r>
      <w:r w:rsidR="006C7343" w:rsidRPr="00DF1C62">
        <w:rPr>
          <w:rFonts w:asciiTheme="majorHAnsi" w:hAnsiTheme="majorHAnsi" w:cstheme="majorHAnsi"/>
          <w:sz w:val="24"/>
          <w:szCs w:val="24"/>
        </w:rPr>
        <w:t>here</w:t>
      </w:r>
      <w:r w:rsidR="00163AF4" w:rsidRPr="00DF1C62">
        <w:rPr>
          <w:rFonts w:asciiTheme="majorHAnsi" w:hAnsiTheme="majorHAnsi" w:cstheme="majorHAnsi"/>
          <w:sz w:val="24"/>
          <w:szCs w:val="24"/>
        </w:rPr>
        <w:t xml:space="preserve"> is also evidence to suggest that Tacitus’s writings may not be as accurate as they seem. </w:t>
      </w:r>
    </w:p>
    <w:p w:rsidR="00163AF4" w:rsidRPr="00DF1C62" w:rsidRDefault="00163AF4" w:rsidP="00265735">
      <w:pPr>
        <w:pStyle w:val="NoSpacing"/>
        <w:spacing w:line="480" w:lineRule="auto"/>
        <w:rPr>
          <w:rFonts w:asciiTheme="majorHAnsi" w:hAnsiTheme="majorHAnsi" w:cstheme="majorHAnsi"/>
          <w:sz w:val="24"/>
          <w:szCs w:val="24"/>
        </w:rPr>
      </w:pPr>
    </w:p>
    <w:p w:rsidR="00163AF4" w:rsidRPr="00DF1C62" w:rsidRDefault="00163AF4"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As mentioned above</w:t>
      </w:r>
      <w:r w:rsidR="00CA4DBA" w:rsidRPr="00DF1C62">
        <w:rPr>
          <w:rFonts w:asciiTheme="majorHAnsi" w:hAnsiTheme="majorHAnsi" w:cstheme="majorHAnsi"/>
          <w:sz w:val="24"/>
          <w:szCs w:val="24"/>
        </w:rPr>
        <w:t>,</w:t>
      </w:r>
      <w:r w:rsidRPr="00DF1C62">
        <w:rPr>
          <w:rFonts w:asciiTheme="majorHAnsi" w:hAnsiTheme="majorHAnsi" w:cstheme="majorHAnsi"/>
          <w:sz w:val="24"/>
          <w:szCs w:val="24"/>
        </w:rPr>
        <w:t xml:space="preserve"> </w:t>
      </w:r>
      <w:r w:rsidR="00FC028A" w:rsidRPr="00DF1C62">
        <w:rPr>
          <w:rFonts w:asciiTheme="majorHAnsi" w:hAnsiTheme="majorHAnsi" w:cstheme="majorHAnsi"/>
          <w:sz w:val="24"/>
          <w:szCs w:val="24"/>
        </w:rPr>
        <w:t xml:space="preserve">Tacitus writes about how the rebellion came about. Whilst this is useful as source of historical events it may not be reliable. This is because </w:t>
      </w:r>
      <w:r w:rsidR="00D81DD8" w:rsidRPr="00DF1C62">
        <w:rPr>
          <w:rFonts w:asciiTheme="majorHAnsi" w:hAnsiTheme="majorHAnsi" w:cstheme="majorHAnsi"/>
          <w:sz w:val="24"/>
          <w:szCs w:val="24"/>
        </w:rPr>
        <w:t>the</w:t>
      </w:r>
      <w:r w:rsidR="00FC028A" w:rsidRPr="00DF1C62">
        <w:rPr>
          <w:rFonts w:asciiTheme="majorHAnsi" w:hAnsiTheme="majorHAnsi" w:cstheme="majorHAnsi"/>
          <w:sz w:val="24"/>
          <w:szCs w:val="24"/>
        </w:rPr>
        <w:t xml:space="preserve"> historian Cassius Dio </w:t>
      </w:r>
      <w:r w:rsidR="00FC028A" w:rsidRPr="00DF1C62">
        <w:rPr>
          <w:rFonts w:asciiTheme="majorHAnsi" w:hAnsiTheme="majorHAnsi" w:cstheme="majorHAnsi"/>
          <w:sz w:val="24"/>
          <w:szCs w:val="24"/>
        </w:rPr>
        <w:lastRenderedPageBreak/>
        <w:t>puts forward an alternative reason as to why Boudicca rebelled.</w:t>
      </w:r>
      <w:r w:rsidR="0091551C">
        <w:rPr>
          <w:rStyle w:val="FootnoteReference"/>
          <w:rFonts w:asciiTheme="majorHAnsi" w:hAnsiTheme="majorHAnsi" w:cstheme="majorHAnsi"/>
          <w:sz w:val="24"/>
          <w:szCs w:val="24"/>
        </w:rPr>
        <w:footnoteReference w:id="11"/>
      </w:r>
      <w:r w:rsidR="00FC028A" w:rsidRPr="00DF1C62">
        <w:rPr>
          <w:rFonts w:asciiTheme="majorHAnsi" w:hAnsiTheme="majorHAnsi" w:cstheme="majorHAnsi"/>
          <w:sz w:val="24"/>
          <w:szCs w:val="24"/>
        </w:rPr>
        <w:t xml:space="preserve"> He claims the procurator of the province</w:t>
      </w:r>
      <w:r w:rsidR="003242F4" w:rsidRPr="00DF1C62">
        <w:rPr>
          <w:rFonts w:asciiTheme="majorHAnsi" w:hAnsiTheme="majorHAnsi" w:cstheme="majorHAnsi"/>
          <w:sz w:val="24"/>
          <w:szCs w:val="24"/>
        </w:rPr>
        <w:t>,</w:t>
      </w:r>
      <w:r w:rsidR="00FC028A" w:rsidRPr="00DF1C62">
        <w:rPr>
          <w:rFonts w:asciiTheme="majorHAnsi" w:hAnsiTheme="majorHAnsi" w:cstheme="majorHAnsi"/>
          <w:sz w:val="24"/>
          <w:szCs w:val="24"/>
        </w:rPr>
        <w:t xml:space="preserve"> Decianus Catus</w:t>
      </w:r>
      <w:r w:rsidR="003242F4" w:rsidRPr="00DF1C62">
        <w:rPr>
          <w:rFonts w:asciiTheme="majorHAnsi" w:hAnsiTheme="majorHAnsi" w:cstheme="majorHAnsi"/>
          <w:sz w:val="24"/>
          <w:szCs w:val="24"/>
        </w:rPr>
        <w:t>,</w:t>
      </w:r>
      <w:r w:rsidR="00FC028A" w:rsidRPr="00DF1C62">
        <w:rPr>
          <w:rFonts w:asciiTheme="majorHAnsi" w:hAnsiTheme="majorHAnsi" w:cstheme="majorHAnsi"/>
          <w:sz w:val="24"/>
          <w:szCs w:val="24"/>
        </w:rPr>
        <w:t xml:space="preserve"> confiscated money that had been given to the Britons by Emperor Claudius.</w:t>
      </w:r>
      <w:r w:rsidR="0091551C">
        <w:rPr>
          <w:rStyle w:val="FootnoteReference"/>
          <w:rFonts w:asciiTheme="majorHAnsi" w:hAnsiTheme="majorHAnsi" w:cstheme="majorHAnsi"/>
          <w:sz w:val="24"/>
          <w:szCs w:val="24"/>
        </w:rPr>
        <w:footnoteReference w:id="12"/>
      </w:r>
      <w:r w:rsidR="00FC028A" w:rsidRPr="00DF1C62">
        <w:rPr>
          <w:rFonts w:asciiTheme="majorHAnsi" w:hAnsiTheme="majorHAnsi" w:cstheme="majorHAnsi"/>
          <w:sz w:val="24"/>
          <w:szCs w:val="24"/>
        </w:rPr>
        <w:t xml:space="preserve"> He further adds that a man called Seneca</w:t>
      </w:r>
      <w:r w:rsidR="00EB2781" w:rsidRPr="00DF1C62">
        <w:rPr>
          <w:rFonts w:asciiTheme="majorHAnsi" w:hAnsiTheme="majorHAnsi" w:cstheme="majorHAnsi"/>
          <w:sz w:val="24"/>
          <w:szCs w:val="24"/>
        </w:rPr>
        <w:t>,</w:t>
      </w:r>
      <w:r w:rsidR="00FC028A" w:rsidRPr="00DF1C62">
        <w:rPr>
          <w:rFonts w:asciiTheme="majorHAnsi" w:hAnsiTheme="majorHAnsi" w:cstheme="majorHAnsi"/>
          <w:sz w:val="24"/>
          <w:szCs w:val="24"/>
        </w:rPr>
        <w:t xml:space="preserve"> who had lent </w:t>
      </w:r>
      <w:r w:rsidR="00673CB0" w:rsidRPr="00DF1C62">
        <w:rPr>
          <w:rFonts w:asciiTheme="majorHAnsi" w:hAnsiTheme="majorHAnsi" w:cstheme="majorHAnsi"/>
          <w:sz w:val="24"/>
          <w:szCs w:val="24"/>
        </w:rPr>
        <w:t>the Britons ten million drachmas</w:t>
      </w:r>
      <w:r w:rsidR="00EB2781" w:rsidRPr="00DF1C62">
        <w:rPr>
          <w:rFonts w:asciiTheme="majorHAnsi" w:hAnsiTheme="majorHAnsi" w:cstheme="majorHAnsi"/>
          <w:sz w:val="24"/>
          <w:szCs w:val="24"/>
        </w:rPr>
        <w:t>,</w:t>
      </w:r>
      <w:r w:rsidR="00673CB0" w:rsidRPr="00DF1C62">
        <w:rPr>
          <w:rFonts w:asciiTheme="majorHAnsi" w:hAnsiTheme="majorHAnsi" w:cstheme="majorHAnsi"/>
          <w:sz w:val="24"/>
          <w:szCs w:val="24"/>
        </w:rPr>
        <w:t xml:space="preserve"> </w:t>
      </w:r>
      <w:r w:rsidR="001B44A6" w:rsidRPr="00DF1C62">
        <w:rPr>
          <w:rFonts w:asciiTheme="majorHAnsi" w:hAnsiTheme="majorHAnsi" w:cstheme="majorHAnsi"/>
          <w:sz w:val="24"/>
          <w:szCs w:val="24"/>
        </w:rPr>
        <w:t>had also called in their debts i</w:t>
      </w:r>
      <w:r w:rsidR="00FD14B1" w:rsidRPr="00DF1C62">
        <w:rPr>
          <w:rFonts w:asciiTheme="majorHAnsi" w:hAnsiTheme="majorHAnsi" w:cstheme="majorHAnsi"/>
          <w:sz w:val="24"/>
          <w:szCs w:val="24"/>
        </w:rPr>
        <w:t>f Cassius Dio’s</w:t>
      </w:r>
      <w:r w:rsidR="00CA7F90">
        <w:rPr>
          <w:rFonts w:asciiTheme="majorHAnsi" w:hAnsiTheme="majorHAnsi" w:cstheme="majorHAnsi"/>
          <w:sz w:val="24"/>
          <w:szCs w:val="24"/>
        </w:rPr>
        <w:t xml:space="preserve"> account is to </w:t>
      </w:r>
      <w:r w:rsidR="00FD14B1" w:rsidRPr="00DF1C62">
        <w:rPr>
          <w:rFonts w:asciiTheme="majorHAnsi" w:hAnsiTheme="majorHAnsi" w:cstheme="majorHAnsi"/>
          <w:sz w:val="24"/>
          <w:szCs w:val="24"/>
        </w:rPr>
        <w:t>be believed.</w:t>
      </w:r>
      <w:r w:rsidR="0012697C">
        <w:rPr>
          <w:rStyle w:val="FootnoteReference"/>
          <w:rFonts w:asciiTheme="majorHAnsi" w:hAnsiTheme="majorHAnsi" w:cstheme="majorHAnsi"/>
          <w:sz w:val="24"/>
          <w:szCs w:val="24"/>
        </w:rPr>
        <w:footnoteReference w:id="13"/>
      </w:r>
      <w:r w:rsidR="00FD14B1" w:rsidRPr="00DF1C62">
        <w:rPr>
          <w:rFonts w:asciiTheme="majorHAnsi" w:hAnsiTheme="majorHAnsi" w:cstheme="majorHAnsi"/>
          <w:sz w:val="24"/>
          <w:szCs w:val="24"/>
        </w:rPr>
        <w:t xml:space="preserve"> The reason Boudicca rebelled was not because of the Roman’s treatment of herself or her tribe. Instead it was the fact that Catus and Seneca had called in over fifty million drachma worth of debts.</w:t>
      </w:r>
      <w:r w:rsidR="0011029B">
        <w:rPr>
          <w:rStyle w:val="FootnoteReference"/>
          <w:rFonts w:asciiTheme="majorHAnsi" w:hAnsiTheme="majorHAnsi" w:cstheme="majorHAnsi"/>
          <w:sz w:val="24"/>
          <w:szCs w:val="24"/>
        </w:rPr>
        <w:footnoteReference w:id="14"/>
      </w:r>
      <w:r w:rsidR="00FD14B1" w:rsidRPr="00DF1C62">
        <w:rPr>
          <w:rFonts w:asciiTheme="majorHAnsi" w:hAnsiTheme="majorHAnsi" w:cstheme="majorHAnsi"/>
          <w:sz w:val="24"/>
          <w:szCs w:val="24"/>
        </w:rPr>
        <w:t xml:space="preserve"> This makes it possible to doubt the reliability of Tacitus’ as a historical source</w:t>
      </w:r>
      <w:r w:rsidR="00C57790" w:rsidRPr="00DF1C62">
        <w:rPr>
          <w:rFonts w:asciiTheme="majorHAnsi" w:hAnsiTheme="majorHAnsi" w:cstheme="majorHAnsi"/>
          <w:sz w:val="24"/>
          <w:szCs w:val="24"/>
        </w:rPr>
        <w:t>,</w:t>
      </w:r>
      <w:r w:rsidR="00FD14B1" w:rsidRPr="00DF1C62">
        <w:rPr>
          <w:rFonts w:asciiTheme="majorHAnsi" w:hAnsiTheme="majorHAnsi" w:cstheme="majorHAnsi"/>
          <w:sz w:val="24"/>
          <w:szCs w:val="24"/>
        </w:rPr>
        <w:t xml:space="preserve"> as Cassius Dios contradicts Tacitus as to why the rebellion began. </w:t>
      </w:r>
      <w:r w:rsidR="007D5A34" w:rsidRPr="00DF1C62">
        <w:rPr>
          <w:rFonts w:asciiTheme="majorHAnsi" w:hAnsiTheme="majorHAnsi" w:cstheme="majorHAnsi"/>
          <w:sz w:val="24"/>
          <w:szCs w:val="24"/>
        </w:rPr>
        <w:t xml:space="preserve">On the other </w:t>
      </w:r>
      <w:r w:rsidR="005C324D" w:rsidRPr="00DF1C62">
        <w:rPr>
          <w:rFonts w:asciiTheme="majorHAnsi" w:hAnsiTheme="majorHAnsi" w:cstheme="majorHAnsi"/>
          <w:sz w:val="24"/>
          <w:szCs w:val="24"/>
        </w:rPr>
        <w:t>hand,</w:t>
      </w:r>
      <w:r w:rsidR="007D5A34" w:rsidRPr="00DF1C62">
        <w:rPr>
          <w:rFonts w:asciiTheme="majorHAnsi" w:hAnsiTheme="majorHAnsi" w:cstheme="majorHAnsi"/>
          <w:sz w:val="24"/>
          <w:szCs w:val="24"/>
        </w:rPr>
        <w:t xml:space="preserve"> Cassius Dio does add a small amount of reliability to Tacitus as both say that </w:t>
      </w:r>
      <w:r w:rsidR="003A6A97" w:rsidRPr="00DF1C62">
        <w:rPr>
          <w:rFonts w:asciiTheme="majorHAnsi" w:hAnsiTheme="majorHAnsi" w:cstheme="majorHAnsi"/>
          <w:sz w:val="24"/>
          <w:szCs w:val="24"/>
        </w:rPr>
        <w:t>Boudicca’s army killed eighty thousand people</w:t>
      </w:r>
      <w:r w:rsidR="007D5A34" w:rsidRPr="00DF1C62">
        <w:rPr>
          <w:rFonts w:asciiTheme="majorHAnsi" w:hAnsiTheme="majorHAnsi" w:cstheme="majorHAnsi"/>
          <w:sz w:val="24"/>
          <w:szCs w:val="24"/>
        </w:rPr>
        <w:t>.</w:t>
      </w:r>
      <w:r w:rsidR="009C1742">
        <w:rPr>
          <w:rStyle w:val="FootnoteReference"/>
          <w:rFonts w:asciiTheme="majorHAnsi" w:hAnsiTheme="majorHAnsi" w:cstheme="majorHAnsi"/>
          <w:sz w:val="24"/>
          <w:szCs w:val="24"/>
        </w:rPr>
        <w:footnoteReference w:id="15"/>
      </w:r>
      <w:r w:rsidR="007D5A34" w:rsidRPr="00DF1C62">
        <w:rPr>
          <w:rFonts w:asciiTheme="majorHAnsi" w:hAnsiTheme="majorHAnsi" w:cstheme="majorHAnsi"/>
          <w:sz w:val="24"/>
          <w:szCs w:val="24"/>
        </w:rPr>
        <w:t xml:space="preserve"> </w:t>
      </w:r>
      <w:r w:rsidR="00A812EB" w:rsidRPr="00DF1C62">
        <w:rPr>
          <w:rFonts w:asciiTheme="majorHAnsi" w:hAnsiTheme="majorHAnsi" w:cstheme="majorHAnsi"/>
          <w:sz w:val="24"/>
          <w:szCs w:val="24"/>
        </w:rPr>
        <w:t>However, this is double edged sword as there is no evidence to suggest that this figure is correct.</w:t>
      </w:r>
      <w:r w:rsidR="00DE1444">
        <w:rPr>
          <w:rStyle w:val="FootnoteReference"/>
          <w:rFonts w:asciiTheme="majorHAnsi" w:hAnsiTheme="majorHAnsi" w:cstheme="majorHAnsi"/>
          <w:sz w:val="24"/>
          <w:szCs w:val="24"/>
        </w:rPr>
        <w:footnoteReference w:id="16"/>
      </w:r>
      <w:r w:rsidR="00A812EB" w:rsidRPr="00DF1C62">
        <w:rPr>
          <w:rFonts w:asciiTheme="majorHAnsi" w:hAnsiTheme="majorHAnsi" w:cstheme="majorHAnsi"/>
          <w:sz w:val="24"/>
          <w:szCs w:val="24"/>
        </w:rPr>
        <w:t xml:space="preserve"> </w:t>
      </w:r>
      <w:r w:rsidR="001155FF" w:rsidRPr="00DF1C62">
        <w:rPr>
          <w:rFonts w:asciiTheme="majorHAnsi" w:hAnsiTheme="majorHAnsi" w:cstheme="majorHAnsi"/>
          <w:sz w:val="24"/>
          <w:szCs w:val="24"/>
        </w:rPr>
        <w:t xml:space="preserve">Thus far no </w:t>
      </w:r>
      <w:r w:rsidR="003A6A97" w:rsidRPr="00DF1C62">
        <w:rPr>
          <w:rFonts w:asciiTheme="majorHAnsi" w:hAnsiTheme="majorHAnsi" w:cstheme="majorHAnsi"/>
          <w:sz w:val="24"/>
          <w:szCs w:val="24"/>
        </w:rPr>
        <w:t>remains have been found</w:t>
      </w:r>
      <w:r w:rsidR="007F3D4E">
        <w:rPr>
          <w:rFonts w:asciiTheme="majorHAnsi" w:hAnsiTheme="majorHAnsi" w:cstheme="majorHAnsi"/>
          <w:sz w:val="24"/>
          <w:szCs w:val="24"/>
        </w:rPr>
        <w:t>,</w:t>
      </w:r>
      <w:r w:rsidR="003A6A97" w:rsidRPr="00DF1C62">
        <w:rPr>
          <w:rFonts w:asciiTheme="majorHAnsi" w:hAnsiTheme="majorHAnsi" w:cstheme="majorHAnsi"/>
          <w:sz w:val="24"/>
          <w:szCs w:val="24"/>
        </w:rPr>
        <w:t xml:space="preserve"> with experts suggesting that the casualties were placed in mass graves </w:t>
      </w:r>
      <w:r w:rsidR="001E4B0D">
        <w:rPr>
          <w:rFonts w:asciiTheme="majorHAnsi" w:hAnsiTheme="majorHAnsi" w:cstheme="majorHAnsi"/>
          <w:sz w:val="24"/>
          <w:szCs w:val="24"/>
        </w:rPr>
        <w:t>or returned home by the Romans.</w:t>
      </w:r>
      <w:r w:rsidR="001E4B0D">
        <w:rPr>
          <w:rStyle w:val="FootnoteReference"/>
          <w:rFonts w:asciiTheme="majorHAnsi" w:hAnsiTheme="majorHAnsi" w:cstheme="majorHAnsi"/>
          <w:sz w:val="24"/>
          <w:szCs w:val="24"/>
        </w:rPr>
        <w:footnoteReference w:id="17"/>
      </w:r>
      <w:r w:rsidR="001E4B0D">
        <w:rPr>
          <w:rFonts w:asciiTheme="majorHAnsi" w:hAnsiTheme="majorHAnsi" w:cstheme="majorHAnsi"/>
          <w:sz w:val="24"/>
          <w:szCs w:val="24"/>
        </w:rPr>
        <w:t xml:space="preserve"> </w:t>
      </w:r>
      <w:r w:rsidR="00AE1647" w:rsidRPr="00DF1C62">
        <w:rPr>
          <w:rFonts w:asciiTheme="majorHAnsi" w:hAnsiTheme="majorHAnsi" w:cstheme="majorHAnsi"/>
          <w:sz w:val="24"/>
          <w:szCs w:val="24"/>
        </w:rPr>
        <w:t>In all the</w:t>
      </w:r>
      <w:r w:rsidR="00B5171C" w:rsidRPr="00DF1C62">
        <w:rPr>
          <w:rFonts w:asciiTheme="majorHAnsi" w:hAnsiTheme="majorHAnsi" w:cstheme="majorHAnsi"/>
          <w:sz w:val="24"/>
          <w:szCs w:val="24"/>
        </w:rPr>
        <w:t xml:space="preserve">re seems to be no doubt in the reliability of Tacitus’ writings in the sense that Boudicca’s actually happened. Yet a lot of the details he gives us either have no evidence to support them or he is contradicted by Cassius Dio.  </w:t>
      </w:r>
      <w:r w:rsidR="00D711D1">
        <w:rPr>
          <w:rFonts w:asciiTheme="majorHAnsi" w:hAnsiTheme="majorHAnsi" w:cstheme="majorHAnsi"/>
          <w:sz w:val="24"/>
          <w:szCs w:val="24"/>
        </w:rPr>
        <w:t xml:space="preserve"> </w:t>
      </w:r>
    </w:p>
    <w:p w:rsidR="00F30436" w:rsidRPr="00DF1C62" w:rsidRDefault="00F30436" w:rsidP="00265735">
      <w:pPr>
        <w:pStyle w:val="NoSpacing"/>
        <w:spacing w:line="480" w:lineRule="auto"/>
        <w:rPr>
          <w:rFonts w:asciiTheme="majorHAnsi" w:hAnsiTheme="majorHAnsi" w:cstheme="majorHAnsi"/>
          <w:sz w:val="24"/>
          <w:szCs w:val="24"/>
        </w:rPr>
      </w:pPr>
    </w:p>
    <w:p w:rsidR="00F30436" w:rsidRPr="00DF1C62" w:rsidRDefault="00800131"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Another area of the period that is covered by Tacitus is the governors</w:t>
      </w:r>
      <w:r w:rsidR="00C57790" w:rsidRPr="00DF1C62">
        <w:rPr>
          <w:rFonts w:asciiTheme="majorHAnsi" w:hAnsiTheme="majorHAnsi" w:cstheme="majorHAnsi"/>
          <w:sz w:val="24"/>
          <w:szCs w:val="24"/>
        </w:rPr>
        <w:t>hip of Gnaeus Julius Agricola w</w:t>
      </w:r>
      <w:r w:rsidRPr="00DF1C62">
        <w:rPr>
          <w:rFonts w:asciiTheme="majorHAnsi" w:hAnsiTheme="majorHAnsi" w:cstheme="majorHAnsi"/>
          <w:sz w:val="24"/>
          <w:szCs w:val="24"/>
        </w:rPr>
        <w:t xml:space="preserve">ho was governor of Britannia between AD 77 and AD </w:t>
      </w:r>
      <w:r w:rsidR="008A6C73" w:rsidRPr="00DF1C62">
        <w:rPr>
          <w:rFonts w:asciiTheme="majorHAnsi" w:hAnsiTheme="majorHAnsi" w:cstheme="majorHAnsi"/>
          <w:sz w:val="24"/>
          <w:szCs w:val="24"/>
        </w:rPr>
        <w:t>85</w:t>
      </w:r>
      <w:r w:rsidR="000D126A">
        <w:rPr>
          <w:rFonts w:asciiTheme="majorHAnsi" w:hAnsiTheme="majorHAnsi" w:cstheme="majorHAnsi"/>
          <w:sz w:val="24"/>
          <w:szCs w:val="24"/>
        </w:rPr>
        <w:t>.</w:t>
      </w:r>
      <w:r w:rsidR="009B29B6">
        <w:rPr>
          <w:rStyle w:val="FootnoteReference"/>
          <w:rFonts w:asciiTheme="majorHAnsi" w:hAnsiTheme="majorHAnsi" w:cstheme="majorHAnsi"/>
          <w:sz w:val="24"/>
          <w:szCs w:val="24"/>
        </w:rPr>
        <w:footnoteReference w:id="18"/>
      </w:r>
      <w:r w:rsidR="000D126A">
        <w:rPr>
          <w:rFonts w:asciiTheme="majorHAnsi" w:hAnsiTheme="majorHAnsi" w:cstheme="majorHAnsi"/>
          <w:sz w:val="24"/>
          <w:szCs w:val="24"/>
        </w:rPr>
        <w:t xml:space="preserve"> </w:t>
      </w:r>
      <w:r w:rsidR="007C0728" w:rsidRPr="00DF1C62">
        <w:rPr>
          <w:rFonts w:asciiTheme="majorHAnsi" w:hAnsiTheme="majorHAnsi" w:cstheme="majorHAnsi"/>
          <w:sz w:val="24"/>
          <w:szCs w:val="24"/>
        </w:rPr>
        <w:t xml:space="preserve">Tacitus’ </w:t>
      </w:r>
      <w:r w:rsidR="007C0728" w:rsidRPr="00DF1C62">
        <w:rPr>
          <w:rFonts w:asciiTheme="majorHAnsi" w:hAnsiTheme="majorHAnsi" w:cstheme="majorHAnsi"/>
          <w:i/>
          <w:sz w:val="24"/>
          <w:szCs w:val="24"/>
        </w:rPr>
        <w:t xml:space="preserve">Agricola </w:t>
      </w:r>
      <w:r w:rsidR="000F5712" w:rsidRPr="00DF1C62">
        <w:rPr>
          <w:rFonts w:asciiTheme="majorHAnsi" w:hAnsiTheme="majorHAnsi" w:cstheme="majorHAnsi"/>
          <w:sz w:val="24"/>
          <w:szCs w:val="24"/>
        </w:rPr>
        <w:t>seems to paint a very positive picture of how A</w:t>
      </w:r>
      <w:r w:rsidR="002F142C" w:rsidRPr="00DF1C62">
        <w:rPr>
          <w:rFonts w:asciiTheme="majorHAnsi" w:hAnsiTheme="majorHAnsi" w:cstheme="majorHAnsi"/>
          <w:sz w:val="24"/>
          <w:szCs w:val="24"/>
        </w:rPr>
        <w:t>gricola governed the province, s</w:t>
      </w:r>
      <w:r w:rsidR="000F5712" w:rsidRPr="00DF1C62">
        <w:rPr>
          <w:rFonts w:asciiTheme="majorHAnsi" w:hAnsiTheme="majorHAnsi" w:cstheme="majorHAnsi"/>
          <w:sz w:val="24"/>
          <w:szCs w:val="24"/>
        </w:rPr>
        <w:t>tating that within t</w:t>
      </w:r>
      <w:r w:rsidR="0031437E" w:rsidRPr="00DF1C62">
        <w:rPr>
          <w:rFonts w:asciiTheme="majorHAnsi" w:hAnsiTheme="majorHAnsi" w:cstheme="majorHAnsi"/>
          <w:sz w:val="24"/>
          <w:szCs w:val="24"/>
        </w:rPr>
        <w:t>he first year of taking office that h</w:t>
      </w:r>
      <w:r w:rsidR="000F5712" w:rsidRPr="00DF1C62">
        <w:rPr>
          <w:rFonts w:asciiTheme="majorHAnsi" w:hAnsiTheme="majorHAnsi" w:cstheme="majorHAnsi"/>
          <w:sz w:val="24"/>
          <w:szCs w:val="24"/>
        </w:rPr>
        <w:t xml:space="preserve">e brought discipline into his own household, appointed </w:t>
      </w:r>
      <w:r w:rsidR="000F5712" w:rsidRPr="00DF1C62">
        <w:rPr>
          <w:rFonts w:asciiTheme="majorHAnsi" w:hAnsiTheme="majorHAnsi" w:cstheme="majorHAnsi"/>
          <w:sz w:val="24"/>
          <w:szCs w:val="24"/>
        </w:rPr>
        <w:lastRenderedPageBreak/>
        <w:t>centurions and soldiers based on who he could trust inste</w:t>
      </w:r>
      <w:r w:rsidR="00BA53B2">
        <w:rPr>
          <w:rFonts w:asciiTheme="majorHAnsi" w:hAnsiTheme="majorHAnsi" w:cstheme="majorHAnsi"/>
          <w:sz w:val="24"/>
          <w:szCs w:val="24"/>
        </w:rPr>
        <w:t xml:space="preserve">ad of personal </w:t>
      </w:r>
      <w:r w:rsidR="00B74EBC">
        <w:rPr>
          <w:rFonts w:asciiTheme="majorHAnsi" w:hAnsiTheme="majorHAnsi" w:cstheme="majorHAnsi"/>
          <w:sz w:val="24"/>
          <w:szCs w:val="24"/>
        </w:rPr>
        <w:t>recommendations</w:t>
      </w:r>
      <w:r w:rsidR="00B74EBC" w:rsidRPr="00DF1C62">
        <w:rPr>
          <w:rFonts w:asciiTheme="majorHAnsi" w:hAnsiTheme="majorHAnsi" w:cstheme="majorHAnsi"/>
          <w:sz w:val="24"/>
          <w:szCs w:val="24"/>
        </w:rPr>
        <w:t xml:space="preserve"> </w:t>
      </w:r>
      <w:r w:rsidR="00B74EBC">
        <w:rPr>
          <w:rFonts w:asciiTheme="majorHAnsi" w:hAnsiTheme="majorHAnsi" w:cstheme="majorHAnsi"/>
          <w:sz w:val="24"/>
          <w:szCs w:val="24"/>
        </w:rPr>
        <w:t>a</w:t>
      </w:r>
      <w:r w:rsidR="000F5712" w:rsidRPr="00DF1C62">
        <w:rPr>
          <w:rFonts w:asciiTheme="majorHAnsi" w:hAnsiTheme="majorHAnsi" w:cstheme="majorHAnsi"/>
          <w:sz w:val="24"/>
          <w:szCs w:val="24"/>
        </w:rPr>
        <w:t>s well as reforming</w:t>
      </w:r>
      <w:r w:rsidR="00316FC2" w:rsidRPr="00DF1C62">
        <w:rPr>
          <w:rFonts w:asciiTheme="majorHAnsi" w:hAnsiTheme="majorHAnsi" w:cstheme="majorHAnsi"/>
          <w:sz w:val="24"/>
          <w:szCs w:val="24"/>
        </w:rPr>
        <w:t xml:space="preserve"> the grain levy so that the many benefitted.</w:t>
      </w:r>
      <w:r w:rsidR="00B74EBC">
        <w:rPr>
          <w:rStyle w:val="FootnoteReference"/>
          <w:rFonts w:asciiTheme="majorHAnsi" w:hAnsiTheme="majorHAnsi" w:cstheme="majorHAnsi"/>
          <w:sz w:val="24"/>
          <w:szCs w:val="24"/>
        </w:rPr>
        <w:footnoteReference w:id="19"/>
      </w:r>
      <w:r w:rsidR="00316FC2" w:rsidRPr="00DF1C62">
        <w:rPr>
          <w:rFonts w:asciiTheme="majorHAnsi" w:hAnsiTheme="majorHAnsi" w:cstheme="majorHAnsi"/>
          <w:sz w:val="24"/>
          <w:szCs w:val="24"/>
        </w:rPr>
        <w:t xml:space="preserve"> </w:t>
      </w:r>
      <w:r w:rsidR="00F70342" w:rsidRPr="00DF1C62">
        <w:rPr>
          <w:rFonts w:asciiTheme="majorHAnsi" w:hAnsiTheme="majorHAnsi" w:cstheme="majorHAnsi"/>
          <w:sz w:val="24"/>
          <w:szCs w:val="24"/>
        </w:rPr>
        <w:t xml:space="preserve">Tacitus’ also provides a favourable narrative </w:t>
      </w:r>
      <w:r w:rsidR="006F3677" w:rsidRPr="00DF1C62">
        <w:rPr>
          <w:rFonts w:asciiTheme="majorHAnsi" w:hAnsiTheme="majorHAnsi" w:cstheme="majorHAnsi"/>
          <w:sz w:val="24"/>
          <w:szCs w:val="24"/>
        </w:rPr>
        <w:t xml:space="preserve">of Agricola as a general. For </w:t>
      </w:r>
      <w:r w:rsidR="009F2AE3" w:rsidRPr="00DF1C62">
        <w:rPr>
          <w:rFonts w:asciiTheme="majorHAnsi" w:hAnsiTheme="majorHAnsi" w:cstheme="majorHAnsi"/>
          <w:sz w:val="24"/>
          <w:szCs w:val="24"/>
        </w:rPr>
        <w:t>example,</w:t>
      </w:r>
      <w:r w:rsidR="006F3677" w:rsidRPr="00DF1C62">
        <w:rPr>
          <w:rFonts w:asciiTheme="majorHAnsi" w:hAnsiTheme="majorHAnsi" w:cstheme="majorHAnsi"/>
          <w:sz w:val="24"/>
          <w:szCs w:val="24"/>
        </w:rPr>
        <w:t xml:space="preserve"> he refers to when Agricola conquered the Isle of Mona that he used </w:t>
      </w:r>
      <w:r w:rsidR="00545668" w:rsidRPr="00DF1C62">
        <w:rPr>
          <w:rFonts w:asciiTheme="majorHAnsi" w:hAnsiTheme="majorHAnsi" w:cstheme="majorHAnsi"/>
          <w:sz w:val="24"/>
          <w:szCs w:val="24"/>
        </w:rPr>
        <w:t>auxiliarie</w:t>
      </w:r>
      <w:r w:rsidR="009F2AE3" w:rsidRPr="00DF1C62">
        <w:rPr>
          <w:rFonts w:asciiTheme="majorHAnsi" w:hAnsiTheme="majorHAnsi" w:cstheme="majorHAnsi"/>
          <w:sz w:val="24"/>
          <w:szCs w:val="24"/>
        </w:rPr>
        <w:t xml:space="preserve">s with special skills who could swim whilst </w:t>
      </w:r>
      <w:r w:rsidR="00545668" w:rsidRPr="00DF1C62">
        <w:rPr>
          <w:rFonts w:asciiTheme="majorHAnsi" w:hAnsiTheme="majorHAnsi" w:cstheme="majorHAnsi"/>
          <w:sz w:val="24"/>
          <w:szCs w:val="24"/>
        </w:rPr>
        <w:t xml:space="preserve">in </w:t>
      </w:r>
      <w:r w:rsidR="009F2AE3" w:rsidRPr="00DF1C62">
        <w:rPr>
          <w:rFonts w:asciiTheme="majorHAnsi" w:hAnsiTheme="majorHAnsi" w:cstheme="majorHAnsi"/>
          <w:sz w:val="24"/>
          <w:szCs w:val="24"/>
        </w:rPr>
        <w:t>control of a horse and arms to cro</w:t>
      </w:r>
      <w:r w:rsidR="001513DD" w:rsidRPr="00DF1C62">
        <w:rPr>
          <w:rFonts w:asciiTheme="majorHAnsi" w:hAnsiTheme="majorHAnsi" w:cstheme="majorHAnsi"/>
          <w:sz w:val="24"/>
          <w:szCs w:val="24"/>
        </w:rPr>
        <w:t>ss the fords s</w:t>
      </w:r>
      <w:r w:rsidR="009F2AE3" w:rsidRPr="00DF1C62">
        <w:rPr>
          <w:rFonts w:asciiTheme="majorHAnsi" w:hAnsiTheme="majorHAnsi" w:cstheme="majorHAnsi"/>
          <w:sz w:val="24"/>
          <w:szCs w:val="24"/>
        </w:rPr>
        <w:t>uggesting that Agricola was a skilled tactician.</w:t>
      </w:r>
      <w:r w:rsidR="00B74EBC">
        <w:rPr>
          <w:rStyle w:val="FootnoteReference"/>
          <w:rFonts w:asciiTheme="majorHAnsi" w:hAnsiTheme="majorHAnsi" w:cstheme="majorHAnsi"/>
          <w:sz w:val="24"/>
          <w:szCs w:val="24"/>
        </w:rPr>
        <w:footnoteReference w:id="20"/>
      </w:r>
      <w:r w:rsidR="009F2AE3" w:rsidRPr="00DF1C62">
        <w:rPr>
          <w:rFonts w:asciiTheme="majorHAnsi" w:hAnsiTheme="majorHAnsi" w:cstheme="majorHAnsi"/>
          <w:sz w:val="24"/>
          <w:szCs w:val="24"/>
        </w:rPr>
        <w:t xml:space="preserve"> More importantly however Tacitus also documents how Agricola made war against the Caledonians and </w:t>
      </w:r>
      <w:r w:rsidR="00163AD5" w:rsidRPr="00DF1C62">
        <w:rPr>
          <w:rFonts w:asciiTheme="majorHAnsi" w:hAnsiTheme="majorHAnsi" w:cstheme="majorHAnsi"/>
          <w:sz w:val="24"/>
          <w:szCs w:val="24"/>
        </w:rPr>
        <w:t>ex</w:t>
      </w:r>
      <w:r w:rsidR="00545668" w:rsidRPr="00DF1C62">
        <w:rPr>
          <w:rFonts w:asciiTheme="majorHAnsi" w:hAnsiTheme="majorHAnsi" w:cstheme="majorHAnsi"/>
          <w:sz w:val="24"/>
          <w:szCs w:val="24"/>
        </w:rPr>
        <w:t>tended R</w:t>
      </w:r>
      <w:r w:rsidR="000E2981" w:rsidRPr="00DF1C62">
        <w:rPr>
          <w:rFonts w:asciiTheme="majorHAnsi" w:hAnsiTheme="majorHAnsi" w:cstheme="majorHAnsi"/>
          <w:sz w:val="24"/>
          <w:szCs w:val="24"/>
        </w:rPr>
        <w:t xml:space="preserve">oman control up to the Firth </w:t>
      </w:r>
      <w:r w:rsidR="00545668" w:rsidRPr="00DF1C62">
        <w:rPr>
          <w:rFonts w:asciiTheme="majorHAnsi" w:hAnsiTheme="majorHAnsi" w:cstheme="majorHAnsi"/>
          <w:sz w:val="24"/>
          <w:szCs w:val="24"/>
        </w:rPr>
        <w:t>of</w:t>
      </w:r>
      <w:r w:rsidR="000E2981" w:rsidRPr="00DF1C62">
        <w:rPr>
          <w:rFonts w:asciiTheme="majorHAnsi" w:hAnsiTheme="majorHAnsi" w:cstheme="majorHAnsi"/>
          <w:sz w:val="24"/>
          <w:szCs w:val="24"/>
        </w:rPr>
        <w:t xml:space="preserve"> Forth</w:t>
      </w:r>
      <w:r w:rsidR="0097583B" w:rsidRPr="00DF1C62">
        <w:rPr>
          <w:rFonts w:asciiTheme="majorHAnsi" w:hAnsiTheme="majorHAnsi" w:cstheme="majorHAnsi"/>
          <w:sz w:val="24"/>
          <w:szCs w:val="24"/>
        </w:rPr>
        <w:t xml:space="preserve"> a</w:t>
      </w:r>
      <w:r w:rsidR="00163AD5" w:rsidRPr="00DF1C62">
        <w:rPr>
          <w:rFonts w:asciiTheme="majorHAnsi" w:hAnsiTheme="majorHAnsi" w:cstheme="majorHAnsi"/>
          <w:sz w:val="24"/>
          <w:szCs w:val="24"/>
        </w:rPr>
        <w:t>s well as ordering an expedition to circumnavigate the tip</w:t>
      </w:r>
      <w:r w:rsidR="00732411">
        <w:rPr>
          <w:rFonts w:asciiTheme="majorHAnsi" w:hAnsiTheme="majorHAnsi" w:cstheme="majorHAnsi"/>
          <w:sz w:val="24"/>
          <w:szCs w:val="24"/>
        </w:rPr>
        <w:t xml:space="preserve"> of Scotland to confirm we</w:t>
      </w:r>
      <w:r w:rsidR="00163AD5" w:rsidRPr="00DF1C62">
        <w:rPr>
          <w:rFonts w:asciiTheme="majorHAnsi" w:hAnsiTheme="majorHAnsi" w:cstheme="majorHAnsi"/>
          <w:sz w:val="24"/>
          <w:szCs w:val="24"/>
        </w:rPr>
        <w:t>ther Britain was indeed an island.</w:t>
      </w:r>
      <w:r w:rsidR="00CE1274">
        <w:rPr>
          <w:rStyle w:val="FootnoteReference"/>
          <w:rFonts w:asciiTheme="majorHAnsi" w:hAnsiTheme="majorHAnsi" w:cstheme="majorHAnsi"/>
          <w:sz w:val="24"/>
          <w:szCs w:val="24"/>
        </w:rPr>
        <w:footnoteReference w:id="21"/>
      </w:r>
      <w:r w:rsidR="00163AD5" w:rsidRPr="00DF1C62">
        <w:rPr>
          <w:rFonts w:asciiTheme="majorHAnsi" w:hAnsiTheme="majorHAnsi" w:cstheme="majorHAnsi"/>
          <w:sz w:val="24"/>
          <w:szCs w:val="24"/>
        </w:rPr>
        <w:t xml:space="preserve"> </w:t>
      </w:r>
      <w:r w:rsidR="00C31332">
        <w:rPr>
          <w:rFonts w:asciiTheme="majorHAnsi" w:hAnsiTheme="majorHAnsi" w:cstheme="majorHAnsi"/>
          <w:sz w:val="24"/>
          <w:szCs w:val="24"/>
        </w:rPr>
        <w:t xml:space="preserve"> </w:t>
      </w:r>
    </w:p>
    <w:p w:rsidR="00163AD5" w:rsidRPr="00DF1C62" w:rsidRDefault="00163AD5" w:rsidP="00265735">
      <w:pPr>
        <w:pStyle w:val="NoSpacing"/>
        <w:spacing w:line="480" w:lineRule="auto"/>
        <w:rPr>
          <w:rFonts w:asciiTheme="majorHAnsi" w:hAnsiTheme="majorHAnsi" w:cstheme="majorHAnsi"/>
          <w:sz w:val="24"/>
          <w:szCs w:val="24"/>
        </w:rPr>
      </w:pPr>
    </w:p>
    <w:p w:rsidR="00667644" w:rsidRPr="00DF1C62" w:rsidRDefault="000B20E3"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 xml:space="preserve">In terms of reliability, there exists a debate over how reliable the </w:t>
      </w:r>
      <w:r w:rsidRPr="00DF1C62">
        <w:rPr>
          <w:rFonts w:asciiTheme="majorHAnsi" w:hAnsiTheme="majorHAnsi" w:cstheme="majorHAnsi"/>
          <w:i/>
          <w:sz w:val="24"/>
          <w:szCs w:val="24"/>
        </w:rPr>
        <w:t xml:space="preserve">Agricola </w:t>
      </w:r>
      <w:r w:rsidRPr="00DF1C62">
        <w:rPr>
          <w:rFonts w:asciiTheme="majorHAnsi" w:hAnsiTheme="majorHAnsi" w:cstheme="majorHAnsi"/>
          <w:sz w:val="24"/>
          <w:szCs w:val="24"/>
        </w:rPr>
        <w:t xml:space="preserve">really is. </w:t>
      </w:r>
      <w:r w:rsidR="000E2981" w:rsidRPr="00DF1C62">
        <w:rPr>
          <w:rFonts w:asciiTheme="majorHAnsi" w:hAnsiTheme="majorHAnsi" w:cstheme="majorHAnsi"/>
          <w:sz w:val="24"/>
          <w:szCs w:val="24"/>
        </w:rPr>
        <w:t>In terms of the campaigns into Scotland there is archaeological evidence suggest that they really did happen.</w:t>
      </w:r>
      <w:r w:rsidR="00525D59">
        <w:rPr>
          <w:rStyle w:val="FootnoteReference"/>
          <w:rFonts w:asciiTheme="majorHAnsi" w:hAnsiTheme="majorHAnsi" w:cstheme="majorHAnsi"/>
          <w:sz w:val="24"/>
          <w:szCs w:val="24"/>
        </w:rPr>
        <w:footnoteReference w:id="22"/>
      </w:r>
      <w:r w:rsidR="000E2981" w:rsidRPr="00DF1C62">
        <w:rPr>
          <w:rFonts w:asciiTheme="majorHAnsi" w:hAnsiTheme="majorHAnsi" w:cstheme="majorHAnsi"/>
          <w:sz w:val="24"/>
          <w:szCs w:val="24"/>
        </w:rPr>
        <w:t xml:space="preserve"> However, this evidence also shows that Tacitus’ account is not that reliable. He writes that Agricola campaigned “beyond the </w:t>
      </w:r>
      <w:r w:rsidR="000E2981" w:rsidRPr="00DF1C62">
        <w:rPr>
          <w:rFonts w:asciiTheme="majorHAnsi" w:hAnsiTheme="majorHAnsi" w:cstheme="majorHAnsi"/>
          <w:i/>
          <w:sz w:val="24"/>
          <w:szCs w:val="24"/>
        </w:rPr>
        <w:t>Bodotria</w:t>
      </w:r>
      <w:r w:rsidR="000E2981" w:rsidRPr="00DF1C62">
        <w:rPr>
          <w:rFonts w:asciiTheme="majorHAnsi" w:hAnsiTheme="majorHAnsi" w:cstheme="majorHAnsi"/>
          <w:sz w:val="24"/>
          <w:szCs w:val="24"/>
        </w:rPr>
        <w:t>”</w:t>
      </w:r>
      <w:r w:rsidR="00983801" w:rsidRPr="00DF1C62">
        <w:rPr>
          <w:rFonts w:asciiTheme="majorHAnsi" w:hAnsiTheme="majorHAnsi" w:cstheme="majorHAnsi"/>
          <w:sz w:val="24"/>
          <w:szCs w:val="24"/>
        </w:rPr>
        <w:t>.</w:t>
      </w:r>
      <w:r w:rsidR="003D7808">
        <w:rPr>
          <w:rStyle w:val="FootnoteReference"/>
          <w:rFonts w:asciiTheme="majorHAnsi" w:hAnsiTheme="majorHAnsi" w:cstheme="majorHAnsi"/>
          <w:sz w:val="24"/>
          <w:szCs w:val="24"/>
        </w:rPr>
        <w:footnoteReference w:id="23"/>
      </w:r>
      <w:r w:rsidR="00983801" w:rsidRPr="00DF1C62">
        <w:rPr>
          <w:rFonts w:asciiTheme="majorHAnsi" w:hAnsiTheme="majorHAnsi" w:cstheme="majorHAnsi"/>
          <w:sz w:val="24"/>
          <w:szCs w:val="24"/>
        </w:rPr>
        <w:t xml:space="preserve"> This </w:t>
      </w:r>
      <w:r w:rsidR="00545668" w:rsidRPr="00DF1C62">
        <w:rPr>
          <w:rFonts w:asciiTheme="majorHAnsi" w:hAnsiTheme="majorHAnsi" w:cstheme="majorHAnsi"/>
          <w:sz w:val="24"/>
          <w:szCs w:val="24"/>
        </w:rPr>
        <w:t>is believed to mean beyond the Firth of F</w:t>
      </w:r>
      <w:r w:rsidR="00983801" w:rsidRPr="00DF1C62">
        <w:rPr>
          <w:rFonts w:asciiTheme="majorHAnsi" w:hAnsiTheme="majorHAnsi" w:cstheme="majorHAnsi"/>
          <w:sz w:val="24"/>
          <w:szCs w:val="24"/>
        </w:rPr>
        <w:t>orth, but the lack geographical information makes it difficult to say how far he advanc</w:t>
      </w:r>
      <w:r w:rsidR="00B71B49" w:rsidRPr="00DF1C62">
        <w:rPr>
          <w:rFonts w:asciiTheme="majorHAnsi" w:hAnsiTheme="majorHAnsi" w:cstheme="majorHAnsi"/>
          <w:sz w:val="24"/>
          <w:szCs w:val="24"/>
        </w:rPr>
        <w:t>ed beyond this point.</w:t>
      </w:r>
      <w:r w:rsidR="00F32E88">
        <w:rPr>
          <w:rStyle w:val="FootnoteReference"/>
          <w:rFonts w:asciiTheme="majorHAnsi" w:hAnsiTheme="majorHAnsi" w:cstheme="majorHAnsi"/>
          <w:sz w:val="24"/>
          <w:szCs w:val="24"/>
        </w:rPr>
        <w:footnoteReference w:id="24"/>
      </w:r>
      <w:r w:rsidR="00B71B49" w:rsidRPr="00DF1C62">
        <w:rPr>
          <w:rFonts w:asciiTheme="majorHAnsi" w:hAnsiTheme="majorHAnsi" w:cstheme="majorHAnsi"/>
          <w:sz w:val="24"/>
          <w:szCs w:val="24"/>
        </w:rPr>
        <w:t xml:space="preserve"> </w:t>
      </w:r>
      <w:r w:rsidR="005C26F2" w:rsidRPr="00DF1C62">
        <w:rPr>
          <w:rFonts w:asciiTheme="majorHAnsi" w:hAnsiTheme="majorHAnsi" w:cstheme="majorHAnsi"/>
          <w:sz w:val="24"/>
          <w:szCs w:val="24"/>
        </w:rPr>
        <w:t>A.G Woodhead</w:t>
      </w:r>
      <w:r w:rsidR="00983801" w:rsidRPr="00DF1C62">
        <w:rPr>
          <w:rFonts w:asciiTheme="majorHAnsi" w:hAnsiTheme="majorHAnsi" w:cstheme="majorHAnsi"/>
          <w:sz w:val="24"/>
          <w:szCs w:val="24"/>
        </w:rPr>
        <w:t xml:space="preserve"> though believe</w:t>
      </w:r>
      <w:r w:rsidR="005C26F2" w:rsidRPr="00DF1C62">
        <w:rPr>
          <w:rFonts w:asciiTheme="majorHAnsi" w:hAnsiTheme="majorHAnsi" w:cstheme="majorHAnsi"/>
          <w:sz w:val="24"/>
          <w:szCs w:val="24"/>
        </w:rPr>
        <w:t>s</w:t>
      </w:r>
      <w:r w:rsidR="00983801" w:rsidRPr="00DF1C62">
        <w:rPr>
          <w:rFonts w:asciiTheme="majorHAnsi" w:hAnsiTheme="majorHAnsi" w:cstheme="majorHAnsi"/>
          <w:sz w:val="24"/>
          <w:szCs w:val="24"/>
        </w:rPr>
        <w:t xml:space="preserve"> that Agricola may have adva</w:t>
      </w:r>
      <w:r w:rsidR="00667644" w:rsidRPr="00DF1C62">
        <w:rPr>
          <w:rFonts w:asciiTheme="majorHAnsi" w:hAnsiTheme="majorHAnsi" w:cstheme="majorHAnsi"/>
          <w:sz w:val="24"/>
          <w:szCs w:val="24"/>
        </w:rPr>
        <w:t>nced up to the Moray Firth as archaeologists</w:t>
      </w:r>
      <w:r w:rsidR="00545668" w:rsidRPr="00DF1C62">
        <w:rPr>
          <w:rFonts w:asciiTheme="majorHAnsi" w:hAnsiTheme="majorHAnsi" w:cstheme="majorHAnsi"/>
          <w:sz w:val="24"/>
          <w:szCs w:val="24"/>
        </w:rPr>
        <w:t xml:space="preserve"> have discovered several Roman c</w:t>
      </w:r>
      <w:r w:rsidR="00667644" w:rsidRPr="00DF1C62">
        <w:rPr>
          <w:rFonts w:asciiTheme="majorHAnsi" w:hAnsiTheme="majorHAnsi" w:cstheme="majorHAnsi"/>
          <w:sz w:val="24"/>
          <w:szCs w:val="24"/>
        </w:rPr>
        <w:t>amps in the area.</w:t>
      </w:r>
      <w:r w:rsidR="00F32E88">
        <w:rPr>
          <w:rStyle w:val="FootnoteReference"/>
          <w:rFonts w:asciiTheme="majorHAnsi" w:hAnsiTheme="majorHAnsi" w:cstheme="majorHAnsi"/>
          <w:sz w:val="24"/>
          <w:szCs w:val="24"/>
        </w:rPr>
        <w:footnoteReference w:id="25"/>
      </w:r>
      <w:r w:rsidR="00667644" w:rsidRPr="00DF1C62">
        <w:rPr>
          <w:rFonts w:asciiTheme="majorHAnsi" w:hAnsiTheme="majorHAnsi" w:cstheme="majorHAnsi"/>
          <w:sz w:val="24"/>
          <w:szCs w:val="24"/>
        </w:rPr>
        <w:t xml:space="preserve"> This would suggest Tacitus’ wr</w:t>
      </w:r>
      <w:r w:rsidR="00CF790A" w:rsidRPr="00DF1C62">
        <w:rPr>
          <w:rFonts w:asciiTheme="majorHAnsi" w:hAnsiTheme="majorHAnsi" w:cstheme="majorHAnsi"/>
          <w:sz w:val="24"/>
          <w:szCs w:val="24"/>
        </w:rPr>
        <w:t>it</w:t>
      </w:r>
      <w:r w:rsidR="00667644" w:rsidRPr="00DF1C62">
        <w:rPr>
          <w:rFonts w:asciiTheme="majorHAnsi" w:hAnsiTheme="majorHAnsi" w:cstheme="majorHAnsi"/>
          <w:sz w:val="24"/>
          <w:szCs w:val="24"/>
        </w:rPr>
        <w:t xml:space="preserve">ings are reliable since the Romans did advance further than </w:t>
      </w:r>
      <w:r w:rsidR="00B7355D" w:rsidRPr="00DF1C62">
        <w:rPr>
          <w:rFonts w:asciiTheme="majorHAnsi" w:hAnsiTheme="majorHAnsi" w:cstheme="majorHAnsi"/>
          <w:sz w:val="24"/>
          <w:szCs w:val="24"/>
        </w:rPr>
        <w:t>t</w:t>
      </w:r>
      <w:r w:rsidR="001079AF" w:rsidRPr="00DF1C62">
        <w:rPr>
          <w:rFonts w:asciiTheme="majorHAnsi" w:hAnsiTheme="majorHAnsi" w:cstheme="majorHAnsi"/>
          <w:sz w:val="24"/>
          <w:szCs w:val="24"/>
        </w:rPr>
        <w:t xml:space="preserve">he Firth </w:t>
      </w:r>
      <w:r w:rsidR="00545668" w:rsidRPr="00DF1C62">
        <w:rPr>
          <w:rFonts w:asciiTheme="majorHAnsi" w:hAnsiTheme="majorHAnsi" w:cstheme="majorHAnsi"/>
          <w:sz w:val="24"/>
          <w:szCs w:val="24"/>
        </w:rPr>
        <w:t>of</w:t>
      </w:r>
      <w:r w:rsidR="001079AF" w:rsidRPr="00DF1C62">
        <w:rPr>
          <w:rFonts w:asciiTheme="majorHAnsi" w:hAnsiTheme="majorHAnsi" w:cstheme="majorHAnsi"/>
          <w:sz w:val="24"/>
          <w:szCs w:val="24"/>
        </w:rPr>
        <w:t xml:space="preserve"> Forth. H</w:t>
      </w:r>
      <w:r w:rsidR="00732411">
        <w:rPr>
          <w:rFonts w:asciiTheme="majorHAnsi" w:hAnsiTheme="majorHAnsi" w:cstheme="majorHAnsi"/>
          <w:sz w:val="24"/>
          <w:szCs w:val="24"/>
        </w:rPr>
        <w:t>owever, it is debatable as to we</w:t>
      </w:r>
      <w:r w:rsidR="001079AF" w:rsidRPr="00DF1C62">
        <w:rPr>
          <w:rFonts w:asciiTheme="majorHAnsi" w:hAnsiTheme="majorHAnsi" w:cstheme="majorHAnsi"/>
          <w:sz w:val="24"/>
          <w:szCs w:val="24"/>
        </w:rPr>
        <w:t>ther</w:t>
      </w:r>
      <w:r w:rsidR="00B41658" w:rsidRPr="00DF1C62">
        <w:rPr>
          <w:rFonts w:asciiTheme="majorHAnsi" w:hAnsiTheme="majorHAnsi" w:cstheme="majorHAnsi"/>
          <w:sz w:val="24"/>
          <w:szCs w:val="24"/>
        </w:rPr>
        <w:t xml:space="preserve"> it was Agricola who built them. For the Flavian elements could have been built by his successor after Agricola returned</w:t>
      </w:r>
      <w:r w:rsidR="00545668" w:rsidRPr="00DF1C62">
        <w:rPr>
          <w:rFonts w:asciiTheme="majorHAnsi" w:hAnsiTheme="majorHAnsi" w:cstheme="majorHAnsi"/>
          <w:sz w:val="24"/>
          <w:szCs w:val="24"/>
        </w:rPr>
        <w:t xml:space="preserve"> </w:t>
      </w:r>
      <w:r w:rsidR="00545668" w:rsidRPr="00DF1C62">
        <w:rPr>
          <w:rFonts w:asciiTheme="majorHAnsi" w:hAnsiTheme="majorHAnsi" w:cstheme="majorHAnsi"/>
          <w:sz w:val="24"/>
          <w:szCs w:val="24"/>
        </w:rPr>
        <w:lastRenderedPageBreak/>
        <w:t>to Rome.</w:t>
      </w:r>
      <w:r w:rsidR="00B949D3">
        <w:rPr>
          <w:rStyle w:val="FootnoteReference"/>
          <w:rFonts w:asciiTheme="majorHAnsi" w:hAnsiTheme="majorHAnsi" w:cstheme="majorHAnsi"/>
          <w:sz w:val="24"/>
          <w:szCs w:val="24"/>
        </w:rPr>
        <w:footnoteReference w:id="26"/>
      </w:r>
      <w:r w:rsidR="00545668" w:rsidRPr="00DF1C62">
        <w:rPr>
          <w:rFonts w:asciiTheme="majorHAnsi" w:hAnsiTheme="majorHAnsi" w:cstheme="majorHAnsi"/>
          <w:sz w:val="24"/>
          <w:szCs w:val="24"/>
        </w:rPr>
        <w:t xml:space="preserve"> At Inchtuthil there </w:t>
      </w:r>
      <w:r w:rsidR="00B41658" w:rsidRPr="00DF1C62">
        <w:rPr>
          <w:rFonts w:asciiTheme="majorHAnsi" w:hAnsiTheme="majorHAnsi" w:cstheme="majorHAnsi"/>
          <w:sz w:val="24"/>
          <w:szCs w:val="24"/>
        </w:rPr>
        <w:t xml:space="preserve">is </w:t>
      </w:r>
      <w:r w:rsidR="00545668" w:rsidRPr="00DF1C62">
        <w:rPr>
          <w:rFonts w:asciiTheme="majorHAnsi" w:hAnsiTheme="majorHAnsi" w:cstheme="majorHAnsi"/>
          <w:sz w:val="24"/>
          <w:szCs w:val="24"/>
        </w:rPr>
        <w:t xml:space="preserve">a </w:t>
      </w:r>
      <w:r w:rsidR="00B41658" w:rsidRPr="00DF1C62">
        <w:rPr>
          <w:rFonts w:asciiTheme="majorHAnsi" w:hAnsiTheme="majorHAnsi" w:cstheme="majorHAnsi"/>
          <w:sz w:val="24"/>
          <w:szCs w:val="24"/>
        </w:rPr>
        <w:t xml:space="preserve">legionary </w:t>
      </w:r>
      <w:r w:rsidR="00545668" w:rsidRPr="00DF1C62">
        <w:rPr>
          <w:rFonts w:asciiTheme="majorHAnsi" w:hAnsiTheme="majorHAnsi" w:cstheme="majorHAnsi"/>
          <w:sz w:val="24"/>
          <w:szCs w:val="24"/>
        </w:rPr>
        <w:t xml:space="preserve">fort </w:t>
      </w:r>
      <w:r w:rsidR="00B41658" w:rsidRPr="00DF1C62">
        <w:rPr>
          <w:rFonts w:asciiTheme="majorHAnsi" w:hAnsiTheme="majorHAnsi" w:cstheme="majorHAnsi"/>
          <w:sz w:val="24"/>
          <w:szCs w:val="24"/>
        </w:rPr>
        <w:t>that seems to have been abandoned by the Romans.</w:t>
      </w:r>
      <w:r w:rsidR="00B949D3">
        <w:rPr>
          <w:rStyle w:val="FootnoteReference"/>
          <w:rFonts w:asciiTheme="majorHAnsi" w:hAnsiTheme="majorHAnsi" w:cstheme="majorHAnsi"/>
          <w:sz w:val="24"/>
          <w:szCs w:val="24"/>
        </w:rPr>
        <w:footnoteReference w:id="27"/>
      </w:r>
      <w:r w:rsidR="00B41658" w:rsidRPr="00DF1C62">
        <w:rPr>
          <w:rFonts w:asciiTheme="majorHAnsi" w:hAnsiTheme="majorHAnsi" w:cstheme="majorHAnsi"/>
          <w:sz w:val="24"/>
          <w:szCs w:val="24"/>
        </w:rPr>
        <w:t xml:space="preserve"> It has been attributed to Agricola however the archaeological record seems to also put this in doubt.</w:t>
      </w:r>
      <w:r w:rsidR="00336A75" w:rsidRPr="00DF1C62">
        <w:rPr>
          <w:rFonts w:asciiTheme="majorHAnsi" w:hAnsiTheme="majorHAnsi" w:cstheme="majorHAnsi"/>
          <w:sz w:val="24"/>
          <w:szCs w:val="24"/>
        </w:rPr>
        <w:t xml:space="preserve"> </w:t>
      </w:r>
      <w:r w:rsidR="00B41658" w:rsidRPr="00DF1C62">
        <w:rPr>
          <w:rFonts w:asciiTheme="majorHAnsi" w:hAnsiTheme="majorHAnsi" w:cstheme="majorHAnsi"/>
          <w:sz w:val="24"/>
          <w:szCs w:val="24"/>
        </w:rPr>
        <w:t>The fort was never compl</w:t>
      </w:r>
      <w:r w:rsidR="003F4FC9" w:rsidRPr="00DF1C62">
        <w:rPr>
          <w:rFonts w:asciiTheme="majorHAnsi" w:hAnsiTheme="majorHAnsi" w:cstheme="majorHAnsi"/>
          <w:sz w:val="24"/>
          <w:szCs w:val="24"/>
        </w:rPr>
        <w:t>eted so it is believed to h</w:t>
      </w:r>
      <w:r w:rsidR="002F142C" w:rsidRPr="00DF1C62">
        <w:rPr>
          <w:rFonts w:asciiTheme="majorHAnsi" w:hAnsiTheme="majorHAnsi" w:cstheme="majorHAnsi"/>
          <w:sz w:val="24"/>
          <w:szCs w:val="24"/>
        </w:rPr>
        <w:t>ave been abandoned around AD 87, w</w:t>
      </w:r>
      <w:r w:rsidR="003F4FC9" w:rsidRPr="00DF1C62">
        <w:rPr>
          <w:rFonts w:asciiTheme="majorHAnsi" w:hAnsiTheme="majorHAnsi" w:cstheme="majorHAnsi"/>
          <w:sz w:val="24"/>
          <w:szCs w:val="24"/>
        </w:rPr>
        <w:t>hich is after Agricola’s return to Rome at the orders of Domitian.</w:t>
      </w:r>
      <w:r w:rsidR="00336A75">
        <w:rPr>
          <w:rStyle w:val="FootnoteReference"/>
          <w:rFonts w:asciiTheme="majorHAnsi" w:hAnsiTheme="majorHAnsi" w:cstheme="majorHAnsi"/>
          <w:sz w:val="24"/>
          <w:szCs w:val="24"/>
        </w:rPr>
        <w:footnoteReference w:id="28"/>
      </w:r>
      <w:r w:rsidR="003F4FC9" w:rsidRPr="00DF1C62">
        <w:rPr>
          <w:rFonts w:asciiTheme="majorHAnsi" w:hAnsiTheme="majorHAnsi" w:cstheme="majorHAnsi"/>
          <w:sz w:val="24"/>
          <w:szCs w:val="24"/>
        </w:rPr>
        <w:t xml:space="preserve"> </w:t>
      </w:r>
      <w:r w:rsidR="00A972F9" w:rsidRPr="00DF1C62">
        <w:rPr>
          <w:rFonts w:asciiTheme="majorHAnsi" w:hAnsiTheme="majorHAnsi" w:cstheme="majorHAnsi"/>
          <w:sz w:val="24"/>
          <w:szCs w:val="24"/>
        </w:rPr>
        <w:t>This causes problems for the rel</w:t>
      </w:r>
      <w:r w:rsidR="00886CEC" w:rsidRPr="00DF1C62">
        <w:rPr>
          <w:rFonts w:asciiTheme="majorHAnsi" w:hAnsiTheme="majorHAnsi" w:cstheme="majorHAnsi"/>
          <w:sz w:val="24"/>
          <w:szCs w:val="24"/>
        </w:rPr>
        <w:t>iability of Tacitus’ writings s</w:t>
      </w:r>
      <w:r w:rsidR="00A972F9" w:rsidRPr="00DF1C62">
        <w:rPr>
          <w:rFonts w:asciiTheme="majorHAnsi" w:hAnsiTheme="majorHAnsi" w:cstheme="majorHAnsi"/>
          <w:sz w:val="24"/>
          <w:szCs w:val="24"/>
        </w:rPr>
        <w:t>ince if the forts and the legionary barracks were bui</w:t>
      </w:r>
      <w:r w:rsidR="00DB2EA9">
        <w:rPr>
          <w:rFonts w:asciiTheme="majorHAnsi" w:hAnsiTheme="majorHAnsi" w:cstheme="majorHAnsi"/>
          <w:sz w:val="24"/>
          <w:szCs w:val="24"/>
        </w:rPr>
        <w:t xml:space="preserve">lt after Agricola left Britain </w:t>
      </w:r>
      <w:r w:rsidR="0035126B" w:rsidRPr="00DF1C62">
        <w:rPr>
          <w:rFonts w:asciiTheme="majorHAnsi" w:hAnsiTheme="majorHAnsi" w:cstheme="majorHAnsi"/>
          <w:sz w:val="24"/>
          <w:szCs w:val="24"/>
        </w:rPr>
        <w:t>i</w:t>
      </w:r>
      <w:r w:rsidR="00A972F9" w:rsidRPr="00DF1C62">
        <w:rPr>
          <w:rFonts w:asciiTheme="majorHAnsi" w:hAnsiTheme="majorHAnsi" w:cstheme="majorHAnsi"/>
          <w:sz w:val="24"/>
          <w:szCs w:val="24"/>
        </w:rPr>
        <w:t xml:space="preserve">t cannot be proven if he did indeed cross the Firth </w:t>
      </w:r>
      <w:r w:rsidR="00545668" w:rsidRPr="00DF1C62">
        <w:rPr>
          <w:rFonts w:asciiTheme="majorHAnsi" w:hAnsiTheme="majorHAnsi" w:cstheme="majorHAnsi"/>
          <w:sz w:val="24"/>
          <w:szCs w:val="24"/>
        </w:rPr>
        <w:t xml:space="preserve">of </w:t>
      </w:r>
      <w:r w:rsidR="00DB2EA9">
        <w:rPr>
          <w:rFonts w:asciiTheme="majorHAnsi" w:hAnsiTheme="majorHAnsi" w:cstheme="majorHAnsi"/>
          <w:sz w:val="24"/>
          <w:szCs w:val="24"/>
        </w:rPr>
        <w:t xml:space="preserve">Forth which </w:t>
      </w:r>
      <w:r w:rsidR="0035126B" w:rsidRPr="00DF1C62">
        <w:rPr>
          <w:rFonts w:asciiTheme="majorHAnsi" w:hAnsiTheme="majorHAnsi" w:cstheme="majorHAnsi"/>
          <w:sz w:val="24"/>
          <w:szCs w:val="24"/>
        </w:rPr>
        <w:t xml:space="preserve">provides further </w:t>
      </w:r>
      <w:r w:rsidR="00BC1045" w:rsidRPr="00DF1C62">
        <w:rPr>
          <w:rFonts w:asciiTheme="majorHAnsi" w:hAnsiTheme="majorHAnsi" w:cstheme="majorHAnsi"/>
          <w:sz w:val="24"/>
          <w:szCs w:val="24"/>
        </w:rPr>
        <w:t xml:space="preserve">damage to </w:t>
      </w:r>
      <w:r w:rsidR="005A0D80" w:rsidRPr="00DF1C62">
        <w:rPr>
          <w:rFonts w:asciiTheme="majorHAnsi" w:hAnsiTheme="majorHAnsi" w:cstheme="majorHAnsi"/>
          <w:sz w:val="24"/>
          <w:szCs w:val="24"/>
        </w:rPr>
        <w:t>the reliability of Tacitus’ works as his description of Agricola’s campaign</w:t>
      </w:r>
      <w:r w:rsidR="00BC1045" w:rsidRPr="00DF1C62">
        <w:rPr>
          <w:rFonts w:asciiTheme="majorHAnsi" w:hAnsiTheme="majorHAnsi" w:cstheme="majorHAnsi"/>
          <w:sz w:val="24"/>
          <w:szCs w:val="24"/>
        </w:rPr>
        <w:t>s</w:t>
      </w:r>
      <w:r w:rsidR="005A0D80" w:rsidRPr="00DF1C62">
        <w:rPr>
          <w:rFonts w:asciiTheme="majorHAnsi" w:hAnsiTheme="majorHAnsi" w:cstheme="majorHAnsi"/>
          <w:sz w:val="24"/>
          <w:szCs w:val="24"/>
        </w:rPr>
        <w:t xml:space="preserve"> cannot be proven to be correct. </w:t>
      </w:r>
    </w:p>
    <w:p w:rsidR="00C75F44" w:rsidRPr="00DF1C62" w:rsidRDefault="00C75F44" w:rsidP="00265735">
      <w:pPr>
        <w:pStyle w:val="NoSpacing"/>
        <w:spacing w:line="480" w:lineRule="auto"/>
        <w:rPr>
          <w:rFonts w:asciiTheme="majorHAnsi" w:hAnsiTheme="majorHAnsi" w:cstheme="majorHAnsi"/>
          <w:sz w:val="24"/>
          <w:szCs w:val="24"/>
        </w:rPr>
      </w:pPr>
    </w:p>
    <w:p w:rsidR="00964CFE" w:rsidRPr="00DF1C62" w:rsidRDefault="0030112D"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An additional</w:t>
      </w:r>
      <w:r w:rsidR="00DE50EE" w:rsidRPr="00DF1C62">
        <w:rPr>
          <w:rFonts w:asciiTheme="majorHAnsi" w:hAnsiTheme="majorHAnsi" w:cstheme="majorHAnsi"/>
          <w:sz w:val="24"/>
          <w:szCs w:val="24"/>
        </w:rPr>
        <w:t xml:space="preserve"> aspect that must be considered when determining the reliability of Tacitus’</w:t>
      </w:r>
      <w:r w:rsidR="00810370" w:rsidRPr="00DF1C62">
        <w:rPr>
          <w:rFonts w:asciiTheme="majorHAnsi" w:hAnsiTheme="majorHAnsi" w:cstheme="majorHAnsi"/>
          <w:sz w:val="24"/>
          <w:szCs w:val="24"/>
        </w:rPr>
        <w:t xml:space="preserve"> work are the sources from which Tacitus retrieved his information</w:t>
      </w:r>
      <w:r w:rsidR="00964CFE" w:rsidRPr="00DF1C62">
        <w:rPr>
          <w:rFonts w:asciiTheme="majorHAnsi" w:hAnsiTheme="majorHAnsi" w:cstheme="majorHAnsi"/>
          <w:sz w:val="24"/>
          <w:szCs w:val="24"/>
        </w:rPr>
        <w:t xml:space="preserve">. </w:t>
      </w:r>
      <w:r w:rsidR="00C279FF" w:rsidRPr="00DF1C62">
        <w:rPr>
          <w:rFonts w:asciiTheme="majorHAnsi" w:hAnsiTheme="majorHAnsi" w:cstheme="majorHAnsi"/>
          <w:sz w:val="24"/>
          <w:szCs w:val="24"/>
        </w:rPr>
        <w:t xml:space="preserve">Like other historians Tacitus would have needed to use sources to obtain evidence so that he could write his histories. </w:t>
      </w:r>
      <w:r w:rsidR="00B70A32" w:rsidRPr="00DF1C62">
        <w:rPr>
          <w:rFonts w:asciiTheme="majorHAnsi" w:hAnsiTheme="majorHAnsi" w:cstheme="majorHAnsi"/>
          <w:sz w:val="24"/>
          <w:szCs w:val="24"/>
        </w:rPr>
        <w:t>In principle, if sources that were written before Tacitus’ own writing</w:t>
      </w:r>
      <w:r w:rsidR="00DB2EA9">
        <w:rPr>
          <w:rFonts w:asciiTheme="majorHAnsi" w:hAnsiTheme="majorHAnsi" w:cstheme="majorHAnsi"/>
          <w:sz w:val="24"/>
          <w:szCs w:val="24"/>
        </w:rPr>
        <w:t>s</w:t>
      </w:r>
      <w:r w:rsidR="00B70A32" w:rsidRPr="00DF1C62">
        <w:rPr>
          <w:rFonts w:asciiTheme="majorHAnsi" w:hAnsiTheme="majorHAnsi" w:cstheme="majorHAnsi"/>
          <w:sz w:val="24"/>
          <w:szCs w:val="24"/>
        </w:rPr>
        <w:t xml:space="preserve"> complement his n</w:t>
      </w:r>
      <w:r w:rsidR="00EE4D91" w:rsidRPr="00DF1C62">
        <w:rPr>
          <w:rFonts w:asciiTheme="majorHAnsi" w:hAnsiTheme="majorHAnsi" w:cstheme="majorHAnsi"/>
          <w:sz w:val="24"/>
          <w:szCs w:val="24"/>
        </w:rPr>
        <w:t>arratives about Roman Britain i</w:t>
      </w:r>
      <w:r w:rsidR="00B70A32" w:rsidRPr="00DF1C62">
        <w:rPr>
          <w:rFonts w:asciiTheme="majorHAnsi" w:hAnsiTheme="majorHAnsi" w:cstheme="majorHAnsi"/>
          <w:sz w:val="24"/>
          <w:szCs w:val="24"/>
        </w:rPr>
        <w:t xml:space="preserve">t </w:t>
      </w:r>
      <w:r w:rsidR="00213E73" w:rsidRPr="00DF1C62">
        <w:rPr>
          <w:rFonts w:asciiTheme="majorHAnsi" w:hAnsiTheme="majorHAnsi" w:cstheme="majorHAnsi"/>
          <w:sz w:val="24"/>
          <w:szCs w:val="24"/>
        </w:rPr>
        <w:t xml:space="preserve">could </w:t>
      </w:r>
      <w:r w:rsidR="00B70A32" w:rsidRPr="00DF1C62">
        <w:rPr>
          <w:rFonts w:asciiTheme="majorHAnsi" w:hAnsiTheme="majorHAnsi" w:cstheme="majorHAnsi"/>
          <w:sz w:val="24"/>
          <w:szCs w:val="24"/>
        </w:rPr>
        <w:t xml:space="preserve">be said that they are reliable </w:t>
      </w:r>
      <w:r w:rsidR="00213E73" w:rsidRPr="00DF1C62">
        <w:rPr>
          <w:rFonts w:asciiTheme="majorHAnsi" w:hAnsiTheme="majorHAnsi" w:cstheme="majorHAnsi"/>
          <w:sz w:val="24"/>
          <w:szCs w:val="24"/>
        </w:rPr>
        <w:t>as he has used</w:t>
      </w:r>
      <w:r w:rsidR="00B70A32" w:rsidRPr="00DF1C62">
        <w:rPr>
          <w:rFonts w:asciiTheme="majorHAnsi" w:hAnsiTheme="majorHAnsi" w:cstheme="majorHAnsi"/>
          <w:sz w:val="24"/>
          <w:szCs w:val="24"/>
        </w:rPr>
        <w:t xml:space="preserve"> past sources to support what he writes. For example, in both the </w:t>
      </w:r>
      <w:r w:rsidR="00B70A32" w:rsidRPr="00DF1C62">
        <w:rPr>
          <w:rFonts w:asciiTheme="majorHAnsi" w:hAnsiTheme="majorHAnsi" w:cstheme="majorHAnsi"/>
          <w:i/>
          <w:sz w:val="24"/>
          <w:szCs w:val="24"/>
        </w:rPr>
        <w:t xml:space="preserve">Agricola </w:t>
      </w:r>
      <w:r w:rsidR="00B70A32" w:rsidRPr="00DF1C62">
        <w:rPr>
          <w:rFonts w:asciiTheme="majorHAnsi" w:hAnsiTheme="majorHAnsi" w:cstheme="majorHAnsi"/>
          <w:sz w:val="24"/>
          <w:szCs w:val="24"/>
        </w:rPr>
        <w:t xml:space="preserve">and </w:t>
      </w:r>
      <w:r w:rsidR="00B70A32" w:rsidRPr="00DF1C62">
        <w:rPr>
          <w:rFonts w:asciiTheme="majorHAnsi" w:hAnsiTheme="majorHAnsi" w:cstheme="majorHAnsi"/>
          <w:i/>
          <w:sz w:val="24"/>
          <w:szCs w:val="24"/>
        </w:rPr>
        <w:t>Annals</w:t>
      </w:r>
      <w:r w:rsidR="00B70A32" w:rsidRPr="00DF1C62">
        <w:rPr>
          <w:rFonts w:asciiTheme="majorHAnsi" w:hAnsiTheme="majorHAnsi" w:cstheme="majorHAnsi"/>
          <w:sz w:val="24"/>
          <w:szCs w:val="24"/>
        </w:rPr>
        <w:t xml:space="preserve"> Tacitus describes how the Britons used chariots in warfare.</w:t>
      </w:r>
      <w:r w:rsidR="00DB2EA9">
        <w:rPr>
          <w:rStyle w:val="FootnoteReference"/>
          <w:rFonts w:asciiTheme="majorHAnsi" w:hAnsiTheme="majorHAnsi" w:cstheme="majorHAnsi"/>
          <w:sz w:val="24"/>
          <w:szCs w:val="24"/>
        </w:rPr>
        <w:footnoteReference w:id="29"/>
      </w:r>
      <w:r w:rsidR="00B70A32" w:rsidRPr="00DF1C62">
        <w:rPr>
          <w:rFonts w:asciiTheme="majorHAnsi" w:hAnsiTheme="majorHAnsi" w:cstheme="majorHAnsi"/>
          <w:sz w:val="24"/>
          <w:szCs w:val="24"/>
        </w:rPr>
        <w:t xml:space="preserve"> </w:t>
      </w:r>
      <w:r w:rsidR="00213E73" w:rsidRPr="00DF1C62">
        <w:rPr>
          <w:rFonts w:asciiTheme="majorHAnsi" w:hAnsiTheme="majorHAnsi" w:cstheme="majorHAnsi"/>
          <w:sz w:val="24"/>
          <w:szCs w:val="24"/>
        </w:rPr>
        <w:t xml:space="preserve">This is supported by </w:t>
      </w:r>
      <w:r w:rsidR="00552C09" w:rsidRPr="00DF1C62">
        <w:rPr>
          <w:rFonts w:asciiTheme="majorHAnsi" w:hAnsiTheme="majorHAnsi" w:cstheme="majorHAnsi"/>
          <w:sz w:val="24"/>
          <w:szCs w:val="24"/>
        </w:rPr>
        <w:t xml:space="preserve">the </w:t>
      </w:r>
      <w:r w:rsidR="00213E73" w:rsidRPr="00DF1C62">
        <w:rPr>
          <w:rFonts w:asciiTheme="majorHAnsi" w:hAnsiTheme="majorHAnsi" w:cstheme="majorHAnsi"/>
          <w:sz w:val="24"/>
          <w:szCs w:val="24"/>
        </w:rPr>
        <w:t xml:space="preserve">fact that about a hundred years before Tacitus was born another author also </w:t>
      </w:r>
      <w:r w:rsidR="00885B86" w:rsidRPr="00DF1C62">
        <w:rPr>
          <w:rFonts w:asciiTheme="majorHAnsi" w:hAnsiTheme="majorHAnsi" w:cstheme="majorHAnsi"/>
          <w:sz w:val="24"/>
          <w:szCs w:val="24"/>
        </w:rPr>
        <w:t>wrote about how the Britons used chariots in warfare.</w:t>
      </w:r>
      <w:r w:rsidR="00033225">
        <w:rPr>
          <w:rStyle w:val="FootnoteReference"/>
          <w:rFonts w:asciiTheme="majorHAnsi" w:hAnsiTheme="majorHAnsi" w:cstheme="majorHAnsi"/>
          <w:sz w:val="24"/>
          <w:szCs w:val="24"/>
        </w:rPr>
        <w:footnoteReference w:id="30"/>
      </w:r>
      <w:r w:rsidR="00885B86" w:rsidRPr="00DF1C62">
        <w:rPr>
          <w:rFonts w:asciiTheme="majorHAnsi" w:hAnsiTheme="majorHAnsi" w:cstheme="majorHAnsi"/>
          <w:sz w:val="24"/>
          <w:szCs w:val="24"/>
        </w:rPr>
        <w:t xml:space="preserve"> Julius Caesar</w:t>
      </w:r>
      <w:r w:rsidR="007E2829">
        <w:rPr>
          <w:rFonts w:asciiTheme="majorHAnsi" w:hAnsiTheme="majorHAnsi" w:cstheme="majorHAnsi"/>
          <w:sz w:val="24"/>
          <w:szCs w:val="24"/>
        </w:rPr>
        <w:t xml:space="preserve"> </w:t>
      </w:r>
      <w:r w:rsidR="00646C3C" w:rsidRPr="00DF1C62">
        <w:rPr>
          <w:rFonts w:asciiTheme="majorHAnsi" w:hAnsiTheme="majorHAnsi" w:cstheme="majorHAnsi"/>
          <w:sz w:val="24"/>
          <w:szCs w:val="24"/>
        </w:rPr>
        <w:t xml:space="preserve">wrote about his campaigns in Britain in his </w:t>
      </w:r>
      <w:r w:rsidR="00594B4E">
        <w:rPr>
          <w:rFonts w:asciiTheme="majorHAnsi" w:hAnsiTheme="majorHAnsi" w:cstheme="majorHAnsi"/>
          <w:i/>
          <w:sz w:val="24"/>
          <w:szCs w:val="24"/>
        </w:rPr>
        <w:t xml:space="preserve">Gallic War </w:t>
      </w:r>
      <w:r w:rsidR="001D35C3">
        <w:rPr>
          <w:rFonts w:asciiTheme="majorHAnsi" w:hAnsiTheme="majorHAnsi" w:cstheme="majorHAnsi"/>
          <w:sz w:val="24"/>
          <w:szCs w:val="24"/>
        </w:rPr>
        <w:t xml:space="preserve"> where h</w:t>
      </w:r>
      <w:r w:rsidR="00AF61BB" w:rsidRPr="00DF1C62">
        <w:rPr>
          <w:rFonts w:asciiTheme="majorHAnsi" w:hAnsiTheme="majorHAnsi" w:cstheme="majorHAnsi"/>
          <w:sz w:val="24"/>
          <w:szCs w:val="24"/>
        </w:rPr>
        <w:t xml:space="preserve">e describes how the Britons during his </w:t>
      </w:r>
      <w:r w:rsidR="00333931">
        <w:rPr>
          <w:rFonts w:asciiTheme="majorHAnsi" w:hAnsiTheme="majorHAnsi" w:cstheme="majorHAnsi"/>
          <w:sz w:val="24"/>
          <w:szCs w:val="24"/>
        </w:rPr>
        <w:t>first invasion</w:t>
      </w:r>
      <w:r w:rsidR="00AF61BB" w:rsidRPr="00DF1C62">
        <w:rPr>
          <w:rFonts w:asciiTheme="majorHAnsi" w:hAnsiTheme="majorHAnsi" w:cstheme="majorHAnsi"/>
          <w:sz w:val="24"/>
          <w:szCs w:val="24"/>
        </w:rPr>
        <w:t xml:space="preserve"> used chariots</w:t>
      </w:r>
      <w:r w:rsidR="001A7A53">
        <w:rPr>
          <w:rFonts w:asciiTheme="majorHAnsi" w:hAnsiTheme="majorHAnsi" w:cstheme="majorHAnsi"/>
          <w:sz w:val="24"/>
          <w:szCs w:val="24"/>
        </w:rPr>
        <w:t xml:space="preserve"> in </w:t>
      </w:r>
      <w:r w:rsidR="001D35C3">
        <w:rPr>
          <w:rFonts w:asciiTheme="majorHAnsi" w:hAnsiTheme="majorHAnsi" w:cstheme="majorHAnsi"/>
          <w:sz w:val="24"/>
          <w:szCs w:val="24"/>
        </w:rPr>
        <w:t>response</w:t>
      </w:r>
      <w:r w:rsidR="006F7ADC">
        <w:rPr>
          <w:rFonts w:asciiTheme="majorHAnsi" w:hAnsiTheme="majorHAnsi" w:cstheme="majorHAnsi"/>
          <w:sz w:val="24"/>
          <w:szCs w:val="24"/>
        </w:rPr>
        <w:t xml:space="preserve"> to the initial landing </w:t>
      </w:r>
      <w:r w:rsidR="001A7A53">
        <w:rPr>
          <w:rFonts w:asciiTheme="majorHAnsi" w:hAnsiTheme="majorHAnsi" w:cstheme="majorHAnsi"/>
          <w:sz w:val="24"/>
          <w:szCs w:val="24"/>
        </w:rPr>
        <w:t xml:space="preserve">of his </w:t>
      </w:r>
      <w:r w:rsidR="0072025B">
        <w:rPr>
          <w:rFonts w:asciiTheme="majorHAnsi" w:hAnsiTheme="majorHAnsi" w:cstheme="majorHAnsi"/>
          <w:sz w:val="24"/>
          <w:szCs w:val="24"/>
        </w:rPr>
        <w:t>army</w:t>
      </w:r>
      <w:r w:rsidR="00AF61BB" w:rsidRPr="00DF1C62">
        <w:rPr>
          <w:rFonts w:asciiTheme="majorHAnsi" w:hAnsiTheme="majorHAnsi" w:cstheme="majorHAnsi"/>
          <w:sz w:val="24"/>
          <w:szCs w:val="24"/>
        </w:rPr>
        <w:t>.</w:t>
      </w:r>
      <w:r w:rsidR="001D35C3">
        <w:rPr>
          <w:rStyle w:val="FootnoteReference"/>
          <w:rFonts w:asciiTheme="majorHAnsi" w:hAnsiTheme="majorHAnsi" w:cstheme="majorHAnsi"/>
          <w:sz w:val="24"/>
          <w:szCs w:val="24"/>
        </w:rPr>
        <w:footnoteReference w:id="31"/>
      </w:r>
      <w:r w:rsidR="00AF61BB" w:rsidRPr="00DF1C62">
        <w:rPr>
          <w:rFonts w:asciiTheme="majorHAnsi" w:hAnsiTheme="majorHAnsi" w:cstheme="majorHAnsi"/>
          <w:sz w:val="24"/>
          <w:szCs w:val="24"/>
        </w:rPr>
        <w:t xml:space="preserve"> Of course, it cannot be confirmed if Tacitus did use Caesar’s </w:t>
      </w:r>
      <w:r w:rsidR="00AF61BB" w:rsidRPr="00DF1C62">
        <w:rPr>
          <w:rFonts w:asciiTheme="majorHAnsi" w:hAnsiTheme="majorHAnsi" w:cstheme="majorHAnsi"/>
          <w:sz w:val="24"/>
          <w:szCs w:val="24"/>
        </w:rPr>
        <w:lastRenderedPageBreak/>
        <w:t xml:space="preserve">writings as a source of information. Considering Caesar only wrote his works about a hundred years before Tacitus’ writings and the considerable influence </w:t>
      </w:r>
      <w:r w:rsidR="00261313">
        <w:rPr>
          <w:rFonts w:asciiTheme="majorHAnsi" w:hAnsiTheme="majorHAnsi" w:cstheme="majorHAnsi"/>
          <w:sz w:val="24"/>
          <w:szCs w:val="24"/>
        </w:rPr>
        <w:t xml:space="preserve">he had </w:t>
      </w:r>
      <w:r w:rsidR="00AF61BB" w:rsidRPr="00DF1C62">
        <w:rPr>
          <w:rFonts w:asciiTheme="majorHAnsi" w:hAnsiTheme="majorHAnsi" w:cstheme="majorHAnsi"/>
          <w:sz w:val="24"/>
          <w:szCs w:val="24"/>
        </w:rPr>
        <w:t>on Rom</w:t>
      </w:r>
      <w:r w:rsidR="005E6C40" w:rsidRPr="00DF1C62">
        <w:rPr>
          <w:rFonts w:asciiTheme="majorHAnsi" w:hAnsiTheme="majorHAnsi" w:cstheme="majorHAnsi"/>
          <w:sz w:val="24"/>
          <w:szCs w:val="24"/>
        </w:rPr>
        <w:t>e i</w:t>
      </w:r>
      <w:r w:rsidR="001758C9" w:rsidRPr="00DF1C62">
        <w:rPr>
          <w:rFonts w:asciiTheme="majorHAnsi" w:hAnsiTheme="majorHAnsi" w:cstheme="majorHAnsi"/>
          <w:sz w:val="24"/>
          <w:szCs w:val="24"/>
        </w:rPr>
        <w:t xml:space="preserve">t could be assumed that he </w:t>
      </w:r>
      <w:r w:rsidR="00AF61BB" w:rsidRPr="00DF1C62">
        <w:rPr>
          <w:rFonts w:asciiTheme="majorHAnsi" w:hAnsiTheme="majorHAnsi" w:cstheme="majorHAnsi"/>
          <w:sz w:val="24"/>
          <w:szCs w:val="24"/>
        </w:rPr>
        <w:t xml:space="preserve">most likely will have used Caesar’s </w:t>
      </w:r>
      <w:r w:rsidR="001758C9" w:rsidRPr="00DF1C62">
        <w:rPr>
          <w:rFonts w:asciiTheme="majorHAnsi" w:hAnsiTheme="majorHAnsi" w:cstheme="majorHAnsi"/>
          <w:sz w:val="24"/>
          <w:szCs w:val="24"/>
        </w:rPr>
        <w:t xml:space="preserve">work </w:t>
      </w:r>
      <w:r w:rsidR="00AF61BB" w:rsidRPr="00DF1C62">
        <w:rPr>
          <w:rFonts w:asciiTheme="majorHAnsi" w:hAnsiTheme="majorHAnsi" w:cstheme="majorHAnsi"/>
          <w:sz w:val="24"/>
          <w:szCs w:val="24"/>
        </w:rPr>
        <w:t xml:space="preserve">as a basis for his own.  </w:t>
      </w:r>
    </w:p>
    <w:p w:rsidR="001758C9" w:rsidRPr="00DF1C62" w:rsidRDefault="001758C9" w:rsidP="00265735">
      <w:pPr>
        <w:pStyle w:val="NoSpacing"/>
        <w:spacing w:line="480" w:lineRule="auto"/>
        <w:rPr>
          <w:rFonts w:asciiTheme="majorHAnsi" w:hAnsiTheme="majorHAnsi" w:cstheme="majorHAnsi"/>
          <w:sz w:val="24"/>
          <w:szCs w:val="24"/>
        </w:rPr>
      </w:pPr>
    </w:p>
    <w:p w:rsidR="00452E9F" w:rsidRPr="00DF1C62" w:rsidRDefault="007149CF"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 xml:space="preserve">Since the </w:t>
      </w:r>
      <w:r w:rsidR="00FF441D">
        <w:rPr>
          <w:rFonts w:asciiTheme="majorHAnsi" w:hAnsiTheme="majorHAnsi" w:cstheme="majorHAnsi"/>
          <w:i/>
          <w:sz w:val="24"/>
          <w:szCs w:val="24"/>
        </w:rPr>
        <w:t xml:space="preserve">Gallic </w:t>
      </w:r>
      <w:r w:rsidR="00265735">
        <w:rPr>
          <w:rFonts w:asciiTheme="majorHAnsi" w:hAnsiTheme="majorHAnsi" w:cstheme="majorHAnsi"/>
          <w:i/>
          <w:sz w:val="24"/>
          <w:szCs w:val="24"/>
        </w:rPr>
        <w:t xml:space="preserve">Wars </w:t>
      </w:r>
      <w:r w:rsidR="00265735" w:rsidRPr="00265735">
        <w:rPr>
          <w:rFonts w:asciiTheme="majorHAnsi" w:hAnsiTheme="majorHAnsi" w:cstheme="majorHAnsi"/>
          <w:sz w:val="24"/>
          <w:szCs w:val="24"/>
        </w:rPr>
        <w:t>supports</w:t>
      </w:r>
      <w:r w:rsidR="009C1356" w:rsidRPr="00DF1C62">
        <w:rPr>
          <w:rFonts w:asciiTheme="majorHAnsi" w:hAnsiTheme="majorHAnsi" w:cstheme="majorHAnsi"/>
          <w:sz w:val="24"/>
          <w:szCs w:val="24"/>
        </w:rPr>
        <w:t xml:space="preserve"> Tacitus on </w:t>
      </w:r>
      <w:r w:rsidR="006875A0" w:rsidRPr="00DF1C62">
        <w:rPr>
          <w:rFonts w:asciiTheme="majorHAnsi" w:hAnsiTheme="majorHAnsi" w:cstheme="majorHAnsi"/>
          <w:sz w:val="24"/>
          <w:szCs w:val="24"/>
        </w:rPr>
        <w:t>chariots being used in Britain i</w:t>
      </w:r>
      <w:r w:rsidR="009C1356" w:rsidRPr="00DF1C62">
        <w:rPr>
          <w:rFonts w:asciiTheme="majorHAnsi" w:hAnsiTheme="majorHAnsi" w:cstheme="majorHAnsi"/>
          <w:sz w:val="24"/>
          <w:szCs w:val="24"/>
        </w:rPr>
        <w:t>t can be assumed that Tacitus’ writings are reliable if a potential source that predates him confirms what he has wri</w:t>
      </w:r>
      <w:r w:rsidR="009718ED" w:rsidRPr="00DF1C62">
        <w:rPr>
          <w:rFonts w:asciiTheme="majorHAnsi" w:hAnsiTheme="majorHAnsi" w:cstheme="majorHAnsi"/>
          <w:sz w:val="24"/>
          <w:szCs w:val="24"/>
        </w:rPr>
        <w:t xml:space="preserve">tten. Although this may be </w:t>
      </w:r>
      <w:r w:rsidR="00553261">
        <w:rPr>
          <w:rFonts w:asciiTheme="majorHAnsi" w:hAnsiTheme="majorHAnsi" w:cstheme="majorHAnsi"/>
          <w:sz w:val="24"/>
          <w:szCs w:val="24"/>
        </w:rPr>
        <w:t xml:space="preserve">the </w:t>
      </w:r>
      <w:r w:rsidR="009C1356" w:rsidRPr="00DF1C62">
        <w:rPr>
          <w:rFonts w:asciiTheme="majorHAnsi" w:hAnsiTheme="majorHAnsi" w:cstheme="majorHAnsi"/>
          <w:sz w:val="24"/>
          <w:szCs w:val="24"/>
        </w:rPr>
        <w:t>case a complication does exist that overshadows this perceived reliability. Archaeologists can confirm that chariots did exist a</w:t>
      </w:r>
      <w:r w:rsidR="004232D2">
        <w:rPr>
          <w:rFonts w:asciiTheme="majorHAnsi" w:hAnsiTheme="majorHAnsi" w:cstheme="majorHAnsi"/>
          <w:sz w:val="24"/>
          <w:szCs w:val="24"/>
        </w:rPr>
        <w:t xml:space="preserve">mongst the peoples of Britain as they </w:t>
      </w:r>
      <w:r w:rsidR="004232D2" w:rsidRPr="00DF1C62">
        <w:rPr>
          <w:rFonts w:asciiTheme="majorHAnsi" w:hAnsiTheme="majorHAnsi" w:cstheme="majorHAnsi"/>
          <w:sz w:val="24"/>
          <w:szCs w:val="24"/>
        </w:rPr>
        <w:t>have</w:t>
      </w:r>
      <w:r w:rsidR="009C1356" w:rsidRPr="00DF1C62">
        <w:rPr>
          <w:rFonts w:asciiTheme="majorHAnsi" w:hAnsiTheme="majorHAnsi" w:cstheme="majorHAnsi"/>
          <w:sz w:val="24"/>
          <w:szCs w:val="24"/>
        </w:rPr>
        <w:t xml:space="preserve"> b</w:t>
      </w:r>
      <w:r w:rsidR="0036654F" w:rsidRPr="00DF1C62">
        <w:rPr>
          <w:rFonts w:asciiTheme="majorHAnsi" w:hAnsiTheme="majorHAnsi" w:cstheme="majorHAnsi"/>
          <w:sz w:val="24"/>
          <w:szCs w:val="24"/>
        </w:rPr>
        <w:t xml:space="preserve">een found </w:t>
      </w:r>
      <w:r w:rsidR="009C1356" w:rsidRPr="00DF1C62">
        <w:rPr>
          <w:rFonts w:asciiTheme="majorHAnsi" w:hAnsiTheme="majorHAnsi" w:cstheme="majorHAnsi"/>
          <w:sz w:val="24"/>
          <w:szCs w:val="24"/>
        </w:rPr>
        <w:t xml:space="preserve">near Wetwang </w:t>
      </w:r>
      <w:r w:rsidR="002E1F92" w:rsidRPr="00DF1C62">
        <w:rPr>
          <w:rFonts w:asciiTheme="majorHAnsi" w:hAnsiTheme="majorHAnsi" w:cstheme="majorHAnsi"/>
          <w:sz w:val="24"/>
          <w:szCs w:val="24"/>
        </w:rPr>
        <w:t>in East Yorkshire in an Iron Age cemetery.</w:t>
      </w:r>
      <w:r w:rsidR="004232D2">
        <w:rPr>
          <w:rStyle w:val="FootnoteReference"/>
          <w:rFonts w:asciiTheme="majorHAnsi" w:hAnsiTheme="majorHAnsi" w:cstheme="majorHAnsi"/>
          <w:sz w:val="24"/>
          <w:szCs w:val="24"/>
        </w:rPr>
        <w:footnoteReference w:id="32"/>
      </w:r>
      <w:r w:rsidR="002E1F92" w:rsidRPr="00DF1C62">
        <w:rPr>
          <w:rFonts w:asciiTheme="majorHAnsi" w:hAnsiTheme="majorHAnsi" w:cstheme="majorHAnsi"/>
          <w:sz w:val="24"/>
          <w:szCs w:val="24"/>
        </w:rPr>
        <w:t xml:space="preserve"> </w:t>
      </w:r>
      <w:r w:rsidR="00EF115B" w:rsidRPr="00DF1C62">
        <w:rPr>
          <w:rFonts w:asciiTheme="majorHAnsi" w:hAnsiTheme="majorHAnsi" w:cstheme="majorHAnsi"/>
          <w:sz w:val="24"/>
          <w:szCs w:val="24"/>
        </w:rPr>
        <w:t xml:space="preserve">The </w:t>
      </w:r>
      <w:r w:rsidR="004578EC" w:rsidRPr="00DF1C62">
        <w:rPr>
          <w:rFonts w:asciiTheme="majorHAnsi" w:hAnsiTheme="majorHAnsi" w:cstheme="majorHAnsi"/>
          <w:sz w:val="24"/>
          <w:szCs w:val="24"/>
        </w:rPr>
        <w:t>complication however is that the evidence suggests that the chariots were used in funerary rituals instead of warfare.</w:t>
      </w:r>
      <w:r w:rsidR="00331FFF">
        <w:rPr>
          <w:rStyle w:val="FootnoteReference"/>
          <w:rFonts w:asciiTheme="majorHAnsi" w:hAnsiTheme="majorHAnsi" w:cstheme="majorHAnsi"/>
          <w:sz w:val="24"/>
          <w:szCs w:val="24"/>
        </w:rPr>
        <w:footnoteReference w:id="33"/>
      </w:r>
      <w:r w:rsidR="004578EC" w:rsidRPr="00DF1C62">
        <w:rPr>
          <w:rFonts w:asciiTheme="majorHAnsi" w:hAnsiTheme="majorHAnsi" w:cstheme="majorHAnsi"/>
          <w:sz w:val="24"/>
          <w:szCs w:val="24"/>
        </w:rPr>
        <w:t xml:space="preserve"> </w:t>
      </w:r>
      <w:r w:rsidR="00F02DB5" w:rsidRPr="00DF1C62">
        <w:rPr>
          <w:rFonts w:asciiTheme="majorHAnsi" w:hAnsiTheme="majorHAnsi" w:cstheme="majorHAnsi"/>
          <w:sz w:val="24"/>
          <w:szCs w:val="24"/>
        </w:rPr>
        <w:t>This casts doubt on both Julius Caesar’s and Tacitus’</w:t>
      </w:r>
      <w:r w:rsidR="00A159B3" w:rsidRPr="00DF1C62">
        <w:rPr>
          <w:rFonts w:asciiTheme="majorHAnsi" w:hAnsiTheme="majorHAnsi" w:cstheme="majorHAnsi"/>
          <w:sz w:val="24"/>
          <w:szCs w:val="24"/>
        </w:rPr>
        <w:t xml:space="preserve"> reliability </w:t>
      </w:r>
      <w:r w:rsidR="00F02DB5" w:rsidRPr="00DF1C62">
        <w:rPr>
          <w:rFonts w:asciiTheme="majorHAnsi" w:hAnsiTheme="majorHAnsi" w:cstheme="majorHAnsi"/>
          <w:sz w:val="24"/>
          <w:szCs w:val="24"/>
        </w:rPr>
        <w:t>about the chariots in warfare since the e</w:t>
      </w:r>
      <w:r w:rsidR="00F607C2" w:rsidRPr="00DF1C62">
        <w:rPr>
          <w:rFonts w:asciiTheme="majorHAnsi" w:hAnsiTheme="majorHAnsi" w:cstheme="majorHAnsi"/>
          <w:sz w:val="24"/>
          <w:szCs w:val="24"/>
        </w:rPr>
        <w:t>vidence doe</w:t>
      </w:r>
      <w:r w:rsidR="009718ED" w:rsidRPr="00DF1C62">
        <w:rPr>
          <w:rFonts w:asciiTheme="majorHAnsi" w:hAnsiTheme="majorHAnsi" w:cstheme="majorHAnsi"/>
          <w:sz w:val="24"/>
          <w:szCs w:val="24"/>
        </w:rPr>
        <w:t xml:space="preserve">s not support their narratives. </w:t>
      </w:r>
      <w:r w:rsidR="00A159B3" w:rsidRPr="00DF1C62">
        <w:rPr>
          <w:rFonts w:asciiTheme="majorHAnsi" w:hAnsiTheme="majorHAnsi" w:cstheme="majorHAnsi"/>
          <w:sz w:val="24"/>
          <w:szCs w:val="24"/>
        </w:rPr>
        <w:t>If Caesar’s narr</w:t>
      </w:r>
      <w:r w:rsidR="0014073B" w:rsidRPr="00DF1C62">
        <w:rPr>
          <w:rFonts w:asciiTheme="majorHAnsi" w:hAnsiTheme="majorHAnsi" w:cstheme="majorHAnsi"/>
          <w:sz w:val="24"/>
          <w:szCs w:val="24"/>
        </w:rPr>
        <w:t>ative is</w:t>
      </w:r>
      <w:r w:rsidR="00FD4053" w:rsidRPr="00DF1C62">
        <w:rPr>
          <w:rFonts w:asciiTheme="majorHAnsi" w:hAnsiTheme="majorHAnsi" w:cstheme="majorHAnsi"/>
          <w:sz w:val="24"/>
          <w:szCs w:val="24"/>
        </w:rPr>
        <w:t xml:space="preserve"> unreliable then it is logical to conclude that </w:t>
      </w:r>
      <w:r w:rsidR="0014073B" w:rsidRPr="00DF1C62">
        <w:rPr>
          <w:rFonts w:asciiTheme="majorHAnsi" w:hAnsiTheme="majorHAnsi" w:cstheme="majorHAnsi"/>
          <w:sz w:val="24"/>
          <w:szCs w:val="24"/>
        </w:rPr>
        <w:t>Tacitus’ portrayal of the chariots may be unreliable as well</w:t>
      </w:r>
      <w:r w:rsidR="00064C1D">
        <w:rPr>
          <w:rFonts w:asciiTheme="majorHAnsi" w:hAnsiTheme="majorHAnsi" w:cstheme="majorHAnsi"/>
          <w:sz w:val="24"/>
          <w:szCs w:val="24"/>
        </w:rPr>
        <w:t xml:space="preserve"> if </w:t>
      </w:r>
      <w:r w:rsidR="005B071A" w:rsidRPr="00DF1C62">
        <w:rPr>
          <w:rFonts w:asciiTheme="majorHAnsi" w:hAnsiTheme="majorHAnsi" w:cstheme="majorHAnsi"/>
          <w:sz w:val="24"/>
          <w:szCs w:val="24"/>
        </w:rPr>
        <w:t xml:space="preserve">Caesar’s </w:t>
      </w:r>
      <w:r w:rsidR="005B071A" w:rsidRPr="00DF1C62">
        <w:rPr>
          <w:rFonts w:asciiTheme="majorHAnsi" w:hAnsiTheme="majorHAnsi" w:cstheme="majorHAnsi"/>
          <w:i/>
          <w:sz w:val="24"/>
          <w:szCs w:val="24"/>
        </w:rPr>
        <w:t xml:space="preserve">Bellum Gallicum </w:t>
      </w:r>
      <w:r w:rsidR="005B071A" w:rsidRPr="00DF1C62">
        <w:rPr>
          <w:rFonts w:asciiTheme="majorHAnsi" w:hAnsiTheme="majorHAnsi" w:cstheme="majorHAnsi"/>
          <w:sz w:val="24"/>
          <w:szCs w:val="24"/>
        </w:rPr>
        <w:t>was used as a source</w:t>
      </w:r>
      <w:r w:rsidR="0014073B" w:rsidRPr="00DF1C62">
        <w:rPr>
          <w:rFonts w:asciiTheme="majorHAnsi" w:hAnsiTheme="majorHAnsi" w:cstheme="majorHAnsi"/>
          <w:sz w:val="24"/>
          <w:szCs w:val="24"/>
        </w:rPr>
        <w:t xml:space="preserve">. </w:t>
      </w:r>
      <w:r w:rsidR="005452E6" w:rsidRPr="00DF1C62">
        <w:rPr>
          <w:rFonts w:asciiTheme="majorHAnsi" w:hAnsiTheme="majorHAnsi" w:cstheme="majorHAnsi"/>
          <w:sz w:val="24"/>
          <w:szCs w:val="24"/>
        </w:rPr>
        <w:t xml:space="preserve"> Another problem is that the chariots have only been found in East Yorkshire and nowhere else within Britain</w:t>
      </w:r>
      <w:r w:rsidR="00E12E6D" w:rsidRPr="00DF1C62">
        <w:rPr>
          <w:rFonts w:asciiTheme="majorHAnsi" w:hAnsiTheme="majorHAnsi" w:cstheme="majorHAnsi"/>
          <w:sz w:val="24"/>
          <w:szCs w:val="24"/>
        </w:rPr>
        <w:t>,</w:t>
      </w:r>
      <w:r w:rsidR="003B0FDB" w:rsidRPr="00DF1C62">
        <w:rPr>
          <w:rFonts w:asciiTheme="majorHAnsi" w:hAnsiTheme="majorHAnsi" w:cstheme="majorHAnsi"/>
          <w:sz w:val="24"/>
          <w:szCs w:val="24"/>
        </w:rPr>
        <w:t xml:space="preserve"> further denting </w:t>
      </w:r>
      <w:r w:rsidR="005452E6" w:rsidRPr="00DF1C62">
        <w:rPr>
          <w:rFonts w:asciiTheme="majorHAnsi" w:hAnsiTheme="majorHAnsi" w:cstheme="majorHAnsi"/>
          <w:sz w:val="24"/>
          <w:szCs w:val="24"/>
        </w:rPr>
        <w:t xml:space="preserve">the reliability of Tacitus’ work as he also has Boudicca riding a chariot during the Iceni rebellion, most probably an inaccurate portrayal as the Iceni </w:t>
      </w:r>
      <w:r w:rsidR="00A159B3" w:rsidRPr="00DF1C62">
        <w:rPr>
          <w:rFonts w:asciiTheme="majorHAnsi" w:hAnsiTheme="majorHAnsi" w:cstheme="majorHAnsi"/>
          <w:sz w:val="24"/>
          <w:szCs w:val="24"/>
        </w:rPr>
        <w:t>w</w:t>
      </w:r>
      <w:r w:rsidR="0068096D" w:rsidRPr="00DF1C62">
        <w:rPr>
          <w:rFonts w:asciiTheme="majorHAnsi" w:hAnsiTheme="majorHAnsi" w:cstheme="majorHAnsi"/>
          <w:sz w:val="24"/>
          <w:szCs w:val="24"/>
        </w:rPr>
        <w:t>h</w:t>
      </w:r>
      <w:r w:rsidR="00A159B3" w:rsidRPr="00DF1C62">
        <w:rPr>
          <w:rFonts w:asciiTheme="majorHAnsi" w:hAnsiTheme="majorHAnsi" w:cstheme="majorHAnsi"/>
          <w:sz w:val="24"/>
          <w:szCs w:val="24"/>
        </w:rPr>
        <w:t>ere in</w:t>
      </w:r>
      <w:r w:rsidR="005452E6" w:rsidRPr="00DF1C62">
        <w:rPr>
          <w:rFonts w:asciiTheme="majorHAnsi" w:hAnsiTheme="majorHAnsi" w:cstheme="majorHAnsi"/>
          <w:sz w:val="24"/>
          <w:szCs w:val="24"/>
        </w:rPr>
        <w:t xml:space="preserve"> the South East of Britain were no chariots have been found.</w:t>
      </w:r>
      <w:r w:rsidR="00A038A5">
        <w:rPr>
          <w:rStyle w:val="FootnoteReference"/>
          <w:rFonts w:asciiTheme="majorHAnsi" w:hAnsiTheme="majorHAnsi" w:cstheme="majorHAnsi"/>
          <w:sz w:val="24"/>
          <w:szCs w:val="24"/>
        </w:rPr>
        <w:footnoteReference w:id="34"/>
      </w:r>
      <w:r w:rsidR="005452E6" w:rsidRPr="00DF1C62">
        <w:rPr>
          <w:rFonts w:asciiTheme="majorHAnsi" w:hAnsiTheme="majorHAnsi" w:cstheme="majorHAnsi"/>
          <w:sz w:val="24"/>
          <w:szCs w:val="24"/>
        </w:rPr>
        <w:t xml:space="preserve"> Tacitus may have therefore been writing wit</w:t>
      </w:r>
      <w:r w:rsidR="003B0FDB" w:rsidRPr="00DF1C62">
        <w:rPr>
          <w:rFonts w:asciiTheme="majorHAnsi" w:hAnsiTheme="majorHAnsi" w:cstheme="majorHAnsi"/>
          <w:sz w:val="24"/>
          <w:szCs w:val="24"/>
        </w:rPr>
        <w:t>h an assumption that many of the Britons may have used chariots in warfare, an assumption that n</w:t>
      </w:r>
      <w:r w:rsidR="0014073B" w:rsidRPr="00DF1C62">
        <w:rPr>
          <w:rFonts w:asciiTheme="majorHAnsi" w:hAnsiTheme="majorHAnsi" w:cstheme="majorHAnsi"/>
          <w:sz w:val="24"/>
          <w:szCs w:val="24"/>
        </w:rPr>
        <w:t xml:space="preserve">ow seems false </w:t>
      </w:r>
      <w:r w:rsidR="00474A58" w:rsidRPr="00DF1C62">
        <w:rPr>
          <w:rFonts w:asciiTheme="majorHAnsi" w:hAnsiTheme="majorHAnsi" w:cstheme="majorHAnsi"/>
          <w:sz w:val="24"/>
          <w:szCs w:val="24"/>
        </w:rPr>
        <w:t xml:space="preserve">when considering the </w:t>
      </w:r>
      <w:r w:rsidR="00E6016C" w:rsidRPr="00DF1C62">
        <w:rPr>
          <w:rFonts w:asciiTheme="majorHAnsi" w:hAnsiTheme="majorHAnsi" w:cstheme="majorHAnsi"/>
          <w:sz w:val="24"/>
          <w:szCs w:val="24"/>
        </w:rPr>
        <w:t xml:space="preserve">available evidence. </w:t>
      </w:r>
      <w:r w:rsidR="001C0E25" w:rsidRPr="00DF1C62">
        <w:rPr>
          <w:rFonts w:asciiTheme="majorHAnsi" w:hAnsiTheme="majorHAnsi" w:cstheme="majorHAnsi"/>
          <w:sz w:val="24"/>
          <w:szCs w:val="24"/>
        </w:rPr>
        <w:t>This</w:t>
      </w:r>
      <w:r w:rsidR="005B071A" w:rsidRPr="00DF1C62">
        <w:rPr>
          <w:rFonts w:asciiTheme="majorHAnsi" w:hAnsiTheme="majorHAnsi" w:cstheme="majorHAnsi"/>
          <w:sz w:val="24"/>
          <w:szCs w:val="24"/>
        </w:rPr>
        <w:t xml:space="preserve"> does not make Tacitus a bad historian </w:t>
      </w:r>
      <w:r w:rsidR="00452E9F" w:rsidRPr="00DF1C62">
        <w:rPr>
          <w:rFonts w:asciiTheme="majorHAnsi" w:hAnsiTheme="majorHAnsi" w:cstheme="majorHAnsi"/>
          <w:sz w:val="24"/>
          <w:szCs w:val="24"/>
        </w:rPr>
        <w:t xml:space="preserve">especially since he was using historical </w:t>
      </w:r>
      <w:r w:rsidR="00BD2EFF" w:rsidRPr="00DF1C62">
        <w:rPr>
          <w:rFonts w:asciiTheme="majorHAnsi" w:hAnsiTheme="majorHAnsi" w:cstheme="majorHAnsi"/>
          <w:sz w:val="24"/>
          <w:szCs w:val="24"/>
        </w:rPr>
        <w:t>sources to write his histories, ev</w:t>
      </w:r>
      <w:r w:rsidR="00FE1D66" w:rsidRPr="00DF1C62">
        <w:rPr>
          <w:rFonts w:asciiTheme="majorHAnsi" w:hAnsiTheme="majorHAnsi" w:cstheme="majorHAnsi"/>
          <w:sz w:val="24"/>
          <w:szCs w:val="24"/>
        </w:rPr>
        <w:t xml:space="preserve">en if these sources now seem </w:t>
      </w:r>
      <w:r w:rsidR="00BD2EFF" w:rsidRPr="00DF1C62">
        <w:rPr>
          <w:rFonts w:asciiTheme="majorHAnsi" w:hAnsiTheme="majorHAnsi" w:cstheme="majorHAnsi"/>
          <w:sz w:val="24"/>
          <w:szCs w:val="24"/>
        </w:rPr>
        <w:t xml:space="preserve">unreliable. </w:t>
      </w:r>
    </w:p>
    <w:p w:rsidR="00BD2EFF" w:rsidRPr="00DF1C62" w:rsidRDefault="00BD2EFF" w:rsidP="00265735">
      <w:pPr>
        <w:pStyle w:val="NoSpacing"/>
        <w:spacing w:line="480" w:lineRule="auto"/>
        <w:rPr>
          <w:rFonts w:asciiTheme="majorHAnsi" w:hAnsiTheme="majorHAnsi" w:cstheme="majorHAnsi"/>
          <w:sz w:val="24"/>
          <w:szCs w:val="24"/>
        </w:rPr>
      </w:pPr>
    </w:p>
    <w:p w:rsidR="00BD2EFF" w:rsidRPr="00DF1C62" w:rsidRDefault="00BD2EFF"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Chariots are not the only inconsistencies that exist in Tacitus’</w:t>
      </w:r>
      <w:r w:rsidR="009867FC" w:rsidRPr="00DF1C62">
        <w:rPr>
          <w:rFonts w:asciiTheme="majorHAnsi" w:hAnsiTheme="majorHAnsi" w:cstheme="majorHAnsi"/>
          <w:sz w:val="24"/>
          <w:szCs w:val="24"/>
        </w:rPr>
        <w:t xml:space="preserve"> works. In </w:t>
      </w:r>
      <w:r w:rsidRPr="00DF1C62">
        <w:rPr>
          <w:rFonts w:asciiTheme="majorHAnsi" w:hAnsiTheme="majorHAnsi" w:cstheme="majorHAnsi"/>
          <w:sz w:val="24"/>
          <w:szCs w:val="24"/>
        </w:rPr>
        <w:t xml:space="preserve">the </w:t>
      </w:r>
      <w:r w:rsidR="003F7D4F" w:rsidRPr="00DF1C62">
        <w:rPr>
          <w:rFonts w:asciiTheme="majorHAnsi" w:hAnsiTheme="majorHAnsi" w:cstheme="majorHAnsi"/>
          <w:i/>
          <w:sz w:val="24"/>
          <w:szCs w:val="24"/>
        </w:rPr>
        <w:t xml:space="preserve">Agricola </w:t>
      </w:r>
      <w:r w:rsidRPr="00DF1C62">
        <w:rPr>
          <w:rFonts w:asciiTheme="majorHAnsi" w:hAnsiTheme="majorHAnsi" w:cstheme="majorHAnsi"/>
          <w:sz w:val="24"/>
          <w:szCs w:val="24"/>
        </w:rPr>
        <w:t>he mentions the kings of the different British peoples.</w:t>
      </w:r>
      <w:r w:rsidR="001C0E25">
        <w:rPr>
          <w:rStyle w:val="FootnoteReference"/>
          <w:rFonts w:asciiTheme="majorHAnsi" w:hAnsiTheme="majorHAnsi" w:cstheme="majorHAnsi"/>
          <w:sz w:val="24"/>
          <w:szCs w:val="24"/>
        </w:rPr>
        <w:footnoteReference w:id="35"/>
      </w:r>
      <w:r w:rsidRPr="00DF1C62">
        <w:rPr>
          <w:rFonts w:asciiTheme="majorHAnsi" w:hAnsiTheme="majorHAnsi" w:cstheme="majorHAnsi"/>
          <w:sz w:val="24"/>
          <w:szCs w:val="24"/>
        </w:rPr>
        <w:t xml:space="preserve"> </w:t>
      </w:r>
      <w:r w:rsidR="00D169B3" w:rsidRPr="00DF1C62">
        <w:rPr>
          <w:rFonts w:asciiTheme="majorHAnsi" w:hAnsiTheme="majorHAnsi" w:cstheme="majorHAnsi"/>
          <w:sz w:val="24"/>
          <w:szCs w:val="24"/>
        </w:rPr>
        <w:t xml:space="preserve">There seems to be however </w:t>
      </w:r>
      <w:r w:rsidR="003060D1" w:rsidRPr="00DF1C62">
        <w:rPr>
          <w:rFonts w:asciiTheme="majorHAnsi" w:hAnsiTheme="majorHAnsi" w:cstheme="majorHAnsi"/>
          <w:sz w:val="24"/>
          <w:szCs w:val="24"/>
        </w:rPr>
        <w:t>a significant</w:t>
      </w:r>
      <w:r w:rsidR="003F7D4F" w:rsidRPr="00DF1C62">
        <w:rPr>
          <w:rFonts w:asciiTheme="majorHAnsi" w:hAnsiTheme="majorHAnsi" w:cstheme="majorHAnsi"/>
          <w:sz w:val="24"/>
          <w:szCs w:val="24"/>
        </w:rPr>
        <w:t xml:space="preserve"> contradiction</w:t>
      </w:r>
      <w:r w:rsidR="00FC3BB6" w:rsidRPr="00DF1C62">
        <w:rPr>
          <w:rFonts w:asciiTheme="majorHAnsi" w:hAnsiTheme="majorHAnsi" w:cstheme="majorHAnsi"/>
          <w:sz w:val="24"/>
          <w:szCs w:val="24"/>
        </w:rPr>
        <w:t>,</w:t>
      </w:r>
      <w:r w:rsidR="003F7D4F" w:rsidRPr="00DF1C62">
        <w:rPr>
          <w:rFonts w:asciiTheme="majorHAnsi" w:hAnsiTheme="majorHAnsi" w:cstheme="majorHAnsi"/>
          <w:sz w:val="24"/>
          <w:szCs w:val="24"/>
        </w:rPr>
        <w:t xml:space="preserve"> as in the </w:t>
      </w:r>
      <w:r w:rsidR="003F7D4F" w:rsidRPr="00DF1C62">
        <w:rPr>
          <w:rFonts w:asciiTheme="majorHAnsi" w:hAnsiTheme="majorHAnsi" w:cstheme="majorHAnsi"/>
          <w:i/>
          <w:sz w:val="24"/>
          <w:szCs w:val="24"/>
        </w:rPr>
        <w:t>Agricola</w:t>
      </w:r>
      <w:r w:rsidR="00652DFD" w:rsidRPr="00DF1C62">
        <w:rPr>
          <w:rFonts w:asciiTheme="majorHAnsi" w:hAnsiTheme="majorHAnsi" w:cstheme="majorHAnsi"/>
          <w:sz w:val="24"/>
          <w:szCs w:val="24"/>
        </w:rPr>
        <w:t xml:space="preserve"> he says </w:t>
      </w:r>
      <w:r w:rsidR="009867FC" w:rsidRPr="00DF1C62">
        <w:rPr>
          <w:rFonts w:asciiTheme="majorHAnsi" w:hAnsiTheme="majorHAnsi" w:cstheme="majorHAnsi"/>
          <w:sz w:val="24"/>
          <w:szCs w:val="24"/>
        </w:rPr>
        <w:t>two completely different things on the matter of the kings</w:t>
      </w:r>
      <w:r w:rsidR="00D169B3" w:rsidRPr="00DF1C62">
        <w:rPr>
          <w:rFonts w:asciiTheme="majorHAnsi" w:hAnsiTheme="majorHAnsi" w:cstheme="majorHAnsi"/>
          <w:sz w:val="24"/>
          <w:szCs w:val="24"/>
        </w:rPr>
        <w:t xml:space="preserve">. </w:t>
      </w:r>
      <w:r w:rsidR="0035487A" w:rsidRPr="00DF1C62">
        <w:rPr>
          <w:rFonts w:asciiTheme="majorHAnsi" w:hAnsiTheme="majorHAnsi" w:cstheme="majorHAnsi"/>
          <w:sz w:val="24"/>
          <w:szCs w:val="24"/>
        </w:rPr>
        <w:t xml:space="preserve">In the </w:t>
      </w:r>
      <w:r w:rsidR="0035487A" w:rsidRPr="00DF1C62">
        <w:rPr>
          <w:rFonts w:asciiTheme="majorHAnsi" w:hAnsiTheme="majorHAnsi" w:cstheme="majorHAnsi"/>
          <w:i/>
          <w:sz w:val="24"/>
          <w:szCs w:val="24"/>
        </w:rPr>
        <w:t>Agricola</w:t>
      </w:r>
      <w:r w:rsidR="009867FC" w:rsidRPr="00DF1C62">
        <w:rPr>
          <w:rFonts w:asciiTheme="majorHAnsi" w:hAnsiTheme="majorHAnsi" w:cstheme="majorHAnsi"/>
          <w:sz w:val="24"/>
          <w:szCs w:val="24"/>
        </w:rPr>
        <w:t xml:space="preserve"> he suggests that the kings no longer ruled the tribes and that tribal elites now ruled them</w:t>
      </w:r>
      <w:r w:rsidR="003F7D4F" w:rsidRPr="00DF1C62">
        <w:rPr>
          <w:rFonts w:asciiTheme="majorHAnsi" w:hAnsiTheme="majorHAnsi" w:cstheme="majorHAnsi"/>
          <w:sz w:val="24"/>
          <w:szCs w:val="24"/>
        </w:rPr>
        <w:t>.</w:t>
      </w:r>
      <w:r w:rsidR="003D3622">
        <w:rPr>
          <w:rStyle w:val="FootnoteReference"/>
          <w:rFonts w:asciiTheme="majorHAnsi" w:hAnsiTheme="majorHAnsi" w:cstheme="majorHAnsi"/>
          <w:sz w:val="24"/>
          <w:szCs w:val="24"/>
        </w:rPr>
        <w:footnoteReference w:id="36"/>
      </w:r>
      <w:r w:rsidR="003F7D4F" w:rsidRPr="00DF1C62">
        <w:rPr>
          <w:rFonts w:asciiTheme="majorHAnsi" w:hAnsiTheme="majorHAnsi" w:cstheme="majorHAnsi"/>
          <w:sz w:val="24"/>
          <w:szCs w:val="24"/>
        </w:rPr>
        <w:t xml:space="preserve"> On the other </w:t>
      </w:r>
      <w:r w:rsidR="000B4FF2" w:rsidRPr="00DF1C62">
        <w:rPr>
          <w:rFonts w:asciiTheme="majorHAnsi" w:hAnsiTheme="majorHAnsi" w:cstheme="majorHAnsi"/>
          <w:sz w:val="24"/>
          <w:szCs w:val="24"/>
        </w:rPr>
        <w:t>hand,</w:t>
      </w:r>
      <w:r w:rsidR="003F7D4F" w:rsidRPr="00DF1C62">
        <w:rPr>
          <w:rFonts w:asciiTheme="majorHAnsi" w:hAnsiTheme="majorHAnsi" w:cstheme="majorHAnsi"/>
          <w:sz w:val="24"/>
          <w:szCs w:val="24"/>
        </w:rPr>
        <w:t xml:space="preserve"> </w:t>
      </w:r>
      <w:r w:rsidR="000B4FF2" w:rsidRPr="00DF1C62">
        <w:rPr>
          <w:rFonts w:asciiTheme="majorHAnsi" w:hAnsiTheme="majorHAnsi" w:cstheme="majorHAnsi"/>
          <w:sz w:val="24"/>
          <w:szCs w:val="24"/>
        </w:rPr>
        <w:t xml:space="preserve">he also says that some states, known as </w:t>
      </w:r>
      <w:r w:rsidR="0002324A" w:rsidRPr="00DF1C62">
        <w:rPr>
          <w:rFonts w:asciiTheme="majorHAnsi" w:hAnsiTheme="majorHAnsi" w:cstheme="majorHAnsi"/>
          <w:i/>
          <w:sz w:val="24"/>
          <w:szCs w:val="24"/>
        </w:rPr>
        <w:t>Civitat</w:t>
      </w:r>
      <w:r w:rsidR="008B1551" w:rsidRPr="00DF1C62">
        <w:rPr>
          <w:rFonts w:asciiTheme="majorHAnsi" w:hAnsiTheme="majorHAnsi" w:cstheme="majorHAnsi"/>
          <w:i/>
          <w:sz w:val="24"/>
          <w:szCs w:val="24"/>
        </w:rPr>
        <w:t>e</w:t>
      </w:r>
      <w:r w:rsidR="0002324A" w:rsidRPr="00DF1C62">
        <w:rPr>
          <w:rFonts w:asciiTheme="majorHAnsi" w:hAnsiTheme="majorHAnsi" w:cstheme="majorHAnsi"/>
          <w:i/>
          <w:sz w:val="24"/>
          <w:szCs w:val="24"/>
        </w:rPr>
        <w:t>s</w:t>
      </w:r>
      <w:r w:rsidR="00FE3767" w:rsidRPr="00DF1C62">
        <w:rPr>
          <w:rFonts w:asciiTheme="majorHAnsi" w:hAnsiTheme="majorHAnsi" w:cstheme="majorHAnsi"/>
          <w:sz w:val="24"/>
          <w:szCs w:val="24"/>
        </w:rPr>
        <w:t xml:space="preserve">, were given to kings </w:t>
      </w:r>
      <w:r w:rsidR="008747CC" w:rsidRPr="00DF1C62">
        <w:rPr>
          <w:rFonts w:asciiTheme="majorHAnsi" w:hAnsiTheme="majorHAnsi" w:cstheme="majorHAnsi"/>
          <w:sz w:val="24"/>
          <w:szCs w:val="24"/>
        </w:rPr>
        <w:t xml:space="preserve">citing </w:t>
      </w:r>
      <w:r w:rsidR="000B4FF2" w:rsidRPr="00DF1C62">
        <w:rPr>
          <w:rFonts w:asciiTheme="majorHAnsi" w:hAnsiTheme="majorHAnsi" w:cstheme="majorHAnsi"/>
          <w:sz w:val="24"/>
          <w:szCs w:val="24"/>
        </w:rPr>
        <w:t>the example of a man called King Togidumnus.</w:t>
      </w:r>
      <w:r w:rsidR="00984D1A">
        <w:rPr>
          <w:rStyle w:val="FootnoteReference"/>
          <w:rFonts w:asciiTheme="majorHAnsi" w:hAnsiTheme="majorHAnsi" w:cstheme="majorHAnsi"/>
          <w:sz w:val="24"/>
          <w:szCs w:val="24"/>
        </w:rPr>
        <w:footnoteReference w:id="37"/>
      </w:r>
      <w:r w:rsidR="000B4FF2" w:rsidRPr="00DF1C62">
        <w:rPr>
          <w:rFonts w:asciiTheme="majorHAnsi" w:hAnsiTheme="majorHAnsi" w:cstheme="majorHAnsi"/>
          <w:sz w:val="24"/>
          <w:szCs w:val="24"/>
        </w:rPr>
        <w:t xml:space="preserve"> This inconsistency is perplexing as Tacitus does not e</w:t>
      </w:r>
      <w:r w:rsidR="001067A2" w:rsidRPr="00DF1C62">
        <w:rPr>
          <w:rFonts w:asciiTheme="majorHAnsi" w:hAnsiTheme="majorHAnsi" w:cstheme="majorHAnsi"/>
          <w:sz w:val="24"/>
          <w:szCs w:val="24"/>
        </w:rPr>
        <w:t>xplain how some came to be ruled</w:t>
      </w:r>
      <w:r w:rsidR="000B4FF2" w:rsidRPr="00DF1C62">
        <w:rPr>
          <w:rFonts w:asciiTheme="majorHAnsi" w:hAnsiTheme="majorHAnsi" w:cstheme="majorHAnsi"/>
          <w:sz w:val="24"/>
          <w:szCs w:val="24"/>
        </w:rPr>
        <w:t xml:space="preserve"> by tribal </w:t>
      </w:r>
      <w:r w:rsidR="001067A2" w:rsidRPr="00DF1C62">
        <w:rPr>
          <w:rFonts w:asciiTheme="majorHAnsi" w:hAnsiTheme="majorHAnsi" w:cstheme="majorHAnsi"/>
          <w:sz w:val="24"/>
          <w:szCs w:val="24"/>
        </w:rPr>
        <w:t xml:space="preserve">elites and others by kings. This may seem to show Tacitus’s writings as being unreliable as </w:t>
      </w:r>
      <w:r w:rsidR="00936BCC" w:rsidRPr="00DF1C62">
        <w:rPr>
          <w:rFonts w:asciiTheme="majorHAnsi" w:hAnsiTheme="majorHAnsi" w:cstheme="majorHAnsi"/>
          <w:sz w:val="24"/>
          <w:szCs w:val="24"/>
        </w:rPr>
        <w:t>he seems to contradict himself, h</w:t>
      </w:r>
      <w:r w:rsidR="00CF0614" w:rsidRPr="00DF1C62">
        <w:rPr>
          <w:rFonts w:asciiTheme="majorHAnsi" w:hAnsiTheme="majorHAnsi" w:cstheme="majorHAnsi"/>
          <w:sz w:val="24"/>
          <w:szCs w:val="24"/>
        </w:rPr>
        <w:t>owever, thi</w:t>
      </w:r>
      <w:r w:rsidR="00936BCC" w:rsidRPr="00DF1C62">
        <w:rPr>
          <w:rFonts w:asciiTheme="majorHAnsi" w:hAnsiTheme="majorHAnsi" w:cstheme="majorHAnsi"/>
          <w:sz w:val="24"/>
          <w:szCs w:val="24"/>
        </w:rPr>
        <w:t xml:space="preserve">s inconsistency may not actually be an inconsistency. The historian Martin Millet in his book </w:t>
      </w:r>
      <w:r w:rsidR="00936BCC" w:rsidRPr="00DF1C62">
        <w:rPr>
          <w:rFonts w:asciiTheme="majorHAnsi" w:hAnsiTheme="majorHAnsi" w:cstheme="majorHAnsi"/>
          <w:i/>
          <w:sz w:val="24"/>
          <w:szCs w:val="24"/>
        </w:rPr>
        <w:t>The Romanisation of Britain</w:t>
      </w:r>
      <w:r w:rsidR="00936BCC" w:rsidRPr="00DF1C62">
        <w:rPr>
          <w:rFonts w:asciiTheme="majorHAnsi" w:hAnsiTheme="majorHAnsi" w:cstheme="majorHAnsi"/>
          <w:sz w:val="24"/>
          <w:szCs w:val="24"/>
        </w:rPr>
        <w:t xml:space="preserve">, suggests that after the Romans conquered Britain they separated the tribes into </w:t>
      </w:r>
      <w:r w:rsidR="0002324A" w:rsidRPr="00DF1C62">
        <w:rPr>
          <w:rFonts w:asciiTheme="majorHAnsi" w:hAnsiTheme="majorHAnsi" w:cstheme="majorHAnsi"/>
          <w:i/>
          <w:sz w:val="24"/>
          <w:szCs w:val="24"/>
        </w:rPr>
        <w:t>Civitat</w:t>
      </w:r>
      <w:r w:rsidR="00F440BB" w:rsidRPr="00DF1C62">
        <w:rPr>
          <w:rFonts w:asciiTheme="majorHAnsi" w:hAnsiTheme="majorHAnsi" w:cstheme="majorHAnsi"/>
          <w:i/>
          <w:sz w:val="24"/>
          <w:szCs w:val="24"/>
        </w:rPr>
        <w:t>e</w:t>
      </w:r>
      <w:r w:rsidR="0002324A" w:rsidRPr="00DF1C62">
        <w:rPr>
          <w:rFonts w:asciiTheme="majorHAnsi" w:hAnsiTheme="majorHAnsi" w:cstheme="majorHAnsi"/>
          <w:i/>
          <w:sz w:val="24"/>
          <w:szCs w:val="24"/>
        </w:rPr>
        <w:t>s</w:t>
      </w:r>
      <w:r w:rsidR="0002324A" w:rsidRPr="00DF1C62">
        <w:rPr>
          <w:rFonts w:asciiTheme="majorHAnsi" w:hAnsiTheme="majorHAnsi" w:cstheme="majorHAnsi"/>
          <w:sz w:val="24"/>
          <w:szCs w:val="24"/>
        </w:rPr>
        <w:t xml:space="preserve"> which according to Millet were ruled by a council of decurions made up of the </w:t>
      </w:r>
      <w:r w:rsidR="000472EC" w:rsidRPr="00DF1C62">
        <w:rPr>
          <w:rFonts w:asciiTheme="majorHAnsi" w:hAnsiTheme="majorHAnsi" w:cstheme="majorHAnsi"/>
          <w:sz w:val="24"/>
          <w:szCs w:val="24"/>
        </w:rPr>
        <w:t>land-owning</w:t>
      </w:r>
      <w:r w:rsidR="0002324A" w:rsidRPr="00DF1C62">
        <w:rPr>
          <w:rFonts w:asciiTheme="majorHAnsi" w:hAnsiTheme="majorHAnsi" w:cstheme="majorHAnsi"/>
          <w:sz w:val="24"/>
          <w:szCs w:val="24"/>
        </w:rPr>
        <w:t xml:space="preserve"> classes.</w:t>
      </w:r>
      <w:r w:rsidR="006371A3">
        <w:rPr>
          <w:rStyle w:val="FootnoteReference"/>
          <w:rFonts w:asciiTheme="majorHAnsi" w:hAnsiTheme="majorHAnsi" w:cstheme="majorHAnsi"/>
          <w:sz w:val="24"/>
          <w:szCs w:val="24"/>
        </w:rPr>
        <w:footnoteReference w:id="38"/>
      </w:r>
      <w:r w:rsidR="0002324A" w:rsidRPr="00DF1C62">
        <w:rPr>
          <w:rFonts w:asciiTheme="majorHAnsi" w:hAnsiTheme="majorHAnsi" w:cstheme="majorHAnsi"/>
          <w:sz w:val="24"/>
          <w:szCs w:val="24"/>
        </w:rPr>
        <w:t xml:space="preserve">  </w:t>
      </w:r>
      <w:r w:rsidR="000472EC" w:rsidRPr="00DF1C62">
        <w:rPr>
          <w:rFonts w:asciiTheme="majorHAnsi" w:hAnsiTheme="majorHAnsi" w:cstheme="majorHAnsi"/>
          <w:sz w:val="24"/>
          <w:szCs w:val="24"/>
        </w:rPr>
        <w:t>This may be what Tacitus was referring to by saying that tribal elites now ruled the tribes, though this does not account as to why he says that King Togidumnus</w:t>
      </w:r>
      <w:r w:rsidR="005144FC" w:rsidRPr="00DF1C62">
        <w:rPr>
          <w:rFonts w:asciiTheme="majorHAnsi" w:hAnsiTheme="majorHAnsi" w:cstheme="majorHAnsi"/>
          <w:sz w:val="24"/>
          <w:szCs w:val="24"/>
        </w:rPr>
        <w:t xml:space="preserve"> ruled </w:t>
      </w:r>
      <w:r w:rsidR="000472EC" w:rsidRPr="00DF1C62">
        <w:rPr>
          <w:rFonts w:asciiTheme="majorHAnsi" w:hAnsiTheme="majorHAnsi" w:cstheme="majorHAnsi"/>
          <w:sz w:val="24"/>
          <w:szCs w:val="24"/>
        </w:rPr>
        <w:t>up until his</w:t>
      </w:r>
      <w:r w:rsidR="005144FC" w:rsidRPr="00DF1C62">
        <w:rPr>
          <w:rFonts w:asciiTheme="majorHAnsi" w:hAnsiTheme="majorHAnsi" w:cstheme="majorHAnsi"/>
          <w:sz w:val="24"/>
          <w:szCs w:val="24"/>
        </w:rPr>
        <w:t xml:space="preserve"> time.</w:t>
      </w:r>
      <w:r w:rsidR="00CD1B68">
        <w:rPr>
          <w:rStyle w:val="FootnoteReference"/>
          <w:rFonts w:asciiTheme="majorHAnsi" w:hAnsiTheme="majorHAnsi" w:cstheme="majorHAnsi"/>
          <w:sz w:val="24"/>
          <w:szCs w:val="24"/>
        </w:rPr>
        <w:footnoteReference w:id="39"/>
      </w:r>
      <w:r w:rsidR="005144FC" w:rsidRPr="00DF1C62">
        <w:rPr>
          <w:rFonts w:asciiTheme="majorHAnsi" w:hAnsiTheme="majorHAnsi" w:cstheme="majorHAnsi"/>
          <w:sz w:val="24"/>
          <w:szCs w:val="24"/>
        </w:rPr>
        <w:t xml:space="preserve"> Millet also explains that when Rome conquered Britain the tribes signed separate p</w:t>
      </w:r>
      <w:r w:rsidR="003E3194">
        <w:rPr>
          <w:rFonts w:asciiTheme="majorHAnsi" w:hAnsiTheme="majorHAnsi" w:cstheme="majorHAnsi"/>
          <w:sz w:val="24"/>
          <w:szCs w:val="24"/>
        </w:rPr>
        <w:t xml:space="preserve">eace treaties to each other and that </w:t>
      </w:r>
      <w:r w:rsidR="005144FC" w:rsidRPr="00DF1C62">
        <w:rPr>
          <w:rFonts w:asciiTheme="majorHAnsi" w:hAnsiTheme="majorHAnsi" w:cstheme="majorHAnsi"/>
          <w:sz w:val="24"/>
          <w:szCs w:val="24"/>
        </w:rPr>
        <w:t xml:space="preserve"> terms of these treaties were dependent upon how the tribes reacted to the Roman invasion.</w:t>
      </w:r>
      <w:r w:rsidR="003E3194">
        <w:rPr>
          <w:rStyle w:val="FootnoteReference"/>
          <w:rFonts w:asciiTheme="majorHAnsi" w:hAnsiTheme="majorHAnsi" w:cstheme="majorHAnsi"/>
          <w:sz w:val="24"/>
          <w:szCs w:val="24"/>
        </w:rPr>
        <w:footnoteReference w:id="40"/>
      </w:r>
      <w:r w:rsidR="005144FC" w:rsidRPr="00DF1C62">
        <w:rPr>
          <w:rFonts w:asciiTheme="majorHAnsi" w:hAnsiTheme="majorHAnsi" w:cstheme="majorHAnsi"/>
          <w:sz w:val="24"/>
          <w:szCs w:val="24"/>
        </w:rPr>
        <w:t xml:space="preserve"> It is likely that those tribes who resisted had their king</w:t>
      </w:r>
      <w:r w:rsidR="001146C9" w:rsidRPr="00DF1C62">
        <w:rPr>
          <w:rFonts w:asciiTheme="majorHAnsi" w:hAnsiTheme="majorHAnsi" w:cstheme="majorHAnsi"/>
          <w:sz w:val="24"/>
          <w:szCs w:val="24"/>
        </w:rPr>
        <w:t>s removed</w:t>
      </w:r>
      <w:r w:rsidR="00F440BB" w:rsidRPr="00DF1C62">
        <w:rPr>
          <w:rFonts w:asciiTheme="majorHAnsi" w:hAnsiTheme="majorHAnsi" w:cstheme="majorHAnsi"/>
          <w:sz w:val="24"/>
          <w:szCs w:val="24"/>
        </w:rPr>
        <w:t>,</w:t>
      </w:r>
      <w:r w:rsidR="001146C9" w:rsidRPr="00DF1C62">
        <w:rPr>
          <w:rFonts w:asciiTheme="majorHAnsi" w:hAnsiTheme="majorHAnsi" w:cstheme="majorHAnsi"/>
          <w:sz w:val="24"/>
          <w:szCs w:val="24"/>
        </w:rPr>
        <w:t xml:space="preserve"> with co</w:t>
      </w:r>
      <w:r w:rsidR="008C219A" w:rsidRPr="00DF1C62">
        <w:rPr>
          <w:rFonts w:asciiTheme="majorHAnsi" w:hAnsiTheme="majorHAnsi" w:cstheme="majorHAnsi"/>
          <w:sz w:val="24"/>
          <w:szCs w:val="24"/>
        </w:rPr>
        <w:t>ntrol being placed with elites w</w:t>
      </w:r>
      <w:r w:rsidR="004A5185" w:rsidRPr="00DF1C62">
        <w:rPr>
          <w:rFonts w:asciiTheme="majorHAnsi" w:hAnsiTheme="majorHAnsi" w:cstheme="majorHAnsi"/>
          <w:sz w:val="24"/>
          <w:szCs w:val="24"/>
        </w:rPr>
        <w:t xml:space="preserve">hilst the others who either </w:t>
      </w:r>
      <w:r w:rsidR="004A5185" w:rsidRPr="00DF1C62">
        <w:rPr>
          <w:rFonts w:asciiTheme="majorHAnsi" w:hAnsiTheme="majorHAnsi" w:cstheme="majorHAnsi"/>
          <w:sz w:val="24"/>
          <w:szCs w:val="24"/>
        </w:rPr>
        <w:lastRenderedPageBreak/>
        <w:t>surrendered or allied with Rome retained their kings or had kings, like Togidumnus, who wer</w:t>
      </w:r>
      <w:r w:rsidR="00411360">
        <w:rPr>
          <w:rFonts w:asciiTheme="majorHAnsi" w:hAnsiTheme="majorHAnsi" w:cstheme="majorHAnsi"/>
          <w:sz w:val="24"/>
          <w:szCs w:val="24"/>
        </w:rPr>
        <w:t>e put into power by the Romans.</w:t>
      </w:r>
    </w:p>
    <w:p w:rsidR="004A5185" w:rsidRPr="00DF1C62" w:rsidRDefault="004A5185" w:rsidP="00265735">
      <w:pPr>
        <w:pStyle w:val="NoSpacing"/>
        <w:spacing w:line="480" w:lineRule="auto"/>
        <w:rPr>
          <w:rFonts w:asciiTheme="majorHAnsi" w:hAnsiTheme="majorHAnsi" w:cstheme="majorHAnsi"/>
          <w:sz w:val="24"/>
          <w:szCs w:val="24"/>
        </w:rPr>
      </w:pPr>
    </w:p>
    <w:p w:rsidR="00FA67F2" w:rsidRPr="00DF1C62" w:rsidRDefault="004A5185"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 xml:space="preserve">Millet’s view seems to show that Tacitus’ writings on the kings is not inaccurate or unreliable. </w:t>
      </w:r>
      <w:r w:rsidR="00E14263" w:rsidRPr="00DF1C62">
        <w:rPr>
          <w:rFonts w:asciiTheme="majorHAnsi" w:hAnsiTheme="majorHAnsi" w:cstheme="majorHAnsi"/>
          <w:sz w:val="24"/>
          <w:szCs w:val="24"/>
        </w:rPr>
        <w:t>Both archaeological and epigraphic evidence supports this view such as an inscription fro</w:t>
      </w:r>
      <w:r w:rsidR="00A0234D">
        <w:rPr>
          <w:rFonts w:asciiTheme="majorHAnsi" w:hAnsiTheme="majorHAnsi" w:cstheme="majorHAnsi"/>
          <w:sz w:val="24"/>
          <w:szCs w:val="24"/>
        </w:rPr>
        <w:t>m the ruins of Wroxeter in England</w:t>
      </w:r>
      <w:r w:rsidR="00E14263" w:rsidRPr="00DF1C62">
        <w:rPr>
          <w:rFonts w:asciiTheme="majorHAnsi" w:hAnsiTheme="majorHAnsi" w:cstheme="majorHAnsi"/>
          <w:sz w:val="24"/>
          <w:szCs w:val="24"/>
        </w:rPr>
        <w:t>.</w:t>
      </w:r>
      <w:r w:rsidR="00764E14">
        <w:rPr>
          <w:rStyle w:val="FootnoteReference"/>
          <w:rFonts w:asciiTheme="majorHAnsi" w:hAnsiTheme="majorHAnsi" w:cstheme="majorHAnsi"/>
          <w:sz w:val="24"/>
          <w:szCs w:val="24"/>
        </w:rPr>
        <w:footnoteReference w:id="41"/>
      </w:r>
      <w:r w:rsidR="00E14263" w:rsidRPr="00DF1C62">
        <w:rPr>
          <w:rFonts w:asciiTheme="majorHAnsi" w:hAnsiTheme="majorHAnsi" w:cstheme="majorHAnsi"/>
          <w:sz w:val="24"/>
          <w:szCs w:val="24"/>
        </w:rPr>
        <w:t xml:space="preserve"> The inscription says that it was dedicated to Emperor Hadrian by the </w:t>
      </w:r>
      <w:r w:rsidR="00E14263" w:rsidRPr="00DF1C62">
        <w:rPr>
          <w:rFonts w:asciiTheme="majorHAnsi" w:hAnsiTheme="majorHAnsi" w:cstheme="majorHAnsi"/>
          <w:i/>
          <w:sz w:val="24"/>
          <w:szCs w:val="24"/>
        </w:rPr>
        <w:t xml:space="preserve">Civitat </w:t>
      </w:r>
      <w:r w:rsidR="00E14263" w:rsidRPr="00DF1C62">
        <w:rPr>
          <w:rFonts w:asciiTheme="majorHAnsi" w:hAnsiTheme="majorHAnsi" w:cstheme="majorHAnsi"/>
          <w:sz w:val="24"/>
          <w:szCs w:val="24"/>
        </w:rPr>
        <w:t>of the Cornovii confirming the idea that the tribes had been organised in such a manner.</w:t>
      </w:r>
      <w:r w:rsidR="00C6230B">
        <w:rPr>
          <w:rStyle w:val="FootnoteReference"/>
          <w:rFonts w:asciiTheme="majorHAnsi" w:hAnsiTheme="majorHAnsi" w:cstheme="majorHAnsi"/>
          <w:sz w:val="24"/>
          <w:szCs w:val="24"/>
        </w:rPr>
        <w:footnoteReference w:id="42"/>
      </w:r>
      <w:r w:rsidR="00E14263" w:rsidRPr="00DF1C62">
        <w:rPr>
          <w:rFonts w:asciiTheme="majorHAnsi" w:hAnsiTheme="majorHAnsi" w:cstheme="majorHAnsi"/>
          <w:sz w:val="24"/>
          <w:szCs w:val="24"/>
        </w:rPr>
        <w:t xml:space="preserve"> </w:t>
      </w:r>
      <w:r w:rsidR="004900D4" w:rsidRPr="00DF1C62">
        <w:rPr>
          <w:rFonts w:asciiTheme="majorHAnsi" w:hAnsiTheme="majorHAnsi" w:cstheme="majorHAnsi"/>
          <w:sz w:val="24"/>
          <w:szCs w:val="24"/>
        </w:rPr>
        <w:t xml:space="preserve">Another inscription from </w:t>
      </w:r>
      <w:r w:rsidR="00B54F1C">
        <w:rPr>
          <w:rFonts w:asciiTheme="majorHAnsi" w:hAnsiTheme="majorHAnsi" w:cstheme="majorHAnsi"/>
          <w:sz w:val="24"/>
          <w:szCs w:val="24"/>
        </w:rPr>
        <w:t xml:space="preserve">Caerwent </w:t>
      </w:r>
      <w:r w:rsidR="004900D4" w:rsidRPr="00DF1C62">
        <w:rPr>
          <w:rFonts w:asciiTheme="majorHAnsi" w:hAnsiTheme="majorHAnsi" w:cstheme="majorHAnsi"/>
          <w:sz w:val="24"/>
          <w:szCs w:val="24"/>
        </w:rPr>
        <w:t>also confirms the existence of the civitates but dates from the governorship of Paulinus who was governor of Britannia</w:t>
      </w:r>
      <w:r w:rsidR="005A460C" w:rsidRPr="00DF1C62">
        <w:rPr>
          <w:rFonts w:asciiTheme="majorHAnsi" w:hAnsiTheme="majorHAnsi" w:cstheme="majorHAnsi"/>
          <w:sz w:val="24"/>
          <w:szCs w:val="24"/>
        </w:rPr>
        <w:t xml:space="preserve"> from </w:t>
      </w:r>
      <w:r w:rsidR="00462CFA" w:rsidRPr="00DF1C62">
        <w:rPr>
          <w:rFonts w:asciiTheme="majorHAnsi" w:hAnsiTheme="majorHAnsi" w:cstheme="majorHAnsi"/>
          <w:sz w:val="24"/>
          <w:szCs w:val="24"/>
        </w:rPr>
        <w:t xml:space="preserve">AD </w:t>
      </w:r>
      <w:r w:rsidR="005A460C" w:rsidRPr="00DF1C62">
        <w:rPr>
          <w:rFonts w:asciiTheme="majorHAnsi" w:hAnsiTheme="majorHAnsi" w:cstheme="majorHAnsi"/>
          <w:sz w:val="24"/>
          <w:szCs w:val="24"/>
        </w:rPr>
        <w:t>58 until Boudicca’s rebellion</w:t>
      </w:r>
      <w:r w:rsidR="004900D4" w:rsidRPr="00DF1C62">
        <w:rPr>
          <w:rFonts w:asciiTheme="majorHAnsi" w:hAnsiTheme="majorHAnsi" w:cstheme="majorHAnsi"/>
          <w:sz w:val="24"/>
          <w:szCs w:val="24"/>
        </w:rPr>
        <w:t>.</w:t>
      </w:r>
      <w:r w:rsidR="00B54F1C">
        <w:rPr>
          <w:rStyle w:val="FootnoteReference"/>
          <w:rFonts w:asciiTheme="majorHAnsi" w:hAnsiTheme="majorHAnsi" w:cstheme="majorHAnsi"/>
          <w:sz w:val="24"/>
          <w:szCs w:val="24"/>
        </w:rPr>
        <w:footnoteReference w:id="43"/>
      </w:r>
      <w:r w:rsidR="004900D4" w:rsidRPr="00DF1C62">
        <w:rPr>
          <w:rFonts w:asciiTheme="majorHAnsi" w:hAnsiTheme="majorHAnsi" w:cstheme="majorHAnsi"/>
          <w:sz w:val="24"/>
          <w:szCs w:val="24"/>
        </w:rPr>
        <w:t xml:space="preserve"> </w:t>
      </w:r>
      <w:r w:rsidR="00462CFA" w:rsidRPr="00DF1C62">
        <w:rPr>
          <w:rFonts w:asciiTheme="majorHAnsi" w:hAnsiTheme="majorHAnsi" w:cstheme="majorHAnsi"/>
          <w:sz w:val="24"/>
          <w:szCs w:val="24"/>
        </w:rPr>
        <w:t xml:space="preserve">The inscription was addressed to him by the Ordo </w:t>
      </w:r>
      <w:r w:rsidR="00A13449" w:rsidRPr="00DF1C62">
        <w:rPr>
          <w:rFonts w:asciiTheme="majorHAnsi" w:hAnsiTheme="majorHAnsi" w:cstheme="majorHAnsi"/>
          <w:sz w:val="24"/>
          <w:szCs w:val="24"/>
        </w:rPr>
        <w:t xml:space="preserve">of </w:t>
      </w:r>
      <w:r w:rsidR="00462CFA" w:rsidRPr="00DF1C62">
        <w:rPr>
          <w:rFonts w:asciiTheme="majorHAnsi" w:hAnsiTheme="majorHAnsi" w:cstheme="majorHAnsi"/>
          <w:sz w:val="24"/>
          <w:szCs w:val="24"/>
        </w:rPr>
        <w:t xml:space="preserve">the </w:t>
      </w:r>
      <w:r w:rsidR="00462CFA" w:rsidRPr="00DF1C62">
        <w:rPr>
          <w:rFonts w:asciiTheme="majorHAnsi" w:hAnsiTheme="majorHAnsi" w:cstheme="majorHAnsi"/>
          <w:i/>
          <w:sz w:val="24"/>
          <w:szCs w:val="24"/>
        </w:rPr>
        <w:t xml:space="preserve">Civitat </w:t>
      </w:r>
      <w:r w:rsidR="00462CFA" w:rsidRPr="00DF1C62">
        <w:rPr>
          <w:rFonts w:asciiTheme="majorHAnsi" w:hAnsiTheme="majorHAnsi" w:cstheme="majorHAnsi"/>
          <w:sz w:val="24"/>
          <w:szCs w:val="24"/>
        </w:rPr>
        <w:t xml:space="preserve">of the Silures again suggesting that Tacitus’ </w:t>
      </w:r>
      <w:r w:rsidR="006B17F1" w:rsidRPr="00DF1C62">
        <w:rPr>
          <w:rFonts w:asciiTheme="majorHAnsi" w:hAnsiTheme="majorHAnsi" w:cstheme="majorHAnsi"/>
          <w:sz w:val="24"/>
          <w:szCs w:val="24"/>
        </w:rPr>
        <w:t>writings are</w:t>
      </w:r>
      <w:r w:rsidR="00462CFA" w:rsidRPr="00DF1C62">
        <w:rPr>
          <w:rFonts w:asciiTheme="majorHAnsi" w:hAnsiTheme="majorHAnsi" w:cstheme="majorHAnsi"/>
          <w:sz w:val="24"/>
          <w:szCs w:val="24"/>
        </w:rPr>
        <w:t xml:space="preserve"> accurate since the Ordo</w:t>
      </w:r>
      <w:r w:rsidR="00A13449" w:rsidRPr="00DF1C62">
        <w:rPr>
          <w:rFonts w:asciiTheme="majorHAnsi" w:hAnsiTheme="majorHAnsi" w:cstheme="majorHAnsi"/>
          <w:sz w:val="24"/>
          <w:szCs w:val="24"/>
        </w:rPr>
        <w:t>, or senate, that governed the Silures</w:t>
      </w:r>
      <w:r w:rsidR="00462CFA" w:rsidRPr="00DF1C62">
        <w:rPr>
          <w:rFonts w:asciiTheme="majorHAnsi" w:hAnsiTheme="majorHAnsi" w:cstheme="majorHAnsi"/>
          <w:sz w:val="24"/>
          <w:szCs w:val="24"/>
        </w:rPr>
        <w:t xml:space="preserve"> consisted of landowners who were also the tribal elites.</w:t>
      </w:r>
      <w:r w:rsidR="005226A2">
        <w:rPr>
          <w:rStyle w:val="FootnoteReference"/>
          <w:rFonts w:asciiTheme="majorHAnsi" w:hAnsiTheme="majorHAnsi" w:cstheme="majorHAnsi"/>
          <w:sz w:val="24"/>
          <w:szCs w:val="24"/>
        </w:rPr>
        <w:footnoteReference w:id="44"/>
      </w:r>
      <w:r w:rsidR="00462CFA" w:rsidRPr="00DF1C62">
        <w:rPr>
          <w:rFonts w:asciiTheme="majorHAnsi" w:hAnsiTheme="majorHAnsi" w:cstheme="majorHAnsi"/>
          <w:sz w:val="24"/>
          <w:szCs w:val="24"/>
        </w:rPr>
        <w:t xml:space="preserve"> </w:t>
      </w:r>
      <w:r w:rsidR="00A13449" w:rsidRPr="00DF1C62">
        <w:rPr>
          <w:rFonts w:asciiTheme="majorHAnsi" w:hAnsiTheme="majorHAnsi" w:cstheme="majorHAnsi"/>
          <w:sz w:val="24"/>
          <w:szCs w:val="24"/>
        </w:rPr>
        <w:t xml:space="preserve">At the same time as this </w:t>
      </w:r>
      <w:r w:rsidR="00A55243" w:rsidRPr="00DF1C62">
        <w:rPr>
          <w:rFonts w:asciiTheme="majorHAnsi" w:hAnsiTheme="majorHAnsi" w:cstheme="majorHAnsi"/>
          <w:sz w:val="24"/>
          <w:szCs w:val="24"/>
        </w:rPr>
        <w:t xml:space="preserve">there is </w:t>
      </w:r>
      <w:r w:rsidR="00A13449" w:rsidRPr="00DF1C62">
        <w:rPr>
          <w:rFonts w:asciiTheme="majorHAnsi" w:hAnsiTheme="majorHAnsi" w:cstheme="majorHAnsi"/>
          <w:sz w:val="24"/>
          <w:szCs w:val="24"/>
        </w:rPr>
        <w:t>evidence</w:t>
      </w:r>
      <w:r w:rsidR="00A55243" w:rsidRPr="00DF1C62">
        <w:rPr>
          <w:rFonts w:asciiTheme="majorHAnsi" w:hAnsiTheme="majorHAnsi" w:cstheme="majorHAnsi"/>
          <w:sz w:val="24"/>
          <w:szCs w:val="24"/>
        </w:rPr>
        <w:t xml:space="preserve"> that s</w:t>
      </w:r>
      <w:r w:rsidR="00A13449" w:rsidRPr="00DF1C62">
        <w:rPr>
          <w:rFonts w:asciiTheme="majorHAnsi" w:hAnsiTheme="majorHAnsi" w:cstheme="majorHAnsi"/>
          <w:sz w:val="24"/>
          <w:szCs w:val="24"/>
        </w:rPr>
        <w:t xml:space="preserve">uggests Tacitus’ writings are also </w:t>
      </w:r>
      <w:r w:rsidR="00A55243" w:rsidRPr="00DF1C62">
        <w:rPr>
          <w:rFonts w:asciiTheme="majorHAnsi" w:hAnsiTheme="majorHAnsi" w:cstheme="majorHAnsi"/>
          <w:sz w:val="24"/>
          <w:szCs w:val="24"/>
        </w:rPr>
        <w:t xml:space="preserve">reliable </w:t>
      </w:r>
      <w:r w:rsidR="00A13449" w:rsidRPr="00DF1C62">
        <w:rPr>
          <w:rFonts w:asciiTheme="majorHAnsi" w:hAnsiTheme="majorHAnsi" w:cstheme="majorHAnsi"/>
          <w:sz w:val="24"/>
          <w:szCs w:val="24"/>
        </w:rPr>
        <w:t xml:space="preserve">since we have evidence for the existence of King Togidumnus. </w:t>
      </w:r>
      <w:r w:rsidR="00FC2918" w:rsidRPr="00DF1C62">
        <w:rPr>
          <w:rFonts w:asciiTheme="majorHAnsi" w:hAnsiTheme="majorHAnsi" w:cstheme="majorHAnsi"/>
          <w:sz w:val="24"/>
          <w:szCs w:val="24"/>
        </w:rPr>
        <w:t xml:space="preserve">There is an inscription in </w:t>
      </w:r>
      <w:r w:rsidR="008B4C62" w:rsidRPr="00DF1C62">
        <w:rPr>
          <w:rFonts w:asciiTheme="majorHAnsi" w:hAnsiTheme="majorHAnsi" w:cstheme="majorHAnsi"/>
          <w:sz w:val="24"/>
          <w:szCs w:val="24"/>
        </w:rPr>
        <w:t xml:space="preserve">Chichester which is part of an altar dedicated to </w:t>
      </w:r>
      <w:r w:rsidR="008838E8">
        <w:rPr>
          <w:rFonts w:asciiTheme="majorHAnsi" w:hAnsiTheme="majorHAnsi" w:cstheme="majorHAnsi"/>
          <w:sz w:val="24"/>
          <w:szCs w:val="24"/>
        </w:rPr>
        <w:t xml:space="preserve">Neptune and Minerva which seems </w:t>
      </w:r>
      <w:r w:rsidR="008B4C62" w:rsidRPr="00DF1C62">
        <w:rPr>
          <w:rFonts w:asciiTheme="majorHAnsi" w:hAnsiTheme="majorHAnsi" w:cstheme="majorHAnsi"/>
          <w:sz w:val="24"/>
          <w:szCs w:val="24"/>
        </w:rPr>
        <w:t>to Togidumnus as the “Great King of Britain”</w:t>
      </w:r>
      <w:r w:rsidR="00BE31C9" w:rsidRPr="00DF1C62">
        <w:rPr>
          <w:rFonts w:asciiTheme="majorHAnsi" w:hAnsiTheme="majorHAnsi" w:cstheme="majorHAnsi"/>
          <w:sz w:val="24"/>
          <w:szCs w:val="24"/>
        </w:rPr>
        <w:t>.</w:t>
      </w:r>
      <w:r w:rsidR="009F2EA2">
        <w:rPr>
          <w:rStyle w:val="FootnoteReference"/>
          <w:rFonts w:asciiTheme="majorHAnsi" w:hAnsiTheme="majorHAnsi" w:cstheme="majorHAnsi"/>
          <w:sz w:val="24"/>
          <w:szCs w:val="24"/>
        </w:rPr>
        <w:footnoteReference w:id="45"/>
      </w:r>
      <w:r w:rsidR="00BE31C9" w:rsidRPr="00DF1C62">
        <w:rPr>
          <w:rFonts w:asciiTheme="majorHAnsi" w:hAnsiTheme="majorHAnsi" w:cstheme="majorHAnsi"/>
          <w:sz w:val="24"/>
          <w:szCs w:val="24"/>
        </w:rPr>
        <w:t xml:space="preserve"> Again, this adds reliability to Tacitus’ work as we have an inscription co</w:t>
      </w:r>
      <w:r w:rsidR="005F6898" w:rsidRPr="00DF1C62">
        <w:rPr>
          <w:rFonts w:asciiTheme="majorHAnsi" w:hAnsiTheme="majorHAnsi" w:cstheme="majorHAnsi"/>
          <w:sz w:val="24"/>
          <w:szCs w:val="24"/>
        </w:rPr>
        <w:t>nfirming the existence of Togidumnus</w:t>
      </w:r>
      <w:r w:rsidR="00BE31C9" w:rsidRPr="00DF1C62">
        <w:rPr>
          <w:rFonts w:asciiTheme="majorHAnsi" w:hAnsiTheme="majorHAnsi" w:cstheme="majorHAnsi"/>
          <w:sz w:val="24"/>
          <w:szCs w:val="24"/>
        </w:rPr>
        <w:t xml:space="preserve"> </w:t>
      </w:r>
      <w:r w:rsidR="005F6898" w:rsidRPr="00DF1C62">
        <w:rPr>
          <w:rFonts w:asciiTheme="majorHAnsi" w:hAnsiTheme="majorHAnsi" w:cstheme="majorHAnsi"/>
          <w:sz w:val="24"/>
          <w:szCs w:val="24"/>
        </w:rPr>
        <w:t xml:space="preserve">and </w:t>
      </w:r>
      <w:r w:rsidR="00BE31C9" w:rsidRPr="00DF1C62">
        <w:rPr>
          <w:rFonts w:asciiTheme="majorHAnsi" w:hAnsiTheme="majorHAnsi" w:cstheme="majorHAnsi"/>
          <w:sz w:val="24"/>
          <w:szCs w:val="24"/>
        </w:rPr>
        <w:t xml:space="preserve">that </w:t>
      </w:r>
      <w:r w:rsidR="005F6898" w:rsidRPr="00DF1C62">
        <w:rPr>
          <w:rFonts w:asciiTheme="majorHAnsi" w:hAnsiTheme="majorHAnsi" w:cstheme="majorHAnsi"/>
          <w:sz w:val="24"/>
          <w:szCs w:val="24"/>
        </w:rPr>
        <w:t xml:space="preserve">he </w:t>
      </w:r>
      <w:r w:rsidR="00BE31C9" w:rsidRPr="00DF1C62">
        <w:rPr>
          <w:rFonts w:asciiTheme="majorHAnsi" w:hAnsiTheme="majorHAnsi" w:cstheme="majorHAnsi"/>
          <w:sz w:val="24"/>
          <w:szCs w:val="24"/>
        </w:rPr>
        <w:t>existed after the Roman invasion</w:t>
      </w:r>
      <w:r w:rsidR="005F6898" w:rsidRPr="00DF1C62">
        <w:rPr>
          <w:rFonts w:asciiTheme="majorHAnsi" w:hAnsiTheme="majorHAnsi" w:cstheme="majorHAnsi"/>
          <w:sz w:val="24"/>
          <w:szCs w:val="24"/>
        </w:rPr>
        <w:t xml:space="preserve"> of 43 AD. </w:t>
      </w:r>
      <w:r w:rsidR="002343E8" w:rsidRPr="00DF1C62">
        <w:rPr>
          <w:rFonts w:asciiTheme="majorHAnsi" w:hAnsiTheme="majorHAnsi" w:cstheme="majorHAnsi"/>
          <w:sz w:val="24"/>
          <w:szCs w:val="24"/>
        </w:rPr>
        <w:t>In all this means that</w:t>
      </w:r>
      <w:r w:rsidR="00DA4848" w:rsidRPr="00DF1C62">
        <w:rPr>
          <w:rFonts w:asciiTheme="majorHAnsi" w:hAnsiTheme="majorHAnsi" w:cstheme="majorHAnsi"/>
          <w:sz w:val="24"/>
          <w:szCs w:val="24"/>
        </w:rPr>
        <w:t xml:space="preserve"> we have evidence that King Togidumnus was reigning as a king at the same time as tribal elites controlling their ow</w:t>
      </w:r>
      <w:r w:rsidR="00A526AB" w:rsidRPr="00DF1C62">
        <w:rPr>
          <w:rFonts w:asciiTheme="majorHAnsi" w:hAnsiTheme="majorHAnsi" w:cstheme="majorHAnsi"/>
          <w:sz w:val="24"/>
          <w:szCs w:val="24"/>
        </w:rPr>
        <w:t>n</w:t>
      </w:r>
      <w:r w:rsidR="00DA4848" w:rsidRPr="00DF1C62">
        <w:rPr>
          <w:rFonts w:asciiTheme="majorHAnsi" w:hAnsiTheme="majorHAnsi" w:cstheme="majorHAnsi"/>
          <w:sz w:val="24"/>
          <w:szCs w:val="24"/>
        </w:rPr>
        <w:t xml:space="preserve"> tribes or </w:t>
      </w:r>
      <w:r w:rsidR="000877AA" w:rsidRPr="00DF1C62">
        <w:rPr>
          <w:rFonts w:asciiTheme="majorHAnsi" w:hAnsiTheme="majorHAnsi" w:cstheme="majorHAnsi"/>
          <w:i/>
          <w:sz w:val="24"/>
          <w:szCs w:val="24"/>
        </w:rPr>
        <w:t xml:space="preserve">Civitates </w:t>
      </w:r>
      <w:r w:rsidR="000877AA" w:rsidRPr="00DF1C62">
        <w:rPr>
          <w:rFonts w:asciiTheme="majorHAnsi" w:hAnsiTheme="majorHAnsi" w:cstheme="majorHAnsi"/>
          <w:sz w:val="24"/>
          <w:szCs w:val="24"/>
        </w:rPr>
        <w:t xml:space="preserve">showing that instead of an inconsistency within Tacitus’ works. The evidence shows that </w:t>
      </w:r>
      <w:r w:rsidR="000877AA" w:rsidRPr="00DF1C62">
        <w:rPr>
          <w:rFonts w:asciiTheme="majorHAnsi" w:hAnsiTheme="majorHAnsi" w:cstheme="majorHAnsi"/>
          <w:sz w:val="24"/>
          <w:szCs w:val="24"/>
        </w:rPr>
        <w:lastRenderedPageBreak/>
        <w:t>Tacitus’ writings in this instance are incredibly reliable especially since we have written evidence in the shape of inscriptions that support and compl</w:t>
      </w:r>
      <w:r w:rsidR="00505312" w:rsidRPr="00DF1C62">
        <w:rPr>
          <w:rFonts w:asciiTheme="majorHAnsi" w:hAnsiTheme="majorHAnsi" w:cstheme="majorHAnsi"/>
          <w:sz w:val="24"/>
          <w:szCs w:val="24"/>
        </w:rPr>
        <w:t xml:space="preserve">ement his historical narrative. </w:t>
      </w:r>
    </w:p>
    <w:p w:rsidR="00B562A6" w:rsidRDefault="00B562A6" w:rsidP="00265735">
      <w:pPr>
        <w:pStyle w:val="NoSpacing"/>
        <w:spacing w:line="480" w:lineRule="auto"/>
        <w:rPr>
          <w:rFonts w:asciiTheme="majorHAnsi" w:hAnsiTheme="majorHAnsi" w:cstheme="majorHAnsi"/>
          <w:sz w:val="24"/>
          <w:szCs w:val="24"/>
        </w:rPr>
      </w:pPr>
    </w:p>
    <w:p w:rsidR="00D64E3A" w:rsidRPr="00DF1C62" w:rsidRDefault="00D64E3A" w:rsidP="00265735">
      <w:pPr>
        <w:pStyle w:val="NoSpacing"/>
        <w:spacing w:line="480" w:lineRule="auto"/>
        <w:rPr>
          <w:rFonts w:asciiTheme="majorHAnsi" w:hAnsiTheme="majorHAnsi" w:cstheme="majorHAnsi"/>
          <w:sz w:val="24"/>
          <w:szCs w:val="24"/>
        </w:rPr>
      </w:pPr>
      <w:r w:rsidRPr="00DF1C62">
        <w:rPr>
          <w:rFonts w:asciiTheme="majorHAnsi" w:hAnsiTheme="majorHAnsi" w:cstheme="majorHAnsi"/>
          <w:sz w:val="24"/>
          <w:szCs w:val="24"/>
        </w:rPr>
        <w:t xml:space="preserve">After completing this evaluation of Tacitus’ writings about Roman Britain between AD 43 and AD 120. I believe that it </w:t>
      </w:r>
      <w:r w:rsidR="00FA77EC" w:rsidRPr="00DF1C62">
        <w:rPr>
          <w:rFonts w:asciiTheme="majorHAnsi" w:hAnsiTheme="majorHAnsi" w:cstheme="majorHAnsi"/>
          <w:sz w:val="24"/>
          <w:szCs w:val="24"/>
        </w:rPr>
        <w:t xml:space="preserve">is possible to say that Tacitus’ writings are quite reliable, but only to a point. </w:t>
      </w:r>
      <w:r w:rsidR="00EC25F8" w:rsidRPr="00DF1C62">
        <w:rPr>
          <w:rFonts w:asciiTheme="majorHAnsi" w:hAnsiTheme="majorHAnsi" w:cstheme="majorHAnsi"/>
          <w:sz w:val="24"/>
          <w:szCs w:val="24"/>
        </w:rPr>
        <w:t xml:space="preserve">For </w:t>
      </w:r>
      <w:r w:rsidR="00242A4F" w:rsidRPr="00DF1C62">
        <w:rPr>
          <w:rFonts w:asciiTheme="majorHAnsi" w:hAnsiTheme="majorHAnsi" w:cstheme="majorHAnsi"/>
          <w:sz w:val="24"/>
          <w:szCs w:val="24"/>
        </w:rPr>
        <w:t>example,</w:t>
      </w:r>
      <w:r w:rsidR="00EC25F8" w:rsidRPr="00DF1C62">
        <w:rPr>
          <w:rFonts w:asciiTheme="majorHAnsi" w:hAnsiTheme="majorHAnsi" w:cstheme="majorHAnsi"/>
          <w:sz w:val="24"/>
          <w:szCs w:val="24"/>
        </w:rPr>
        <w:t xml:space="preserve"> after considering the evidence we know Tacitus was correct about there being chariots in Roman Britain, </w:t>
      </w:r>
      <w:r w:rsidR="0065673F" w:rsidRPr="00DF1C62">
        <w:rPr>
          <w:rFonts w:asciiTheme="majorHAnsi" w:hAnsiTheme="majorHAnsi" w:cstheme="majorHAnsi"/>
          <w:sz w:val="24"/>
          <w:szCs w:val="24"/>
        </w:rPr>
        <w:t xml:space="preserve">the existence of </w:t>
      </w:r>
      <w:r w:rsidR="00EC25F8" w:rsidRPr="00DF1C62">
        <w:rPr>
          <w:rFonts w:asciiTheme="majorHAnsi" w:hAnsiTheme="majorHAnsi" w:cstheme="majorHAnsi"/>
          <w:sz w:val="24"/>
          <w:szCs w:val="24"/>
        </w:rPr>
        <w:t xml:space="preserve">King Togidumnus, and that Boudicca’s rebellion may have been as destructive as it was described. </w:t>
      </w:r>
      <w:r w:rsidR="00F50DCA" w:rsidRPr="00DF1C62">
        <w:rPr>
          <w:rFonts w:asciiTheme="majorHAnsi" w:hAnsiTheme="majorHAnsi" w:cstheme="majorHAnsi"/>
          <w:sz w:val="24"/>
          <w:szCs w:val="24"/>
        </w:rPr>
        <w:t>This shows that Tacitus’ writings are reliable as we can prove his narration is correct</w:t>
      </w:r>
      <w:r w:rsidR="00242A4F" w:rsidRPr="00DF1C62">
        <w:rPr>
          <w:rFonts w:asciiTheme="majorHAnsi" w:hAnsiTheme="majorHAnsi" w:cstheme="majorHAnsi"/>
          <w:sz w:val="24"/>
          <w:szCs w:val="24"/>
        </w:rPr>
        <w:t xml:space="preserve"> in a number of instances. There again, the reason his works are not completely reliable is that historians and classicists cannot substantiate many of the events that Tacitus writes about. Thus far no evidence has been found to suggest that eighty thousand people were killed by Boudicca’s army or if Agricola did reach the Moray Firth when it also could well have been his successors. </w:t>
      </w:r>
      <w:r w:rsidR="00F5557F" w:rsidRPr="00DF1C62">
        <w:rPr>
          <w:rFonts w:asciiTheme="majorHAnsi" w:hAnsiTheme="majorHAnsi" w:cstheme="majorHAnsi"/>
          <w:sz w:val="24"/>
          <w:szCs w:val="24"/>
        </w:rPr>
        <w:t>Due to this doubt I believe that Tacitus’ writ</w:t>
      </w:r>
      <w:r w:rsidR="00B10D0A" w:rsidRPr="00DF1C62">
        <w:rPr>
          <w:rFonts w:asciiTheme="majorHAnsi" w:hAnsiTheme="majorHAnsi" w:cstheme="majorHAnsi"/>
          <w:sz w:val="24"/>
          <w:szCs w:val="24"/>
        </w:rPr>
        <w:t>ings on Roman Britain are a fairly reliable source on Roman Britain but they must largely still be taken with a grain of salt. I believe that this should until further evidence is found tha</w:t>
      </w:r>
      <w:r w:rsidR="00A526AB" w:rsidRPr="00DF1C62">
        <w:rPr>
          <w:rFonts w:asciiTheme="majorHAnsi" w:hAnsiTheme="majorHAnsi" w:cstheme="majorHAnsi"/>
          <w:sz w:val="24"/>
          <w:szCs w:val="24"/>
        </w:rPr>
        <w:t>t corroborates Tacitus’ works w</w:t>
      </w:r>
      <w:r w:rsidR="00B10D0A" w:rsidRPr="00DF1C62">
        <w:rPr>
          <w:rFonts w:asciiTheme="majorHAnsi" w:hAnsiTheme="majorHAnsi" w:cstheme="majorHAnsi"/>
          <w:sz w:val="24"/>
          <w:szCs w:val="24"/>
        </w:rPr>
        <w:t xml:space="preserve">hich in turn could make Tacitus’ writings a truly reliable source about Roman Britain, but only when it can all be substantiated. </w:t>
      </w:r>
    </w:p>
    <w:p w:rsidR="00DF1C62" w:rsidRPr="00DF1C62" w:rsidRDefault="00DF1C62" w:rsidP="00265735">
      <w:pPr>
        <w:pStyle w:val="NoSpacing"/>
        <w:spacing w:line="480" w:lineRule="auto"/>
        <w:rPr>
          <w:rFonts w:asciiTheme="majorHAnsi" w:hAnsiTheme="majorHAnsi" w:cstheme="majorHAnsi"/>
          <w:sz w:val="24"/>
          <w:szCs w:val="24"/>
        </w:rPr>
      </w:pPr>
    </w:p>
    <w:p w:rsidR="00DF1C62" w:rsidRPr="00DF1C62" w:rsidRDefault="00DF1C62" w:rsidP="00265735">
      <w:pPr>
        <w:pStyle w:val="NoSpacing"/>
        <w:spacing w:line="480" w:lineRule="auto"/>
        <w:rPr>
          <w:rFonts w:asciiTheme="majorHAnsi" w:hAnsiTheme="majorHAnsi" w:cstheme="majorHAnsi"/>
          <w:sz w:val="24"/>
          <w:szCs w:val="24"/>
        </w:rPr>
      </w:pPr>
    </w:p>
    <w:p w:rsidR="00DF1C62" w:rsidRPr="00DF1C62" w:rsidRDefault="00DF1C62" w:rsidP="00265735">
      <w:pPr>
        <w:pStyle w:val="NoSpacing"/>
        <w:spacing w:line="480" w:lineRule="auto"/>
        <w:rPr>
          <w:rFonts w:asciiTheme="majorHAnsi" w:hAnsiTheme="majorHAnsi" w:cstheme="majorHAnsi"/>
          <w:sz w:val="24"/>
          <w:szCs w:val="24"/>
        </w:rPr>
      </w:pPr>
    </w:p>
    <w:p w:rsidR="00DF1C62" w:rsidRPr="00DF1C62" w:rsidRDefault="00DF1C62" w:rsidP="00265735">
      <w:pPr>
        <w:pStyle w:val="NoSpacing"/>
        <w:spacing w:line="480" w:lineRule="auto"/>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5D2BA5" w:rsidRDefault="005D2BA5" w:rsidP="00E14263">
      <w:pPr>
        <w:pStyle w:val="NoSpacing"/>
        <w:rPr>
          <w:rFonts w:asciiTheme="majorHAnsi" w:hAnsiTheme="majorHAnsi" w:cstheme="majorHAnsi"/>
          <w:sz w:val="24"/>
          <w:szCs w:val="24"/>
        </w:rPr>
      </w:pPr>
    </w:p>
    <w:p w:rsidR="00D34E42" w:rsidRDefault="00D34E42" w:rsidP="00E14263">
      <w:pPr>
        <w:pStyle w:val="NoSpacing"/>
        <w:rPr>
          <w:rFonts w:asciiTheme="majorHAnsi" w:hAnsiTheme="majorHAnsi" w:cstheme="majorHAnsi"/>
          <w:b/>
          <w:sz w:val="36"/>
          <w:szCs w:val="24"/>
        </w:rPr>
      </w:pPr>
    </w:p>
    <w:p w:rsidR="00265735" w:rsidRDefault="00265735" w:rsidP="00E14263">
      <w:pPr>
        <w:pStyle w:val="NoSpacing"/>
        <w:rPr>
          <w:rFonts w:asciiTheme="majorHAnsi" w:hAnsiTheme="majorHAnsi" w:cstheme="majorHAnsi"/>
          <w:b/>
          <w:sz w:val="36"/>
          <w:szCs w:val="24"/>
        </w:rPr>
      </w:pPr>
    </w:p>
    <w:p w:rsidR="00265735" w:rsidRDefault="00265735" w:rsidP="00E14263">
      <w:pPr>
        <w:pStyle w:val="NoSpacing"/>
        <w:rPr>
          <w:rFonts w:asciiTheme="majorHAnsi" w:hAnsiTheme="majorHAnsi" w:cstheme="majorHAnsi"/>
          <w:b/>
          <w:sz w:val="36"/>
          <w:szCs w:val="24"/>
        </w:rPr>
      </w:pPr>
    </w:p>
    <w:p w:rsidR="00265735" w:rsidRDefault="00265735" w:rsidP="00E14263">
      <w:pPr>
        <w:pStyle w:val="NoSpacing"/>
        <w:rPr>
          <w:rFonts w:asciiTheme="majorHAnsi" w:hAnsiTheme="majorHAnsi" w:cstheme="majorHAnsi"/>
          <w:b/>
          <w:sz w:val="36"/>
          <w:szCs w:val="24"/>
        </w:rPr>
      </w:pPr>
    </w:p>
    <w:p w:rsidR="00265735" w:rsidRDefault="00265735" w:rsidP="00E14263">
      <w:pPr>
        <w:pStyle w:val="NoSpacing"/>
        <w:rPr>
          <w:rFonts w:asciiTheme="majorHAnsi" w:hAnsiTheme="majorHAnsi" w:cstheme="majorHAnsi"/>
          <w:b/>
          <w:sz w:val="36"/>
          <w:szCs w:val="24"/>
        </w:rPr>
      </w:pPr>
    </w:p>
    <w:p w:rsidR="00265735" w:rsidRDefault="00265735" w:rsidP="00E14263">
      <w:pPr>
        <w:pStyle w:val="NoSpacing"/>
        <w:rPr>
          <w:rFonts w:asciiTheme="majorHAnsi" w:hAnsiTheme="majorHAnsi" w:cstheme="majorHAnsi"/>
          <w:b/>
          <w:sz w:val="36"/>
          <w:szCs w:val="24"/>
        </w:rPr>
      </w:pPr>
    </w:p>
    <w:p w:rsidR="00265735" w:rsidRDefault="00265735" w:rsidP="00E14263">
      <w:pPr>
        <w:pStyle w:val="NoSpacing"/>
        <w:rPr>
          <w:rFonts w:asciiTheme="majorHAnsi" w:hAnsiTheme="majorHAnsi" w:cstheme="majorHAnsi"/>
          <w:b/>
          <w:sz w:val="36"/>
          <w:szCs w:val="24"/>
        </w:rPr>
      </w:pPr>
    </w:p>
    <w:p w:rsidR="00DF1C62" w:rsidRPr="005D2BA5" w:rsidRDefault="00DF1C62" w:rsidP="00E14263">
      <w:pPr>
        <w:pStyle w:val="NoSpacing"/>
        <w:rPr>
          <w:rFonts w:asciiTheme="majorHAnsi" w:hAnsiTheme="majorHAnsi" w:cstheme="majorHAnsi"/>
          <w:b/>
          <w:sz w:val="36"/>
          <w:szCs w:val="24"/>
        </w:rPr>
      </w:pPr>
      <w:r w:rsidRPr="005D2BA5">
        <w:rPr>
          <w:rFonts w:asciiTheme="majorHAnsi" w:hAnsiTheme="majorHAnsi" w:cstheme="majorHAnsi"/>
          <w:b/>
          <w:sz w:val="36"/>
          <w:szCs w:val="24"/>
        </w:rPr>
        <w:t xml:space="preserve">Bibliography </w:t>
      </w:r>
    </w:p>
    <w:p w:rsidR="00DF1C62" w:rsidRPr="00DF1C62" w:rsidRDefault="00DF1C62" w:rsidP="00E14263">
      <w:pPr>
        <w:pStyle w:val="NoSpacing"/>
        <w:rPr>
          <w:rFonts w:asciiTheme="majorHAnsi" w:hAnsiTheme="majorHAnsi" w:cstheme="majorHAnsi"/>
          <w:sz w:val="36"/>
          <w:szCs w:val="24"/>
        </w:rPr>
      </w:pPr>
    </w:p>
    <w:p w:rsidR="00DF1C62" w:rsidRPr="005D2BA5" w:rsidRDefault="00DF1C62" w:rsidP="00E14263">
      <w:pPr>
        <w:pStyle w:val="NoSpacing"/>
        <w:rPr>
          <w:rFonts w:asciiTheme="majorHAnsi" w:hAnsiTheme="majorHAnsi" w:cstheme="majorHAnsi"/>
          <w:b/>
          <w:sz w:val="36"/>
          <w:szCs w:val="24"/>
        </w:rPr>
      </w:pPr>
      <w:r w:rsidRPr="005D2BA5">
        <w:rPr>
          <w:rFonts w:asciiTheme="majorHAnsi" w:hAnsiTheme="majorHAnsi" w:cstheme="majorHAnsi"/>
          <w:b/>
          <w:sz w:val="36"/>
          <w:szCs w:val="24"/>
        </w:rPr>
        <w:t xml:space="preserve">Ancient Sources </w:t>
      </w:r>
    </w:p>
    <w:p w:rsidR="007B6258" w:rsidRDefault="007B6258" w:rsidP="00D34E42">
      <w:pPr>
        <w:pStyle w:val="NoSpacing"/>
        <w:rPr>
          <w:rFonts w:asciiTheme="majorHAnsi" w:hAnsiTheme="majorHAnsi" w:cstheme="majorHAnsi"/>
          <w:sz w:val="28"/>
          <w:szCs w:val="24"/>
        </w:rPr>
      </w:pPr>
    </w:p>
    <w:p w:rsidR="007B6258" w:rsidRPr="00124774" w:rsidRDefault="007B6258" w:rsidP="00D34E42">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Caius Julius Caesar, </w:t>
      </w:r>
      <w:r w:rsidRPr="00124774">
        <w:rPr>
          <w:rFonts w:asciiTheme="majorHAnsi" w:hAnsiTheme="majorHAnsi" w:cstheme="majorHAnsi"/>
          <w:i/>
          <w:sz w:val="24"/>
          <w:szCs w:val="24"/>
        </w:rPr>
        <w:t>The</w:t>
      </w:r>
      <w:r w:rsidRPr="00124774">
        <w:rPr>
          <w:rFonts w:asciiTheme="majorHAnsi" w:hAnsiTheme="majorHAnsi" w:cstheme="majorHAnsi"/>
          <w:sz w:val="24"/>
          <w:szCs w:val="24"/>
        </w:rPr>
        <w:t xml:space="preserve"> </w:t>
      </w:r>
      <w:r w:rsidRPr="00124774">
        <w:rPr>
          <w:rFonts w:asciiTheme="majorHAnsi" w:hAnsiTheme="majorHAnsi" w:cstheme="majorHAnsi"/>
          <w:i/>
          <w:sz w:val="24"/>
          <w:szCs w:val="24"/>
        </w:rPr>
        <w:t>Gallic Wars</w:t>
      </w:r>
      <w:r w:rsidRPr="00124774">
        <w:rPr>
          <w:rFonts w:asciiTheme="majorHAnsi" w:hAnsiTheme="majorHAnsi" w:cstheme="majorHAnsi"/>
          <w:sz w:val="24"/>
          <w:szCs w:val="24"/>
        </w:rPr>
        <w:t>. H.J. Edwards (trans.). 2006. Mineola: Dover Publishing Inc.</w:t>
      </w:r>
    </w:p>
    <w:p w:rsidR="007B6258" w:rsidRPr="00124774" w:rsidRDefault="007B6258" w:rsidP="004C7CCE">
      <w:pPr>
        <w:pStyle w:val="NoSpacing"/>
        <w:rPr>
          <w:rFonts w:asciiTheme="majorHAnsi" w:hAnsiTheme="majorHAnsi" w:cstheme="majorHAnsi"/>
          <w:sz w:val="24"/>
          <w:szCs w:val="24"/>
        </w:rPr>
      </w:pPr>
    </w:p>
    <w:p w:rsidR="007B6258" w:rsidRPr="00124774" w:rsidRDefault="007B6258" w:rsidP="004C7CCE">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Cassius Dio, </w:t>
      </w:r>
      <w:r w:rsidRPr="00124774">
        <w:rPr>
          <w:rFonts w:asciiTheme="majorHAnsi" w:hAnsiTheme="majorHAnsi" w:cstheme="majorHAnsi"/>
          <w:i/>
          <w:sz w:val="24"/>
          <w:szCs w:val="24"/>
        </w:rPr>
        <w:t>Roman History</w:t>
      </w:r>
      <w:r w:rsidRPr="00124774">
        <w:rPr>
          <w:rFonts w:asciiTheme="majorHAnsi" w:hAnsiTheme="majorHAnsi" w:cstheme="majorHAnsi"/>
          <w:sz w:val="24"/>
          <w:szCs w:val="24"/>
        </w:rPr>
        <w:t xml:space="preserve">. H.B. Foster (trans.). 2015. Cambridge: Harvard University Press.  </w:t>
      </w:r>
    </w:p>
    <w:p w:rsidR="007B6258" w:rsidRPr="00124774" w:rsidRDefault="007B6258" w:rsidP="00E14263">
      <w:pPr>
        <w:pStyle w:val="NoSpacing"/>
        <w:rPr>
          <w:rFonts w:asciiTheme="majorHAnsi" w:hAnsiTheme="majorHAnsi" w:cstheme="majorHAnsi"/>
          <w:sz w:val="24"/>
          <w:szCs w:val="24"/>
        </w:rPr>
      </w:pPr>
    </w:p>
    <w:p w:rsidR="007B6258" w:rsidRPr="00124774" w:rsidRDefault="007B6258"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Tacitus, </w:t>
      </w:r>
      <w:r w:rsidRPr="00124774">
        <w:rPr>
          <w:rFonts w:asciiTheme="majorHAnsi" w:hAnsiTheme="majorHAnsi" w:cstheme="majorHAnsi"/>
          <w:i/>
          <w:sz w:val="24"/>
          <w:szCs w:val="24"/>
        </w:rPr>
        <w:t>The Agricola and Germania</w:t>
      </w:r>
      <w:r w:rsidRPr="00124774">
        <w:rPr>
          <w:rFonts w:asciiTheme="majorHAnsi" w:hAnsiTheme="majorHAnsi" w:cstheme="majorHAnsi"/>
          <w:sz w:val="24"/>
          <w:szCs w:val="24"/>
        </w:rPr>
        <w:t xml:space="preserve">. H. Mattingly (trans.). 2009. London: Penguin Group.  </w:t>
      </w:r>
    </w:p>
    <w:p w:rsidR="007B6258" w:rsidRPr="00124774" w:rsidRDefault="007B6258" w:rsidP="00E14263">
      <w:pPr>
        <w:pStyle w:val="NoSpacing"/>
        <w:rPr>
          <w:rFonts w:asciiTheme="majorHAnsi" w:hAnsiTheme="majorHAnsi" w:cstheme="majorHAnsi"/>
          <w:sz w:val="24"/>
          <w:szCs w:val="24"/>
        </w:rPr>
      </w:pPr>
    </w:p>
    <w:p w:rsidR="007B6258" w:rsidRPr="00124774" w:rsidRDefault="007B6258"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Tacitus, </w:t>
      </w:r>
      <w:r w:rsidRPr="00124774">
        <w:rPr>
          <w:rFonts w:asciiTheme="majorHAnsi" w:hAnsiTheme="majorHAnsi" w:cstheme="majorHAnsi"/>
          <w:i/>
          <w:sz w:val="24"/>
          <w:szCs w:val="24"/>
        </w:rPr>
        <w:t>The Annals</w:t>
      </w:r>
      <w:r w:rsidRPr="00124774">
        <w:rPr>
          <w:rFonts w:asciiTheme="majorHAnsi" w:hAnsiTheme="majorHAnsi" w:cstheme="majorHAnsi"/>
          <w:sz w:val="24"/>
          <w:szCs w:val="24"/>
        </w:rPr>
        <w:t xml:space="preserve">. J.C. Yardley (trans.). 2008. New York: Oxford University Press. </w:t>
      </w:r>
    </w:p>
    <w:p w:rsidR="000F2E0B" w:rsidRDefault="000F2E0B" w:rsidP="00E14263">
      <w:pPr>
        <w:pStyle w:val="NoSpacing"/>
        <w:rPr>
          <w:rFonts w:asciiTheme="majorHAnsi" w:hAnsiTheme="majorHAnsi" w:cstheme="majorHAnsi"/>
          <w:sz w:val="28"/>
          <w:szCs w:val="24"/>
        </w:rPr>
      </w:pPr>
    </w:p>
    <w:p w:rsidR="00DF1C62" w:rsidRPr="00124774" w:rsidRDefault="00DF1C62" w:rsidP="00E14263">
      <w:pPr>
        <w:pStyle w:val="NoSpacing"/>
        <w:rPr>
          <w:rFonts w:asciiTheme="majorHAnsi" w:hAnsiTheme="majorHAnsi" w:cstheme="majorHAnsi"/>
          <w:b/>
          <w:sz w:val="36"/>
          <w:szCs w:val="24"/>
        </w:rPr>
      </w:pPr>
      <w:r w:rsidRPr="00124774">
        <w:rPr>
          <w:rFonts w:asciiTheme="majorHAnsi" w:hAnsiTheme="majorHAnsi" w:cstheme="majorHAnsi"/>
          <w:b/>
          <w:sz w:val="36"/>
          <w:szCs w:val="24"/>
        </w:rPr>
        <w:t xml:space="preserve">Secondary Sources </w:t>
      </w:r>
      <w:r w:rsidR="004005FB" w:rsidRPr="00124774">
        <w:rPr>
          <w:rFonts w:asciiTheme="majorHAnsi" w:hAnsiTheme="majorHAnsi" w:cstheme="majorHAnsi"/>
          <w:b/>
          <w:sz w:val="36"/>
          <w:szCs w:val="24"/>
        </w:rPr>
        <w:t xml:space="preserve"> </w:t>
      </w:r>
    </w:p>
    <w:p w:rsidR="001F62D2" w:rsidRDefault="001F62D2" w:rsidP="00E14263">
      <w:pPr>
        <w:pStyle w:val="NoSpacing"/>
        <w:rPr>
          <w:rFonts w:asciiTheme="majorHAnsi" w:hAnsiTheme="majorHAnsi" w:cstheme="majorHAnsi"/>
          <w:sz w:val="36"/>
          <w:szCs w:val="24"/>
        </w:rPr>
      </w:pPr>
    </w:p>
    <w:p w:rsidR="005D549F" w:rsidRPr="00124774" w:rsidRDefault="005D549F"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Burke, J. </w:t>
      </w:r>
      <w:r w:rsidRPr="00124774">
        <w:rPr>
          <w:rFonts w:asciiTheme="majorHAnsi" w:hAnsiTheme="majorHAnsi" w:cstheme="majorHAnsi"/>
          <w:i/>
          <w:sz w:val="24"/>
          <w:szCs w:val="24"/>
        </w:rPr>
        <w:t>‘</w:t>
      </w:r>
      <w:r w:rsidRPr="00124774">
        <w:rPr>
          <w:rFonts w:asciiTheme="majorHAnsi" w:hAnsiTheme="majorHAnsi" w:cstheme="majorHAnsi"/>
          <w:sz w:val="24"/>
          <w:szCs w:val="24"/>
        </w:rPr>
        <w:t>Dig uncovers Boudicca's brutal streak’</w:t>
      </w:r>
      <w:r w:rsidRPr="00124774">
        <w:rPr>
          <w:rFonts w:asciiTheme="majorHAnsi" w:hAnsiTheme="majorHAnsi" w:cstheme="majorHAnsi"/>
          <w:i/>
          <w:sz w:val="24"/>
          <w:szCs w:val="24"/>
        </w:rPr>
        <w:t xml:space="preserve"> </w:t>
      </w:r>
      <w:r w:rsidRPr="00124774">
        <w:rPr>
          <w:rFonts w:asciiTheme="majorHAnsi" w:hAnsiTheme="majorHAnsi" w:cstheme="majorHAnsi"/>
          <w:sz w:val="24"/>
          <w:szCs w:val="24"/>
        </w:rPr>
        <w:t xml:space="preserve">2000. theguardian.com. </w:t>
      </w:r>
      <w:hyperlink r:id="rId8" w:history="1">
        <w:r w:rsidRPr="00124774">
          <w:rPr>
            <w:rStyle w:val="Hyperlink"/>
            <w:rFonts w:asciiTheme="majorHAnsi" w:hAnsiTheme="majorHAnsi" w:cstheme="majorHAnsi"/>
            <w:sz w:val="24"/>
            <w:szCs w:val="24"/>
          </w:rPr>
          <w:t>https://www.theguardian.com/uk/2000/dec/03/jasonburke.theobserver</w:t>
        </w:r>
      </w:hyperlink>
      <w:r w:rsidRPr="00124774">
        <w:rPr>
          <w:rFonts w:asciiTheme="majorHAnsi" w:hAnsiTheme="majorHAnsi" w:cstheme="majorHAnsi"/>
          <w:sz w:val="24"/>
          <w:szCs w:val="24"/>
        </w:rPr>
        <w:t xml:space="preserve"> [Accessed 14th November 2017] </w:t>
      </w:r>
    </w:p>
    <w:p w:rsidR="005D549F" w:rsidRPr="00124774" w:rsidRDefault="005D549F" w:rsidP="00E14263">
      <w:pPr>
        <w:pStyle w:val="NoSpacing"/>
        <w:rPr>
          <w:rFonts w:asciiTheme="majorHAnsi" w:hAnsiTheme="majorHAnsi" w:cstheme="majorHAnsi"/>
          <w:sz w:val="24"/>
          <w:szCs w:val="24"/>
        </w:rPr>
      </w:pPr>
    </w:p>
    <w:p w:rsidR="006621AD" w:rsidRPr="00124774" w:rsidRDefault="006621AD"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Dent, J.S. </w:t>
      </w:r>
      <w:r w:rsidRPr="00124774">
        <w:rPr>
          <w:rFonts w:asciiTheme="majorHAnsi" w:hAnsiTheme="majorHAnsi" w:cstheme="majorHAnsi"/>
          <w:i/>
          <w:sz w:val="24"/>
          <w:szCs w:val="24"/>
        </w:rPr>
        <w:t>‘</w:t>
      </w:r>
      <w:r w:rsidRPr="00124774">
        <w:rPr>
          <w:rFonts w:asciiTheme="majorHAnsi" w:hAnsiTheme="majorHAnsi" w:cstheme="majorHAnsi"/>
          <w:sz w:val="24"/>
          <w:szCs w:val="24"/>
        </w:rPr>
        <w:t xml:space="preserve">Wetwang Slack: </w:t>
      </w:r>
      <w:r w:rsidR="00DB340E" w:rsidRPr="00124774">
        <w:rPr>
          <w:rFonts w:asciiTheme="majorHAnsi" w:hAnsiTheme="majorHAnsi" w:cstheme="majorHAnsi"/>
          <w:sz w:val="24"/>
          <w:szCs w:val="24"/>
        </w:rPr>
        <w:t>An</w:t>
      </w:r>
      <w:r w:rsidRPr="00124774">
        <w:rPr>
          <w:rFonts w:asciiTheme="majorHAnsi" w:hAnsiTheme="majorHAnsi" w:cstheme="majorHAnsi"/>
          <w:sz w:val="24"/>
          <w:szCs w:val="24"/>
        </w:rPr>
        <w:t xml:space="preserve"> Iron Age cemetery on the Yorkshire Wolds’</w:t>
      </w:r>
      <w:r w:rsidRPr="00124774">
        <w:rPr>
          <w:rFonts w:asciiTheme="majorHAnsi" w:hAnsiTheme="majorHAnsi" w:cstheme="majorHAnsi"/>
          <w:i/>
          <w:sz w:val="24"/>
          <w:szCs w:val="24"/>
        </w:rPr>
        <w:t xml:space="preserve"> </w:t>
      </w:r>
      <w:r w:rsidRPr="00124774">
        <w:rPr>
          <w:rFonts w:asciiTheme="majorHAnsi" w:hAnsiTheme="majorHAnsi" w:cstheme="majorHAnsi"/>
          <w:sz w:val="24"/>
          <w:szCs w:val="24"/>
        </w:rPr>
        <w:t>1984. whiterose.ac.uk</w:t>
      </w:r>
      <w:r w:rsidR="0038315B" w:rsidRPr="00124774">
        <w:rPr>
          <w:rFonts w:asciiTheme="majorHAnsi" w:hAnsiTheme="majorHAnsi" w:cstheme="majorHAnsi"/>
          <w:sz w:val="24"/>
          <w:szCs w:val="24"/>
        </w:rPr>
        <w:t xml:space="preserve">. </w:t>
      </w:r>
      <w:hyperlink r:id="rId9" w:history="1">
        <w:r w:rsidR="0038315B" w:rsidRPr="00124774">
          <w:rPr>
            <w:rStyle w:val="Hyperlink"/>
            <w:rFonts w:asciiTheme="majorHAnsi" w:hAnsiTheme="majorHAnsi" w:cstheme="majorHAnsi"/>
            <w:sz w:val="24"/>
            <w:szCs w:val="24"/>
          </w:rPr>
          <w:t>http://etheses.whiterose.ac.uk/1819/</w:t>
        </w:r>
      </w:hyperlink>
      <w:r w:rsidR="0038315B" w:rsidRPr="00124774">
        <w:rPr>
          <w:rFonts w:asciiTheme="majorHAnsi" w:hAnsiTheme="majorHAnsi" w:cstheme="majorHAnsi"/>
          <w:sz w:val="24"/>
          <w:szCs w:val="24"/>
        </w:rPr>
        <w:t xml:space="preserve"> [Accessed 14</w:t>
      </w:r>
      <w:r w:rsidR="0038315B" w:rsidRPr="00124774">
        <w:rPr>
          <w:rFonts w:asciiTheme="majorHAnsi" w:hAnsiTheme="majorHAnsi" w:cstheme="majorHAnsi"/>
          <w:sz w:val="24"/>
          <w:szCs w:val="24"/>
          <w:vertAlign w:val="superscript"/>
        </w:rPr>
        <w:t>th</w:t>
      </w:r>
      <w:r w:rsidR="00AF3957" w:rsidRPr="00124774">
        <w:rPr>
          <w:rFonts w:asciiTheme="majorHAnsi" w:hAnsiTheme="majorHAnsi" w:cstheme="majorHAnsi"/>
          <w:sz w:val="24"/>
          <w:szCs w:val="24"/>
        </w:rPr>
        <w:t xml:space="preserve"> November 2017]</w:t>
      </w:r>
      <w:r w:rsidR="0036324E" w:rsidRPr="00124774">
        <w:rPr>
          <w:rFonts w:asciiTheme="majorHAnsi" w:hAnsiTheme="majorHAnsi" w:cstheme="majorHAnsi"/>
          <w:sz w:val="24"/>
          <w:szCs w:val="24"/>
        </w:rPr>
        <w:t xml:space="preserve"> </w:t>
      </w:r>
    </w:p>
    <w:p w:rsidR="006621AD" w:rsidRPr="00124774" w:rsidRDefault="006621AD" w:rsidP="00E14263">
      <w:pPr>
        <w:pStyle w:val="NoSpacing"/>
        <w:rPr>
          <w:rFonts w:asciiTheme="majorHAnsi" w:hAnsiTheme="majorHAnsi" w:cstheme="majorHAnsi"/>
          <w:sz w:val="24"/>
          <w:szCs w:val="24"/>
        </w:rPr>
      </w:pPr>
    </w:p>
    <w:p w:rsidR="001F62D2" w:rsidRPr="00124774" w:rsidRDefault="001F62D2"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Martin, M. 1990. </w:t>
      </w:r>
      <w:r w:rsidRPr="00124774">
        <w:rPr>
          <w:rFonts w:asciiTheme="majorHAnsi" w:hAnsiTheme="majorHAnsi" w:cstheme="majorHAnsi"/>
          <w:i/>
          <w:sz w:val="24"/>
          <w:szCs w:val="24"/>
        </w:rPr>
        <w:t>The Romanisation of Britain</w:t>
      </w:r>
      <w:r w:rsidRPr="00124774">
        <w:rPr>
          <w:rFonts w:asciiTheme="majorHAnsi" w:hAnsiTheme="majorHAnsi" w:cstheme="majorHAnsi"/>
          <w:sz w:val="24"/>
          <w:szCs w:val="24"/>
        </w:rPr>
        <w:t xml:space="preserve">. Cambridge: Cambridge University Press. </w:t>
      </w:r>
    </w:p>
    <w:p w:rsidR="001F62D2" w:rsidRPr="00124774" w:rsidRDefault="001F62D2" w:rsidP="00E14263">
      <w:pPr>
        <w:pStyle w:val="NoSpacing"/>
        <w:rPr>
          <w:rFonts w:asciiTheme="majorHAnsi" w:hAnsiTheme="majorHAnsi" w:cstheme="majorHAnsi"/>
          <w:sz w:val="24"/>
          <w:szCs w:val="24"/>
        </w:rPr>
      </w:pPr>
    </w:p>
    <w:p w:rsidR="001F62D2" w:rsidRPr="00124774" w:rsidRDefault="009E7BA7"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McNab, C. 2012. </w:t>
      </w:r>
      <w:r w:rsidRPr="00124774">
        <w:rPr>
          <w:rFonts w:asciiTheme="majorHAnsi" w:hAnsiTheme="majorHAnsi" w:cstheme="majorHAnsi"/>
          <w:i/>
          <w:sz w:val="24"/>
          <w:szCs w:val="24"/>
        </w:rPr>
        <w:t>The Roman Army</w:t>
      </w:r>
      <w:r w:rsidRPr="00124774">
        <w:rPr>
          <w:rFonts w:asciiTheme="majorHAnsi" w:hAnsiTheme="majorHAnsi" w:cstheme="majorHAnsi"/>
          <w:sz w:val="24"/>
          <w:szCs w:val="24"/>
        </w:rPr>
        <w:t>.</w:t>
      </w:r>
      <w:r w:rsidR="004D226D" w:rsidRPr="00124774">
        <w:rPr>
          <w:rFonts w:asciiTheme="majorHAnsi" w:hAnsiTheme="majorHAnsi" w:cstheme="majorHAnsi"/>
          <w:sz w:val="24"/>
          <w:szCs w:val="24"/>
        </w:rPr>
        <w:t xml:space="preserve"> Oxford: Osprey Publishing</w:t>
      </w:r>
      <w:r w:rsidR="00B71F43" w:rsidRPr="00124774">
        <w:rPr>
          <w:rFonts w:asciiTheme="majorHAnsi" w:hAnsiTheme="majorHAnsi" w:cstheme="majorHAnsi"/>
          <w:sz w:val="24"/>
          <w:szCs w:val="24"/>
        </w:rPr>
        <w:t>.</w:t>
      </w:r>
      <w:r w:rsidR="004D226D" w:rsidRPr="00124774">
        <w:rPr>
          <w:rFonts w:asciiTheme="majorHAnsi" w:hAnsiTheme="majorHAnsi" w:cstheme="majorHAnsi"/>
          <w:sz w:val="24"/>
          <w:szCs w:val="24"/>
        </w:rPr>
        <w:t xml:space="preserve"> </w:t>
      </w:r>
    </w:p>
    <w:p w:rsidR="00B51D2C" w:rsidRPr="00124774" w:rsidRDefault="00B51D2C" w:rsidP="00E14263">
      <w:pPr>
        <w:pStyle w:val="NoSpacing"/>
        <w:rPr>
          <w:rFonts w:asciiTheme="majorHAnsi" w:hAnsiTheme="majorHAnsi" w:cstheme="majorHAnsi"/>
          <w:sz w:val="24"/>
          <w:szCs w:val="24"/>
        </w:rPr>
      </w:pPr>
    </w:p>
    <w:p w:rsidR="00B71F43" w:rsidRPr="00124774" w:rsidRDefault="00B51D2C"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Ireland, S. 1992. </w:t>
      </w:r>
      <w:r w:rsidRPr="00124774">
        <w:rPr>
          <w:rFonts w:asciiTheme="majorHAnsi" w:hAnsiTheme="majorHAnsi" w:cstheme="majorHAnsi"/>
          <w:i/>
          <w:sz w:val="24"/>
          <w:szCs w:val="24"/>
        </w:rPr>
        <w:t>Roman Britain: A Sourcebook</w:t>
      </w:r>
      <w:r w:rsidRPr="00124774">
        <w:rPr>
          <w:rFonts w:asciiTheme="majorHAnsi" w:hAnsiTheme="majorHAnsi" w:cstheme="majorHAnsi"/>
          <w:sz w:val="24"/>
          <w:szCs w:val="24"/>
        </w:rPr>
        <w:t xml:space="preserve">. Abingdon: </w:t>
      </w:r>
      <w:r w:rsidR="009E1EA8" w:rsidRPr="00124774">
        <w:rPr>
          <w:rFonts w:asciiTheme="majorHAnsi" w:hAnsiTheme="majorHAnsi" w:cstheme="majorHAnsi"/>
          <w:sz w:val="24"/>
          <w:szCs w:val="24"/>
        </w:rPr>
        <w:t>Routledge</w:t>
      </w:r>
      <w:r w:rsidR="00B71F43" w:rsidRPr="00124774">
        <w:rPr>
          <w:rFonts w:asciiTheme="majorHAnsi" w:hAnsiTheme="majorHAnsi" w:cstheme="majorHAnsi"/>
          <w:sz w:val="24"/>
          <w:szCs w:val="24"/>
        </w:rPr>
        <w:t xml:space="preserve">. </w:t>
      </w:r>
    </w:p>
    <w:p w:rsidR="004B63C7" w:rsidRPr="00124774" w:rsidRDefault="004B63C7" w:rsidP="00E14263">
      <w:pPr>
        <w:pStyle w:val="NoSpacing"/>
        <w:rPr>
          <w:rFonts w:asciiTheme="majorHAnsi" w:hAnsiTheme="majorHAnsi" w:cstheme="majorHAnsi"/>
          <w:sz w:val="24"/>
          <w:szCs w:val="24"/>
        </w:rPr>
      </w:pPr>
    </w:p>
    <w:p w:rsidR="004B63C7" w:rsidRPr="00124774" w:rsidRDefault="004B63C7" w:rsidP="00E14263">
      <w:pPr>
        <w:pStyle w:val="NoSpacing"/>
        <w:rPr>
          <w:rFonts w:asciiTheme="majorHAnsi" w:hAnsiTheme="majorHAnsi" w:cstheme="majorHAnsi"/>
          <w:sz w:val="24"/>
          <w:szCs w:val="24"/>
        </w:rPr>
      </w:pPr>
      <w:r w:rsidRPr="00124774">
        <w:rPr>
          <w:rFonts w:asciiTheme="majorHAnsi" w:hAnsiTheme="majorHAnsi" w:cstheme="majorHAnsi"/>
          <w:sz w:val="24"/>
          <w:szCs w:val="24"/>
        </w:rPr>
        <w:t xml:space="preserve">Woodhead, </w:t>
      </w:r>
      <w:r w:rsidR="00517CE2" w:rsidRPr="00124774">
        <w:rPr>
          <w:rFonts w:asciiTheme="majorHAnsi" w:hAnsiTheme="majorHAnsi" w:cstheme="majorHAnsi"/>
          <w:sz w:val="24"/>
          <w:szCs w:val="24"/>
        </w:rPr>
        <w:t>A.G. 1948. ‘Tacitus and Agricola’</w:t>
      </w:r>
      <w:r w:rsidR="00135D34" w:rsidRPr="00124774">
        <w:rPr>
          <w:rFonts w:asciiTheme="majorHAnsi" w:hAnsiTheme="majorHAnsi" w:cstheme="majorHAnsi"/>
          <w:sz w:val="24"/>
          <w:szCs w:val="24"/>
        </w:rPr>
        <w:t xml:space="preserve">, </w:t>
      </w:r>
      <w:r w:rsidR="00135D34" w:rsidRPr="00124774">
        <w:rPr>
          <w:rFonts w:asciiTheme="majorHAnsi" w:hAnsiTheme="majorHAnsi" w:cstheme="majorHAnsi"/>
          <w:i/>
          <w:sz w:val="24"/>
          <w:szCs w:val="24"/>
        </w:rPr>
        <w:t>Phoenix</w:t>
      </w:r>
      <w:r w:rsidR="00135D34" w:rsidRPr="00124774">
        <w:rPr>
          <w:rFonts w:asciiTheme="majorHAnsi" w:hAnsiTheme="majorHAnsi" w:cstheme="majorHAnsi"/>
          <w:sz w:val="24"/>
          <w:szCs w:val="24"/>
        </w:rPr>
        <w:t>, 2,</w:t>
      </w:r>
      <w:r w:rsidR="00D408B0" w:rsidRPr="00124774">
        <w:rPr>
          <w:rFonts w:asciiTheme="majorHAnsi" w:hAnsiTheme="majorHAnsi" w:cstheme="majorHAnsi"/>
          <w:sz w:val="24"/>
          <w:szCs w:val="24"/>
        </w:rPr>
        <w:t xml:space="preserve"> 2, spring, 45-55. </w:t>
      </w:r>
      <w:r w:rsidR="00D718AF" w:rsidRPr="00124774">
        <w:rPr>
          <w:rFonts w:asciiTheme="majorHAnsi" w:hAnsiTheme="majorHAnsi" w:cstheme="majorHAnsi"/>
          <w:sz w:val="24"/>
          <w:szCs w:val="24"/>
        </w:rPr>
        <w:t xml:space="preserve">  </w:t>
      </w:r>
      <w:r w:rsidR="00C3041F">
        <w:rPr>
          <w:rFonts w:asciiTheme="majorHAnsi" w:hAnsiTheme="majorHAnsi" w:cstheme="majorHAnsi"/>
          <w:sz w:val="24"/>
          <w:szCs w:val="24"/>
        </w:rPr>
        <w:t xml:space="preserve"> </w:t>
      </w:r>
      <w:bookmarkStart w:id="3" w:name="_GoBack"/>
      <w:bookmarkEnd w:id="3"/>
    </w:p>
    <w:p w:rsidR="007708E4" w:rsidRPr="00124774" w:rsidRDefault="007708E4" w:rsidP="00E14263">
      <w:pPr>
        <w:pStyle w:val="NoSpacing"/>
        <w:rPr>
          <w:rFonts w:asciiTheme="majorHAnsi" w:hAnsiTheme="majorHAnsi" w:cstheme="majorHAnsi"/>
          <w:sz w:val="24"/>
          <w:szCs w:val="24"/>
        </w:rPr>
      </w:pPr>
    </w:p>
    <w:p w:rsidR="007708E4" w:rsidRPr="00124774" w:rsidRDefault="007708E4" w:rsidP="00E14263">
      <w:pPr>
        <w:pStyle w:val="NoSpacing"/>
        <w:rPr>
          <w:rFonts w:asciiTheme="majorHAnsi" w:hAnsiTheme="majorHAnsi" w:cstheme="majorHAnsi"/>
          <w:sz w:val="24"/>
          <w:szCs w:val="24"/>
        </w:rPr>
      </w:pPr>
    </w:p>
    <w:p w:rsidR="00B71F43" w:rsidRDefault="00B71F43" w:rsidP="00E14263">
      <w:pPr>
        <w:pStyle w:val="NoSpacing"/>
        <w:rPr>
          <w:rFonts w:asciiTheme="majorHAnsi" w:hAnsiTheme="majorHAnsi" w:cstheme="majorHAnsi"/>
          <w:sz w:val="28"/>
          <w:szCs w:val="24"/>
        </w:rPr>
      </w:pPr>
    </w:p>
    <w:p w:rsidR="00B51D2C" w:rsidRPr="00B51D2C" w:rsidRDefault="009E1EA8" w:rsidP="00E14263">
      <w:pPr>
        <w:pStyle w:val="NoSpacing"/>
        <w:rPr>
          <w:rFonts w:asciiTheme="majorHAnsi" w:hAnsiTheme="majorHAnsi" w:cstheme="majorHAnsi"/>
          <w:sz w:val="28"/>
          <w:szCs w:val="24"/>
        </w:rPr>
      </w:pPr>
      <w:r>
        <w:rPr>
          <w:rFonts w:asciiTheme="majorHAnsi" w:hAnsiTheme="majorHAnsi" w:cstheme="majorHAnsi"/>
          <w:sz w:val="28"/>
          <w:szCs w:val="24"/>
        </w:rPr>
        <w:lastRenderedPageBreak/>
        <w:t xml:space="preserve"> </w:t>
      </w:r>
    </w:p>
    <w:p w:rsidR="0028473E" w:rsidRDefault="0028473E" w:rsidP="00E14263">
      <w:pPr>
        <w:pStyle w:val="NoSpacing"/>
        <w:rPr>
          <w:rFonts w:asciiTheme="majorHAnsi" w:hAnsiTheme="majorHAnsi" w:cstheme="majorHAnsi"/>
          <w:sz w:val="36"/>
          <w:szCs w:val="24"/>
        </w:rPr>
      </w:pPr>
    </w:p>
    <w:p w:rsidR="001F62D2" w:rsidRPr="001F62D2" w:rsidRDefault="001F62D2" w:rsidP="00E14263">
      <w:pPr>
        <w:pStyle w:val="NoSpacing"/>
        <w:rPr>
          <w:rFonts w:asciiTheme="majorHAnsi" w:hAnsiTheme="majorHAnsi" w:cstheme="majorHAnsi"/>
          <w:sz w:val="28"/>
          <w:szCs w:val="24"/>
        </w:rPr>
      </w:pPr>
    </w:p>
    <w:p w:rsidR="0028473E" w:rsidRDefault="0028473E" w:rsidP="00E14263">
      <w:pPr>
        <w:pStyle w:val="NoSpacing"/>
        <w:rPr>
          <w:rFonts w:asciiTheme="majorHAnsi" w:hAnsiTheme="majorHAnsi" w:cstheme="majorHAnsi"/>
          <w:sz w:val="36"/>
          <w:szCs w:val="24"/>
        </w:rPr>
      </w:pPr>
    </w:p>
    <w:p w:rsidR="00D23C46" w:rsidRDefault="00D23C46" w:rsidP="00E14263">
      <w:pPr>
        <w:pStyle w:val="NoSpacing"/>
        <w:rPr>
          <w:rFonts w:asciiTheme="majorHAnsi" w:hAnsiTheme="majorHAnsi" w:cstheme="majorHAnsi"/>
          <w:sz w:val="36"/>
          <w:szCs w:val="24"/>
        </w:rPr>
      </w:pPr>
    </w:p>
    <w:p w:rsidR="00D23C46" w:rsidRPr="00D23C46" w:rsidRDefault="00D23C46" w:rsidP="00E14263">
      <w:pPr>
        <w:pStyle w:val="NoSpacing"/>
        <w:rPr>
          <w:rFonts w:asciiTheme="majorHAnsi" w:hAnsiTheme="majorHAnsi" w:cstheme="majorHAnsi"/>
          <w:sz w:val="24"/>
          <w:szCs w:val="24"/>
        </w:rPr>
      </w:pPr>
    </w:p>
    <w:p w:rsidR="007B6258" w:rsidRDefault="007B6258" w:rsidP="00E14263">
      <w:pPr>
        <w:pStyle w:val="NoSpacing"/>
        <w:rPr>
          <w:rFonts w:asciiTheme="majorHAnsi" w:hAnsiTheme="majorHAnsi" w:cstheme="majorHAnsi"/>
          <w:sz w:val="36"/>
          <w:szCs w:val="24"/>
        </w:rPr>
      </w:pPr>
    </w:p>
    <w:p w:rsidR="007B6258" w:rsidRPr="00DF1C62" w:rsidRDefault="007B6258" w:rsidP="00E14263">
      <w:pPr>
        <w:pStyle w:val="NoSpacing"/>
        <w:rPr>
          <w:rFonts w:asciiTheme="majorHAnsi" w:hAnsiTheme="majorHAnsi" w:cstheme="majorHAnsi"/>
          <w:sz w:val="36"/>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p w:rsidR="00DF1C62" w:rsidRPr="00DF1C62" w:rsidRDefault="00DF1C62" w:rsidP="00E14263">
      <w:pPr>
        <w:pStyle w:val="NoSpacing"/>
        <w:rPr>
          <w:rFonts w:asciiTheme="majorHAnsi" w:hAnsiTheme="majorHAnsi" w:cstheme="majorHAnsi"/>
          <w:sz w:val="24"/>
          <w:szCs w:val="24"/>
        </w:rPr>
      </w:pPr>
    </w:p>
    <w:sectPr w:rsidR="00DF1C62" w:rsidRPr="00DF1C6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46387" w:rsidRDefault="00446387" w:rsidP="009B2BD0">
      <w:pPr>
        <w:spacing w:after="0" w:line="240" w:lineRule="auto"/>
      </w:pPr>
      <w:r>
        <w:separator/>
      </w:r>
    </w:p>
  </w:endnote>
  <w:endnote w:type="continuationSeparator" w:id="0">
    <w:p w:rsidR="00446387" w:rsidRDefault="00446387" w:rsidP="009B2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46387" w:rsidRDefault="00446387" w:rsidP="009B2BD0">
      <w:pPr>
        <w:spacing w:after="0" w:line="240" w:lineRule="auto"/>
      </w:pPr>
      <w:r>
        <w:separator/>
      </w:r>
    </w:p>
  </w:footnote>
  <w:footnote w:type="continuationSeparator" w:id="0">
    <w:p w:rsidR="00446387" w:rsidRDefault="00446387" w:rsidP="009B2BD0">
      <w:pPr>
        <w:spacing w:after="0" w:line="240" w:lineRule="auto"/>
      </w:pPr>
      <w:r>
        <w:continuationSeparator/>
      </w:r>
    </w:p>
  </w:footnote>
  <w:footnote w:id="1">
    <w:p w:rsidR="00B347EF" w:rsidRDefault="00B347EF">
      <w:pPr>
        <w:pStyle w:val="FootnoteText"/>
      </w:pPr>
      <w:r>
        <w:rPr>
          <w:rStyle w:val="FootnoteReference"/>
        </w:rPr>
        <w:footnoteRef/>
      </w:r>
      <w:r>
        <w:t xml:space="preserve"> </w:t>
      </w:r>
      <w:r w:rsidR="001D35C3">
        <w:t>Tac. Ann. 14.</w:t>
      </w:r>
      <w:r w:rsidR="007B2432">
        <w:t xml:space="preserve">30. </w:t>
      </w:r>
    </w:p>
  </w:footnote>
  <w:footnote w:id="2">
    <w:p w:rsidR="00B9784F" w:rsidRDefault="00B9784F">
      <w:pPr>
        <w:pStyle w:val="FootnoteText"/>
      </w:pPr>
      <w:r>
        <w:rPr>
          <w:rStyle w:val="FootnoteReference"/>
        </w:rPr>
        <w:footnoteRef/>
      </w:r>
      <w:r>
        <w:t xml:space="preserve"> McNab</w:t>
      </w:r>
      <w:r w:rsidR="0051038B">
        <w:t xml:space="preserve"> 2010: 177 </w:t>
      </w:r>
    </w:p>
  </w:footnote>
  <w:footnote w:id="3">
    <w:p w:rsidR="009E52FF" w:rsidRDefault="009E52FF">
      <w:pPr>
        <w:pStyle w:val="FootnoteText"/>
      </w:pPr>
      <w:r>
        <w:rPr>
          <w:rStyle w:val="FootnoteReference"/>
        </w:rPr>
        <w:footnoteRef/>
      </w:r>
      <w:r w:rsidR="004232D2">
        <w:t xml:space="preserve"> Tac. Ann. 14.31  </w:t>
      </w:r>
    </w:p>
  </w:footnote>
  <w:footnote w:id="4">
    <w:p w:rsidR="00793627" w:rsidRDefault="00793627">
      <w:pPr>
        <w:pStyle w:val="FootnoteText"/>
      </w:pPr>
      <w:r>
        <w:rPr>
          <w:rStyle w:val="FootnoteReference"/>
        </w:rPr>
        <w:footnoteRef/>
      </w:r>
      <w:r w:rsidR="008F18D5">
        <w:t xml:space="preserve"> Tac. Ann. 14. </w:t>
      </w:r>
      <w:r>
        <w:t>31</w:t>
      </w:r>
      <w:r w:rsidR="00D42323">
        <w:t xml:space="preserve"> </w:t>
      </w:r>
    </w:p>
  </w:footnote>
  <w:footnote w:id="5">
    <w:p w:rsidR="00700996" w:rsidRDefault="00700996">
      <w:pPr>
        <w:pStyle w:val="FootnoteText"/>
      </w:pPr>
      <w:r>
        <w:rPr>
          <w:rStyle w:val="FootnoteReference"/>
        </w:rPr>
        <w:footnoteRef/>
      </w:r>
      <w:r>
        <w:t xml:space="preserve"> Tac. Ann. 14. 31 </w:t>
      </w:r>
    </w:p>
  </w:footnote>
  <w:footnote w:id="6">
    <w:p w:rsidR="00D42323" w:rsidRDefault="00D42323">
      <w:pPr>
        <w:pStyle w:val="FootnoteText"/>
      </w:pPr>
      <w:r>
        <w:rPr>
          <w:rStyle w:val="FootnoteReference"/>
        </w:rPr>
        <w:footnoteRef/>
      </w:r>
      <w:r>
        <w:t xml:space="preserve"> Tac. Ann. 14. 31-32</w:t>
      </w:r>
    </w:p>
  </w:footnote>
  <w:footnote w:id="7">
    <w:p w:rsidR="00921114" w:rsidRDefault="00921114">
      <w:pPr>
        <w:pStyle w:val="FootnoteText"/>
      </w:pPr>
      <w:r>
        <w:rPr>
          <w:rStyle w:val="FootnoteReference"/>
        </w:rPr>
        <w:footnoteRef/>
      </w:r>
      <w:r>
        <w:t xml:space="preserve"> Burke 2009 </w:t>
      </w:r>
    </w:p>
  </w:footnote>
  <w:footnote w:id="8">
    <w:p w:rsidR="0044738B" w:rsidRDefault="0044738B">
      <w:pPr>
        <w:pStyle w:val="FootnoteText"/>
      </w:pPr>
      <w:r>
        <w:rPr>
          <w:rStyle w:val="FootnoteReference"/>
        </w:rPr>
        <w:footnoteRef/>
      </w:r>
      <w:r>
        <w:t xml:space="preserve"> Burke 2009</w:t>
      </w:r>
    </w:p>
  </w:footnote>
  <w:footnote w:id="9">
    <w:p w:rsidR="0044738B" w:rsidRDefault="0044738B">
      <w:pPr>
        <w:pStyle w:val="FootnoteText"/>
      </w:pPr>
      <w:r>
        <w:rPr>
          <w:rStyle w:val="FootnoteReference"/>
        </w:rPr>
        <w:footnoteRef/>
      </w:r>
      <w:r>
        <w:t xml:space="preserve"> Burke 2009</w:t>
      </w:r>
    </w:p>
  </w:footnote>
  <w:footnote w:id="10">
    <w:p w:rsidR="0044738B" w:rsidRDefault="0044738B">
      <w:pPr>
        <w:pStyle w:val="FootnoteText"/>
      </w:pPr>
      <w:r>
        <w:rPr>
          <w:rStyle w:val="FootnoteReference"/>
        </w:rPr>
        <w:footnoteRef/>
      </w:r>
      <w:r w:rsidR="0056224F">
        <w:t xml:space="preserve"> Cass. Dio. 62</w:t>
      </w:r>
      <w:r w:rsidR="00A9181F">
        <w:t>.</w:t>
      </w:r>
      <w:r>
        <w:t xml:space="preserve">1-2 </w:t>
      </w:r>
      <w:r w:rsidR="00C31168">
        <w:t xml:space="preserve"> </w:t>
      </w:r>
      <w:r w:rsidR="00C266FC">
        <w:t xml:space="preserve"> </w:t>
      </w:r>
      <w:r w:rsidR="00B9025B">
        <w:t xml:space="preserve"> </w:t>
      </w:r>
    </w:p>
  </w:footnote>
  <w:footnote w:id="11">
    <w:p w:rsidR="0091551C" w:rsidRDefault="0091551C">
      <w:pPr>
        <w:pStyle w:val="FootnoteText"/>
      </w:pPr>
      <w:r>
        <w:rPr>
          <w:rStyle w:val="FootnoteReference"/>
        </w:rPr>
        <w:footnoteRef/>
      </w:r>
      <w:r>
        <w:t xml:space="preserve"> </w:t>
      </w:r>
      <w:bookmarkStart w:id="1" w:name="_Hlk498299087"/>
      <w:r w:rsidR="0056224F">
        <w:t>Cass. Dio. 62</w:t>
      </w:r>
      <w:r w:rsidR="00A9181F">
        <w:t>.</w:t>
      </w:r>
      <w:r>
        <w:t xml:space="preserve">1-2 </w:t>
      </w:r>
      <w:bookmarkEnd w:id="1"/>
    </w:p>
  </w:footnote>
  <w:footnote w:id="12">
    <w:p w:rsidR="0091551C" w:rsidRDefault="0091551C">
      <w:pPr>
        <w:pStyle w:val="FootnoteText"/>
      </w:pPr>
      <w:r>
        <w:rPr>
          <w:rStyle w:val="FootnoteReference"/>
        </w:rPr>
        <w:footnoteRef/>
      </w:r>
      <w:r>
        <w:t xml:space="preserve"> </w:t>
      </w:r>
      <w:r w:rsidR="0056224F">
        <w:t>Cass. Dio. 62</w:t>
      </w:r>
      <w:r w:rsidR="00A9181F">
        <w:t>.</w:t>
      </w:r>
      <w:r w:rsidRPr="0091551C">
        <w:t>1-2</w:t>
      </w:r>
      <w:r>
        <w:t xml:space="preserve"> </w:t>
      </w:r>
    </w:p>
  </w:footnote>
  <w:footnote w:id="13">
    <w:p w:rsidR="0012697C" w:rsidRDefault="0012697C">
      <w:pPr>
        <w:pStyle w:val="FootnoteText"/>
      </w:pPr>
      <w:r>
        <w:rPr>
          <w:rStyle w:val="FootnoteReference"/>
        </w:rPr>
        <w:footnoteRef/>
      </w:r>
      <w:r w:rsidR="0056224F">
        <w:t xml:space="preserve"> Cass. Dio. 62</w:t>
      </w:r>
      <w:r w:rsidR="00A9181F">
        <w:t>.</w:t>
      </w:r>
      <w:r>
        <w:t xml:space="preserve">1-2 </w:t>
      </w:r>
    </w:p>
  </w:footnote>
  <w:footnote w:id="14">
    <w:p w:rsidR="0011029B" w:rsidRDefault="0011029B">
      <w:pPr>
        <w:pStyle w:val="FootnoteText"/>
      </w:pPr>
      <w:r>
        <w:rPr>
          <w:rStyle w:val="FootnoteReference"/>
        </w:rPr>
        <w:footnoteRef/>
      </w:r>
      <w:r w:rsidR="0056224F">
        <w:t xml:space="preserve"> Cass. Dio. 62</w:t>
      </w:r>
      <w:r w:rsidR="00A9181F">
        <w:t>.</w:t>
      </w:r>
      <w:r>
        <w:t xml:space="preserve">1-2 </w:t>
      </w:r>
    </w:p>
  </w:footnote>
  <w:footnote w:id="15">
    <w:p w:rsidR="009C1742" w:rsidRDefault="009C1742">
      <w:pPr>
        <w:pStyle w:val="FootnoteText"/>
      </w:pPr>
      <w:r>
        <w:rPr>
          <w:rStyle w:val="FootnoteReference"/>
        </w:rPr>
        <w:footnoteRef/>
      </w:r>
      <w:r w:rsidR="001D35C3">
        <w:t xml:space="preserve"> Cass. </w:t>
      </w:r>
      <w:r w:rsidR="0056224F">
        <w:t>Dio. 62</w:t>
      </w:r>
      <w:r w:rsidR="004331D6">
        <w:t>.</w:t>
      </w:r>
      <w:r>
        <w:t xml:space="preserve">1 </w:t>
      </w:r>
    </w:p>
  </w:footnote>
  <w:footnote w:id="16">
    <w:p w:rsidR="00DE1444" w:rsidRDefault="00DE1444">
      <w:pPr>
        <w:pStyle w:val="FootnoteText"/>
      </w:pPr>
      <w:r>
        <w:rPr>
          <w:rStyle w:val="FootnoteReference"/>
        </w:rPr>
        <w:footnoteRef/>
      </w:r>
      <w:r>
        <w:t xml:space="preserve"> Burke 2009 </w:t>
      </w:r>
    </w:p>
  </w:footnote>
  <w:footnote w:id="17">
    <w:p w:rsidR="001E4B0D" w:rsidRDefault="001E4B0D">
      <w:pPr>
        <w:pStyle w:val="FootnoteText"/>
      </w:pPr>
      <w:r>
        <w:rPr>
          <w:rStyle w:val="FootnoteReference"/>
        </w:rPr>
        <w:footnoteRef/>
      </w:r>
      <w:r>
        <w:t xml:space="preserve"> Burke 2009 </w:t>
      </w:r>
    </w:p>
  </w:footnote>
  <w:footnote w:id="18">
    <w:p w:rsidR="009B29B6" w:rsidRDefault="009B29B6">
      <w:pPr>
        <w:pStyle w:val="FootnoteText"/>
      </w:pPr>
      <w:r>
        <w:rPr>
          <w:rStyle w:val="FootnoteReference"/>
        </w:rPr>
        <w:footnoteRef/>
      </w:r>
      <w:r>
        <w:t xml:space="preserve"> Ireland 2008: 2 </w:t>
      </w:r>
    </w:p>
  </w:footnote>
  <w:footnote w:id="19">
    <w:p w:rsidR="00B74EBC" w:rsidRDefault="00B74EBC">
      <w:pPr>
        <w:pStyle w:val="FootnoteText"/>
      </w:pPr>
      <w:r>
        <w:rPr>
          <w:rStyle w:val="FootnoteReference"/>
        </w:rPr>
        <w:footnoteRef/>
      </w:r>
      <w:r>
        <w:t xml:space="preserve"> Tac. Agri. 19 </w:t>
      </w:r>
    </w:p>
  </w:footnote>
  <w:footnote w:id="20">
    <w:p w:rsidR="00B74EBC" w:rsidRDefault="00B74EBC">
      <w:pPr>
        <w:pStyle w:val="FootnoteText"/>
      </w:pPr>
      <w:r>
        <w:rPr>
          <w:rStyle w:val="FootnoteReference"/>
        </w:rPr>
        <w:footnoteRef/>
      </w:r>
      <w:r>
        <w:t xml:space="preserve"> Tac. Agri. 18 </w:t>
      </w:r>
    </w:p>
  </w:footnote>
  <w:footnote w:id="21">
    <w:p w:rsidR="00CE1274" w:rsidRDefault="00CE1274">
      <w:pPr>
        <w:pStyle w:val="FootnoteText"/>
      </w:pPr>
      <w:r>
        <w:rPr>
          <w:rStyle w:val="FootnoteReference"/>
        </w:rPr>
        <w:footnoteRef/>
      </w:r>
      <w:r>
        <w:t xml:space="preserve"> Tac. Agri. 25-28 </w:t>
      </w:r>
    </w:p>
  </w:footnote>
  <w:footnote w:id="22">
    <w:p w:rsidR="00525D59" w:rsidRPr="00196BED" w:rsidRDefault="00525D59">
      <w:pPr>
        <w:pStyle w:val="FootnoteText"/>
      </w:pPr>
      <w:r w:rsidRPr="00336A75">
        <w:rPr>
          <w:rStyle w:val="FootnoteReference"/>
          <w:sz w:val="18"/>
        </w:rPr>
        <w:footnoteRef/>
      </w:r>
      <w:r w:rsidRPr="00336A75">
        <w:rPr>
          <w:sz w:val="18"/>
        </w:rPr>
        <w:t xml:space="preserve"> </w:t>
      </w:r>
      <w:r w:rsidR="009606BD" w:rsidRPr="00336A75">
        <w:rPr>
          <w:sz w:val="18"/>
        </w:rPr>
        <w:t xml:space="preserve">Woodhead </w:t>
      </w:r>
      <w:r w:rsidR="003D7808" w:rsidRPr="00336A75">
        <w:rPr>
          <w:sz w:val="18"/>
        </w:rPr>
        <w:t>1948: 45-55</w:t>
      </w:r>
    </w:p>
  </w:footnote>
  <w:footnote w:id="23">
    <w:p w:rsidR="003D7808" w:rsidRPr="00196BED" w:rsidRDefault="003D7808">
      <w:pPr>
        <w:pStyle w:val="FootnoteText"/>
      </w:pPr>
      <w:r w:rsidRPr="00196BED">
        <w:rPr>
          <w:rStyle w:val="FootnoteReference"/>
        </w:rPr>
        <w:footnoteRef/>
      </w:r>
      <w:r w:rsidR="001D35C3">
        <w:t xml:space="preserve"> Tac. Agri.</w:t>
      </w:r>
      <w:r w:rsidR="00F32E88" w:rsidRPr="00196BED">
        <w:t xml:space="preserve">25 </w:t>
      </w:r>
    </w:p>
  </w:footnote>
  <w:footnote w:id="24">
    <w:p w:rsidR="00F32E88" w:rsidRPr="00196BED" w:rsidRDefault="00F32E88">
      <w:pPr>
        <w:pStyle w:val="FootnoteText"/>
      </w:pPr>
      <w:r w:rsidRPr="00196BED">
        <w:rPr>
          <w:rStyle w:val="FootnoteReference"/>
        </w:rPr>
        <w:footnoteRef/>
      </w:r>
      <w:r w:rsidRPr="00196BED">
        <w:t xml:space="preserve"> Woodhead 1948: 53 </w:t>
      </w:r>
    </w:p>
  </w:footnote>
  <w:footnote w:id="25">
    <w:p w:rsidR="00F32E88" w:rsidRPr="00196BED" w:rsidRDefault="00F32E88">
      <w:pPr>
        <w:pStyle w:val="FootnoteText"/>
      </w:pPr>
      <w:r w:rsidRPr="00196BED">
        <w:rPr>
          <w:rStyle w:val="FootnoteReference"/>
        </w:rPr>
        <w:footnoteRef/>
      </w:r>
      <w:r w:rsidRPr="00196BED">
        <w:t xml:space="preserve"> Woodhead 1948: 45-55 </w:t>
      </w:r>
    </w:p>
  </w:footnote>
  <w:footnote w:id="26">
    <w:p w:rsidR="00B949D3" w:rsidRPr="00196BED" w:rsidRDefault="00B949D3">
      <w:pPr>
        <w:pStyle w:val="FootnoteText"/>
      </w:pPr>
      <w:r w:rsidRPr="00196BED">
        <w:rPr>
          <w:rStyle w:val="FootnoteReference"/>
        </w:rPr>
        <w:footnoteRef/>
      </w:r>
      <w:r w:rsidRPr="00196BED">
        <w:t xml:space="preserve"> Woodhead 1948: 53-54 </w:t>
      </w:r>
    </w:p>
  </w:footnote>
  <w:footnote w:id="27">
    <w:p w:rsidR="00B949D3" w:rsidRPr="00196BED" w:rsidRDefault="00B949D3">
      <w:pPr>
        <w:pStyle w:val="FootnoteText"/>
      </w:pPr>
      <w:r w:rsidRPr="00196BED">
        <w:rPr>
          <w:rStyle w:val="FootnoteReference"/>
        </w:rPr>
        <w:footnoteRef/>
      </w:r>
      <w:r w:rsidRPr="00196BED">
        <w:t xml:space="preserve"> Ireland 2008: 92  </w:t>
      </w:r>
    </w:p>
  </w:footnote>
  <w:footnote w:id="28">
    <w:p w:rsidR="00336A75" w:rsidRDefault="00336A75">
      <w:pPr>
        <w:pStyle w:val="FootnoteText"/>
      </w:pPr>
      <w:r w:rsidRPr="00196BED">
        <w:rPr>
          <w:rStyle w:val="FootnoteReference"/>
        </w:rPr>
        <w:footnoteRef/>
      </w:r>
      <w:r w:rsidRPr="00196BED">
        <w:t xml:space="preserve"> Woodhead 1948</w:t>
      </w:r>
      <w:r w:rsidRPr="00196BED">
        <w:rPr>
          <w:sz w:val="22"/>
        </w:rPr>
        <w:t xml:space="preserve">: 53 </w:t>
      </w:r>
    </w:p>
  </w:footnote>
  <w:footnote w:id="29">
    <w:p w:rsidR="00DB2EA9" w:rsidRDefault="00DB2EA9">
      <w:pPr>
        <w:pStyle w:val="FootnoteText"/>
      </w:pPr>
      <w:r>
        <w:rPr>
          <w:rStyle w:val="FootnoteReference"/>
        </w:rPr>
        <w:footnoteRef/>
      </w:r>
      <w:r>
        <w:t xml:space="preserve"> </w:t>
      </w:r>
      <w:r w:rsidR="000234B0">
        <w:t xml:space="preserve">Tac. Agri. 12; Tac. Ann. 14.35 </w:t>
      </w:r>
    </w:p>
  </w:footnote>
  <w:footnote w:id="30">
    <w:p w:rsidR="00033225" w:rsidRDefault="00033225">
      <w:pPr>
        <w:pStyle w:val="FootnoteText"/>
      </w:pPr>
      <w:r>
        <w:rPr>
          <w:rStyle w:val="FootnoteReference"/>
        </w:rPr>
        <w:footnoteRef/>
      </w:r>
      <w:r>
        <w:t xml:space="preserve"> </w:t>
      </w:r>
      <w:r w:rsidR="00435F51" w:rsidRPr="00435F51">
        <w:t xml:space="preserve">Caes. Gal. 4.24  </w:t>
      </w:r>
    </w:p>
  </w:footnote>
  <w:footnote w:id="31">
    <w:p w:rsidR="001D35C3" w:rsidRDefault="001D35C3">
      <w:pPr>
        <w:pStyle w:val="FootnoteText"/>
      </w:pPr>
      <w:r>
        <w:rPr>
          <w:rStyle w:val="FootnoteReference"/>
        </w:rPr>
        <w:footnoteRef/>
      </w:r>
      <w:r w:rsidR="00033225">
        <w:t xml:space="preserve"> </w:t>
      </w:r>
      <w:bookmarkStart w:id="2" w:name="_Hlk498372810"/>
      <w:r w:rsidRPr="001D35C3">
        <w:t>Caes. Gal. 4.24</w:t>
      </w:r>
      <w:r>
        <w:t xml:space="preserve"> </w:t>
      </w:r>
      <w:r w:rsidR="00063A28">
        <w:t xml:space="preserve"> </w:t>
      </w:r>
      <w:bookmarkEnd w:id="2"/>
      <w:r w:rsidR="003F4B4F">
        <w:t xml:space="preserve"> </w:t>
      </w:r>
    </w:p>
  </w:footnote>
  <w:footnote w:id="32">
    <w:p w:rsidR="004232D2" w:rsidRDefault="004232D2">
      <w:pPr>
        <w:pStyle w:val="FootnoteText"/>
      </w:pPr>
      <w:r>
        <w:rPr>
          <w:rStyle w:val="FootnoteReference"/>
        </w:rPr>
        <w:footnoteRef/>
      </w:r>
      <w:r>
        <w:t xml:space="preserve"> Dent 1984: </w:t>
      </w:r>
      <w:r w:rsidR="00331FFF">
        <w:t xml:space="preserve">115 </w:t>
      </w:r>
    </w:p>
  </w:footnote>
  <w:footnote w:id="33">
    <w:p w:rsidR="00331FFF" w:rsidRDefault="00331FFF">
      <w:pPr>
        <w:pStyle w:val="FootnoteText"/>
      </w:pPr>
      <w:r>
        <w:rPr>
          <w:rStyle w:val="FootnoteReference"/>
        </w:rPr>
        <w:footnoteRef/>
      </w:r>
      <w:r>
        <w:t xml:space="preserve"> Dent 1984: 120</w:t>
      </w:r>
    </w:p>
  </w:footnote>
  <w:footnote w:id="34">
    <w:p w:rsidR="00A038A5" w:rsidRDefault="00A038A5">
      <w:pPr>
        <w:pStyle w:val="FootnoteText"/>
      </w:pPr>
      <w:r>
        <w:rPr>
          <w:rStyle w:val="FootnoteReference"/>
        </w:rPr>
        <w:footnoteRef/>
      </w:r>
      <w:r>
        <w:t xml:space="preserve"> Dent 1984: 121</w:t>
      </w:r>
    </w:p>
  </w:footnote>
  <w:footnote w:id="35">
    <w:p w:rsidR="001C0E25" w:rsidRDefault="001C0E25">
      <w:pPr>
        <w:pStyle w:val="FootnoteText"/>
      </w:pPr>
      <w:r>
        <w:rPr>
          <w:rStyle w:val="FootnoteReference"/>
        </w:rPr>
        <w:footnoteRef/>
      </w:r>
      <w:r>
        <w:t xml:space="preserve"> Tacitus. Agri. 12; Tacitus. Agri. 14</w:t>
      </w:r>
    </w:p>
  </w:footnote>
  <w:footnote w:id="36">
    <w:p w:rsidR="003D3622" w:rsidRDefault="003D3622">
      <w:pPr>
        <w:pStyle w:val="FootnoteText"/>
      </w:pPr>
      <w:r>
        <w:rPr>
          <w:rStyle w:val="FootnoteReference"/>
        </w:rPr>
        <w:footnoteRef/>
      </w:r>
      <w:r>
        <w:t xml:space="preserve"> Tacitus. Agri. 12 </w:t>
      </w:r>
    </w:p>
  </w:footnote>
  <w:footnote w:id="37">
    <w:p w:rsidR="00984D1A" w:rsidRDefault="00984D1A">
      <w:pPr>
        <w:pStyle w:val="FootnoteText"/>
      </w:pPr>
      <w:r>
        <w:rPr>
          <w:rStyle w:val="FootnoteReference"/>
        </w:rPr>
        <w:footnoteRef/>
      </w:r>
      <w:r>
        <w:t xml:space="preserve"> Tacitus. Agri. 14 </w:t>
      </w:r>
    </w:p>
  </w:footnote>
  <w:footnote w:id="38">
    <w:p w:rsidR="006371A3" w:rsidRDefault="006371A3">
      <w:pPr>
        <w:pStyle w:val="FootnoteText"/>
      </w:pPr>
      <w:r>
        <w:rPr>
          <w:rStyle w:val="FootnoteReference"/>
        </w:rPr>
        <w:footnoteRef/>
      </w:r>
      <w:r>
        <w:t xml:space="preserve"> </w:t>
      </w:r>
      <w:r w:rsidR="00CD1B68">
        <w:t xml:space="preserve">Millet 1990: 65-66 </w:t>
      </w:r>
    </w:p>
  </w:footnote>
  <w:footnote w:id="39">
    <w:p w:rsidR="00CD1B68" w:rsidRDefault="00CD1B68">
      <w:pPr>
        <w:pStyle w:val="FootnoteText"/>
      </w:pPr>
      <w:r>
        <w:rPr>
          <w:rStyle w:val="FootnoteReference"/>
        </w:rPr>
        <w:footnoteRef/>
      </w:r>
      <w:r>
        <w:t xml:space="preserve"> Tac. Agri. 14</w:t>
      </w:r>
    </w:p>
  </w:footnote>
  <w:footnote w:id="40">
    <w:p w:rsidR="003E3194" w:rsidRDefault="003E3194">
      <w:pPr>
        <w:pStyle w:val="FootnoteText"/>
      </w:pPr>
      <w:r>
        <w:rPr>
          <w:rStyle w:val="FootnoteReference"/>
        </w:rPr>
        <w:footnoteRef/>
      </w:r>
      <w:r>
        <w:t xml:space="preserve"> Millet 1990: 65-66 </w:t>
      </w:r>
    </w:p>
  </w:footnote>
  <w:footnote w:id="41">
    <w:p w:rsidR="00764E14" w:rsidRDefault="00764E14">
      <w:pPr>
        <w:pStyle w:val="FootnoteText"/>
      </w:pPr>
      <w:r>
        <w:rPr>
          <w:rStyle w:val="FootnoteReference"/>
        </w:rPr>
        <w:footnoteRef/>
      </w:r>
      <w:r>
        <w:t xml:space="preserve"> </w:t>
      </w:r>
      <w:r w:rsidR="00553A60">
        <w:t>Ireland 2008: 205</w:t>
      </w:r>
    </w:p>
  </w:footnote>
  <w:footnote w:id="42">
    <w:p w:rsidR="00C6230B" w:rsidRDefault="00C6230B">
      <w:pPr>
        <w:pStyle w:val="FootnoteText"/>
      </w:pPr>
      <w:r>
        <w:rPr>
          <w:rStyle w:val="FootnoteReference"/>
        </w:rPr>
        <w:footnoteRef/>
      </w:r>
      <w:r>
        <w:t xml:space="preserve"> </w:t>
      </w:r>
      <w:r w:rsidRPr="00C6230B">
        <w:t>Ireland 2008: 205</w:t>
      </w:r>
      <w:r w:rsidR="00D9092B">
        <w:t xml:space="preserve"> </w:t>
      </w:r>
    </w:p>
  </w:footnote>
  <w:footnote w:id="43">
    <w:p w:rsidR="00B54F1C" w:rsidRDefault="00B54F1C">
      <w:pPr>
        <w:pStyle w:val="FootnoteText"/>
      </w:pPr>
      <w:r>
        <w:rPr>
          <w:rStyle w:val="FootnoteReference"/>
        </w:rPr>
        <w:footnoteRef/>
      </w:r>
      <w:r>
        <w:t xml:space="preserve"> </w:t>
      </w:r>
      <w:r w:rsidR="00091E8B">
        <w:t xml:space="preserve">Tac. Ann. </w:t>
      </w:r>
      <w:r w:rsidR="00832F90">
        <w:t>14.</w:t>
      </w:r>
      <w:r w:rsidR="00091E8B">
        <w:t xml:space="preserve">39 </w:t>
      </w:r>
    </w:p>
  </w:footnote>
  <w:footnote w:id="44">
    <w:p w:rsidR="005226A2" w:rsidRDefault="005226A2">
      <w:pPr>
        <w:pStyle w:val="FootnoteText"/>
      </w:pPr>
      <w:r>
        <w:rPr>
          <w:rStyle w:val="FootnoteReference"/>
        </w:rPr>
        <w:footnoteRef/>
      </w:r>
      <w:r>
        <w:t xml:space="preserve"> Ireland 2008: 206-207 </w:t>
      </w:r>
    </w:p>
  </w:footnote>
  <w:footnote w:id="45">
    <w:p w:rsidR="009F2EA2" w:rsidRDefault="009F2EA2">
      <w:pPr>
        <w:pStyle w:val="FootnoteText"/>
      </w:pPr>
      <w:r>
        <w:rPr>
          <w:rStyle w:val="FootnoteReference"/>
        </w:rPr>
        <w:footnoteRef/>
      </w:r>
      <w:r>
        <w:t xml:space="preserve"> Ireland 2008: 212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51C3" w:rsidRDefault="00C451C3">
    <w:pPr>
      <w:pStyle w:val="Header"/>
    </w:pPr>
    <w:r>
      <w:t xml:space="preserve">George Gillson-Gant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0A45"/>
    <w:rsid w:val="0000140B"/>
    <w:rsid w:val="000128AD"/>
    <w:rsid w:val="00014AF9"/>
    <w:rsid w:val="00020E5A"/>
    <w:rsid w:val="0002324A"/>
    <w:rsid w:val="000234B0"/>
    <w:rsid w:val="00033225"/>
    <w:rsid w:val="000472EC"/>
    <w:rsid w:val="00047B50"/>
    <w:rsid w:val="00063A28"/>
    <w:rsid w:val="00064C1D"/>
    <w:rsid w:val="00084DD5"/>
    <w:rsid w:val="000877AA"/>
    <w:rsid w:val="00091E8B"/>
    <w:rsid w:val="00095B0A"/>
    <w:rsid w:val="000A71FE"/>
    <w:rsid w:val="000B20E3"/>
    <w:rsid w:val="000B4FF2"/>
    <w:rsid w:val="000C1722"/>
    <w:rsid w:val="000D0CCF"/>
    <w:rsid w:val="000D126A"/>
    <w:rsid w:val="000D706D"/>
    <w:rsid w:val="000E2981"/>
    <w:rsid w:val="000F2E0B"/>
    <w:rsid w:val="000F43A8"/>
    <w:rsid w:val="000F49D8"/>
    <w:rsid w:val="000F5712"/>
    <w:rsid w:val="001067A2"/>
    <w:rsid w:val="001079AF"/>
    <w:rsid w:val="0011029B"/>
    <w:rsid w:val="001106F9"/>
    <w:rsid w:val="001139B6"/>
    <w:rsid w:val="001146C9"/>
    <w:rsid w:val="001155FF"/>
    <w:rsid w:val="00124774"/>
    <w:rsid w:val="0012697C"/>
    <w:rsid w:val="00135D34"/>
    <w:rsid w:val="0014073B"/>
    <w:rsid w:val="001513DD"/>
    <w:rsid w:val="00163AD5"/>
    <w:rsid w:val="00163AF4"/>
    <w:rsid w:val="00174C9B"/>
    <w:rsid w:val="001758C9"/>
    <w:rsid w:val="001829F8"/>
    <w:rsid w:val="00196BED"/>
    <w:rsid w:val="001A2C1A"/>
    <w:rsid w:val="001A7A53"/>
    <w:rsid w:val="001B44A6"/>
    <w:rsid w:val="001C0E25"/>
    <w:rsid w:val="001D35C3"/>
    <w:rsid w:val="001E4B0D"/>
    <w:rsid w:val="001F09A1"/>
    <w:rsid w:val="001F62D2"/>
    <w:rsid w:val="00213E73"/>
    <w:rsid w:val="0022312A"/>
    <w:rsid w:val="002343E8"/>
    <w:rsid w:val="00242A4F"/>
    <w:rsid w:val="00260DA8"/>
    <w:rsid w:val="00261313"/>
    <w:rsid w:val="00262815"/>
    <w:rsid w:val="00265735"/>
    <w:rsid w:val="002815B3"/>
    <w:rsid w:val="0028473E"/>
    <w:rsid w:val="002A7BD1"/>
    <w:rsid w:val="002C411B"/>
    <w:rsid w:val="002D357C"/>
    <w:rsid w:val="002E1F92"/>
    <w:rsid w:val="002F142C"/>
    <w:rsid w:val="002F792A"/>
    <w:rsid w:val="0030112D"/>
    <w:rsid w:val="003060D1"/>
    <w:rsid w:val="00311F52"/>
    <w:rsid w:val="003132D3"/>
    <w:rsid w:val="0031437E"/>
    <w:rsid w:val="00316FC2"/>
    <w:rsid w:val="003242F4"/>
    <w:rsid w:val="00331FFF"/>
    <w:rsid w:val="00333931"/>
    <w:rsid w:val="00336A75"/>
    <w:rsid w:val="0035126B"/>
    <w:rsid w:val="0035487A"/>
    <w:rsid w:val="0036324E"/>
    <w:rsid w:val="0036654F"/>
    <w:rsid w:val="003822C3"/>
    <w:rsid w:val="0038315B"/>
    <w:rsid w:val="00394416"/>
    <w:rsid w:val="00394D8D"/>
    <w:rsid w:val="003A6A97"/>
    <w:rsid w:val="003B0FDB"/>
    <w:rsid w:val="003C13B6"/>
    <w:rsid w:val="003C48F3"/>
    <w:rsid w:val="003D3622"/>
    <w:rsid w:val="003D5EC2"/>
    <w:rsid w:val="003D65D5"/>
    <w:rsid w:val="003D7808"/>
    <w:rsid w:val="003E3194"/>
    <w:rsid w:val="003F4B4F"/>
    <w:rsid w:val="003F4FC9"/>
    <w:rsid w:val="003F7D4F"/>
    <w:rsid w:val="004005FB"/>
    <w:rsid w:val="0040346B"/>
    <w:rsid w:val="00411360"/>
    <w:rsid w:val="00414CA8"/>
    <w:rsid w:val="004232D2"/>
    <w:rsid w:val="004331D6"/>
    <w:rsid w:val="00435F51"/>
    <w:rsid w:val="00446387"/>
    <w:rsid w:val="0044738B"/>
    <w:rsid w:val="00450BFD"/>
    <w:rsid w:val="00452E9F"/>
    <w:rsid w:val="004578EC"/>
    <w:rsid w:val="00462CFA"/>
    <w:rsid w:val="00474A58"/>
    <w:rsid w:val="004900D4"/>
    <w:rsid w:val="0049764D"/>
    <w:rsid w:val="004A5185"/>
    <w:rsid w:val="004B63C7"/>
    <w:rsid w:val="004C7CCE"/>
    <w:rsid w:val="004D226D"/>
    <w:rsid w:val="004E7829"/>
    <w:rsid w:val="004F6FC9"/>
    <w:rsid w:val="00501B5F"/>
    <w:rsid w:val="00505312"/>
    <w:rsid w:val="0051038B"/>
    <w:rsid w:val="005144FC"/>
    <w:rsid w:val="00517CE2"/>
    <w:rsid w:val="005226A2"/>
    <w:rsid w:val="00525D59"/>
    <w:rsid w:val="00527EFB"/>
    <w:rsid w:val="0053541B"/>
    <w:rsid w:val="005452E6"/>
    <w:rsid w:val="00545668"/>
    <w:rsid w:val="00552C09"/>
    <w:rsid w:val="00553261"/>
    <w:rsid w:val="00553A60"/>
    <w:rsid w:val="0056224F"/>
    <w:rsid w:val="0057741C"/>
    <w:rsid w:val="00581F31"/>
    <w:rsid w:val="00594B4E"/>
    <w:rsid w:val="00595598"/>
    <w:rsid w:val="005A0D80"/>
    <w:rsid w:val="005A460C"/>
    <w:rsid w:val="005B071A"/>
    <w:rsid w:val="005B4EEE"/>
    <w:rsid w:val="005C26F2"/>
    <w:rsid w:val="005C324D"/>
    <w:rsid w:val="005D2BA5"/>
    <w:rsid w:val="005D3185"/>
    <w:rsid w:val="005D549F"/>
    <w:rsid w:val="005E6C40"/>
    <w:rsid w:val="005F0608"/>
    <w:rsid w:val="005F6898"/>
    <w:rsid w:val="005F796F"/>
    <w:rsid w:val="00600E28"/>
    <w:rsid w:val="006371A3"/>
    <w:rsid w:val="006375C7"/>
    <w:rsid w:val="00646C3C"/>
    <w:rsid w:val="00652DFD"/>
    <w:rsid w:val="00655831"/>
    <w:rsid w:val="0065673F"/>
    <w:rsid w:val="00661AB8"/>
    <w:rsid w:val="006621AD"/>
    <w:rsid w:val="00665DE6"/>
    <w:rsid w:val="00665E2E"/>
    <w:rsid w:val="00667644"/>
    <w:rsid w:val="00673CB0"/>
    <w:rsid w:val="0068096D"/>
    <w:rsid w:val="00682078"/>
    <w:rsid w:val="006875A0"/>
    <w:rsid w:val="00697C7D"/>
    <w:rsid w:val="006B17F1"/>
    <w:rsid w:val="006B4CF7"/>
    <w:rsid w:val="006C4943"/>
    <w:rsid w:val="006C7343"/>
    <w:rsid w:val="006E66C0"/>
    <w:rsid w:val="006F3677"/>
    <w:rsid w:val="006F3D17"/>
    <w:rsid w:val="006F7ADC"/>
    <w:rsid w:val="00700996"/>
    <w:rsid w:val="00703A45"/>
    <w:rsid w:val="007149CF"/>
    <w:rsid w:val="0072025B"/>
    <w:rsid w:val="00720DDF"/>
    <w:rsid w:val="00732411"/>
    <w:rsid w:val="00737C45"/>
    <w:rsid w:val="00752122"/>
    <w:rsid w:val="007618D5"/>
    <w:rsid w:val="00764E14"/>
    <w:rsid w:val="007708E4"/>
    <w:rsid w:val="00772861"/>
    <w:rsid w:val="00784AD7"/>
    <w:rsid w:val="00793627"/>
    <w:rsid w:val="007939BF"/>
    <w:rsid w:val="00795BDF"/>
    <w:rsid w:val="007A3BEE"/>
    <w:rsid w:val="007A7399"/>
    <w:rsid w:val="007B2432"/>
    <w:rsid w:val="007B6258"/>
    <w:rsid w:val="007C0728"/>
    <w:rsid w:val="007D5A34"/>
    <w:rsid w:val="007E02E5"/>
    <w:rsid w:val="007E0AEF"/>
    <w:rsid w:val="007E2829"/>
    <w:rsid w:val="007F3D4E"/>
    <w:rsid w:val="00800131"/>
    <w:rsid w:val="00802E07"/>
    <w:rsid w:val="00810370"/>
    <w:rsid w:val="00832F90"/>
    <w:rsid w:val="00842211"/>
    <w:rsid w:val="00850B81"/>
    <w:rsid w:val="00853FEC"/>
    <w:rsid w:val="008559C5"/>
    <w:rsid w:val="008608C7"/>
    <w:rsid w:val="008747CC"/>
    <w:rsid w:val="00875A28"/>
    <w:rsid w:val="00880786"/>
    <w:rsid w:val="008838E8"/>
    <w:rsid w:val="00885B86"/>
    <w:rsid w:val="00886CEC"/>
    <w:rsid w:val="0089081F"/>
    <w:rsid w:val="00893577"/>
    <w:rsid w:val="00894142"/>
    <w:rsid w:val="00894510"/>
    <w:rsid w:val="008A6C73"/>
    <w:rsid w:val="008B1551"/>
    <w:rsid w:val="008B2159"/>
    <w:rsid w:val="008B4C62"/>
    <w:rsid w:val="008B7AD2"/>
    <w:rsid w:val="008C219A"/>
    <w:rsid w:val="008C369E"/>
    <w:rsid w:val="008E4942"/>
    <w:rsid w:val="008F0730"/>
    <w:rsid w:val="008F18D5"/>
    <w:rsid w:val="0091551C"/>
    <w:rsid w:val="00921114"/>
    <w:rsid w:val="0093524E"/>
    <w:rsid w:val="00936BCC"/>
    <w:rsid w:val="00937864"/>
    <w:rsid w:val="009429BA"/>
    <w:rsid w:val="009470FB"/>
    <w:rsid w:val="00950250"/>
    <w:rsid w:val="009606BD"/>
    <w:rsid w:val="00961403"/>
    <w:rsid w:val="00964CFE"/>
    <w:rsid w:val="009718ED"/>
    <w:rsid w:val="0097583B"/>
    <w:rsid w:val="00983801"/>
    <w:rsid w:val="00984D1A"/>
    <w:rsid w:val="009867FC"/>
    <w:rsid w:val="00995612"/>
    <w:rsid w:val="009B29B6"/>
    <w:rsid w:val="009B2BD0"/>
    <w:rsid w:val="009B2FD2"/>
    <w:rsid w:val="009B54A7"/>
    <w:rsid w:val="009C1356"/>
    <w:rsid w:val="009C1742"/>
    <w:rsid w:val="009C6CB1"/>
    <w:rsid w:val="009C7D7F"/>
    <w:rsid w:val="009E1EA8"/>
    <w:rsid w:val="009E52FF"/>
    <w:rsid w:val="009E6C47"/>
    <w:rsid w:val="009E7BA7"/>
    <w:rsid w:val="009F2AE3"/>
    <w:rsid w:val="009F2EA2"/>
    <w:rsid w:val="00A0234D"/>
    <w:rsid w:val="00A038A5"/>
    <w:rsid w:val="00A11290"/>
    <w:rsid w:val="00A13449"/>
    <w:rsid w:val="00A159B3"/>
    <w:rsid w:val="00A372FE"/>
    <w:rsid w:val="00A4507A"/>
    <w:rsid w:val="00A526AB"/>
    <w:rsid w:val="00A55243"/>
    <w:rsid w:val="00A7257F"/>
    <w:rsid w:val="00A74595"/>
    <w:rsid w:val="00A812EB"/>
    <w:rsid w:val="00A9181F"/>
    <w:rsid w:val="00A972F9"/>
    <w:rsid w:val="00A97F0D"/>
    <w:rsid w:val="00AA2DF1"/>
    <w:rsid w:val="00AD11F8"/>
    <w:rsid w:val="00AE1647"/>
    <w:rsid w:val="00AE5825"/>
    <w:rsid w:val="00AF3957"/>
    <w:rsid w:val="00AF61BB"/>
    <w:rsid w:val="00B01B9D"/>
    <w:rsid w:val="00B06D3D"/>
    <w:rsid w:val="00B108BA"/>
    <w:rsid w:val="00B10D0A"/>
    <w:rsid w:val="00B131F5"/>
    <w:rsid w:val="00B16C49"/>
    <w:rsid w:val="00B20CAA"/>
    <w:rsid w:val="00B347EF"/>
    <w:rsid w:val="00B40A45"/>
    <w:rsid w:val="00B41658"/>
    <w:rsid w:val="00B42035"/>
    <w:rsid w:val="00B448F9"/>
    <w:rsid w:val="00B516CD"/>
    <w:rsid w:val="00B5171C"/>
    <w:rsid w:val="00B51D2C"/>
    <w:rsid w:val="00B54F1C"/>
    <w:rsid w:val="00B562A6"/>
    <w:rsid w:val="00B70A32"/>
    <w:rsid w:val="00B71B49"/>
    <w:rsid w:val="00B71F43"/>
    <w:rsid w:val="00B72049"/>
    <w:rsid w:val="00B7355D"/>
    <w:rsid w:val="00B74EBC"/>
    <w:rsid w:val="00B85AEA"/>
    <w:rsid w:val="00B8615F"/>
    <w:rsid w:val="00B9025B"/>
    <w:rsid w:val="00B91446"/>
    <w:rsid w:val="00B9284D"/>
    <w:rsid w:val="00B93491"/>
    <w:rsid w:val="00B949D3"/>
    <w:rsid w:val="00B9782E"/>
    <w:rsid w:val="00B9784F"/>
    <w:rsid w:val="00BA53B2"/>
    <w:rsid w:val="00BB3EFB"/>
    <w:rsid w:val="00BC052B"/>
    <w:rsid w:val="00BC1045"/>
    <w:rsid w:val="00BC537B"/>
    <w:rsid w:val="00BD2EFF"/>
    <w:rsid w:val="00BD305E"/>
    <w:rsid w:val="00BE1926"/>
    <w:rsid w:val="00BE31C9"/>
    <w:rsid w:val="00BE4554"/>
    <w:rsid w:val="00BE6A22"/>
    <w:rsid w:val="00C15BBC"/>
    <w:rsid w:val="00C266FC"/>
    <w:rsid w:val="00C279FF"/>
    <w:rsid w:val="00C3041F"/>
    <w:rsid w:val="00C31168"/>
    <w:rsid w:val="00C31332"/>
    <w:rsid w:val="00C451C3"/>
    <w:rsid w:val="00C45955"/>
    <w:rsid w:val="00C529A0"/>
    <w:rsid w:val="00C57790"/>
    <w:rsid w:val="00C6230B"/>
    <w:rsid w:val="00C701F8"/>
    <w:rsid w:val="00C75F44"/>
    <w:rsid w:val="00C779DD"/>
    <w:rsid w:val="00CA383F"/>
    <w:rsid w:val="00CA4DBA"/>
    <w:rsid w:val="00CA7F90"/>
    <w:rsid w:val="00CB2E57"/>
    <w:rsid w:val="00CB35D1"/>
    <w:rsid w:val="00CC697E"/>
    <w:rsid w:val="00CD1B68"/>
    <w:rsid w:val="00CE1274"/>
    <w:rsid w:val="00CF0614"/>
    <w:rsid w:val="00CF790A"/>
    <w:rsid w:val="00D169B3"/>
    <w:rsid w:val="00D23633"/>
    <w:rsid w:val="00D23C46"/>
    <w:rsid w:val="00D34E42"/>
    <w:rsid w:val="00D408B0"/>
    <w:rsid w:val="00D42323"/>
    <w:rsid w:val="00D47CD6"/>
    <w:rsid w:val="00D55FF2"/>
    <w:rsid w:val="00D62E80"/>
    <w:rsid w:val="00D64E3A"/>
    <w:rsid w:val="00D66616"/>
    <w:rsid w:val="00D711D1"/>
    <w:rsid w:val="00D718AF"/>
    <w:rsid w:val="00D81DD8"/>
    <w:rsid w:val="00D87AEF"/>
    <w:rsid w:val="00D9092B"/>
    <w:rsid w:val="00DA4848"/>
    <w:rsid w:val="00DB2EA9"/>
    <w:rsid w:val="00DB340E"/>
    <w:rsid w:val="00DE1444"/>
    <w:rsid w:val="00DE50EE"/>
    <w:rsid w:val="00DF1C62"/>
    <w:rsid w:val="00DF45C4"/>
    <w:rsid w:val="00E12E6D"/>
    <w:rsid w:val="00E13BBE"/>
    <w:rsid w:val="00E14263"/>
    <w:rsid w:val="00E27F91"/>
    <w:rsid w:val="00E3098A"/>
    <w:rsid w:val="00E3583D"/>
    <w:rsid w:val="00E37361"/>
    <w:rsid w:val="00E41D13"/>
    <w:rsid w:val="00E53754"/>
    <w:rsid w:val="00E6016C"/>
    <w:rsid w:val="00E633A4"/>
    <w:rsid w:val="00E7265C"/>
    <w:rsid w:val="00E75ABE"/>
    <w:rsid w:val="00EB18CE"/>
    <w:rsid w:val="00EB2781"/>
    <w:rsid w:val="00EC25F8"/>
    <w:rsid w:val="00EE4D91"/>
    <w:rsid w:val="00EF115B"/>
    <w:rsid w:val="00EF607E"/>
    <w:rsid w:val="00F00DA4"/>
    <w:rsid w:val="00F02DB5"/>
    <w:rsid w:val="00F05A63"/>
    <w:rsid w:val="00F16A8F"/>
    <w:rsid w:val="00F16C6F"/>
    <w:rsid w:val="00F21AAF"/>
    <w:rsid w:val="00F24483"/>
    <w:rsid w:val="00F277A3"/>
    <w:rsid w:val="00F30436"/>
    <w:rsid w:val="00F32E88"/>
    <w:rsid w:val="00F43135"/>
    <w:rsid w:val="00F440BB"/>
    <w:rsid w:val="00F45965"/>
    <w:rsid w:val="00F50DCA"/>
    <w:rsid w:val="00F51525"/>
    <w:rsid w:val="00F5557F"/>
    <w:rsid w:val="00F607C2"/>
    <w:rsid w:val="00F61FB7"/>
    <w:rsid w:val="00F70342"/>
    <w:rsid w:val="00F8582D"/>
    <w:rsid w:val="00F90E43"/>
    <w:rsid w:val="00FA240D"/>
    <w:rsid w:val="00FA67F2"/>
    <w:rsid w:val="00FA77EC"/>
    <w:rsid w:val="00FA7A63"/>
    <w:rsid w:val="00FB1285"/>
    <w:rsid w:val="00FC028A"/>
    <w:rsid w:val="00FC18DF"/>
    <w:rsid w:val="00FC2918"/>
    <w:rsid w:val="00FC3BB6"/>
    <w:rsid w:val="00FD14B1"/>
    <w:rsid w:val="00FD3A2F"/>
    <w:rsid w:val="00FD4053"/>
    <w:rsid w:val="00FE0105"/>
    <w:rsid w:val="00FE1D66"/>
    <w:rsid w:val="00FE1E6F"/>
    <w:rsid w:val="00FE3171"/>
    <w:rsid w:val="00FE3767"/>
    <w:rsid w:val="00FF29E1"/>
    <w:rsid w:val="00FF441D"/>
    <w:rsid w:val="00FF5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72B3A"/>
  <w15:chartTrackingRefBased/>
  <w15:docId w15:val="{6AB98B47-8D47-4644-A1BF-9097FBE97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40A45"/>
    <w:pPr>
      <w:spacing w:after="0" w:line="240" w:lineRule="auto"/>
    </w:pPr>
  </w:style>
  <w:style w:type="paragraph" w:styleId="Header">
    <w:name w:val="header"/>
    <w:basedOn w:val="Normal"/>
    <w:link w:val="HeaderChar"/>
    <w:uiPriority w:val="99"/>
    <w:unhideWhenUsed/>
    <w:rsid w:val="009B2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BD0"/>
  </w:style>
  <w:style w:type="paragraph" w:styleId="Footer">
    <w:name w:val="footer"/>
    <w:basedOn w:val="Normal"/>
    <w:link w:val="FooterChar"/>
    <w:uiPriority w:val="99"/>
    <w:unhideWhenUsed/>
    <w:rsid w:val="009B2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BD0"/>
  </w:style>
  <w:style w:type="paragraph" w:styleId="FootnoteText">
    <w:name w:val="footnote text"/>
    <w:basedOn w:val="Normal"/>
    <w:link w:val="FootnoteTextChar"/>
    <w:uiPriority w:val="99"/>
    <w:semiHidden/>
    <w:unhideWhenUsed/>
    <w:rsid w:val="00A97F0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7F0D"/>
    <w:rPr>
      <w:sz w:val="20"/>
      <w:szCs w:val="20"/>
    </w:rPr>
  </w:style>
  <w:style w:type="character" w:styleId="FootnoteReference">
    <w:name w:val="footnote reference"/>
    <w:basedOn w:val="DefaultParagraphFont"/>
    <w:uiPriority w:val="99"/>
    <w:semiHidden/>
    <w:unhideWhenUsed/>
    <w:rsid w:val="00A97F0D"/>
    <w:rPr>
      <w:vertAlign w:val="superscript"/>
    </w:rPr>
  </w:style>
  <w:style w:type="character" w:styleId="Hyperlink">
    <w:name w:val="Hyperlink"/>
    <w:basedOn w:val="DefaultParagraphFont"/>
    <w:uiPriority w:val="99"/>
    <w:unhideWhenUsed/>
    <w:rsid w:val="0038315B"/>
    <w:rPr>
      <w:color w:val="0563C1" w:themeColor="hyperlink"/>
      <w:u w:val="single"/>
    </w:rPr>
  </w:style>
  <w:style w:type="character" w:styleId="UnresolvedMention">
    <w:name w:val="Unresolved Mention"/>
    <w:basedOn w:val="DefaultParagraphFont"/>
    <w:uiPriority w:val="99"/>
    <w:semiHidden/>
    <w:unhideWhenUsed/>
    <w:rsid w:val="0038315B"/>
    <w:rPr>
      <w:color w:val="808080"/>
      <w:shd w:val="clear" w:color="auto" w:fill="E6E6E6"/>
    </w:rPr>
  </w:style>
  <w:style w:type="paragraph" w:styleId="NormalWeb">
    <w:name w:val="Normal (Web)"/>
    <w:basedOn w:val="Normal"/>
    <w:uiPriority w:val="99"/>
    <w:semiHidden/>
    <w:unhideWhenUsed/>
    <w:rsid w:val="0026573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2000/dec/03/jasonburke.theobserve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etheses.whiterose.ac.uk/18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B080D8-475D-4B73-BC44-93B98B3CC9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1884</TotalTime>
  <Pages>12</Pages>
  <Words>2458</Words>
  <Characters>14011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Gillson-gant (1500337)</dc:creator>
  <cp:keywords/>
  <dc:description/>
  <cp:lastModifiedBy>George Gillson-gant (1500337)</cp:lastModifiedBy>
  <cp:revision>219</cp:revision>
  <dcterms:created xsi:type="dcterms:W3CDTF">2017-10-28T00:53:00Z</dcterms:created>
  <dcterms:modified xsi:type="dcterms:W3CDTF">2017-11-16T02:31:00Z</dcterms:modified>
</cp:coreProperties>
</file>