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D15EA" w:rsidRPr="00E300D7" w:rsidRDefault="00AD15EA" w:rsidP="006C5310">
      <w:pPr>
        <w:pStyle w:val="Normal1"/>
        <w:rPr>
          <w:lang w:val="en-GB"/>
        </w:rPr>
      </w:pPr>
    </w:p>
    <w:p w:rsidR="00AD15EA" w:rsidRPr="00E300D7" w:rsidRDefault="00AD15EA" w:rsidP="006C5310">
      <w:pPr>
        <w:pStyle w:val="Normal1"/>
        <w:rPr>
          <w:lang w:val="en-GB"/>
        </w:rPr>
      </w:pPr>
    </w:p>
    <w:p w:rsidR="00AD15EA" w:rsidRPr="00E300D7" w:rsidRDefault="00AD15EA" w:rsidP="006C5310">
      <w:pPr>
        <w:pStyle w:val="Normal1"/>
        <w:rPr>
          <w:lang w:val="en-GB"/>
        </w:rPr>
      </w:pPr>
    </w:p>
    <w:p w:rsidR="00AD15EA" w:rsidRPr="00E300D7" w:rsidRDefault="00AD15EA" w:rsidP="006C5310">
      <w:pPr>
        <w:pStyle w:val="Normal1"/>
        <w:rPr>
          <w:lang w:val="en-GB"/>
        </w:rPr>
      </w:pPr>
    </w:p>
    <w:p w:rsidR="00AD15EA" w:rsidRPr="00E300D7" w:rsidRDefault="00AD15EA" w:rsidP="006C5310">
      <w:pPr>
        <w:pStyle w:val="Normal1"/>
        <w:rPr>
          <w:lang w:val="en-GB"/>
        </w:rPr>
      </w:pPr>
    </w:p>
    <w:p w:rsidR="00AD15EA" w:rsidRPr="00E300D7" w:rsidRDefault="00AD15EA" w:rsidP="006C5310">
      <w:pPr>
        <w:pStyle w:val="Normal1"/>
        <w:rPr>
          <w:lang w:val="en-GB"/>
        </w:rPr>
      </w:pPr>
    </w:p>
    <w:p w:rsidR="00AD15EA" w:rsidRPr="00E300D7" w:rsidRDefault="00AD15EA" w:rsidP="006C5310">
      <w:pPr>
        <w:pStyle w:val="Normal1"/>
        <w:rPr>
          <w:lang w:val="en-GB"/>
        </w:rPr>
      </w:pPr>
    </w:p>
    <w:p w:rsidR="00AD15EA" w:rsidRPr="00E300D7" w:rsidRDefault="007008CE" w:rsidP="000A7932">
      <w:pPr>
        <w:pStyle w:val="Normal1"/>
        <w:jc w:val="center"/>
        <w:rPr>
          <w:sz w:val="32"/>
          <w:lang w:val="en-GB"/>
        </w:rPr>
      </w:pPr>
      <w:bookmarkStart w:id="0" w:name="_Toc135417576"/>
      <w:bookmarkStart w:id="1" w:name="_Toc135418837"/>
      <w:r w:rsidRPr="00E300D7">
        <w:rPr>
          <w:sz w:val="32"/>
          <w:lang w:val="en-GB"/>
        </w:rPr>
        <w:t>FOREIGN EXCHANGE RISK MANAGEMENT WITHIN THE FINANCIAL INSTITUTIONS</w:t>
      </w:r>
      <w:bookmarkEnd w:id="0"/>
      <w:bookmarkEnd w:id="1"/>
    </w:p>
    <w:p w:rsidR="00AD15EA" w:rsidRPr="00E300D7" w:rsidRDefault="007008CE" w:rsidP="006C5310">
      <w:pPr>
        <w:rPr>
          <w:lang w:val="en-GB"/>
        </w:rPr>
      </w:pPr>
      <w:r w:rsidRPr="00E300D7">
        <w:rPr>
          <w:lang w:val="en-GB"/>
        </w:rPr>
        <w:br w:type="page"/>
      </w:r>
    </w:p>
    <w:p w:rsidR="00AD15EA" w:rsidRPr="00E300D7" w:rsidRDefault="007008CE" w:rsidP="00F52795">
      <w:pPr>
        <w:jc w:val="center"/>
        <w:rPr>
          <w:lang w:val="en-GB"/>
        </w:rPr>
      </w:pPr>
      <w:bookmarkStart w:id="2" w:name="_Toc135417577"/>
      <w:bookmarkStart w:id="3" w:name="_Toc135418838"/>
      <w:r w:rsidRPr="00E300D7">
        <w:rPr>
          <w:lang w:val="en-GB"/>
        </w:rPr>
        <w:lastRenderedPageBreak/>
        <w:t>A</w:t>
      </w:r>
      <w:r w:rsidR="00F52795" w:rsidRPr="00E300D7">
        <w:rPr>
          <w:lang w:val="en-GB"/>
        </w:rPr>
        <w:t>BSTRACT</w:t>
      </w:r>
      <w:bookmarkEnd w:id="2"/>
      <w:bookmarkEnd w:id="3"/>
    </w:p>
    <w:p w:rsidR="00AD15EA" w:rsidRPr="00E300D7" w:rsidRDefault="00DA58D5" w:rsidP="006C5310">
      <w:pPr>
        <w:pStyle w:val="Normal1"/>
        <w:rPr>
          <w:b/>
          <w:sz w:val="32"/>
          <w:szCs w:val="32"/>
          <w:lang w:val="en-GB"/>
        </w:rPr>
      </w:pPr>
      <w:bookmarkStart w:id="4" w:name="_Toc135417578"/>
      <w:bookmarkStart w:id="5" w:name="_Toc135418839"/>
      <w:r w:rsidRPr="00E300D7">
        <w:rPr>
          <w:lang w:val="en-GB"/>
        </w:rPr>
        <w:t xml:space="preserve">The introduction section assesses background, objectives and the research questions along with the rationale of the research about the risks during the foreign direct investment (FDI). The research aims at the assessment of </w:t>
      </w:r>
      <w:r w:rsidRPr="00E300D7">
        <w:rPr>
          <w:i/>
          <w:lang w:val="en-GB"/>
        </w:rPr>
        <w:t xml:space="preserve">strategies </w:t>
      </w:r>
      <w:r w:rsidRPr="00E300D7">
        <w:rPr>
          <w:lang w:val="en-GB"/>
        </w:rPr>
        <w:t xml:space="preserve">to manage the risks that the financial institution follows during the foreign exchange of the financial institutions. The literature review section analyses the conceptual framework, the various and concepts of foreign exchange (FX) and the factors that influences of the market volatility in FX. The role of the financial institutions and the "bid-ask spread" process of the banks in the international business are assessed here. The “balance of payment (BOP)” and </w:t>
      </w:r>
      <w:r w:rsidRPr="00E300D7">
        <w:rPr>
          <w:i/>
          <w:lang w:val="en-GB"/>
        </w:rPr>
        <w:t>“speculative currency trade”</w:t>
      </w:r>
      <w:r w:rsidRPr="00E300D7">
        <w:rPr>
          <w:lang w:val="en-GB"/>
        </w:rPr>
        <w:t xml:space="preserve"> concepts are discussed here as the process that the investment managers need to follow in the FX. The </w:t>
      </w:r>
      <w:r w:rsidRPr="00E300D7">
        <w:rPr>
          <w:i/>
          <w:lang w:val="en-GB"/>
        </w:rPr>
        <w:t>secondary data collection method</w:t>
      </w:r>
      <w:r w:rsidRPr="00E300D7">
        <w:rPr>
          <w:lang w:val="en-GB"/>
        </w:rPr>
        <w:t xml:space="preserve"> and the thematic analysis have been assessed in the research about the financial risks. </w:t>
      </w:r>
      <w:r w:rsidR="007008CE" w:rsidRPr="00E300D7">
        <w:rPr>
          <w:lang w:val="en-GB"/>
        </w:rPr>
        <w:t xml:space="preserve">Chapter </w:t>
      </w:r>
      <w:r w:rsidR="00471396" w:rsidRPr="00E300D7">
        <w:rPr>
          <w:lang w:val="en-GB"/>
        </w:rPr>
        <w:t>3</w:t>
      </w:r>
      <w:r w:rsidR="007008CE" w:rsidRPr="00E300D7">
        <w:rPr>
          <w:lang w:val="en-GB"/>
        </w:rPr>
        <w:t xml:space="preserve"> discussed the overall methodology used in this research. Appropriate research philosophy along with strategy and approach is highlighted with proper justification. Significant </w:t>
      </w:r>
      <w:r w:rsidR="00CD1231" w:rsidRPr="00E300D7">
        <w:rPr>
          <w:lang w:val="en-GB"/>
        </w:rPr>
        <w:t>selection of processes is</w:t>
      </w:r>
      <w:r w:rsidR="007008CE" w:rsidRPr="00E300D7">
        <w:rPr>
          <w:lang w:val="en-GB"/>
        </w:rPr>
        <w:t xml:space="preserve"> determined to extract efficient data in this context.</w:t>
      </w:r>
      <w:r w:rsidR="000A7932" w:rsidRPr="00E300D7">
        <w:rPr>
          <w:lang w:val="en-GB"/>
        </w:rPr>
        <w:t xml:space="preserve"> The Findings, Analysis and Discussion chapter effectively dealt with the objective based themes of the research for gathering effective information and analysing their relevance. The Findings section deals with gathering relevant information regarding the key </w:t>
      </w:r>
      <w:r w:rsidR="00624249" w:rsidRPr="00E300D7">
        <w:rPr>
          <w:lang w:val="en-GB"/>
        </w:rPr>
        <w:t>aspects of this study. T</w:t>
      </w:r>
      <w:r w:rsidR="000A7932" w:rsidRPr="00E300D7">
        <w:rPr>
          <w:lang w:val="en-GB"/>
        </w:rPr>
        <w:t>he secondary data analysis section proceeds through four themes formulated from the objectives for thorough analysing.</w:t>
      </w:r>
      <w:bookmarkEnd w:id="4"/>
      <w:r w:rsidR="000A7932" w:rsidRPr="00E300D7">
        <w:rPr>
          <w:lang w:val="en-GB"/>
        </w:rPr>
        <w:t xml:space="preserve"> </w:t>
      </w:r>
      <w:r w:rsidR="00F22317" w:rsidRPr="00E300D7">
        <w:rPr>
          <w:lang w:val="en-GB"/>
        </w:rPr>
        <w:t>The conclusion evaluates the objective linking, future scope and the limitation of the research to make better FDI plan in future.</w:t>
      </w:r>
      <w:bookmarkEnd w:id="5"/>
      <w:r w:rsidR="00F22317" w:rsidRPr="00E300D7">
        <w:rPr>
          <w:lang w:val="en-GB"/>
        </w:rPr>
        <w:t xml:space="preserve"> </w:t>
      </w:r>
      <w:r w:rsidR="007008CE" w:rsidRPr="00E300D7">
        <w:rPr>
          <w:lang w:val="en-GB"/>
        </w:rPr>
        <w:br w:type="page"/>
      </w:r>
    </w:p>
    <w:sdt>
      <w:sdtPr>
        <w:rPr>
          <w:rFonts w:ascii="Times New Roman" w:eastAsia="Times New Roman" w:hAnsi="Times New Roman" w:cs="Times New Roman"/>
          <w:b w:val="0"/>
          <w:color w:val="auto"/>
          <w:sz w:val="24"/>
          <w:szCs w:val="24"/>
          <w:lang w:val="en-GB"/>
        </w:rPr>
        <w:id w:val="191886439"/>
        <w:docPartObj>
          <w:docPartGallery w:val="Table of Contents"/>
          <w:docPartUnique/>
        </w:docPartObj>
      </w:sdtPr>
      <w:sdtEndPr>
        <w:rPr>
          <w:b/>
          <w:bCs/>
          <w:noProof/>
        </w:rPr>
      </w:sdtEndPr>
      <w:sdtContent>
        <w:p w:rsidR="00FF7BD8" w:rsidRPr="00E300D7" w:rsidRDefault="00FF7BD8" w:rsidP="00E64C7F">
          <w:pPr>
            <w:pStyle w:val="TOCHeading"/>
            <w:jc w:val="center"/>
            <w:rPr>
              <w:rFonts w:ascii="Times New Roman" w:hAnsi="Times New Roman" w:cs="Times New Roman"/>
              <w:color w:val="000000" w:themeColor="text1"/>
              <w:sz w:val="24"/>
              <w:szCs w:val="24"/>
              <w:lang w:val="en-GB"/>
            </w:rPr>
          </w:pPr>
          <w:r w:rsidRPr="00E300D7">
            <w:rPr>
              <w:rFonts w:ascii="Times New Roman" w:hAnsi="Times New Roman" w:cs="Times New Roman"/>
              <w:color w:val="000000" w:themeColor="text1"/>
              <w:sz w:val="24"/>
              <w:szCs w:val="24"/>
              <w:lang w:val="en-GB"/>
            </w:rPr>
            <w:t>Table of Contents</w:t>
          </w:r>
          <w:r w:rsidRPr="00E300D7">
            <w:rPr>
              <w:rFonts w:ascii="Times New Roman" w:hAnsi="Times New Roman" w:cs="Times New Roman"/>
              <w:color w:val="000000" w:themeColor="text1"/>
              <w:sz w:val="24"/>
              <w:szCs w:val="24"/>
              <w:lang w:val="en-GB"/>
            </w:rPr>
            <w:fldChar w:fldCharType="begin"/>
          </w:r>
          <w:r w:rsidRPr="00E300D7">
            <w:rPr>
              <w:rFonts w:ascii="Times New Roman" w:hAnsi="Times New Roman" w:cs="Times New Roman"/>
              <w:color w:val="000000" w:themeColor="text1"/>
              <w:sz w:val="24"/>
              <w:szCs w:val="24"/>
              <w:lang w:val="en-GB"/>
            </w:rPr>
            <w:instrText xml:space="preserve"> TOC \o "1-3" \h \z \u </w:instrText>
          </w:r>
          <w:r w:rsidRPr="00E300D7">
            <w:rPr>
              <w:rFonts w:ascii="Times New Roman" w:hAnsi="Times New Roman" w:cs="Times New Roman"/>
              <w:color w:val="000000" w:themeColor="text1"/>
              <w:sz w:val="24"/>
              <w:szCs w:val="24"/>
              <w:lang w:val="en-GB"/>
            </w:rPr>
            <w:fldChar w:fldCharType="separate"/>
          </w:r>
        </w:p>
        <w:p w:rsidR="00FF7BD8" w:rsidRPr="00E300D7" w:rsidRDefault="00000000" w:rsidP="00E64C7F">
          <w:pPr>
            <w:pStyle w:val="TOC1"/>
            <w:tabs>
              <w:tab w:val="right" w:leader="dot" w:pos="9019"/>
            </w:tabs>
            <w:jc w:val="center"/>
            <w:rPr>
              <w:rFonts w:eastAsiaTheme="minorEastAsia"/>
              <w:b/>
              <w:noProof/>
              <w:color w:val="000000" w:themeColor="text1"/>
              <w:lang w:val="en-GB"/>
            </w:rPr>
          </w:pPr>
          <w:hyperlink w:anchor="_Toc135418840" w:history="1">
            <w:r w:rsidR="00FF7BD8" w:rsidRPr="00E300D7">
              <w:rPr>
                <w:rStyle w:val="Hyperlink"/>
                <w:noProof/>
                <w:color w:val="000000" w:themeColor="text1"/>
                <w:lang w:val="en-GB"/>
              </w:rPr>
              <w:t>Chapter 1: Introduction</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_Toc135418840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3</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41" w:history="1">
            <w:r w:rsidR="00FF7BD8" w:rsidRPr="00E300D7">
              <w:rPr>
                <w:rStyle w:val="Hyperlink"/>
                <w:noProof/>
                <w:color w:val="000000" w:themeColor="text1"/>
                <w:lang w:val="en-GB"/>
              </w:rPr>
              <w:t>1.0 Introduction</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_Toc135418841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3</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44" w:history="1">
            <w:r w:rsidR="00FF7BD8" w:rsidRPr="00E300D7">
              <w:rPr>
                <w:rStyle w:val="Hyperlink"/>
                <w:noProof/>
                <w:color w:val="000000" w:themeColor="text1"/>
                <w:lang w:val="en-GB"/>
              </w:rPr>
              <w:t>1.1 Background</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_Toc135418844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4</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52" w:history="1">
            <w:r w:rsidR="00FF7BD8" w:rsidRPr="00E300D7">
              <w:rPr>
                <w:rStyle w:val="Hyperlink"/>
                <w:noProof/>
                <w:color w:val="000000" w:themeColor="text1"/>
                <w:lang w:val="en-GB"/>
              </w:rPr>
              <w:t>1.2 Aim and Objectives</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_Toc135418852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6</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60" w:history="1">
            <w:r w:rsidR="00FF7BD8" w:rsidRPr="00E300D7">
              <w:rPr>
                <w:rStyle w:val="Hyperlink"/>
                <w:noProof/>
                <w:color w:val="000000" w:themeColor="text1"/>
                <w:lang w:val="en-GB"/>
              </w:rPr>
              <w:t>1.3 Research Questions</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_Toc135418860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7</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65" w:history="1">
            <w:r w:rsidR="00FF7BD8" w:rsidRPr="00E300D7">
              <w:rPr>
                <w:rStyle w:val="Hyperlink"/>
                <w:noProof/>
                <w:color w:val="000000" w:themeColor="text1"/>
                <w:lang w:val="en-GB"/>
              </w:rPr>
              <w:t>1.4 Rationale</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_Toc135418865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7</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73" w:history="1">
            <w:r w:rsidR="00FF7BD8" w:rsidRPr="00E300D7">
              <w:rPr>
                <w:rStyle w:val="Hyperlink"/>
                <w:noProof/>
                <w:color w:val="000000" w:themeColor="text1"/>
                <w:lang w:val="en-GB"/>
              </w:rPr>
              <w:t>1.5 Significance of the Research</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_Toc135418873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10</w:t>
            </w:r>
            <w:r w:rsidR="00FF7BD8" w:rsidRPr="00E300D7">
              <w:rPr>
                <w:b/>
                <w:noProof/>
                <w:webHidden/>
                <w:color w:val="000000" w:themeColor="text1"/>
                <w:lang w:val="en-GB"/>
              </w:rPr>
              <w:fldChar w:fldCharType="end"/>
            </w:r>
          </w:hyperlink>
        </w:p>
        <w:p w:rsidR="00FF7BD8" w:rsidRPr="00E300D7" w:rsidRDefault="00000000" w:rsidP="00E64C7F">
          <w:pPr>
            <w:pStyle w:val="TOC1"/>
            <w:tabs>
              <w:tab w:val="right" w:leader="dot" w:pos="9019"/>
            </w:tabs>
            <w:jc w:val="center"/>
            <w:rPr>
              <w:rFonts w:eastAsiaTheme="minorEastAsia"/>
              <w:b/>
              <w:noProof/>
              <w:color w:val="000000" w:themeColor="text1"/>
              <w:lang w:val="en-GB"/>
            </w:rPr>
          </w:pPr>
          <w:hyperlink w:anchor="_Toc135418877" w:history="1">
            <w:r w:rsidR="00FF7BD8" w:rsidRPr="00E300D7">
              <w:rPr>
                <w:rStyle w:val="Hyperlink"/>
                <w:noProof/>
                <w:color w:val="000000" w:themeColor="text1"/>
                <w:lang w:val="en-GB"/>
              </w:rPr>
              <w:t>Chapter 2: Literature Review</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_Toc135418877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12</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78" w:history="1">
            <w:r w:rsidR="00FF7BD8" w:rsidRPr="00E300D7">
              <w:rPr>
                <w:rStyle w:val="Hyperlink"/>
                <w:noProof/>
                <w:color w:val="000000" w:themeColor="text1"/>
                <w:lang w:val="en-GB"/>
              </w:rPr>
              <w:t>2.0 Introduction</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_Toc135418878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12</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79" w:history="1">
            <w:r w:rsidR="00FF7BD8" w:rsidRPr="00E300D7">
              <w:rPr>
                <w:rStyle w:val="Hyperlink"/>
                <w:noProof/>
                <w:color w:val="000000" w:themeColor="text1"/>
                <w:lang w:val="en-GB"/>
              </w:rPr>
              <w:t>2.1 Conceptual framework</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_Toc135418879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12</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81" w:history="1">
            <w:r w:rsidR="00FF7BD8" w:rsidRPr="00E300D7">
              <w:rPr>
                <w:rStyle w:val="Hyperlink"/>
                <w:noProof/>
                <w:color w:val="000000" w:themeColor="text1"/>
                <w:lang w:val="en-GB"/>
              </w:rPr>
              <w:t>2.2 The concept of foreign exchange (FX) and types of the market of FX</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_Toc135418881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12</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82" w:history="1">
            <w:r w:rsidR="00FF7BD8" w:rsidRPr="00E300D7">
              <w:rPr>
                <w:rStyle w:val="Hyperlink"/>
                <w:noProof/>
                <w:color w:val="000000" w:themeColor="text1"/>
                <w:lang w:val="en-GB"/>
              </w:rPr>
              <w:t>2.3 Factors associated with influencing volatility of the FX market</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_Toc135418882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13</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rPr>
              <w:rFonts w:eastAsiaTheme="minorEastAsia"/>
              <w:b/>
              <w:noProof/>
              <w:color w:val="000000" w:themeColor="text1"/>
              <w:lang w:val="en-GB"/>
            </w:rPr>
          </w:pPr>
          <w:hyperlink w:anchor="_Toc135418883" w:history="1">
            <w:r w:rsidR="00FF7BD8" w:rsidRPr="00E300D7">
              <w:rPr>
                <w:rStyle w:val="Hyperlink"/>
                <w:noProof/>
                <w:color w:val="000000" w:themeColor="text1"/>
                <w:lang w:val="en-GB"/>
              </w:rPr>
              <w:t>2.4 Role of financial institutions (FIs) in managing the FX that is important for international trade</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_Toc135418883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14</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84" w:history="1">
            <w:r w:rsidR="00FF7BD8" w:rsidRPr="00E300D7">
              <w:rPr>
                <w:rStyle w:val="Hyperlink"/>
                <w:noProof/>
                <w:color w:val="000000" w:themeColor="text1"/>
                <w:lang w:val="en-GB"/>
              </w:rPr>
              <w:t>2.5 Challenges of FIs due to the volatile rate of FX</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_Toc135418884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15</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85" w:history="1">
            <w:r w:rsidR="00FF7BD8" w:rsidRPr="00E300D7">
              <w:rPr>
                <w:rStyle w:val="Hyperlink"/>
                <w:noProof/>
                <w:color w:val="000000" w:themeColor="text1"/>
                <w:lang w:val="en-GB"/>
              </w:rPr>
              <w:t>2.6 Policies of FIs to Face the Challenges of FX</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_Toc135418885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17</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86" w:history="1">
            <w:r w:rsidR="00FF7BD8" w:rsidRPr="00E300D7">
              <w:rPr>
                <w:rStyle w:val="Hyperlink"/>
                <w:noProof/>
                <w:color w:val="000000" w:themeColor="text1"/>
                <w:lang w:val="en-GB"/>
              </w:rPr>
              <w:t>2.7 Theoretical analysis</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_Toc135418886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18</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87" w:history="1">
            <w:r w:rsidR="00FF7BD8" w:rsidRPr="00E300D7">
              <w:rPr>
                <w:rStyle w:val="Hyperlink"/>
                <w:noProof/>
                <w:color w:val="000000" w:themeColor="text1"/>
                <w:lang w:val="en-GB"/>
              </w:rPr>
              <w:t>2.8 Gap of the Literature</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_Toc135418887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19</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88" w:history="1">
            <w:r w:rsidR="00FF7BD8" w:rsidRPr="00E300D7">
              <w:rPr>
                <w:rStyle w:val="Hyperlink"/>
                <w:noProof/>
                <w:color w:val="000000" w:themeColor="text1"/>
                <w:lang w:val="en-GB"/>
              </w:rPr>
              <w:t>2.9 Summary</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_Toc135418888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19</w:t>
            </w:r>
            <w:r w:rsidR="00FF7BD8" w:rsidRPr="00E300D7">
              <w:rPr>
                <w:b/>
                <w:noProof/>
                <w:webHidden/>
                <w:color w:val="000000" w:themeColor="text1"/>
                <w:lang w:val="en-GB"/>
              </w:rPr>
              <w:fldChar w:fldCharType="end"/>
            </w:r>
          </w:hyperlink>
        </w:p>
        <w:p w:rsidR="00FF7BD8" w:rsidRPr="00E300D7" w:rsidRDefault="00000000" w:rsidP="00E64C7F">
          <w:pPr>
            <w:pStyle w:val="TOC1"/>
            <w:tabs>
              <w:tab w:val="right" w:leader="dot" w:pos="9019"/>
            </w:tabs>
            <w:jc w:val="center"/>
            <w:rPr>
              <w:rFonts w:eastAsiaTheme="minorEastAsia"/>
              <w:b/>
              <w:noProof/>
              <w:color w:val="000000" w:themeColor="text1"/>
              <w:lang w:val="en-GB"/>
            </w:rPr>
          </w:pPr>
          <w:hyperlink w:anchor="_Toc135418890" w:history="1">
            <w:r w:rsidR="00FF7BD8" w:rsidRPr="00E300D7">
              <w:rPr>
                <w:rStyle w:val="Hyperlink"/>
                <w:noProof/>
                <w:color w:val="000000" w:themeColor="text1"/>
                <w:lang w:val="en-GB"/>
              </w:rPr>
              <w:t>Chapter 3: Research Methodology</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_Toc135418890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21</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91" w:history="1">
            <w:r w:rsidR="00FF7BD8" w:rsidRPr="00E300D7">
              <w:rPr>
                <w:rStyle w:val="Hyperlink"/>
                <w:noProof/>
                <w:color w:val="000000" w:themeColor="text1"/>
                <w:lang w:val="en-GB"/>
              </w:rPr>
              <w:t>3.1 Introduction</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_Toc135418891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21</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93" w:history="1">
            <w:r w:rsidR="00FF7BD8" w:rsidRPr="00E300D7">
              <w:rPr>
                <w:rStyle w:val="Hyperlink"/>
                <w:noProof/>
                <w:color w:val="000000" w:themeColor="text1"/>
                <w:lang w:val="en-GB"/>
              </w:rPr>
              <w:t>3.2 Research onion</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_Toc135418893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21</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97" w:history="1">
            <w:r w:rsidR="00FF7BD8" w:rsidRPr="00E300D7">
              <w:rPr>
                <w:rStyle w:val="Hyperlink"/>
                <w:noProof/>
                <w:color w:val="000000" w:themeColor="text1"/>
                <w:lang w:val="en-GB"/>
              </w:rPr>
              <w:t>3.3 Research philosophy</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_Toc135418897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22</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899" w:history="1">
            <w:r w:rsidR="00FF7BD8" w:rsidRPr="00E300D7">
              <w:rPr>
                <w:rStyle w:val="Hyperlink"/>
                <w:noProof/>
                <w:color w:val="000000" w:themeColor="text1"/>
                <w:lang w:val="en-GB"/>
              </w:rPr>
              <w:t>3.4 Research approach</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_Toc135418899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22</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01" w:history="1">
            <w:r w:rsidR="00FF7BD8" w:rsidRPr="00E300D7">
              <w:rPr>
                <w:rStyle w:val="Hyperlink"/>
                <w:noProof/>
                <w:color w:val="000000" w:themeColor="text1"/>
                <w:lang w:val="en-GB"/>
              </w:rPr>
              <w:t>3.5 Research Strategy</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_Toc135418901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22</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03" w:history="1">
            <w:r w:rsidR="00FF7BD8" w:rsidRPr="00E300D7">
              <w:rPr>
                <w:rStyle w:val="Hyperlink"/>
                <w:noProof/>
                <w:color w:val="000000" w:themeColor="text1"/>
                <w:lang w:val="en-GB"/>
              </w:rPr>
              <w:t>3.6 Research Choice</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_Toc135418903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23</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04" w:history="1">
            <w:r w:rsidR="00FF7BD8" w:rsidRPr="00E300D7">
              <w:rPr>
                <w:rStyle w:val="Hyperlink"/>
                <w:noProof/>
                <w:color w:val="000000" w:themeColor="text1"/>
                <w:lang w:val="en-GB"/>
              </w:rPr>
              <w:t>3.7 Research Design</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_Toc135418904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23</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06" w:history="1">
            <w:r w:rsidR="00FF7BD8" w:rsidRPr="00E300D7">
              <w:rPr>
                <w:rStyle w:val="Hyperlink"/>
                <w:noProof/>
                <w:color w:val="000000" w:themeColor="text1"/>
                <w:lang w:val="en-GB"/>
              </w:rPr>
              <w:t>3.8 Techniques and Procedure</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_Toc135418906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23</w:t>
            </w:r>
            <w:r w:rsidR="00FF7BD8" w:rsidRPr="00E300D7">
              <w:rPr>
                <w:b/>
                <w:noProof/>
                <w:webHidden/>
                <w:color w:val="000000" w:themeColor="text1"/>
                <w:lang w:val="en-GB"/>
              </w:rPr>
              <w:fldChar w:fldCharType="end"/>
            </w:r>
          </w:hyperlink>
        </w:p>
        <w:p w:rsidR="00FF7BD8" w:rsidRPr="00E300D7" w:rsidRDefault="00000000" w:rsidP="00E64C7F">
          <w:pPr>
            <w:pStyle w:val="TOC3"/>
            <w:tabs>
              <w:tab w:val="right" w:leader="dot" w:pos="9019"/>
            </w:tabs>
            <w:jc w:val="center"/>
            <w:rPr>
              <w:rFonts w:eastAsiaTheme="minorEastAsia"/>
              <w:b/>
              <w:noProof/>
              <w:color w:val="000000" w:themeColor="text1"/>
              <w:lang w:val="en-GB"/>
            </w:rPr>
          </w:pPr>
          <w:hyperlink w:anchor="_Toc135418907" w:history="1">
            <w:r w:rsidR="00FF7BD8" w:rsidRPr="00E300D7">
              <w:rPr>
                <w:rStyle w:val="Hyperlink"/>
                <w:noProof/>
                <w:color w:val="000000" w:themeColor="text1"/>
                <w:lang w:val="en-GB"/>
              </w:rPr>
              <w:t>3.8.1 Data collection method</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_Toc135418907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23</w:t>
            </w:r>
            <w:r w:rsidR="00FF7BD8" w:rsidRPr="00E300D7">
              <w:rPr>
                <w:b/>
                <w:noProof/>
                <w:webHidden/>
                <w:color w:val="000000" w:themeColor="text1"/>
                <w:lang w:val="en-GB"/>
              </w:rPr>
              <w:fldChar w:fldCharType="end"/>
            </w:r>
          </w:hyperlink>
        </w:p>
        <w:p w:rsidR="00FF7BD8" w:rsidRPr="00E300D7" w:rsidRDefault="00000000" w:rsidP="00E64C7F">
          <w:pPr>
            <w:pStyle w:val="TOC3"/>
            <w:tabs>
              <w:tab w:val="right" w:leader="dot" w:pos="9019"/>
            </w:tabs>
            <w:jc w:val="center"/>
            <w:rPr>
              <w:rFonts w:eastAsiaTheme="minorEastAsia"/>
              <w:b/>
              <w:noProof/>
              <w:color w:val="000000" w:themeColor="text1"/>
              <w:lang w:val="en-GB"/>
            </w:rPr>
          </w:pPr>
          <w:hyperlink w:anchor="_Toc135418908" w:history="1">
            <w:r w:rsidR="00FF7BD8" w:rsidRPr="00E300D7">
              <w:rPr>
                <w:rStyle w:val="Hyperlink"/>
                <w:noProof/>
                <w:color w:val="000000" w:themeColor="text1"/>
                <w:lang w:val="en-GB"/>
              </w:rPr>
              <w:t>3.8.2 Research limitations</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_Toc135418908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24</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09" w:history="1">
            <w:r w:rsidR="00FF7BD8" w:rsidRPr="00E300D7">
              <w:rPr>
                <w:rStyle w:val="Hyperlink"/>
                <w:noProof/>
                <w:color w:val="000000" w:themeColor="text1"/>
                <w:lang w:val="en-GB"/>
              </w:rPr>
              <w:t>3.9 Timeline</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_Toc135418909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24</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10" w:history="1">
            <w:r w:rsidR="00FF7BD8" w:rsidRPr="00E300D7">
              <w:rPr>
                <w:rStyle w:val="Hyperlink"/>
                <w:noProof/>
                <w:color w:val="000000" w:themeColor="text1"/>
                <w:lang w:val="en-GB"/>
              </w:rPr>
              <w:t>3.10 Ethical consideration</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_Toc135418910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24</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12" w:history="1">
            <w:r w:rsidR="00FF7BD8" w:rsidRPr="00E300D7">
              <w:rPr>
                <w:rStyle w:val="Hyperlink"/>
                <w:noProof/>
                <w:color w:val="000000" w:themeColor="text1"/>
                <w:lang w:val="en-GB"/>
              </w:rPr>
              <w:t>3.11 Reliability and Validity</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_Toc135418912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25</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13" w:history="1">
            <w:r w:rsidR="00FF7BD8" w:rsidRPr="00E300D7">
              <w:rPr>
                <w:rStyle w:val="Hyperlink"/>
                <w:noProof/>
                <w:color w:val="000000" w:themeColor="text1"/>
                <w:lang w:val="en-GB"/>
              </w:rPr>
              <w:t>3.12Chapter Summary</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_Toc135418913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25</w:t>
            </w:r>
            <w:r w:rsidR="00FF7BD8" w:rsidRPr="00E300D7">
              <w:rPr>
                <w:b/>
                <w:noProof/>
                <w:webHidden/>
                <w:color w:val="000000" w:themeColor="text1"/>
                <w:lang w:val="en-GB"/>
              </w:rPr>
              <w:fldChar w:fldCharType="end"/>
            </w:r>
          </w:hyperlink>
        </w:p>
        <w:p w:rsidR="00FF7BD8" w:rsidRPr="00E300D7" w:rsidRDefault="00000000" w:rsidP="00E64C7F">
          <w:pPr>
            <w:pStyle w:val="TOC1"/>
            <w:tabs>
              <w:tab w:val="right" w:leader="dot" w:pos="9019"/>
            </w:tabs>
            <w:jc w:val="center"/>
            <w:rPr>
              <w:rFonts w:eastAsiaTheme="minorEastAsia"/>
              <w:b/>
              <w:noProof/>
              <w:color w:val="000000" w:themeColor="text1"/>
              <w:lang w:val="en-GB"/>
            </w:rPr>
          </w:pPr>
          <w:hyperlink w:anchor="_Toc135418915" w:history="1">
            <w:r w:rsidR="00FF7BD8" w:rsidRPr="00E300D7">
              <w:rPr>
                <w:rStyle w:val="Hyperlink"/>
                <w:noProof/>
                <w:color w:val="000000" w:themeColor="text1"/>
                <w:lang w:val="en-GB"/>
              </w:rPr>
              <w:t>Chapter 4: Findings, Analysis and Discussion</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_Toc135418915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26</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16" w:history="1">
            <w:r w:rsidR="00FF7BD8" w:rsidRPr="00E300D7">
              <w:rPr>
                <w:rStyle w:val="Hyperlink"/>
                <w:noProof/>
                <w:color w:val="000000" w:themeColor="text1"/>
                <w:lang w:val="en-GB"/>
              </w:rPr>
              <w:t>4.1 Introduction</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_Toc135418916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26</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17" w:history="1">
            <w:r w:rsidR="00FF7BD8" w:rsidRPr="00E300D7">
              <w:rPr>
                <w:rStyle w:val="Hyperlink"/>
                <w:noProof/>
                <w:color w:val="000000" w:themeColor="text1"/>
                <w:lang w:val="en-GB"/>
              </w:rPr>
              <w:t>4.2 Findings</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_Toc135418917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26</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18" w:history="1">
            <w:r w:rsidR="00FF7BD8" w:rsidRPr="00E300D7">
              <w:rPr>
                <w:rStyle w:val="Hyperlink"/>
                <w:noProof/>
                <w:color w:val="000000" w:themeColor="text1"/>
                <w:lang w:val="en-GB"/>
              </w:rPr>
              <w:t>4.3 Secondary Data Analysis</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_Toc135418918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30</w:t>
            </w:r>
            <w:r w:rsidR="00FF7BD8" w:rsidRPr="00E300D7">
              <w:rPr>
                <w:b/>
                <w:noProof/>
                <w:webHidden/>
                <w:color w:val="000000" w:themeColor="text1"/>
                <w:lang w:val="en-GB"/>
              </w:rPr>
              <w:fldChar w:fldCharType="end"/>
            </w:r>
          </w:hyperlink>
        </w:p>
        <w:p w:rsidR="00FF7BD8" w:rsidRPr="00E300D7" w:rsidRDefault="00000000" w:rsidP="00E64C7F">
          <w:pPr>
            <w:pStyle w:val="TOC3"/>
            <w:tabs>
              <w:tab w:val="right" w:leader="dot" w:pos="9019"/>
            </w:tabs>
            <w:jc w:val="center"/>
            <w:rPr>
              <w:rFonts w:eastAsiaTheme="minorEastAsia"/>
              <w:b/>
              <w:noProof/>
              <w:color w:val="000000" w:themeColor="text1"/>
              <w:lang w:val="en-GB"/>
            </w:rPr>
          </w:pPr>
          <w:hyperlink w:anchor="_Toc135418919" w:history="1">
            <w:r w:rsidR="00FF7BD8" w:rsidRPr="00E300D7">
              <w:rPr>
                <w:rStyle w:val="Hyperlink"/>
                <w:noProof/>
                <w:color w:val="000000" w:themeColor="text1"/>
                <w:lang w:val="en-GB"/>
              </w:rPr>
              <w:t>4.3.1 Thematic Analysis</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_Toc135418919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30</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20" w:history="1">
            <w:r w:rsidR="00FF7BD8" w:rsidRPr="00E300D7">
              <w:rPr>
                <w:rStyle w:val="Hyperlink"/>
                <w:noProof/>
                <w:color w:val="000000" w:themeColor="text1"/>
                <w:lang w:val="en-GB"/>
              </w:rPr>
              <w:t>4.4 Discussion</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_Toc135418920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36</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21" w:history="1">
            <w:r w:rsidR="00FF7BD8" w:rsidRPr="00E300D7">
              <w:rPr>
                <w:rStyle w:val="Hyperlink"/>
                <w:noProof/>
                <w:color w:val="000000" w:themeColor="text1"/>
                <w:lang w:val="en-GB"/>
              </w:rPr>
              <w:t>4.5 Summary</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_Toc135418921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41</w:t>
            </w:r>
            <w:r w:rsidR="00FF7BD8" w:rsidRPr="00E300D7">
              <w:rPr>
                <w:b/>
                <w:noProof/>
                <w:webHidden/>
                <w:color w:val="000000" w:themeColor="text1"/>
                <w:lang w:val="en-GB"/>
              </w:rPr>
              <w:fldChar w:fldCharType="end"/>
            </w:r>
          </w:hyperlink>
        </w:p>
        <w:p w:rsidR="00FF7BD8" w:rsidRPr="00E300D7" w:rsidRDefault="00000000" w:rsidP="00E64C7F">
          <w:pPr>
            <w:pStyle w:val="TOC1"/>
            <w:tabs>
              <w:tab w:val="right" w:leader="dot" w:pos="9019"/>
            </w:tabs>
            <w:jc w:val="center"/>
            <w:rPr>
              <w:rFonts w:eastAsiaTheme="minorEastAsia"/>
              <w:b/>
              <w:noProof/>
              <w:color w:val="000000" w:themeColor="text1"/>
              <w:lang w:val="en-GB"/>
            </w:rPr>
          </w:pPr>
          <w:hyperlink w:anchor="_Toc135418922" w:history="1">
            <w:r w:rsidR="00FF7BD8" w:rsidRPr="00E300D7">
              <w:rPr>
                <w:rStyle w:val="Hyperlink"/>
                <w:noProof/>
                <w:color w:val="000000" w:themeColor="text1"/>
                <w:lang w:val="en-GB"/>
              </w:rPr>
              <w:t>Chapter 5: Conclusion and Recommendation</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_Toc135418922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42</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23" w:history="1">
            <w:r w:rsidR="00FF7BD8" w:rsidRPr="00E300D7">
              <w:rPr>
                <w:rStyle w:val="Hyperlink"/>
                <w:noProof/>
                <w:color w:val="000000" w:themeColor="text1"/>
                <w:lang w:val="en-GB"/>
              </w:rPr>
              <w:t>5.1 Conclusion</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_Toc135418923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42</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24" w:history="1">
            <w:r w:rsidR="00FF7BD8" w:rsidRPr="00E300D7">
              <w:rPr>
                <w:rStyle w:val="Hyperlink"/>
                <w:noProof/>
                <w:color w:val="000000" w:themeColor="text1"/>
                <w:lang w:val="en-GB"/>
              </w:rPr>
              <w:t>5.2 Linking with Objectives</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_Toc135418924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43</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25" w:history="1">
            <w:r w:rsidR="00FF7BD8" w:rsidRPr="00E300D7">
              <w:rPr>
                <w:rStyle w:val="Hyperlink"/>
                <w:noProof/>
                <w:color w:val="000000" w:themeColor="text1"/>
                <w:lang w:val="en-GB"/>
              </w:rPr>
              <w:t>5.3 Recommendation</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_Toc135418925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44</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26" w:history="1">
            <w:r w:rsidR="00FF7BD8" w:rsidRPr="00E300D7">
              <w:rPr>
                <w:rStyle w:val="Hyperlink"/>
                <w:noProof/>
                <w:color w:val="000000" w:themeColor="text1"/>
                <w:lang w:val="en-GB"/>
              </w:rPr>
              <w:t>5.4 Research Limitation</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_Toc135418926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45</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27" w:history="1">
            <w:r w:rsidR="00FF7BD8" w:rsidRPr="00E300D7">
              <w:rPr>
                <w:rStyle w:val="Hyperlink"/>
                <w:noProof/>
                <w:color w:val="000000" w:themeColor="text1"/>
                <w:lang w:val="en-GB"/>
              </w:rPr>
              <w:t>5.5 Future scope</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_Toc135418927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45</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29" w:history="1">
            <w:r w:rsidR="00FF7BD8" w:rsidRPr="00E300D7">
              <w:rPr>
                <w:rStyle w:val="Hyperlink"/>
                <w:noProof/>
                <w:color w:val="000000" w:themeColor="text1"/>
                <w:lang w:val="en-GB"/>
              </w:rPr>
              <w:t>References</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_Toc135418929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46</w:t>
            </w:r>
            <w:r w:rsidR="00FF7BD8" w:rsidRPr="00E300D7">
              <w:rPr>
                <w:b/>
                <w:noProof/>
                <w:webHidden/>
                <w:color w:val="000000" w:themeColor="text1"/>
                <w:lang w:val="en-GB"/>
              </w:rPr>
              <w:fldChar w:fldCharType="end"/>
            </w:r>
          </w:hyperlink>
        </w:p>
        <w:p w:rsidR="00FF7BD8" w:rsidRPr="00E300D7" w:rsidRDefault="00000000" w:rsidP="00E64C7F">
          <w:pPr>
            <w:pStyle w:val="TOC1"/>
            <w:tabs>
              <w:tab w:val="right" w:leader="dot" w:pos="9019"/>
            </w:tabs>
            <w:jc w:val="center"/>
            <w:rPr>
              <w:rFonts w:eastAsiaTheme="minorEastAsia"/>
              <w:b/>
              <w:noProof/>
              <w:color w:val="000000" w:themeColor="text1"/>
              <w:lang w:val="en-GB"/>
            </w:rPr>
          </w:pPr>
          <w:hyperlink w:anchor="_Toc135418966" w:history="1">
            <w:r w:rsidR="00FF7BD8" w:rsidRPr="00E300D7">
              <w:rPr>
                <w:rStyle w:val="Hyperlink"/>
                <w:noProof/>
                <w:color w:val="000000" w:themeColor="text1"/>
                <w:lang w:val="en-GB"/>
              </w:rPr>
              <w:t>Appendices</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_Toc135418966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57</w:t>
            </w:r>
            <w:r w:rsidR="00FF7BD8" w:rsidRPr="00E300D7">
              <w:rPr>
                <w:b/>
                <w:noProof/>
                <w:webHidden/>
                <w:color w:val="000000" w:themeColor="text1"/>
                <w:lang w:val="en-GB"/>
              </w:rPr>
              <w:fldChar w:fldCharType="end"/>
            </w:r>
          </w:hyperlink>
        </w:p>
        <w:p w:rsidR="00FF7BD8" w:rsidRPr="00E300D7" w:rsidRDefault="00000000" w:rsidP="00E64C7F">
          <w:pPr>
            <w:pStyle w:val="TOC2"/>
            <w:tabs>
              <w:tab w:val="right" w:leader="dot" w:pos="9019"/>
            </w:tabs>
            <w:jc w:val="center"/>
            <w:rPr>
              <w:rFonts w:eastAsiaTheme="minorEastAsia"/>
              <w:b/>
              <w:noProof/>
              <w:color w:val="000000" w:themeColor="text1"/>
              <w:lang w:val="en-GB"/>
            </w:rPr>
          </w:pPr>
          <w:hyperlink w:anchor="_Toc135418967" w:history="1">
            <w:r w:rsidR="00FF7BD8" w:rsidRPr="00E300D7">
              <w:rPr>
                <w:rStyle w:val="Hyperlink"/>
                <w:noProof/>
                <w:color w:val="000000" w:themeColor="text1"/>
                <w:lang w:val="en-GB"/>
              </w:rPr>
              <w:t>Appendix 1</w:t>
            </w:r>
            <w:r w:rsidR="00FF7BD8" w:rsidRPr="00E300D7">
              <w:rPr>
                <w:noProof/>
                <w:webHidden/>
                <w:color w:val="000000" w:themeColor="text1"/>
                <w:lang w:val="en-GB"/>
              </w:rPr>
              <w:tab/>
            </w:r>
            <w:r w:rsidR="00FF7BD8" w:rsidRPr="00E300D7">
              <w:rPr>
                <w:b/>
                <w:noProof/>
                <w:webHidden/>
                <w:color w:val="000000" w:themeColor="text1"/>
                <w:lang w:val="en-GB"/>
              </w:rPr>
              <w:fldChar w:fldCharType="begin"/>
            </w:r>
            <w:r w:rsidR="00FF7BD8" w:rsidRPr="00E300D7">
              <w:rPr>
                <w:noProof/>
                <w:webHidden/>
                <w:color w:val="000000" w:themeColor="text1"/>
                <w:lang w:val="en-GB"/>
              </w:rPr>
              <w:instrText xml:space="preserve"> PAGEREF _Toc135418967 \h </w:instrText>
            </w:r>
            <w:r w:rsidR="00FF7BD8" w:rsidRPr="00E300D7">
              <w:rPr>
                <w:b/>
                <w:noProof/>
                <w:webHidden/>
                <w:color w:val="000000" w:themeColor="text1"/>
                <w:lang w:val="en-GB"/>
              </w:rPr>
            </w:r>
            <w:r w:rsidR="00FF7BD8" w:rsidRPr="00E300D7">
              <w:rPr>
                <w:b/>
                <w:noProof/>
                <w:webHidden/>
                <w:color w:val="000000" w:themeColor="text1"/>
                <w:lang w:val="en-GB"/>
              </w:rPr>
              <w:fldChar w:fldCharType="separate"/>
            </w:r>
            <w:r w:rsidR="00FF7BD8" w:rsidRPr="00E300D7">
              <w:rPr>
                <w:noProof/>
                <w:webHidden/>
                <w:color w:val="000000" w:themeColor="text1"/>
                <w:lang w:val="en-GB"/>
              </w:rPr>
              <w:t>57</w:t>
            </w:r>
            <w:r w:rsidR="00FF7BD8" w:rsidRPr="00E300D7">
              <w:rPr>
                <w:b/>
                <w:noProof/>
                <w:webHidden/>
                <w:color w:val="000000" w:themeColor="text1"/>
                <w:lang w:val="en-GB"/>
              </w:rPr>
              <w:fldChar w:fldCharType="end"/>
            </w:r>
          </w:hyperlink>
        </w:p>
        <w:p w:rsidR="00FF7BD8" w:rsidRPr="00E300D7" w:rsidRDefault="00FF7BD8" w:rsidP="00E64C7F">
          <w:pPr>
            <w:jc w:val="center"/>
            <w:rPr>
              <w:b/>
              <w:lang w:val="en-GB"/>
            </w:rPr>
          </w:pPr>
          <w:r w:rsidRPr="00E300D7">
            <w:rPr>
              <w:b/>
              <w:bCs/>
              <w:noProof/>
              <w:color w:val="000000" w:themeColor="text1"/>
              <w:lang w:val="en-GB"/>
            </w:rPr>
            <w:fldChar w:fldCharType="end"/>
          </w:r>
        </w:p>
      </w:sdtContent>
    </w:sdt>
    <w:p w:rsidR="00AD15EA" w:rsidRPr="00E300D7" w:rsidRDefault="00AD15EA" w:rsidP="006C5310">
      <w:pPr>
        <w:rPr>
          <w:b/>
          <w:lang w:val="en-GB"/>
        </w:rPr>
      </w:pPr>
    </w:p>
    <w:p w:rsidR="00AD15EA" w:rsidRPr="00E300D7" w:rsidRDefault="00AD15EA" w:rsidP="006C5310">
      <w:pPr>
        <w:pStyle w:val="Normal1"/>
        <w:rPr>
          <w:b/>
          <w:lang w:val="en-GB"/>
        </w:rPr>
      </w:pPr>
    </w:p>
    <w:p w:rsidR="00AD15EA" w:rsidRPr="00E300D7" w:rsidRDefault="007008CE" w:rsidP="006C5310">
      <w:pPr>
        <w:pStyle w:val="Normal1"/>
        <w:rPr>
          <w:b/>
          <w:lang w:val="en-GB"/>
        </w:rPr>
      </w:pPr>
      <w:r w:rsidRPr="00E300D7">
        <w:rPr>
          <w:lang w:val="en-GB"/>
        </w:rPr>
        <w:br w:type="page"/>
      </w:r>
    </w:p>
    <w:p w:rsidR="00AD15EA" w:rsidRPr="00FE7CEA" w:rsidRDefault="007008CE" w:rsidP="006C5310">
      <w:pPr>
        <w:pStyle w:val="Heading1"/>
        <w:rPr>
          <w:b/>
          <w:bCs/>
          <w:lang w:val="en-GB"/>
        </w:rPr>
      </w:pPr>
      <w:bookmarkStart w:id="6" w:name="_Toc134035768"/>
      <w:bookmarkStart w:id="7" w:name="_Toc135417579"/>
      <w:bookmarkStart w:id="8" w:name="_Toc135418840"/>
      <w:r w:rsidRPr="00FE7CEA">
        <w:rPr>
          <w:b/>
          <w:bCs/>
          <w:lang w:val="en-GB"/>
        </w:rPr>
        <w:lastRenderedPageBreak/>
        <w:t>Chapter 1: Introduction</w:t>
      </w:r>
      <w:bookmarkEnd w:id="6"/>
      <w:bookmarkEnd w:id="7"/>
      <w:bookmarkEnd w:id="8"/>
    </w:p>
    <w:p w:rsidR="00AD15EA" w:rsidRPr="00E300D7" w:rsidRDefault="007008CE">
      <w:pPr>
        <w:pStyle w:val="Heading2"/>
        <w:rPr>
          <w:lang w:val="en-GB"/>
        </w:rPr>
      </w:pPr>
      <w:bookmarkStart w:id="9" w:name="_Toc134035769"/>
      <w:bookmarkStart w:id="10" w:name="_Toc135417580"/>
      <w:bookmarkStart w:id="11" w:name="_Toc135418841"/>
      <w:r w:rsidRPr="00E300D7">
        <w:rPr>
          <w:lang w:val="en-GB"/>
        </w:rPr>
        <w:t>1.0 Introduction</w:t>
      </w:r>
      <w:bookmarkEnd w:id="9"/>
      <w:bookmarkEnd w:id="10"/>
      <w:bookmarkEnd w:id="11"/>
    </w:p>
    <w:p w:rsidR="00FE7CEA" w:rsidRPr="00FE7CEA" w:rsidRDefault="00FE7CEA" w:rsidP="00FE7CEA">
      <w:bookmarkStart w:id="12" w:name="_Toc135417615"/>
      <w:bookmarkStart w:id="13" w:name="_Toc135418876"/>
      <w:r w:rsidRPr="00FE7CEA">
        <w:t xml:space="preserve">In international business management, the risks linked with the foreign exchange are important for the financial institutions to prevent the losses caused by the changes in the values of currencies. In the case of the investors, the reduction in the value of a currency can reduce the value of investment of the investor which can cause loss. In the case of any contract where the price for a specific product or service has been set along with the delivery date, the fluctuations in currency values can cause loss for any of the parties. Financial institutions such as the banks and </w:t>
      </w:r>
      <w:r w:rsidRPr="00FE7CEA">
        <w:rPr>
          <w:b/>
        </w:rPr>
        <w:t>Non-Banking</w:t>
      </w:r>
      <w:r w:rsidRPr="00FE7CEA">
        <w:t xml:space="preserve"> Financial Companies (NBFC) can affect an organisation heavily as these banks help small and medium sized organizations economically. These banks play an impotent role is sustainable economic growth by helping SMEs. directly and indirectly affected by the volatility in the exchange rate of the foreign currency.  The role of </w:t>
      </w:r>
      <w:proofErr w:type="gramStart"/>
      <w:r w:rsidRPr="00FE7CEA">
        <w:t>In</w:t>
      </w:r>
      <w:proofErr w:type="gramEnd"/>
      <w:r w:rsidRPr="00FE7CEA">
        <w:t xml:space="preserve"> international business, most the countries conduct the business by using the US dollar, and the value of the currency of a country against the US dollar makes an impact on the economy of the country. In recent days the dynamic nature of the geopolitics and the worldwide recession have influenced the value of the currencies of the countries against the US dollar. Enhancement in the exchange rate in this case induces the cost of production of the companies as well as triage prices of commodities (</w:t>
      </w:r>
      <w:proofErr w:type="spellStart"/>
      <w:r w:rsidRPr="00FE7CEA">
        <w:t>Keshtgar</w:t>
      </w:r>
      <w:proofErr w:type="spellEnd"/>
      <w:r w:rsidRPr="00FE7CEA">
        <w:t xml:space="preserve"> </w:t>
      </w:r>
      <w:r w:rsidRPr="00FE7CEA">
        <w:rPr>
          <w:i/>
        </w:rPr>
        <w:t xml:space="preserve">et al. </w:t>
      </w:r>
      <w:r w:rsidRPr="00FE7CEA">
        <w:t xml:space="preserve">2020). In this case, the chances of inflation in the countries have been induced, forcing the central banks of the countries to increase the interest for loans. It can reduce the investment in a country and can have a negative impact on the overall economy. The chance of generating </w:t>
      </w:r>
      <w:r w:rsidRPr="00FE7CEA">
        <w:rPr>
          <w:i/>
        </w:rPr>
        <w:t>“non-performing assets (NPA)”</w:t>
      </w:r>
      <w:r w:rsidRPr="00FE7CEA">
        <w:t xml:space="preserve"> has been induced which can affect the financial institutions in a country. </w:t>
      </w:r>
    </w:p>
    <w:p w:rsidR="00FE7CEA" w:rsidRPr="00FE7CEA" w:rsidRDefault="00FE7CEA" w:rsidP="00FE7CEA">
      <w:r w:rsidRPr="00FE7CEA">
        <w:t>Banks that are associated with the exchange of foreign currencies are directly impacted by the fluctuations in the foreign currencies. In the case of indirect effect, the changes in the attitude of borrowers and depositors can also enhance the risks of the financial institutions. The competitiveness in a market for domestic producers also has changed due to the fluctuations in the foreign currency. Enhancement in the exchange rate can induce the prices of the imported services and goods in a country that can increase the sales of the domestic businesses. On the other hand, the price of the exported goods of the country has been reduced, which can reduce the earning or revenue generation of the domestic companies along with the financial institutions (</w:t>
      </w:r>
      <w:r w:rsidRPr="00FE7CEA">
        <w:rPr>
          <w:highlight w:val="white"/>
        </w:rPr>
        <w:t>Thuy and Thuy, 2019</w:t>
      </w:r>
      <w:r w:rsidRPr="00FE7CEA">
        <w:t xml:space="preserve">). Financial institutions (FIs) faced different types of risks due to changes in the exchange rates of foreign currencies such as conversation risks, </w:t>
      </w:r>
      <w:r w:rsidRPr="00FE7CEA">
        <w:lastRenderedPageBreak/>
        <w:t xml:space="preserve">transaction risks, inflation risks, credit risks, and risks linked with the interest rate. Therefore, it is essential for the FIs in a country to manage these risks effectively. This research </w:t>
      </w:r>
      <w:proofErr w:type="spellStart"/>
      <w:r w:rsidRPr="00FE7CEA">
        <w:t>emphasises</w:t>
      </w:r>
      <w:proofErr w:type="spellEnd"/>
      <w:r w:rsidRPr="00FE7CEA">
        <w:t xml:space="preserve"> </w:t>
      </w:r>
      <w:proofErr w:type="spellStart"/>
      <w:r w:rsidRPr="00FE7CEA">
        <w:t>analysing</w:t>
      </w:r>
      <w:proofErr w:type="spellEnd"/>
      <w:r w:rsidRPr="00FE7CEA">
        <w:t xml:space="preserve"> the challenges linked with the fluctuations in foreign exchange for the financial institutions of a country. It also focuses on assessing the policies that can be taken for reducing the chances of risks properly. This research makes the target to provide some recommendations or solutions that can help the FIs of a country to prevent the risks effectively. </w:t>
      </w:r>
    </w:p>
    <w:p w:rsidR="00FE7CEA" w:rsidRPr="00FE7CEA" w:rsidRDefault="00FE7CEA" w:rsidP="00FE7CEA">
      <w:pPr>
        <w:pStyle w:val="Heading2"/>
        <w:rPr>
          <w:color w:val="000000" w:themeColor="text1"/>
        </w:rPr>
      </w:pPr>
      <w:bookmarkStart w:id="14" w:name="_Toc131527581"/>
      <w:r w:rsidRPr="00FE7CEA">
        <w:rPr>
          <w:color w:val="000000" w:themeColor="text1"/>
        </w:rPr>
        <w:t>1.1 Background</w:t>
      </w:r>
      <w:bookmarkEnd w:id="14"/>
    </w:p>
    <w:p w:rsidR="00FE7CEA" w:rsidRPr="00FE7CEA" w:rsidRDefault="00FE7CEA" w:rsidP="00FE7CEA">
      <w:r w:rsidRPr="00FE7CEA">
        <w:t xml:space="preserve">Currency exchange plays an effective role in the international business, and banks are linked with the currency exchange rate influenced directly by the volatility of the exchange rates in the market. The internal services of the banks and the amount of lending of banks are also influenced by the changes in the rates of exchange.  The in-demand investments analysis with </w:t>
      </w:r>
      <w:proofErr w:type="spellStart"/>
      <w:r w:rsidRPr="00FE7CEA">
        <w:t>programmes</w:t>
      </w:r>
      <w:proofErr w:type="spellEnd"/>
      <w:r w:rsidRPr="00FE7CEA">
        <w:t xml:space="preserve"> </w:t>
      </w:r>
      <w:proofErr w:type="spellStart"/>
      <w:r w:rsidRPr="00FE7CEA">
        <w:t>equipments</w:t>
      </w:r>
      <w:proofErr w:type="spellEnd"/>
      <w:r w:rsidRPr="00FE7CEA">
        <w:t xml:space="preserve"> is essential within the UK banking sectors. The FIs such as banks that are linked with the sale as well as the purchase of foreign currencies have become vulnerable in recent days because of the fluctuations of the currencies. In the case of the central banks of the countries, enhancement in the value of the foreign currencies induces the stability of the bank and it can provide more loans to the other banks of the countries. Enhancement of the valuation of the local currency against the foreign currency such as the US dollar helps the central banks to reduce the rate of interest that can attract the other banks to borrow from the central banks (</w:t>
      </w:r>
      <w:r w:rsidRPr="00FE7CEA">
        <w:rPr>
          <w:highlight w:val="white"/>
        </w:rPr>
        <w:t>Dada, 2021)</w:t>
      </w:r>
      <w:r w:rsidRPr="00FE7CEA">
        <w:t xml:space="preserve">. It is important for these banks to provide loans to more customers that can help in enhancing the chances of earning the banks. Enhancing the valuation of the local currencies is useful for the reduction of the inflation rate in a country that can induce the purchase ability of the customers in the market. Increased purchase enhances the sales of companies and the companies focus on investments for expanding the business. These organisations then focus on taking loans from the banks or the NBFCs that help in enhancing the earning of these FIs effectively. </w:t>
      </w:r>
    </w:p>
    <w:p w:rsidR="00FE7CEA" w:rsidRPr="00FE7CEA" w:rsidRDefault="00FE7CEA" w:rsidP="00FE7CEA">
      <w:r w:rsidRPr="00FE7CEA">
        <w:t xml:space="preserve">Less inflation is also effective in reducing the chances of generating NPAs of the FIs which is important for the growth of the banks in a country. Different types of risks such as the </w:t>
      </w:r>
      <w:r w:rsidRPr="00FE7CEA">
        <w:rPr>
          <w:i/>
        </w:rPr>
        <w:t>“transaction risks, translation risks, and the economic risks”</w:t>
      </w:r>
      <w:r w:rsidRPr="00FE7CEA">
        <w:t xml:space="preserve"> of the banks affect the banking sector because of the volatility in the exchange rates in the market. The transaction risks can occur when an organisation purchases the required products or services from the suppliers in a foreign country. For example, an UK organisation can keep the product price same in other countries to increase its profit margin to a great extent. Value of currencies plays an important </w:t>
      </w:r>
      <w:r w:rsidRPr="00FE7CEA">
        <w:lastRenderedPageBreak/>
        <w:t>role in the condition of the finance of a country which plays a major role in defining the economic condition of a country. In this case, the enhancement of the value of the currencies of the supplier countries can induce the prices of products as well as services of the countries. The purchaser needs to pay more to the suppliers which enhances pressure on the purchaser organisation (</w:t>
      </w:r>
      <w:r w:rsidRPr="00FE7CEA">
        <w:rPr>
          <w:highlight w:val="white"/>
        </w:rPr>
        <w:t xml:space="preserve">Tasnia </w:t>
      </w:r>
      <w:r w:rsidRPr="00FE7CEA">
        <w:rPr>
          <w:i/>
          <w:highlight w:val="white"/>
        </w:rPr>
        <w:t>et al.</w:t>
      </w:r>
      <w:r w:rsidRPr="00FE7CEA">
        <w:rPr>
          <w:highlight w:val="white"/>
        </w:rPr>
        <w:t xml:space="preserve"> 2021)</w:t>
      </w:r>
      <w:r w:rsidRPr="00FE7CEA">
        <w:t xml:space="preserve">. The financial loss of the purchaser organisation can reduce the chances of business expansion of the company or making investments. It reduces the requirement for loans that can affect the business of banks. The chances or the risks of NPA can also be induced because of the enhancement of pressure on the purchaser organisations that can affect the FIs in a country. The translation risks are mainly faced by the subsidiary organisations of a company. The reduction in the value of the currencies of the countries linked with the subsidiary companies can reduce the value of revenue generation by the organisation. It can also make an impact on the financial condition of the companies which can reduce the lending of the company. This situation affects the business of the banks linked with borrowing which also affects the earning of banks. </w:t>
      </w:r>
    </w:p>
    <w:p w:rsidR="00FE7CEA" w:rsidRPr="00FE7CEA" w:rsidRDefault="00FE7CEA" w:rsidP="00FE7CEA">
      <w:r w:rsidRPr="00FE7CEA">
        <w:t>The multinational companies mostly faced the issue of economic risks because of the frequent fluctuations in the rate of currencies in different countries. The subsidiary companies of large organisations in this case faced the challenges of currency fluctuation that affects the overall business of the main company. This adverse impact of the currency value changes reduces the lending capacity of the organisations and increases the probability of NPA (</w:t>
      </w:r>
      <w:r w:rsidRPr="00FE7CEA">
        <w:rPr>
          <w:b/>
        </w:rPr>
        <w:t>Non-performing</w:t>
      </w:r>
      <w:r w:rsidRPr="00FE7CEA">
        <w:t xml:space="preserve"> assets) that affects the business effectively. </w:t>
      </w:r>
    </w:p>
    <w:p w:rsidR="00FE7CEA" w:rsidRPr="00FE7CEA" w:rsidRDefault="00FE7CEA" w:rsidP="00FE7CEA">
      <w:pPr>
        <w:pStyle w:val="Normal1"/>
        <w:spacing w:before="180" w:after="240"/>
        <w:jc w:val="center"/>
        <w:rPr>
          <w:bCs/>
          <w:color w:val="000000" w:themeColor="text1"/>
        </w:rPr>
      </w:pPr>
      <w:r w:rsidRPr="00FE7CEA">
        <w:rPr>
          <w:bCs/>
          <w:noProof/>
          <w:color w:val="000000" w:themeColor="text1"/>
        </w:rPr>
        <w:drawing>
          <wp:inline distT="114300" distB="114300" distL="114300" distR="114300" wp14:anchorId="6D43CD59" wp14:editId="5D29C5DE">
            <wp:extent cx="5731200" cy="3035300"/>
            <wp:effectExtent l="25400" t="25400" r="25400" b="25400"/>
            <wp:docPr id="859756987" name="Picture 859756987"/>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3035300"/>
                    </a:xfrm>
                    <a:prstGeom prst="rect">
                      <a:avLst/>
                    </a:prstGeom>
                    <a:ln w="25400">
                      <a:solidFill>
                        <a:srgbClr val="000000"/>
                      </a:solidFill>
                      <a:prstDash val="solid"/>
                    </a:ln>
                  </pic:spPr>
                </pic:pic>
              </a:graphicData>
            </a:graphic>
          </wp:inline>
        </w:drawing>
      </w:r>
    </w:p>
    <w:p w:rsidR="00FE7CEA" w:rsidRPr="00FE7CEA" w:rsidRDefault="00FE7CEA" w:rsidP="00FE7CEA">
      <w:pPr>
        <w:jc w:val="center"/>
        <w:rPr>
          <w:b/>
          <w:bCs/>
        </w:rPr>
      </w:pPr>
      <w:r w:rsidRPr="00FE7CEA">
        <w:rPr>
          <w:b/>
          <w:bCs/>
        </w:rPr>
        <w:lastRenderedPageBreak/>
        <w:t>Figure 1.1: Fluctuations of the British Pound against the US dollar</w:t>
      </w:r>
    </w:p>
    <w:p w:rsidR="00FE7CEA" w:rsidRPr="00FE7CEA" w:rsidRDefault="00FE7CEA" w:rsidP="00FE7CEA">
      <w:pPr>
        <w:jc w:val="center"/>
        <w:rPr>
          <w:b/>
          <w:bCs/>
        </w:rPr>
      </w:pPr>
      <w:r w:rsidRPr="00FE7CEA">
        <w:rPr>
          <w:b/>
          <w:bCs/>
        </w:rPr>
        <w:t>(Source: tradingeconomics.com, 2023)</w:t>
      </w:r>
    </w:p>
    <w:p w:rsidR="00FE7CEA" w:rsidRPr="00FE7CEA" w:rsidRDefault="00FE7CEA" w:rsidP="00FE7CEA">
      <w:pPr>
        <w:rPr>
          <w:bCs/>
        </w:rPr>
      </w:pPr>
      <w:r w:rsidRPr="00FE7CEA">
        <w:rPr>
          <w:bCs/>
        </w:rPr>
        <w:t xml:space="preserve">The above diagram reflects the fluctuations in the British Pound against the US dollar. It reflects that in the last 8 to 9 years an increase, as well as a decrease in the valuation of the British Pound, can be observed against the US dollar which also makes an impact on the trade of the country as well as the earnings of the companies of the UK. This fluctuation makes an impact on the business of the FIs of the UK and effectively can influence the overall economic activity of the country. Therefore, management of these risks is important for the companies, countries, and the FIs in a country to maintain the sustainability of the economy as well as the business. For example, British organisations in this case have been focusing on the diversification of the facilities of production. Companies can deal with the reduction in the valuation of the currencies of a specific country that can hurt the business of the </w:t>
      </w:r>
      <w:proofErr w:type="spellStart"/>
      <w:r w:rsidRPr="00FE7CEA">
        <w:rPr>
          <w:bCs/>
        </w:rPr>
        <w:t>organisation</w:t>
      </w:r>
      <w:proofErr w:type="spellEnd"/>
      <w:r w:rsidRPr="00FE7CEA">
        <w:rPr>
          <w:bCs/>
        </w:rPr>
        <w:t xml:space="preserve"> (</w:t>
      </w:r>
      <w:proofErr w:type="spellStart"/>
      <w:r w:rsidRPr="00FE7CEA">
        <w:rPr>
          <w:bCs/>
          <w:highlight w:val="white"/>
        </w:rPr>
        <w:t>Gkillas</w:t>
      </w:r>
      <w:proofErr w:type="spellEnd"/>
      <w:r w:rsidRPr="00FE7CEA">
        <w:rPr>
          <w:bCs/>
          <w:highlight w:val="white"/>
        </w:rPr>
        <w:t xml:space="preserve"> </w:t>
      </w:r>
      <w:r w:rsidRPr="00FE7CEA">
        <w:rPr>
          <w:bCs/>
          <w:i/>
          <w:highlight w:val="white"/>
        </w:rPr>
        <w:t xml:space="preserve">et al. </w:t>
      </w:r>
      <w:r w:rsidRPr="00FE7CEA">
        <w:rPr>
          <w:bCs/>
          <w:highlight w:val="white"/>
        </w:rPr>
        <w:t>2020)</w:t>
      </w:r>
      <w:r w:rsidRPr="00FE7CEA">
        <w:rPr>
          <w:bCs/>
        </w:rPr>
        <w:t xml:space="preserve">. In recent days the companies and the countries </w:t>
      </w:r>
      <w:proofErr w:type="spellStart"/>
      <w:r w:rsidRPr="00FE7CEA">
        <w:rPr>
          <w:bCs/>
        </w:rPr>
        <w:t>emphasise</w:t>
      </w:r>
      <w:proofErr w:type="spellEnd"/>
      <w:r w:rsidRPr="00FE7CEA">
        <w:rPr>
          <w:bCs/>
        </w:rPr>
        <w:t xml:space="preserve"> using the domestic currencies instead of the US dollar for trading. It helps in reducing the demand for the US dollar in the market which can enhance the valuation of the US dollar. The reduction in the value of the US dollar is useful for countries to maintain the valuation of the domestic currencies which is important for maintaining the inflation as well as financial stability in a country. The banks also play an important role in this case to manage the flow of money in the market which is important for the economic stability of a country. </w:t>
      </w:r>
    </w:p>
    <w:p w:rsidR="00FE7CEA" w:rsidRPr="00FE7CEA" w:rsidRDefault="00FE7CEA" w:rsidP="00FE7CEA">
      <w:pPr>
        <w:rPr>
          <w:bCs/>
        </w:rPr>
      </w:pPr>
      <w:r w:rsidRPr="00FE7CEA">
        <w:rPr>
          <w:bCs/>
        </w:rPr>
        <w:t>Organisations and the banks' indecent days focus on the concept of forward contracts that helps the companies to make the payments as per the contract determined by the parties during the contract. In this case, the changes in the currency variations cannot make an impact on the payments of the parties. In some cases, the trend analysis of the changes is also important which influences the companies to make payments earlier which is important for avoiding the issue of a volatile exchange rate (</w:t>
      </w:r>
      <w:r w:rsidRPr="00FE7CEA">
        <w:rPr>
          <w:bCs/>
          <w:highlight w:val="white"/>
        </w:rPr>
        <w:t xml:space="preserve">Hamdi </w:t>
      </w:r>
      <w:r w:rsidRPr="00FE7CEA">
        <w:rPr>
          <w:bCs/>
          <w:i/>
          <w:highlight w:val="white"/>
        </w:rPr>
        <w:t xml:space="preserve">et al. </w:t>
      </w:r>
      <w:r w:rsidRPr="00FE7CEA">
        <w:rPr>
          <w:bCs/>
          <w:highlight w:val="white"/>
        </w:rPr>
        <w:t>2019)</w:t>
      </w:r>
      <w:r w:rsidRPr="00FE7CEA">
        <w:rPr>
          <w:bCs/>
        </w:rPr>
        <w:t xml:space="preserve">. The window forward system is another system that provides flexibility in the case of making contracts, and the payments of the organisations are not influenced by the changes in the valuation of currency with time. The use of the natural hedge and the </w:t>
      </w:r>
      <w:proofErr w:type="spellStart"/>
      <w:r w:rsidRPr="00FE7CEA">
        <w:rPr>
          <w:bCs/>
        </w:rPr>
        <w:t>utilisation</w:t>
      </w:r>
      <w:proofErr w:type="spellEnd"/>
      <w:r w:rsidRPr="00FE7CEA">
        <w:rPr>
          <w:bCs/>
        </w:rPr>
        <w:t xml:space="preserve"> of the payment solutions are effective for the FIs and other organisations to reduce the impact of fluctuations in the exchange rate. </w:t>
      </w:r>
    </w:p>
    <w:p w:rsidR="00FE7CEA" w:rsidRPr="00FE7CEA" w:rsidRDefault="00FE7CEA" w:rsidP="00FE7CEA">
      <w:pPr>
        <w:rPr>
          <w:b/>
          <w:bCs/>
        </w:rPr>
      </w:pPr>
      <w:bookmarkStart w:id="15" w:name="_Toc131527582"/>
      <w:r w:rsidRPr="00FE7CEA">
        <w:rPr>
          <w:b/>
          <w:bCs/>
        </w:rPr>
        <w:t>1.2 Aim and Objectives</w:t>
      </w:r>
      <w:bookmarkEnd w:id="15"/>
    </w:p>
    <w:p w:rsidR="00FE7CEA" w:rsidRPr="00FE7CEA" w:rsidRDefault="00FE7CEA" w:rsidP="00FE7CEA">
      <w:pPr>
        <w:rPr>
          <w:bCs/>
        </w:rPr>
      </w:pPr>
      <w:r w:rsidRPr="00FE7CEA">
        <w:rPr>
          <w:bCs/>
        </w:rPr>
        <w:t>Aim</w:t>
      </w:r>
    </w:p>
    <w:p w:rsidR="00FE7CEA" w:rsidRPr="00FE7CEA" w:rsidRDefault="00FE7CEA" w:rsidP="00FE7CEA">
      <w:pPr>
        <w:rPr>
          <w:bCs/>
          <w:i/>
        </w:rPr>
      </w:pPr>
      <w:r w:rsidRPr="00FE7CEA">
        <w:rPr>
          <w:bCs/>
        </w:rPr>
        <w:lastRenderedPageBreak/>
        <w:t xml:space="preserve">The aim of this research is </w:t>
      </w:r>
      <w:r w:rsidRPr="00FE7CEA">
        <w:rPr>
          <w:bCs/>
          <w:i/>
        </w:rPr>
        <w:t>to evaluate the strategies for managing the risks associated with the foreign exchange of the financial institutions.</w:t>
      </w:r>
    </w:p>
    <w:p w:rsidR="00FE7CEA" w:rsidRPr="00FE7CEA" w:rsidRDefault="00FE7CEA" w:rsidP="00FE7CEA">
      <w:pPr>
        <w:rPr>
          <w:bCs/>
        </w:rPr>
      </w:pPr>
      <w:r w:rsidRPr="00FE7CEA">
        <w:rPr>
          <w:bCs/>
        </w:rPr>
        <w:t>Objective</w:t>
      </w:r>
    </w:p>
    <w:p w:rsidR="00FE7CEA" w:rsidRPr="00FE7CEA" w:rsidRDefault="00FE7CEA" w:rsidP="00FE7CEA">
      <w:pPr>
        <w:rPr>
          <w:bCs/>
        </w:rPr>
      </w:pPr>
      <w:r w:rsidRPr="00FE7CEA">
        <w:rPr>
          <w:bCs/>
        </w:rPr>
        <w:t>To evaluate the main concept of the foreign exchange</w:t>
      </w:r>
    </w:p>
    <w:p w:rsidR="00FE7CEA" w:rsidRPr="00FE7CEA" w:rsidRDefault="00FE7CEA" w:rsidP="00FE7CEA">
      <w:pPr>
        <w:rPr>
          <w:bCs/>
        </w:rPr>
      </w:pPr>
      <w:r w:rsidRPr="00FE7CEA">
        <w:rPr>
          <w:bCs/>
        </w:rPr>
        <w:t xml:space="preserve">To assess the challenges faced by the FIs because of the volatility in foreign exchange </w:t>
      </w:r>
    </w:p>
    <w:p w:rsidR="00FE7CEA" w:rsidRPr="00FE7CEA" w:rsidRDefault="00FE7CEA" w:rsidP="00FE7CEA">
      <w:pPr>
        <w:rPr>
          <w:bCs/>
        </w:rPr>
      </w:pPr>
      <w:r w:rsidRPr="00FE7CEA">
        <w:rPr>
          <w:bCs/>
        </w:rPr>
        <w:t xml:space="preserve">To analyse the processes associated with the management of risks linked with the foreign exchange by the FIs </w:t>
      </w:r>
    </w:p>
    <w:p w:rsidR="00FE7CEA" w:rsidRPr="00FE7CEA" w:rsidRDefault="00FE7CEA" w:rsidP="00FE7CEA">
      <w:pPr>
        <w:rPr>
          <w:bCs/>
        </w:rPr>
      </w:pPr>
      <w:r w:rsidRPr="00FE7CEA">
        <w:rPr>
          <w:bCs/>
        </w:rPr>
        <w:t>To provide recommendations that can help the FIs in a country mitigate the possibilities of risks like the foreign exchange volatility</w:t>
      </w:r>
    </w:p>
    <w:p w:rsidR="00FE7CEA" w:rsidRPr="00FE7CEA" w:rsidRDefault="00FE7CEA" w:rsidP="00FE7CEA">
      <w:pPr>
        <w:rPr>
          <w:b/>
          <w:bCs/>
        </w:rPr>
      </w:pPr>
      <w:bookmarkStart w:id="16" w:name="_Toc131527583"/>
      <w:r w:rsidRPr="00FE7CEA">
        <w:rPr>
          <w:b/>
          <w:bCs/>
        </w:rPr>
        <w:t>1.3 Research Questions</w:t>
      </w:r>
      <w:bookmarkEnd w:id="16"/>
    </w:p>
    <w:p w:rsidR="00FE7CEA" w:rsidRPr="00FE7CEA" w:rsidRDefault="00FE7CEA" w:rsidP="00FE7CEA">
      <w:pPr>
        <w:rPr>
          <w:bCs/>
        </w:rPr>
      </w:pPr>
      <w:r w:rsidRPr="00FE7CEA">
        <w:rPr>
          <w:bCs/>
        </w:rPr>
        <w:t>Q.1. What is the main concept of the foreign exchange?</w:t>
      </w:r>
    </w:p>
    <w:p w:rsidR="00FE7CEA" w:rsidRPr="00FE7CEA" w:rsidRDefault="00FE7CEA" w:rsidP="00FE7CEA">
      <w:pPr>
        <w:rPr>
          <w:bCs/>
        </w:rPr>
      </w:pPr>
      <w:r w:rsidRPr="00FE7CEA">
        <w:rPr>
          <w:bCs/>
        </w:rPr>
        <w:t>Q.2. What are the challenges faced by the FIs because of the volatility in foreign exchange?</w:t>
      </w:r>
    </w:p>
    <w:p w:rsidR="00FE7CEA" w:rsidRPr="00FE7CEA" w:rsidRDefault="00FE7CEA" w:rsidP="00FE7CEA">
      <w:pPr>
        <w:rPr>
          <w:bCs/>
        </w:rPr>
      </w:pPr>
      <w:r w:rsidRPr="00FE7CEA">
        <w:rPr>
          <w:bCs/>
        </w:rPr>
        <w:t>Q.3. What are the processes associated with the management of risks linked with the foreign exchange by the FIs?</w:t>
      </w:r>
    </w:p>
    <w:p w:rsidR="00FE7CEA" w:rsidRPr="00FE7CEA" w:rsidRDefault="00FE7CEA" w:rsidP="00FE7CEA">
      <w:pPr>
        <w:rPr>
          <w:bCs/>
        </w:rPr>
      </w:pPr>
      <w:r w:rsidRPr="00FE7CEA">
        <w:rPr>
          <w:bCs/>
        </w:rPr>
        <w:t>Q.4. What are the recommendations that can help the FIs in a country to mitigate the possibilities of risks like the foreign exchange volatility?</w:t>
      </w:r>
    </w:p>
    <w:p w:rsidR="00FE7CEA" w:rsidRPr="00FE7CEA" w:rsidRDefault="00FE7CEA" w:rsidP="00FE7CEA">
      <w:pPr>
        <w:rPr>
          <w:b/>
          <w:bCs/>
        </w:rPr>
      </w:pPr>
      <w:bookmarkStart w:id="17" w:name="_Toc131527584"/>
      <w:r w:rsidRPr="00FE7CEA">
        <w:rPr>
          <w:b/>
          <w:bCs/>
        </w:rPr>
        <w:t>1.4 Rationale</w:t>
      </w:r>
      <w:bookmarkEnd w:id="17"/>
    </w:p>
    <w:p w:rsidR="00FE7CEA" w:rsidRPr="00FE7CEA" w:rsidRDefault="00FE7CEA" w:rsidP="00FE7CEA">
      <w:pPr>
        <w:rPr>
          <w:bCs/>
        </w:rPr>
      </w:pPr>
      <w:r w:rsidRPr="00FE7CEA">
        <w:rPr>
          <w:bCs/>
        </w:rPr>
        <w:t>The fluctuations in the exchange rate of the foreign currencies are linked with several factors and understanding these factors or the causes is important for the FIs to develop a strategy for mitigating the risks. Different macroeconomic factors are influenced by the geopolitical events that can influence the exchange rate of currencies. For example, the war between Russia and Ukraine along with the sanctions on Russia for exporting the natural gas as well as oil induces the prices of these energy resources in the world market (</w:t>
      </w:r>
      <w:r w:rsidRPr="00FE7CEA">
        <w:rPr>
          <w:bCs/>
          <w:highlight w:val="white"/>
        </w:rPr>
        <w:t xml:space="preserve">Singhal </w:t>
      </w:r>
      <w:r w:rsidRPr="00FE7CEA">
        <w:rPr>
          <w:bCs/>
          <w:i/>
          <w:highlight w:val="white"/>
        </w:rPr>
        <w:t xml:space="preserve">et al. </w:t>
      </w:r>
      <w:r w:rsidRPr="00FE7CEA">
        <w:rPr>
          <w:bCs/>
          <w:highlight w:val="white"/>
        </w:rPr>
        <w:t>2019)</w:t>
      </w:r>
      <w:r w:rsidRPr="00FE7CEA">
        <w:rPr>
          <w:bCs/>
        </w:rPr>
        <w:t xml:space="preserve">. The enhancement of the prices of oil and natural gas enhanced the inflation rate in different countries of the world and the federal bank of the USA induced the repo rate effectively to control the rate of inflation. This decision reduces the flow of dollars in the market and in the fear of turmoil, all the investors of the world focus on investing in the market of the USA because the market of the </w:t>
      </w:r>
      <w:r w:rsidRPr="00FE7CEA">
        <w:rPr>
          <w:bCs/>
        </w:rPr>
        <w:lastRenderedPageBreak/>
        <w:t xml:space="preserve">USA is considered the most stable market in the world. This type of situation induces the demand as well as the value of dollars in the world market. Therefore, it reflects that geopolitical events can influence the exchange rate of the countries effectively. </w:t>
      </w:r>
    </w:p>
    <w:p w:rsidR="00FE7CEA" w:rsidRPr="00FE7CEA" w:rsidRDefault="00FE7CEA" w:rsidP="00FE7CEA">
      <w:pPr>
        <w:rPr>
          <w:bCs/>
        </w:rPr>
      </w:pPr>
      <w:r w:rsidRPr="00FE7CEA">
        <w:rPr>
          <w:bCs/>
        </w:rPr>
        <w:t>However, the enhancement of the repo rate in the country reduces the capacity of the banks and other financial institutions to provide loans in the market. Reduction in the loan from FIs also affects the growth rate of the country effectively. It is the evidence that the macro economy of the countries is linked with the valuation of the currencies that can impact the trade as well as the overall economy of a country. Policies of the government play an important role in influencing foreign exchange rates that can influence the FIs in a country effectively. Taxes such as the import and the export duties imposed by the government also influence the exchange rate of the currencies (</w:t>
      </w:r>
      <w:r w:rsidRPr="00FE7CEA">
        <w:rPr>
          <w:bCs/>
          <w:highlight w:val="white"/>
        </w:rPr>
        <w:t>Jabeur</w:t>
      </w:r>
      <w:r w:rsidRPr="00FE7CEA">
        <w:rPr>
          <w:bCs/>
          <w:i/>
          <w:highlight w:val="white"/>
        </w:rPr>
        <w:t xml:space="preserve"> et al. </w:t>
      </w:r>
      <w:r w:rsidRPr="00FE7CEA">
        <w:rPr>
          <w:bCs/>
          <w:highlight w:val="white"/>
        </w:rPr>
        <w:t>2021)</w:t>
      </w:r>
      <w:r w:rsidRPr="00FE7CEA">
        <w:rPr>
          <w:bCs/>
        </w:rPr>
        <w:t xml:space="preserve">. The governments sometimes purchase the foreign currencies for enhancing the foreign exchange reserves of the country. It is important for the security of the country in this crucial time. However, this purchase of the foreign currencies induces the value of the foreign currencies as compared to the domestic currency which can influence the business operation of FIs. In some cases, the governments devalued the currencies to attract foreign investments in the country which is important for the growth of the economy of the country. However, this decision affects the transactions of the domestic businesses as well as the businesses of the FIs in the country. </w:t>
      </w:r>
    </w:p>
    <w:p w:rsidR="00FE7CEA" w:rsidRPr="00FE7CEA" w:rsidRDefault="00FE7CEA" w:rsidP="00FE7CEA">
      <w:pPr>
        <w:rPr>
          <w:bCs/>
        </w:rPr>
      </w:pPr>
      <w:r w:rsidRPr="00FE7CEA">
        <w:rPr>
          <w:bCs/>
        </w:rPr>
        <w:t>Sometimes the governments of the countries become unable to pay the debts taken from international organisations such as World Bank, IMF, and the other countries. This type of default case can affect the investment in that country, and force the government to change the policies regarding trade which can influence the rate of exchange. The collapse linked with the foreign governments can affect the countries that have made the contract with that country for payment of trading (</w:t>
      </w:r>
      <w:proofErr w:type="spellStart"/>
      <w:r w:rsidRPr="00FE7CEA">
        <w:rPr>
          <w:bCs/>
          <w:highlight w:val="white"/>
        </w:rPr>
        <w:t>Chukurna</w:t>
      </w:r>
      <w:proofErr w:type="spellEnd"/>
      <w:r w:rsidRPr="00FE7CEA">
        <w:rPr>
          <w:bCs/>
          <w:highlight w:val="white"/>
        </w:rPr>
        <w:t xml:space="preserve"> </w:t>
      </w:r>
      <w:r w:rsidRPr="00FE7CEA">
        <w:rPr>
          <w:bCs/>
          <w:i/>
          <w:highlight w:val="white"/>
        </w:rPr>
        <w:t>et al.</w:t>
      </w:r>
      <w:r w:rsidRPr="00FE7CEA">
        <w:rPr>
          <w:bCs/>
          <w:highlight w:val="white"/>
        </w:rPr>
        <w:t xml:space="preserve"> 2019)</w:t>
      </w:r>
      <w:r w:rsidRPr="00FE7CEA">
        <w:rPr>
          <w:bCs/>
        </w:rPr>
        <w:t xml:space="preserve">. Therefore, FIs of countries focus on monitoring the economic activities and policies of the other countries before making contracts of trade. This policy is effective in reducing the chances of risks. In recent days the countries and the organisations used several instruments for maintaining the exchange such as </w:t>
      </w:r>
      <w:r w:rsidRPr="00FE7CEA">
        <w:rPr>
          <w:bCs/>
          <w:i/>
        </w:rPr>
        <w:t>“currency swap, outright forwards, spot, foreign exchange (FX) swap”</w:t>
      </w:r>
      <w:r w:rsidRPr="00FE7CEA">
        <w:rPr>
          <w:bCs/>
        </w:rPr>
        <w:t xml:space="preserve">, and other instruments for maintaining the exchange effectively. </w:t>
      </w:r>
    </w:p>
    <w:p w:rsidR="00FE7CEA" w:rsidRPr="00FE7CEA" w:rsidRDefault="00FE7CEA" w:rsidP="00FE7CEA">
      <w:pPr>
        <w:rPr>
          <w:bCs/>
        </w:rPr>
      </w:pPr>
      <w:r w:rsidRPr="00FE7CEA">
        <w:rPr>
          <w:bCs/>
          <w:noProof/>
        </w:rPr>
        <w:lastRenderedPageBreak/>
        <w:drawing>
          <wp:inline distT="114300" distB="114300" distL="114300" distR="114300" wp14:anchorId="2698BD47" wp14:editId="4CA20849">
            <wp:extent cx="5731200" cy="2298700"/>
            <wp:effectExtent l="25400" t="25400" r="25400" b="25400"/>
            <wp:docPr id="186868293" name="Picture 186868293"/>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731200" cy="2298700"/>
                    </a:xfrm>
                    <a:prstGeom prst="rect">
                      <a:avLst/>
                    </a:prstGeom>
                    <a:ln w="25400">
                      <a:solidFill>
                        <a:srgbClr val="000000"/>
                      </a:solidFill>
                      <a:prstDash val="solid"/>
                    </a:ln>
                  </pic:spPr>
                </pic:pic>
              </a:graphicData>
            </a:graphic>
          </wp:inline>
        </w:drawing>
      </w:r>
    </w:p>
    <w:p w:rsidR="00FE7CEA" w:rsidRPr="00FE7CEA" w:rsidRDefault="00FE7CEA" w:rsidP="00FE7CEA">
      <w:pPr>
        <w:rPr>
          <w:bCs/>
        </w:rPr>
      </w:pPr>
      <w:r w:rsidRPr="00FE7CEA">
        <w:rPr>
          <w:bCs/>
        </w:rPr>
        <w:t xml:space="preserve">Figure 1.2: Turnover of the foreign exchange market by instrument </w:t>
      </w:r>
    </w:p>
    <w:p w:rsidR="00FE7CEA" w:rsidRPr="00FE7CEA" w:rsidRDefault="00FE7CEA" w:rsidP="00FE7CEA">
      <w:pPr>
        <w:rPr>
          <w:bCs/>
        </w:rPr>
      </w:pPr>
      <w:r w:rsidRPr="00FE7CEA">
        <w:rPr>
          <w:bCs/>
        </w:rPr>
        <w:t>(Source: bis.org, 2023)</w:t>
      </w:r>
    </w:p>
    <w:p w:rsidR="00FE7CEA" w:rsidRPr="00FE7CEA" w:rsidRDefault="00FE7CEA" w:rsidP="00FE7CEA">
      <w:pPr>
        <w:rPr>
          <w:bCs/>
        </w:rPr>
      </w:pPr>
      <w:r w:rsidRPr="00FE7CEA">
        <w:rPr>
          <w:bCs/>
        </w:rPr>
        <w:t xml:space="preserve">The above diagram reflects that the trade of the foreign exchange has been enhanced day by day, and the financial institutions used several instruments for this exchange. The survey of </w:t>
      </w:r>
      <w:r w:rsidRPr="00FE7CEA">
        <w:rPr>
          <w:bCs/>
          <w:i/>
        </w:rPr>
        <w:t>"The Bank of International Settlement (BIS)"</w:t>
      </w:r>
      <w:r w:rsidRPr="00FE7CEA">
        <w:rPr>
          <w:bCs/>
        </w:rPr>
        <w:t xml:space="preserve"> reflects that the trading of foreign exchange hits a record in 2022 with a $7.5 trillion exchange in a day. This 14% increase in the trading can be observed in the last 3 years (reuters.com, 2023). The organisations and the countries develop the forward contracts with FX providers and the other financial institutions such as banks for reducing the risks of the volatility in FX. It is an effective instrument that helps the parties to make payments according to the predetermined value of a business. This policy is useful for reducing the confusion between the two parties involved in international trade and also helps in reducing the pressure for making extra payments because of the changes in the rate of exchange of currencies. There are different steps linked with this forward contract. In this case, the exporting company or the country needs to accept the payment from the purchaser in a different currency. In this case the exporter companies or the cou8ntry snake contract with the FIs for negotiating the date for the forward rate (</w:t>
      </w:r>
      <w:r w:rsidRPr="00FE7CEA">
        <w:rPr>
          <w:bCs/>
          <w:highlight w:val="white"/>
        </w:rPr>
        <w:t xml:space="preserve">Hofmann </w:t>
      </w:r>
      <w:r w:rsidRPr="00FE7CEA">
        <w:rPr>
          <w:bCs/>
          <w:i/>
          <w:highlight w:val="white"/>
        </w:rPr>
        <w:t xml:space="preserve">et al. </w:t>
      </w:r>
      <w:r w:rsidRPr="00FE7CEA">
        <w:rPr>
          <w:bCs/>
          <w:highlight w:val="white"/>
        </w:rPr>
        <w:t>2020)</w:t>
      </w:r>
      <w:r w:rsidRPr="00FE7CEA">
        <w:rPr>
          <w:bCs/>
        </w:rPr>
        <w:t xml:space="preserve">. The FIs in this case play the role of intermediate between the two parties involved in trading regarding the terms and conditions of business as well as the processes of payment. The exporters in this case focus on making contracts with several FIs in the country for exchanging the currencies on a specific date. It is an effective policy in reducing the issues linked with volatility in FX. </w:t>
      </w:r>
    </w:p>
    <w:p w:rsidR="00FE7CEA" w:rsidRPr="00FE7CEA" w:rsidRDefault="00FE7CEA" w:rsidP="00FE7CEA">
      <w:pPr>
        <w:rPr>
          <w:bCs/>
        </w:rPr>
      </w:pPr>
      <w:r w:rsidRPr="00FE7CEA">
        <w:rPr>
          <w:bCs/>
        </w:rPr>
        <w:t xml:space="preserve">In some cases, the exporters demand the advance cash that is effective in reducing the risks of the companies effectively. However, this process is ideal for making small transactions and in </w:t>
      </w:r>
      <w:r w:rsidRPr="00FE7CEA">
        <w:rPr>
          <w:bCs/>
        </w:rPr>
        <w:lastRenderedPageBreak/>
        <w:t xml:space="preserve">the case of large payments, this method is not suitable. The exporters sometimes focus on opening an account in the bank for making transactions by exchanging currencies. This policy is useful for the exporter in case saving the fees of FX which is important for reducing the chances of risks for the exporter. Assessment of the cost as well as effort for maintaining this type of account on the bank is also useful in this case and can help in mitigating the chances of risks in the case of FX. Avoiding the </w:t>
      </w:r>
      <w:r w:rsidRPr="00FE7CEA">
        <w:rPr>
          <w:bCs/>
          <w:i/>
        </w:rPr>
        <w:t xml:space="preserve">“partially convertible currencies'' </w:t>
      </w:r>
      <w:r w:rsidRPr="00FE7CEA">
        <w:rPr>
          <w:bCs/>
        </w:rPr>
        <w:t>such as the Yuan of China is also important for reducing the chances of risks effectively (</w:t>
      </w:r>
      <w:proofErr w:type="spellStart"/>
      <w:r w:rsidRPr="00FE7CEA">
        <w:rPr>
          <w:bCs/>
          <w:highlight w:val="white"/>
        </w:rPr>
        <w:t>Vochozka</w:t>
      </w:r>
      <w:proofErr w:type="spellEnd"/>
      <w:r w:rsidRPr="00FE7CEA">
        <w:rPr>
          <w:bCs/>
          <w:highlight w:val="white"/>
        </w:rPr>
        <w:t xml:space="preserve"> </w:t>
      </w:r>
      <w:r w:rsidRPr="00FE7CEA">
        <w:rPr>
          <w:bCs/>
          <w:i/>
          <w:highlight w:val="white"/>
        </w:rPr>
        <w:t>et al.</w:t>
      </w:r>
      <w:r w:rsidRPr="00FE7CEA">
        <w:rPr>
          <w:bCs/>
          <w:highlight w:val="white"/>
        </w:rPr>
        <w:t xml:space="preserve"> 2020)</w:t>
      </w:r>
      <w:r w:rsidRPr="00FE7CEA">
        <w:rPr>
          <w:bCs/>
        </w:rPr>
        <w:t xml:space="preserve">. Therefore, the evaluation of this research is useful for understanding the factors linked with the issues in FX and the processes used by the financial institutions for reducing the issues effectively. The role of the government and the significance of long-term policies in case of avoiding the risks can also be understood by evaluating this research properly. </w:t>
      </w:r>
    </w:p>
    <w:p w:rsidR="00FE7CEA" w:rsidRPr="00FE7CEA" w:rsidRDefault="00FE7CEA" w:rsidP="00FE7CEA">
      <w:pPr>
        <w:rPr>
          <w:b/>
          <w:bCs/>
        </w:rPr>
      </w:pPr>
      <w:bookmarkStart w:id="18" w:name="_Toc131527585"/>
      <w:r w:rsidRPr="00FE7CEA">
        <w:rPr>
          <w:b/>
          <w:bCs/>
        </w:rPr>
        <w:t>1.5 Significance of the Research</w:t>
      </w:r>
      <w:bookmarkEnd w:id="18"/>
    </w:p>
    <w:p w:rsidR="00FE7CEA" w:rsidRPr="00FE7CEA" w:rsidRDefault="00FE7CEA" w:rsidP="00FE7CEA">
      <w:pPr>
        <w:rPr>
          <w:bCs/>
        </w:rPr>
      </w:pPr>
      <w:r w:rsidRPr="00FE7CEA">
        <w:rPr>
          <w:bCs/>
        </w:rPr>
        <w:t>The fluctuations in the FX have several impacts that can influence the economic activities of a county as well as affect the banking system of a country. Therefore, understanding the factors that make an impact on the FX rates and the impact of these factors are important for developing policies of management of this issue. This change in rates of FX mainly induces the pressure on the organisations involved in the international business. The banks in this case help these organisations to make payments to the foreign exporters, and also help in taking payments from the importers (</w:t>
      </w:r>
      <w:r w:rsidRPr="00FE7CEA">
        <w:rPr>
          <w:bCs/>
          <w:highlight w:val="white"/>
        </w:rPr>
        <w:t>Zhang</w:t>
      </w:r>
      <w:r w:rsidRPr="00FE7CEA">
        <w:rPr>
          <w:bCs/>
          <w:i/>
          <w:highlight w:val="white"/>
        </w:rPr>
        <w:t xml:space="preserve"> et al. </w:t>
      </w:r>
      <w:r w:rsidRPr="00FE7CEA">
        <w:rPr>
          <w:bCs/>
          <w:highlight w:val="white"/>
        </w:rPr>
        <w:t>2019)</w:t>
      </w:r>
      <w:r w:rsidRPr="00FE7CEA">
        <w:rPr>
          <w:bCs/>
        </w:rPr>
        <w:t xml:space="preserve">. Therefore, the liabilities of the banks depend on the businesses or the international trade between organisations and countries. Devaluation of the currency of a country in this case can enhance the prices of the exported products in the market that can enhance the rate of inflation in the market. In this type of situation, central banks of the countries such as the Federal Bank of the USA focus on developing a strategy for reducing the rate of inflation. The central banks enhance the repo rate which can restrict the banks to provide loans to the other banks in the country. It is effective for reducing inflation but this situation reduces the earning of the banks through loans and also restricts the investments of the organisations in the market. </w:t>
      </w:r>
    </w:p>
    <w:p w:rsidR="00FE7CEA" w:rsidRPr="00FE7CEA" w:rsidRDefault="00FE7CEA" w:rsidP="00FE7CEA">
      <w:pPr>
        <w:rPr>
          <w:bCs/>
        </w:rPr>
      </w:pPr>
      <w:r w:rsidRPr="00FE7CEA">
        <w:rPr>
          <w:bCs/>
        </w:rPr>
        <w:t xml:space="preserve">The central bank of countries also focuses on selling and purchasing the foreign currencies for maintaining the </w:t>
      </w:r>
      <w:r w:rsidRPr="00FE7CEA">
        <w:rPr>
          <w:bCs/>
          <w:i/>
        </w:rPr>
        <w:t>“balance of payment (BOP)”</w:t>
      </w:r>
      <w:r w:rsidRPr="00FE7CEA">
        <w:rPr>
          <w:bCs/>
        </w:rPr>
        <w:t xml:space="preserve"> which is important for the stability of the economy of a country. Devaluation of the currency of a country enhances the chances of other countries selling products at a lower rate in the country where the currency is devalued. This type of selling can affect the business of domestic companies in the country which reduces the </w:t>
      </w:r>
      <w:r w:rsidRPr="00FE7CEA">
        <w:rPr>
          <w:bCs/>
        </w:rPr>
        <w:lastRenderedPageBreak/>
        <w:t>revenue generation of domestic companies. It can also affect the business of banks in that country. Assessment of the risks is also important for the banks in this case to develop plans and to guide the organisations during the foreign trade (</w:t>
      </w:r>
      <w:r w:rsidRPr="00FE7CEA">
        <w:rPr>
          <w:bCs/>
          <w:highlight w:val="white"/>
        </w:rPr>
        <w:t xml:space="preserve">Van Eyden </w:t>
      </w:r>
      <w:r w:rsidRPr="00FE7CEA">
        <w:rPr>
          <w:bCs/>
          <w:i/>
          <w:highlight w:val="white"/>
        </w:rPr>
        <w:t>et al.</w:t>
      </w:r>
      <w:r w:rsidRPr="00FE7CEA">
        <w:rPr>
          <w:bCs/>
          <w:highlight w:val="white"/>
        </w:rPr>
        <w:t xml:space="preserve"> 2019)</w:t>
      </w:r>
      <w:r w:rsidRPr="00FE7CEA">
        <w:rPr>
          <w:bCs/>
        </w:rPr>
        <w:t xml:space="preserve">. The gathering of data by the banks in this case plays an important role in helping the banks to develop the strategies regarding the mitigation of risks in FX. These data are useful for banks to develop long-term policies and guide the organisations in using the proper instruments for FX. Technology is used by the FIs for gathering and </w:t>
      </w:r>
      <w:proofErr w:type="spellStart"/>
      <w:r w:rsidRPr="00FE7CEA">
        <w:rPr>
          <w:bCs/>
        </w:rPr>
        <w:t>analysing</w:t>
      </w:r>
      <w:proofErr w:type="spellEnd"/>
      <w:r w:rsidRPr="00FE7CEA">
        <w:rPr>
          <w:bCs/>
        </w:rPr>
        <w:t xml:space="preserve"> data. Technologies are useful for proper monitoring of the incidents that can influence the rates of FX. Therefore, it provides the ability of the banks regarding the future estimations of the changes in the rates of FX. </w:t>
      </w:r>
    </w:p>
    <w:p w:rsidR="00AD15EA" w:rsidRPr="00FE7CEA" w:rsidRDefault="00FE7CEA" w:rsidP="00FE7CEA">
      <w:pPr>
        <w:rPr>
          <w:bCs/>
          <w:lang w:val="en-GB"/>
        </w:rPr>
      </w:pPr>
      <w:r w:rsidRPr="00FE7CEA">
        <w:rPr>
          <w:bCs/>
        </w:rPr>
        <w:t xml:space="preserve">The multinational organisations and the countries focus on using </w:t>
      </w:r>
      <w:r w:rsidRPr="00FE7CEA">
        <w:rPr>
          <w:bCs/>
          <w:i/>
        </w:rPr>
        <w:t>“fully convertible currencies”</w:t>
      </w:r>
      <w:r w:rsidRPr="00FE7CEA">
        <w:rPr>
          <w:bCs/>
        </w:rPr>
        <w:t xml:space="preserve"> for making transactions such as Euro, Dollar, and others. Banks also influenced the organisations to use these currencies that have stability in the market and are accepted by most the countries in the world. In some countries, the banks or the financial institutions influence the organisations for using the digital currencies such as Bitcoin for this type of transaction. However, these digital currencies are unregulated and can enhance the issues in trade. Countries like El Salvador accept the digital currency as the legal currency which enhances the chances of the organisations of this country to use these currencies for making international trade (</w:t>
      </w:r>
      <w:r w:rsidRPr="00FE7CEA">
        <w:rPr>
          <w:bCs/>
          <w:highlight w:val="white"/>
        </w:rPr>
        <w:t xml:space="preserve">Akbar </w:t>
      </w:r>
      <w:r w:rsidRPr="00FE7CEA">
        <w:rPr>
          <w:bCs/>
          <w:i/>
          <w:highlight w:val="white"/>
        </w:rPr>
        <w:t>et al.</w:t>
      </w:r>
      <w:r w:rsidRPr="00FE7CEA">
        <w:rPr>
          <w:bCs/>
          <w:highlight w:val="white"/>
        </w:rPr>
        <w:t xml:space="preserve"> 2019)</w:t>
      </w:r>
      <w:r w:rsidRPr="00FE7CEA">
        <w:rPr>
          <w:bCs/>
        </w:rPr>
        <w:t xml:space="preserve">. For instance, Guatemala, the new central bank law strengthened around clarifying the monetary ability as a primary objective. FIs of the countries </w:t>
      </w:r>
      <w:proofErr w:type="spellStart"/>
      <w:r w:rsidRPr="00FE7CEA">
        <w:rPr>
          <w:bCs/>
        </w:rPr>
        <w:t>emphasise</w:t>
      </w:r>
      <w:proofErr w:type="spellEnd"/>
      <w:r w:rsidRPr="00FE7CEA">
        <w:rPr>
          <w:bCs/>
        </w:rPr>
        <w:t xml:space="preserve"> forward contracts for resolving these several issues linked with the volatility of FX in the market. It is useful</w:t>
      </w:r>
      <w:r>
        <w:rPr>
          <w:bCs/>
        </w:rPr>
        <w:t xml:space="preserve"> </w:t>
      </w:r>
      <w:r w:rsidRPr="00FE7CEA">
        <w:rPr>
          <w:bCs/>
        </w:rPr>
        <w:t>for the organisations to make payments according to the predetermined contract that helps in maintaining the budget of the organisations. The confusion and the conflicts between the exporters and the importers can also be resolved by using these forward contracts. The rule-based mechanism in considerations with policy analysis has been identified as an important factor.  For intervention of foreign exchange, the assessment of this study in this case can help the researcher in understanding the causes of issues linked with the fluctuations of the FX.</w:t>
      </w:r>
      <w:bookmarkEnd w:id="12"/>
      <w:bookmarkEnd w:id="13"/>
    </w:p>
    <w:p w:rsidR="00AD15EA" w:rsidRPr="00FE7CEA" w:rsidRDefault="007008CE" w:rsidP="00FE7CEA">
      <w:pPr>
        <w:rPr>
          <w:lang w:val="en-GB"/>
        </w:rPr>
      </w:pPr>
      <w:r w:rsidRPr="00FE7CEA">
        <w:rPr>
          <w:lang w:val="en-GB"/>
        </w:rPr>
        <w:br w:type="page"/>
      </w:r>
    </w:p>
    <w:p w:rsidR="00AD15EA" w:rsidRPr="00FE7CEA" w:rsidRDefault="007008CE" w:rsidP="006C5310">
      <w:pPr>
        <w:pStyle w:val="Heading1"/>
        <w:rPr>
          <w:b/>
          <w:bCs/>
          <w:lang w:val="en-GB"/>
        </w:rPr>
      </w:pPr>
      <w:bookmarkStart w:id="19" w:name="_Toc134034893"/>
      <w:bookmarkStart w:id="20" w:name="_Toc134035775"/>
      <w:bookmarkStart w:id="21" w:name="_Toc135417616"/>
      <w:bookmarkStart w:id="22" w:name="_Toc135418877"/>
      <w:r w:rsidRPr="00FE7CEA">
        <w:rPr>
          <w:b/>
          <w:bCs/>
          <w:lang w:val="en-GB"/>
        </w:rPr>
        <w:lastRenderedPageBreak/>
        <w:t>Chapter 2: Literature Review</w:t>
      </w:r>
      <w:bookmarkEnd w:id="19"/>
      <w:bookmarkEnd w:id="20"/>
      <w:bookmarkEnd w:id="21"/>
      <w:bookmarkEnd w:id="22"/>
    </w:p>
    <w:p w:rsidR="00AD15EA" w:rsidRPr="00E300D7" w:rsidRDefault="007008CE">
      <w:pPr>
        <w:pStyle w:val="Heading2"/>
        <w:rPr>
          <w:lang w:val="en-GB"/>
        </w:rPr>
      </w:pPr>
      <w:bookmarkStart w:id="23" w:name="_Toc134034894"/>
      <w:bookmarkStart w:id="24" w:name="_Toc134035776"/>
      <w:bookmarkStart w:id="25" w:name="_Toc135417617"/>
      <w:bookmarkStart w:id="26" w:name="_Toc135418878"/>
      <w:r w:rsidRPr="00E300D7">
        <w:rPr>
          <w:lang w:val="en-GB"/>
        </w:rPr>
        <w:t>2.0 Introduction</w:t>
      </w:r>
      <w:bookmarkEnd w:id="23"/>
      <w:bookmarkEnd w:id="24"/>
      <w:bookmarkEnd w:id="25"/>
      <w:bookmarkEnd w:id="26"/>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exchange of currency is associated with the change of the currency of a country with the currency of other countries. Different market forces such as the investment, trade, geopolitical situation, tourism, and several other factors influence the value of the currency of a country. The financial transaction between the international companies or countries, investments, and the cross-border trade all are influenced by the foreign exchange (FX). This section of the literature review illustrates the concept of FX and the role of financial institutions (FIs) in facing challenges linked with the volatility in FX. The strategies used by the FIs in mitigating the challenges are also illustrated in this section of the research.  </w:t>
      </w:r>
    </w:p>
    <w:p w:rsidR="00AD15EA" w:rsidRPr="00E300D7" w:rsidRDefault="007008CE">
      <w:pPr>
        <w:pStyle w:val="Heading2"/>
        <w:rPr>
          <w:lang w:val="en-GB"/>
        </w:rPr>
      </w:pPr>
      <w:bookmarkStart w:id="27" w:name="_Toc134034895"/>
      <w:bookmarkStart w:id="28" w:name="_Toc134035777"/>
      <w:bookmarkStart w:id="29" w:name="_Toc135417618"/>
      <w:bookmarkStart w:id="30" w:name="_Toc135418879"/>
      <w:r w:rsidRPr="00E300D7">
        <w:rPr>
          <w:lang w:val="en-GB"/>
        </w:rPr>
        <w:t>2.1 Conceptual framework</w:t>
      </w:r>
      <w:bookmarkEnd w:id="27"/>
      <w:bookmarkEnd w:id="28"/>
      <w:bookmarkEnd w:id="29"/>
      <w:bookmarkEnd w:id="30"/>
    </w:p>
    <w:p w:rsidR="00AD15EA" w:rsidRPr="00E300D7" w:rsidRDefault="003B4456">
      <w:pPr>
        <w:pStyle w:val="Normal2"/>
        <w:spacing w:before="180" w:after="240" w:line="360" w:lineRule="auto"/>
        <w:jc w:val="center"/>
        <w:rPr>
          <w:rFonts w:ascii="Times New Roman" w:eastAsia="Times New Roman" w:hAnsi="Times New Roman" w:cs="Times New Roman"/>
          <w:sz w:val="24"/>
          <w:szCs w:val="24"/>
          <w:lang w:val="en-GB"/>
        </w:rPr>
      </w:pPr>
      <w:r w:rsidRPr="00E300D7">
        <w:rPr>
          <w:b/>
          <w:noProof/>
          <w:lang w:val="en-GB"/>
        </w:rPr>
        <w:drawing>
          <wp:inline distT="0" distB="0" distL="0" distR="0">
            <wp:extent cx="5733415" cy="3456124"/>
            <wp:effectExtent l="38100" t="57150" r="114935" b="87176"/>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733415" cy="34561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D15EA" w:rsidRPr="00E300D7" w:rsidRDefault="007008CE" w:rsidP="00703621">
      <w:pPr>
        <w:pStyle w:val="Heading4"/>
      </w:pPr>
      <w:r w:rsidRPr="00E300D7">
        <w:t>Figure 2.1: Conceptual framework</w:t>
      </w:r>
    </w:p>
    <w:p w:rsidR="00DB0A3E" w:rsidRPr="00E300D7" w:rsidRDefault="00DB0A3E" w:rsidP="00DB0A3E">
      <w:pPr>
        <w:pStyle w:val="Normal1"/>
        <w:jc w:val="center"/>
        <w:rPr>
          <w:b/>
          <w:lang w:val="en-GB"/>
        </w:rPr>
      </w:pPr>
      <w:bookmarkStart w:id="31" w:name="_Toc135418880"/>
      <w:r w:rsidRPr="00E300D7">
        <w:rPr>
          <w:lang w:val="en-GB"/>
        </w:rPr>
        <w:t>(Source: Self-made)</w:t>
      </w:r>
      <w:bookmarkEnd w:id="31"/>
    </w:p>
    <w:p w:rsidR="00AD15EA" w:rsidRPr="00E300D7" w:rsidRDefault="007008CE">
      <w:pPr>
        <w:pStyle w:val="Heading2"/>
        <w:rPr>
          <w:lang w:val="en-GB"/>
        </w:rPr>
      </w:pPr>
      <w:bookmarkStart w:id="32" w:name="_Toc134034896"/>
      <w:bookmarkStart w:id="33" w:name="_Toc134035778"/>
      <w:bookmarkStart w:id="34" w:name="_Toc135417619"/>
      <w:bookmarkStart w:id="35" w:name="_Toc135418881"/>
      <w:r w:rsidRPr="00E300D7">
        <w:rPr>
          <w:lang w:val="en-GB"/>
        </w:rPr>
        <w:t>2.2 The concept of foreign exchange (FX) and types of the market of FX</w:t>
      </w:r>
      <w:bookmarkEnd w:id="32"/>
      <w:bookmarkEnd w:id="33"/>
      <w:bookmarkEnd w:id="34"/>
      <w:bookmarkEnd w:id="35"/>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lastRenderedPageBreak/>
        <w:t>The conversion of the currency of a particular country into the currency of another country is called foreign exchange. FX plays an important role in managing the global economy as well as the trade in the international market. Different financial transactions, exchange of the services as well as goods, and the investments are also depending on the FX. The rate of exchange is linked with the rate at which the currency of a country is exchanged into the currency of another country (</w:t>
      </w:r>
      <w:proofErr w:type="spellStart"/>
      <w:r w:rsidRPr="00E300D7">
        <w:rPr>
          <w:rFonts w:ascii="Times New Roman" w:eastAsia="Times New Roman" w:hAnsi="Times New Roman" w:cs="Times New Roman"/>
          <w:sz w:val="24"/>
          <w:szCs w:val="24"/>
          <w:highlight w:val="white"/>
          <w:lang w:val="en-GB"/>
        </w:rPr>
        <w:t>Fasanya</w:t>
      </w:r>
      <w:proofErr w:type="spellEnd"/>
      <w:r w:rsidR="00C570A7" w:rsidRPr="00E300D7">
        <w:rPr>
          <w:rFonts w:ascii="Times New Roman" w:eastAsia="Times New Roman" w:hAnsi="Times New Roman" w:cs="Times New Roman"/>
          <w:sz w:val="24"/>
          <w:szCs w:val="24"/>
          <w:highlight w:val="white"/>
          <w:lang w:val="en-GB"/>
        </w:rPr>
        <w:t xml:space="preserve"> </w:t>
      </w:r>
      <w:r w:rsidRPr="00E300D7">
        <w:rPr>
          <w:rFonts w:ascii="Times New Roman" w:eastAsia="Times New Roman" w:hAnsi="Times New Roman" w:cs="Times New Roman"/>
          <w:i/>
          <w:sz w:val="24"/>
          <w:szCs w:val="24"/>
          <w:highlight w:val="white"/>
          <w:lang w:val="en-GB"/>
        </w:rPr>
        <w:t xml:space="preserve">et al. </w:t>
      </w:r>
      <w:r w:rsidRPr="00E300D7">
        <w:rPr>
          <w:rFonts w:ascii="Times New Roman" w:eastAsia="Times New Roman" w:hAnsi="Times New Roman" w:cs="Times New Roman"/>
          <w:sz w:val="24"/>
          <w:szCs w:val="24"/>
          <w:highlight w:val="white"/>
          <w:lang w:val="en-GB"/>
        </w:rPr>
        <w:t>2021)</w:t>
      </w:r>
      <w:r w:rsidRPr="00E300D7">
        <w:rPr>
          <w:rFonts w:ascii="Times New Roman" w:eastAsia="Times New Roman" w:hAnsi="Times New Roman" w:cs="Times New Roman"/>
          <w:sz w:val="24"/>
          <w:szCs w:val="24"/>
          <w:lang w:val="en-GB"/>
        </w:rPr>
        <w:t xml:space="preserve">. The exchange rate is considered as floating and changes can be observed frequently with the changes in the demand or the supply in a specific market. The payments for the international business depend on the FX and trustworthiness is the key in this case for managing the FX system properly. Trustworthiness is linked with the obligations of the contracts between two parties engaged in international trade. The parties need to value the contractual obligations for maintaining the trustworthiness properly. </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Different types of FX markets are </w:t>
      </w:r>
      <w:r w:rsidRPr="00E300D7">
        <w:rPr>
          <w:rFonts w:ascii="Times New Roman" w:eastAsia="Times New Roman" w:hAnsi="Times New Roman" w:cs="Times New Roman"/>
          <w:b/>
          <w:i/>
          <w:sz w:val="24"/>
          <w:szCs w:val="24"/>
          <w:lang w:val="en-GB"/>
        </w:rPr>
        <w:t>spot market, forward, and future market</w:t>
      </w:r>
      <w:r w:rsidRPr="00E300D7">
        <w:rPr>
          <w:rFonts w:ascii="Times New Roman" w:eastAsia="Times New Roman" w:hAnsi="Times New Roman" w:cs="Times New Roman"/>
          <w:sz w:val="24"/>
          <w:szCs w:val="24"/>
          <w:lang w:val="en-GB"/>
        </w:rPr>
        <w:t xml:space="preserve">. A spot market is associated with the market where payments have been made immediately. In this market, the traders face the volatility of the rate of exchange that can induce or reduce the amount according to the agreement. The main players in this market are banks, central banks, brokers, dealers, speculators, and others. According to the data from </w:t>
      </w:r>
      <w:r w:rsidRPr="00E300D7">
        <w:rPr>
          <w:rFonts w:ascii="Times New Roman" w:eastAsia="Times New Roman" w:hAnsi="Times New Roman" w:cs="Times New Roman"/>
          <w:b/>
          <w:i/>
          <w:sz w:val="24"/>
          <w:szCs w:val="24"/>
          <w:lang w:val="en-GB"/>
        </w:rPr>
        <w:t>"The Bank of International Settlement (BIS)"</w:t>
      </w:r>
      <w:r w:rsidRPr="00E300D7">
        <w:rPr>
          <w:rFonts w:ascii="Times New Roman" w:eastAsia="Times New Roman" w:hAnsi="Times New Roman" w:cs="Times New Roman"/>
          <w:sz w:val="24"/>
          <w:szCs w:val="24"/>
          <w:lang w:val="en-GB"/>
        </w:rPr>
        <w:t xml:space="preserve"> 50% of the transactions in the FX market of FX are linked with the spot market (</w:t>
      </w:r>
      <w:r w:rsidRPr="00E300D7">
        <w:rPr>
          <w:rFonts w:ascii="Times New Roman" w:eastAsia="Times New Roman" w:hAnsi="Times New Roman" w:cs="Times New Roman"/>
          <w:sz w:val="24"/>
          <w:szCs w:val="24"/>
          <w:highlight w:val="white"/>
          <w:lang w:val="en-GB"/>
        </w:rPr>
        <w:t>Wen and Wang, 2020)</w:t>
      </w:r>
      <w:r w:rsidRPr="00E300D7">
        <w:rPr>
          <w:rFonts w:ascii="Times New Roman" w:eastAsia="Times New Roman" w:hAnsi="Times New Roman" w:cs="Times New Roman"/>
          <w:sz w:val="24"/>
          <w:szCs w:val="24"/>
          <w:lang w:val="en-GB"/>
        </w:rPr>
        <w:t xml:space="preserve">. The forward market is related to the contract between the two different parties for conducting trade in a specific data at a specific rate of exchange. In this market, no other banks or financial institutions are involved in the contract that enhances the risks of default by a party. Future markets also have similarities with the forward market. However, in this market, the exchange of currency is maintained by a central agency that reduces the chances of default by a party. </w:t>
      </w:r>
    </w:p>
    <w:p w:rsidR="00AD15EA" w:rsidRPr="00E300D7" w:rsidRDefault="007008CE">
      <w:pPr>
        <w:pStyle w:val="Heading2"/>
        <w:rPr>
          <w:lang w:val="en-GB"/>
        </w:rPr>
      </w:pPr>
      <w:bookmarkStart w:id="36" w:name="_Toc134034897"/>
      <w:bookmarkStart w:id="37" w:name="_Toc134035779"/>
      <w:bookmarkStart w:id="38" w:name="_Toc135417620"/>
      <w:bookmarkStart w:id="39" w:name="_Toc135418882"/>
      <w:r w:rsidRPr="00E300D7">
        <w:rPr>
          <w:lang w:val="en-GB"/>
        </w:rPr>
        <w:t>2.3 Factors associated with influencing volatility of the FX market</w:t>
      </w:r>
      <w:bookmarkEnd w:id="36"/>
      <w:bookmarkEnd w:id="37"/>
      <w:bookmarkEnd w:id="38"/>
      <w:bookmarkEnd w:id="39"/>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rate of inflation in a country influences the central banks of the country to enhance the rate of interest for lending. This strategy of the central bank reduces the flow of money in the market which helps in inducing the valuation of the currency of the country. On the other hand, a reduction in the interest rate can induce the cash flow in the market of a country and excessive availability of currencies in the market reduces the validation of the currency against the foreign currencies (</w:t>
      </w:r>
      <w:proofErr w:type="spellStart"/>
      <w:r w:rsidRPr="00E300D7">
        <w:rPr>
          <w:rFonts w:ascii="Times New Roman" w:eastAsia="Times New Roman" w:hAnsi="Times New Roman" w:cs="Times New Roman"/>
          <w:sz w:val="24"/>
          <w:szCs w:val="24"/>
          <w:highlight w:val="white"/>
          <w:lang w:val="en-GB"/>
        </w:rPr>
        <w:t>Plíhal</w:t>
      </w:r>
      <w:proofErr w:type="spellEnd"/>
      <w:r w:rsidRPr="00E300D7">
        <w:rPr>
          <w:rFonts w:ascii="Times New Roman" w:eastAsia="Times New Roman" w:hAnsi="Times New Roman" w:cs="Times New Roman"/>
          <w:sz w:val="24"/>
          <w:szCs w:val="24"/>
          <w:highlight w:val="white"/>
          <w:lang w:val="en-GB"/>
        </w:rPr>
        <w:t>, 2021</w:t>
      </w:r>
      <w:r w:rsidRPr="00E300D7">
        <w:rPr>
          <w:rFonts w:ascii="Times New Roman" w:eastAsia="Times New Roman" w:hAnsi="Times New Roman" w:cs="Times New Roman"/>
          <w:sz w:val="24"/>
          <w:szCs w:val="24"/>
          <w:lang w:val="en-GB"/>
        </w:rPr>
        <w:t xml:space="preserve">). It reflects the relationship between the inflation and interest rate of a </w:t>
      </w:r>
      <w:r w:rsidRPr="00E300D7">
        <w:rPr>
          <w:rFonts w:ascii="Times New Roman" w:eastAsia="Times New Roman" w:hAnsi="Times New Roman" w:cs="Times New Roman"/>
          <w:sz w:val="24"/>
          <w:szCs w:val="24"/>
          <w:lang w:val="en-GB"/>
        </w:rPr>
        <w:lastRenderedPageBreak/>
        <w:t xml:space="preserve">country that also influences the FX. </w:t>
      </w:r>
      <w:r w:rsidRPr="00E300D7">
        <w:rPr>
          <w:rFonts w:ascii="Times New Roman" w:eastAsia="Times New Roman" w:hAnsi="Times New Roman" w:cs="Times New Roman"/>
          <w:b/>
          <w:i/>
          <w:sz w:val="24"/>
          <w:szCs w:val="24"/>
          <w:lang w:val="en-GB"/>
        </w:rPr>
        <w:t>The "Balance of payment"</w:t>
      </w:r>
      <w:r w:rsidRPr="00E300D7">
        <w:rPr>
          <w:rFonts w:ascii="Times New Roman" w:eastAsia="Times New Roman" w:hAnsi="Times New Roman" w:cs="Times New Roman"/>
          <w:sz w:val="24"/>
          <w:szCs w:val="24"/>
          <w:lang w:val="en-GB"/>
        </w:rPr>
        <w:t xml:space="preserve">(BOP) of a country is determined by the amount of export and the </w:t>
      </w:r>
      <w:proofErr w:type="gramStart"/>
      <w:r w:rsidRPr="00E300D7">
        <w:rPr>
          <w:rFonts w:ascii="Times New Roman" w:eastAsia="Times New Roman" w:hAnsi="Times New Roman" w:cs="Times New Roman"/>
          <w:sz w:val="24"/>
          <w:szCs w:val="24"/>
          <w:lang w:val="en-GB"/>
        </w:rPr>
        <w:t>amount</w:t>
      </w:r>
      <w:proofErr w:type="gramEnd"/>
      <w:r w:rsidRPr="00E300D7">
        <w:rPr>
          <w:rFonts w:ascii="Times New Roman" w:eastAsia="Times New Roman" w:hAnsi="Times New Roman" w:cs="Times New Roman"/>
          <w:sz w:val="24"/>
          <w:szCs w:val="24"/>
          <w:lang w:val="en-GB"/>
        </w:rPr>
        <w:t xml:space="preserve"> of imports in the country. Excessive import of products is linked with purchasing foreign currency with the local currency that can devalue the local currency. More export than imports can help the countries to enhance the valuation of the local currency by enhancing the demand for local currency in the foreign exchange market which also influences the FX. Therefore, stability in the BOP is important for making the market of FX stable which is important for the sustainable business of FIs. Enhancement in the debt of the governments also induces pressure on the economy of a country that can cause inflation (</w:t>
      </w:r>
      <w:proofErr w:type="spellStart"/>
      <w:r w:rsidRPr="00E300D7">
        <w:rPr>
          <w:rFonts w:ascii="Times New Roman" w:eastAsia="Times New Roman" w:hAnsi="Times New Roman" w:cs="Times New Roman"/>
          <w:sz w:val="24"/>
          <w:szCs w:val="24"/>
          <w:highlight w:val="white"/>
          <w:lang w:val="en-GB"/>
        </w:rPr>
        <w:t>Thampanya</w:t>
      </w:r>
      <w:proofErr w:type="spellEnd"/>
      <w:r w:rsidR="00C570A7" w:rsidRPr="00E300D7">
        <w:rPr>
          <w:rFonts w:ascii="Times New Roman" w:eastAsia="Times New Roman" w:hAnsi="Times New Roman" w:cs="Times New Roman"/>
          <w:sz w:val="24"/>
          <w:szCs w:val="24"/>
          <w:highlight w:val="white"/>
          <w:lang w:val="en-GB"/>
        </w:rPr>
        <w:t xml:space="preserve"> </w:t>
      </w:r>
      <w:r w:rsidRPr="00E300D7">
        <w:rPr>
          <w:rFonts w:ascii="Times New Roman" w:eastAsia="Times New Roman" w:hAnsi="Times New Roman" w:cs="Times New Roman"/>
          <w:i/>
          <w:sz w:val="24"/>
          <w:szCs w:val="24"/>
          <w:highlight w:val="white"/>
          <w:lang w:val="en-GB"/>
        </w:rPr>
        <w:t>et al.</w:t>
      </w:r>
      <w:r w:rsidRPr="00E300D7">
        <w:rPr>
          <w:rFonts w:ascii="Times New Roman" w:eastAsia="Times New Roman" w:hAnsi="Times New Roman" w:cs="Times New Roman"/>
          <w:sz w:val="24"/>
          <w:szCs w:val="24"/>
          <w:highlight w:val="white"/>
          <w:lang w:val="en-GB"/>
        </w:rPr>
        <w:t xml:space="preserve"> 2020</w:t>
      </w:r>
      <w:r w:rsidRPr="00E300D7">
        <w:rPr>
          <w:rFonts w:ascii="Times New Roman" w:eastAsia="Times New Roman" w:hAnsi="Times New Roman" w:cs="Times New Roman"/>
          <w:sz w:val="24"/>
          <w:szCs w:val="24"/>
          <w:lang w:val="en-GB"/>
        </w:rPr>
        <w:t xml:space="preserve">). This inflation also can cause the devaluation of the currency of a country that influences the market of FX. Stability in the politics of a country is another factor that can influence the FX market and can create problems for FIs to manage a business. </w:t>
      </w:r>
    </w:p>
    <w:p w:rsidR="00AD15EA" w:rsidRPr="00E300D7" w:rsidRDefault="007008CE">
      <w:pPr>
        <w:pStyle w:val="Heading2"/>
        <w:rPr>
          <w:lang w:val="en-GB"/>
        </w:rPr>
      </w:pPr>
      <w:bookmarkStart w:id="40" w:name="_Toc134034898"/>
      <w:bookmarkStart w:id="41" w:name="_Toc134035780"/>
      <w:bookmarkStart w:id="42" w:name="_Toc135417621"/>
      <w:bookmarkStart w:id="43" w:name="_Toc135418883"/>
      <w:r w:rsidRPr="00E300D7">
        <w:rPr>
          <w:lang w:val="en-GB"/>
        </w:rPr>
        <w:t>2.4 Role of financial institutions (FIs) in managing the FX that is important for international trade</w:t>
      </w:r>
      <w:bookmarkEnd w:id="40"/>
      <w:bookmarkEnd w:id="41"/>
      <w:bookmarkEnd w:id="42"/>
      <w:bookmarkEnd w:id="43"/>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highest amount of the trade of currencies is conducted by the commercial as well as investment banks. The banks exchange the currencies for the traders and electronic networks are also used by the banks for exchanging the currencies for maintaining the trade of the international business organisations. Speculative trades are also conducted by the banks for their clients from the trading desk of the banks. Banks also act as the dealer of the clients and in this case, the "bid-ask spread" represents the profit of the banks. Speculative currency trade is also conducted for getting the profit during the fluctuation of currency (</w:t>
      </w:r>
      <w:r w:rsidRPr="00E300D7">
        <w:rPr>
          <w:rFonts w:ascii="Times New Roman" w:eastAsia="Times New Roman" w:hAnsi="Times New Roman" w:cs="Times New Roman"/>
          <w:sz w:val="24"/>
          <w:szCs w:val="24"/>
          <w:highlight w:val="white"/>
          <w:lang w:val="en-GB"/>
        </w:rPr>
        <w:t>Bloom, 2019)</w:t>
      </w:r>
      <w:r w:rsidRPr="00E300D7">
        <w:rPr>
          <w:rFonts w:ascii="Times New Roman" w:eastAsia="Times New Roman" w:hAnsi="Times New Roman" w:cs="Times New Roman"/>
          <w:sz w:val="24"/>
          <w:szCs w:val="24"/>
          <w:lang w:val="en-GB"/>
        </w:rPr>
        <w:t xml:space="preserve">. The value of the currency of a country is also influenced by the policies of the central banks of the countries. The regulations linked with the operations in the open market, and the changes in the rate of interest of the central banks also influence the value of the currency of a country in the market. For example, central banks of the countries can extract the currencies from the market by controlling the rate of interest as well as controlling the operations in the open market. This extraction is important for enhancing the value of the currency of the native country. It can help in reducing the losses of the companies of a country during the payment to the company of another country. </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On the other hand, the central bank of a country can </w:t>
      </w:r>
      <w:proofErr w:type="gramStart"/>
      <w:r w:rsidRPr="00E300D7">
        <w:rPr>
          <w:rFonts w:ascii="Times New Roman" w:eastAsia="Times New Roman" w:hAnsi="Times New Roman" w:cs="Times New Roman"/>
          <w:sz w:val="24"/>
          <w:szCs w:val="24"/>
          <w:lang w:val="en-GB"/>
        </w:rPr>
        <w:t>enhance</w:t>
      </w:r>
      <w:proofErr w:type="gramEnd"/>
      <w:r w:rsidRPr="00E300D7">
        <w:rPr>
          <w:rFonts w:ascii="Times New Roman" w:eastAsia="Times New Roman" w:hAnsi="Times New Roman" w:cs="Times New Roman"/>
          <w:sz w:val="24"/>
          <w:szCs w:val="24"/>
          <w:lang w:val="en-GB"/>
        </w:rPr>
        <w:t xml:space="preserve"> the cash flow in the market through its policies which can reduce the value of the currency of the country in the market. It is useful for attracting investment in the country that can provide benefits to the company in </w:t>
      </w:r>
      <w:r w:rsidRPr="00E300D7">
        <w:rPr>
          <w:rFonts w:ascii="Times New Roman" w:eastAsia="Times New Roman" w:hAnsi="Times New Roman" w:cs="Times New Roman"/>
          <w:sz w:val="24"/>
          <w:szCs w:val="24"/>
          <w:lang w:val="en-GB"/>
        </w:rPr>
        <w:lastRenderedPageBreak/>
        <w:t>the long run. It is also used by the central banks to enhance the exports of the companies in the markets which can induce the competitiveness for the exports among the organisations (</w:t>
      </w:r>
      <w:r w:rsidRPr="00E300D7">
        <w:rPr>
          <w:rFonts w:ascii="Times New Roman" w:eastAsia="Times New Roman" w:hAnsi="Times New Roman" w:cs="Times New Roman"/>
          <w:sz w:val="24"/>
          <w:szCs w:val="24"/>
          <w:highlight w:val="white"/>
          <w:lang w:val="en-GB"/>
        </w:rPr>
        <w:t>Sultan and Mohamed, 2023)</w:t>
      </w:r>
      <w:r w:rsidRPr="00E300D7">
        <w:rPr>
          <w:rFonts w:ascii="Times New Roman" w:eastAsia="Times New Roman" w:hAnsi="Times New Roman" w:cs="Times New Roman"/>
          <w:sz w:val="24"/>
          <w:szCs w:val="24"/>
          <w:lang w:val="en-GB"/>
        </w:rPr>
        <w:t xml:space="preserve">. Hedge funds and the investment managers also play a significant role in managing the forex market properly. The investment managers associated with the international portfolio purchase as well as sell the currencies for trading of the foreign securities. These investment managers also conducted the </w:t>
      </w:r>
      <w:r w:rsidRPr="00E300D7">
        <w:rPr>
          <w:rFonts w:ascii="Times New Roman" w:eastAsia="Times New Roman" w:hAnsi="Times New Roman" w:cs="Times New Roman"/>
          <w:b/>
          <w:i/>
          <w:sz w:val="24"/>
          <w:szCs w:val="24"/>
          <w:lang w:val="en-GB"/>
        </w:rPr>
        <w:t>“speculative forex trade”</w:t>
      </w:r>
      <w:r w:rsidRPr="00E300D7">
        <w:rPr>
          <w:rFonts w:ascii="Times New Roman" w:eastAsia="Times New Roman" w:hAnsi="Times New Roman" w:cs="Times New Roman"/>
          <w:sz w:val="24"/>
          <w:szCs w:val="24"/>
          <w:lang w:val="en-GB"/>
        </w:rPr>
        <w:t xml:space="preserve">. On the other hand, the hedge fund is associated with conducting the </w:t>
      </w:r>
      <w:r w:rsidRPr="00E300D7">
        <w:rPr>
          <w:rFonts w:ascii="Times New Roman" w:eastAsia="Times New Roman" w:hAnsi="Times New Roman" w:cs="Times New Roman"/>
          <w:b/>
          <w:i/>
          <w:sz w:val="24"/>
          <w:szCs w:val="24"/>
          <w:lang w:val="en-GB"/>
        </w:rPr>
        <w:t>“speculative currency trade”</w:t>
      </w:r>
      <w:r w:rsidRPr="00E300D7">
        <w:rPr>
          <w:rFonts w:ascii="Times New Roman" w:eastAsia="Times New Roman" w:hAnsi="Times New Roman" w:cs="Times New Roman"/>
          <w:sz w:val="24"/>
          <w:szCs w:val="24"/>
          <w:lang w:val="en-GB"/>
        </w:rPr>
        <w:t xml:space="preserve"> that is linked with the strategy of investments. </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strategy of the FIs influences the corporate earnings, inflation in a country, and also the </w:t>
      </w:r>
      <w:r w:rsidRPr="00E300D7">
        <w:rPr>
          <w:rFonts w:ascii="Times New Roman" w:eastAsia="Times New Roman" w:hAnsi="Times New Roman" w:cs="Times New Roman"/>
          <w:b/>
          <w:i/>
          <w:sz w:val="24"/>
          <w:szCs w:val="24"/>
          <w:lang w:val="en-GB"/>
        </w:rPr>
        <w:t>“balance of payment (BOP)”</w:t>
      </w:r>
      <w:r w:rsidRPr="00E300D7">
        <w:rPr>
          <w:rFonts w:ascii="Times New Roman" w:eastAsia="Times New Roman" w:hAnsi="Times New Roman" w:cs="Times New Roman"/>
          <w:sz w:val="24"/>
          <w:szCs w:val="24"/>
          <w:lang w:val="en-GB"/>
        </w:rPr>
        <w:t xml:space="preserve"> that can influence the business of the organisations as well as the international trade. For example, enhancement in the value of a country's currency of a country also induces the prices of the products of the company in the international market which can affect the sales of the products of the companies in the international market. The investors can also hesitate to invest in the market with higher rates of currencies that can reduce the rate of investment in a country (</w:t>
      </w:r>
      <w:r w:rsidRPr="00E300D7">
        <w:rPr>
          <w:rFonts w:ascii="Times New Roman" w:eastAsia="Times New Roman" w:hAnsi="Times New Roman" w:cs="Times New Roman"/>
          <w:sz w:val="24"/>
          <w:szCs w:val="24"/>
          <w:highlight w:val="white"/>
          <w:lang w:val="en-GB"/>
        </w:rPr>
        <w:t>Yang</w:t>
      </w:r>
      <w:r w:rsidRPr="00E300D7">
        <w:rPr>
          <w:rFonts w:ascii="Times New Roman" w:eastAsia="Times New Roman" w:hAnsi="Times New Roman" w:cs="Times New Roman"/>
          <w:i/>
          <w:sz w:val="24"/>
          <w:szCs w:val="24"/>
          <w:highlight w:val="white"/>
          <w:lang w:val="en-GB"/>
        </w:rPr>
        <w:t xml:space="preserve"> et al.</w:t>
      </w:r>
      <w:r w:rsidRPr="00E300D7">
        <w:rPr>
          <w:rFonts w:ascii="Times New Roman" w:eastAsia="Times New Roman" w:hAnsi="Times New Roman" w:cs="Times New Roman"/>
          <w:sz w:val="24"/>
          <w:szCs w:val="24"/>
          <w:highlight w:val="white"/>
          <w:lang w:val="en-GB"/>
        </w:rPr>
        <w:t xml:space="preserve"> 2019)</w:t>
      </w:r>
      <w:r w:rsidRPr="00E300D7">
        <w:rPr>
          <w:rFonts w:ascii="Times New Roman" w:eastAsia="Times New Roman" w:hAnsi="Times New Roman" w:cs="Times New Roman"/>
          <w:sz w:val="24"/>
          <w:szCs w:val="24"/>
          <w:lang w:val="en-GB"/>
        </w:rPr>
        <w:t xml:space="preserve">. On the other hand, devaluation of currency can boost the exports as well as can attract the investors in a country. Devaluation in the valuation of a currency can also induce the gap between the export and import value of trade. It can also affect the BOP of the country can have a negative impact on the economy of a country and can also influence international business. </w:t>
      </w:r>
    </w:p>
    <w:p w:rsidR="00AD15EA" w:rsidRPr="00E300D7" w:rsidRDefault="007008CE">
      <w:pPr>
        <w:pStyle w:val="Heading2"/>
        <w:rPr>
          <w:lang w:val="en-GB"/>
        </w:rPr>
      </w:pPr>
      <w:bookmarkStart w:id="44" w:name="_Toc134034899"/>
      <w:bookmarkStart w:id="45" w:name="_Toc134035781"/>
      <w:bookmarkStart w:id="46" w:name="_Toc135417622"/>
      <w:bookmarkStart w:id="47" w:name="_Toc135418884"/>
      <w:r w:rsidRPr="00E300D7">
        <w:rPr>
          <w:lang w:val="en-GB"/>
        </w:rPr>
        <w:t>2.5 Challenges of FIs due to the volatile rate of FX</w:t>
      </w:r>
      <w:bookmarkEnd w:id="44"/>
      <w:bookmarkEnd w:id="45"/>
      <w:bookmarkEnd w:id="46"/>
      <w:bookmarkEnd w:id="47"/>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FIs faced the challenges in case of the volatility of FX because of the trading of organisations in the currency of another country. The changes in the geopolitical situation and the overall economic condition of a country can create problems for the organisations to conduct the transactions properly. For example, a company in Canada conducts business with a Chinese company by using Yuan which is the currency of China. The impact on the economy of China, in this case, can create problems for the company of Canada to maintain the transactions properly (</w:t>
      </w:r>
      <w:r w:rsidRPr="00E300D7">
        <w:rPr>
          <w:rFonts w:ascii="Times New Roman" w:eastAsia="Times New Roman" w:hAnsi="Times New Roman" w:cs="Times New Roman"/>
          <w:sz w:val="24"/>
          <w:szCs w:val="24"/>
          <w:highlight w:val="white"/>
          <w:lang w:val="en-GB"/>
        </w:rPr>
        <w:t xml:space="preserve">Abdulkarim </w:t>
      </w:r>
      <w:r w:rsidRPr="00E300D7">
        <w:rPr>
          <w:rFonts w:ascii="Times New Roman" w:eastAsia="Times New Roman" w:hAnsi="Times New Roman" w:cs="Times New Roman"/>
          <w:i/>
          <w:sz w:val="24"/>
          <w:szCs w:val="24"/>
          <w:highlight w:val="white"/>
          <w:lang w:val="en-GB"/>
        </w:rPr>
        <w:t>et al.</w:t>
      </w:r>
      <w:r w:rsidRPr="00E300D7">
        <w:rPr>
          <w:rFonts w:ascii="Times New Roman" w:eastAsia="Times New Roman" w:hAnsi="Times New Roman" w:cs="Times New Roman"/>
          <w:sz w:val="24"/>
          <w:szCs w:val="24"/>
          <w:highlight w:val="white"/>
          <w:lang w:val="en-GB"/>
        </w:rPr>
        <w:t xml:space="preserve"> 2020)</w:t>
      </w:r>
      <w:r w:rsidRPr="00E300D7">
        <w:rPr>
          <w:rFonts w:ascii="Times New Roman" w:eastAsia="Times New Roman" w:hAnsi="Times New Roman" w:cs="Times New Roman"/>
          <w:sz w:val="24"/>
          <w:szCs w:val="24"/>
          <w:lang w:val="en-GB"/>
        </w:rPr>
        <w:t xml:space="preserve">. FIs linked with these types of transactions also faced the challenges to act as the third party for managing transactions. In this type of case, the Canadian company needs to develop the statement of transaction properly in the Canadian dollar but the frequent change in the value of the exchange rate induces the issue of the company to develop the statement of the financial transaction properly. </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b/>
          <w:i/>
          <w:sz w:val="24"/>
          <w:szCs w:val="24"/>
          <w:lang w:val="en-GB"/>
        </w:rPr>
        <w:lastRenderedPageBreak/>
        <w:t>Transaction risk</w:t>
      </w:r>
      <w:r w:rsidRPr="00E300D7">
        <w:rPr>
          <w:rFonts w:ascii="Times New Roman" w:eastAsia="Times New Roman" w:hAnsi="Times New Roman" w:cs="Times New Roman"/>
          <w:sz w:val="24"/>
          <w:szCs w:val="24"/>
          <w:lang w:val="en-GB"/>
        </w:rPr>
        <w:t xml:space="preserve"> is one of the risks faced by the FIs because of the volatility in the rate of exchange of the currencies. This risk can be generated by the changes in the FX rate before the development of settlements of transactions. This type of risk can cause the delay in the development of settlements and making contracts for payments that can slow down the transactions in the business (</w:t>
      </w:r>
      <w:r w:rsidRPr="00E300D7">
        <w:rPr>
          <w:rFonts w:ascii="Times New Roman" w:eastAsia="Times New Roman" w:hAnsi="Times New Roman" w:cs="Times New Roman"/>
          <w:sz w:val="24"/>
          <w:szCs w:val="24"/>
          <w:highlight w:val="white"/>
          <w:lang w:val="en-GB"/>
        </w:rPr>
        <w:t xml:space="preserve">Morina </w:t>
      </w:r>
      <w:r w:rsidRPr="00E300D7">
        <w:rPr>
          <w:rFonts w:ascii="Times New Roman" w:eastAsia="Times New Roman" w:hAnsi="Times New Roman" w:cs="Times New Roman"/>
          <w:i/>
          <w:sz w:val="24"/>
          <w:szCs w:val="24"/>
          <w:highlight w:val="white"/>
          <w:lang w:val="en-GB"/>
        </w:rPr>
        <w:t>et al.</w:t>
      </w:r>
      <w:r w:rsidRPr="00E300D7">
        <w:rPr>
          <w:rFonts w:ascii="Times New Roman" w:eastAsia="Times New Roman" w:hAnsi="Times New Roman" w:cs="Times New Roman"/>
          <w:sz w:val="24"/>
          <w:szCs w:val="24"/>
          <w:highlight w:val="white"/>
          <w:lang w:val="en-GB"/>
        </w:rPr>
        <w:t xml:space="preserve"> 2020)</w:t>
      </w:r>
      <w:r w:rsidRPr="00E300D7">
        <w:rPr>
          <w:rFonts w:ascii="Times New Roman" w:eastAsia="Times New Roman" w:hAnsi="Times New Roman" w:cs="Times New Roman"/>
          <w:sz w:val="24"/>
          <w:szCs w:val="24"/>
          <w:lang w:val="en-GB"/>
        </w:rPr>
        <w:t xml:space="preserve">. Forward contracts in this case are used as an option for resolving the issues linked with the transaction risks. </w:t>
      </w:r>
      <w:r w:rsidRPr="00E300D7">
        <w:rPr>
          <w:rFonts w:ascii="Times New Roman" w:eastAsia="Times New Roman" w:hAnsi="Times New Roman" w:cs="Times New Roman"/>
          <w:b/>
          <w:i/>
          <w:sz w:val="24"/>
          <w:szCs w:val="24"/>
          <w:lang w:val="en-GB"/>
        </w:rPr>
        <w:t>Economic risks</w:t>
      </w:r>
      <w:r w:rsidRPr="00E300D7">
        <w:rPr>
          <w:rFonts w:ascii="Times New Roman" w:eastAsia="Times New Roman" w:hAnsi="Times New Roman" w:cs="Times New Roman"/>
          <w:sz w:val="24"/>
          <w:szCs w:val="24"/>
          <w:lang w:val="en-GB"/>
        </w:rPr>
        <w:t xml:space="preserve"> are other risks that can have a negative impact on the business of the FIs. In this case, the fluctuations in the rate of FX can have an impact on the valuation of the companies. The companies also faced the issues to fulfil the payments to the FIs that are required for making payments to the other company of the other country. It can induce the pressure on the FIs and can affect the overall business growth of the FIs. </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Different types of geopolitical situations such as trade wars, conflicts, wars, and the tension between the countries can induce the chances of the economic risks. The regulations of the governments of the countries can also enhance the economic risks for the companies and the FIs. For example, the geopolitical situation and the government policies can induce the restrictions on the economy of a country. The government can influence the central banks to induce the Repo Rate of the banks that can extract the cash in the economy, and can also induce the import duty to restrict the import of goods from foreign markets (</w:t>
      </w:r>
      <w:r w:rsidRPr="00E300D7">
        <w:rPr>
          <w:rFonts w:ascii="Times New Roman" w:eastAsia="Times New Roman" w:hAnsi="Times New Roman" w:cs="Times New Roman"/>
          <w:sz w:val="24"/>
          <w:szCs w:val="24"/>
          <w:highlight w:val="white"/>
          <w:lang w:val="en-GB"/>
        </w:rPr>
        <w:t xml:space="preserve">Lawal </w:t>
      </w:r>
      <w:r w:rsidRPr="00E300D7">
        <w:rPr>
          <w:rFonts w:ascii="Times New Roman" w:eastAsia="Times New Roman" w:hAnsi="Times New Roman" w:cs="Times New Roman"/>
          <w:i/>
          <w:sz w:val="24"/>
          <w:szCs w:val="24"/>
          <w:highlight w:val="white"/>
          <w:lang w:val="en-GB"/>
        </w:rPr>
        <w:t>et al.</w:t>
      </w:r>
      <w:r w:rsidRPr="00E300D7">
        <w:rPr>
          <w:rFonts w:ascii="Times New Roman" w:eastAsia="Times New Roman" w:hAnsi="Times New Roman" w:cs="Times New Roman"/>
          <w:sz w:val="24"/>
          <w:szCs w:val="24"/>
          <w:highlight w:val="white"/>
          <w:lang w:val="en-GB"/>
        </w:rPr>
        <w:t xml:space="preserve"> 2022)</w:t>
      </w:r>
      <w:r w:rsidRPr="00E300D7">
        <w:rPr>
          <w:rFonts w:ascii="Times New Roman" w:eastAsia="Times New Roman" w:hAnsi="Times New Roman" w:cs="Times New Roman"/>
          <w:sz w:val="24"/>
          <w:szCs w:val="24"/>
          <w:lang w:val="en-GB"/>
        </w:rPr>
        <w:t xml:space="preserve">. This situation can induce the prices of the imported products and the reduction in income of people can reduce the demand for products. Therefore, it reflects that the regulations of the government play an important role in influencing the economic risks of the FIs linked with FX. </w:t>
      </w:r>
      <w:r w:rsidRPr="00E300D7">
        <w:rPr>
          <w:rFonts w:ascii="Times New Roman" w:eastAsia="Times New Roman" w:hAnsi="Times New Roman" w:cs="Times New Roman"/>
          <w:b/>
          <w:i/>
          <w:sz w:val="24"/>
          <w:szCs w:val="24"/>
          <w:lang w:val="en-GB"/>
        </w:rPr>
        <w:t>Translation risks</w:t>
      </w:r>
      <w:r w:rsidRPr="00E300D7">
        <w:rPr>
          <w:rFonts w:ascii="Times New Roman" w:eastAsia="Times New Roman" w:hAnsi="Times New Roman" w:cs="Times New Roman"/>
          <w:sz w:val="24"/>
          <w:szCs w:val="24"/>
          <w:lang w:val="en-GB"/>
        </w:rPr>
        <w:t xml:space="preserve"> are linked with the risks of a company when the company holds the liabilities, securities, and the assets in the foreign currency. The companies hold the assets and the liabilities in foreign currency in the hope of a good performance of the currency in the future that can benefit the organisation. </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FIs need to provide the financial statements to the government on a quarterly basis. The assets held by the companies in the market of other countries need to be converted to the local currency for developing the statement. However, the changes in the value of a currency can also induce the need of changing the statement of the company which can create complexities for the organisations (</w:t>
      </w:r>
      <w:r w:rsidRPr="00E300D7">
        <w:rPr>
          <w:rFonts w:ascii="Times New Roman" w:eastAsia="Times New Roman" w:hAnsi="Times New Roman" w:cs="Times New Roman"/>
          <w:sz w:val="24"/>
          <w:szCs w:val="24"/>
          <w:highlight w:val="white"/>
          <w:lang w:val="en-GB"/>
        </w:rPr>
        <w:t xml:space="preserve">Augustin </w:t>
      </w:r>
      <w:r w:rsidRPr="00E300D7">
        <w:rPr>
          <w:rFonts w:ascii="Times New Roman" w:eastAsia="Times New Roman" w:hAnsi="Times New Roman" w:cs="Times New Roman"/>
          <w:i/>
          <w:sz w:val="24"/>
          <w:szCs w:val="24"/>
          <w:highlight w:val="white"/>
          <w:lang w:val="en-GB"/>
        </w:rPr>
        <w:t xml:space="preserve">et al. </w:t>
      </w:r>
      <w:r w:rsidRPr="00E300D7">
        <w:rPr>
          <w:rFonts w:ascii="Times New Roman" w:eastAsia="Times New Roman" w:hAnsi="Times New Roman" w:cs="Times New Roman"/>
          <w:sz w:val="24"/>
          <w:szCs w:val="24"/>
          <w:highlight w:val="white"/>
          <w:lang w:val="en-GB"/>
        </w:rPr>
        <w:t>2020)</w:t>
      </w:r>
      <w:r w:rsidRPr="00E300D7">
        <w:rPr>
          <w:rFonts w:ascii="Times New Roman" w:eastAsia="Times New Roman" w:hAnsi="Times New Roman" w:cs="Times New Roman"/>
          <w:sz w:val="24"/>
          <w:szCs w:val="24"/>
          <w:lang w:val="en-GB"/>
        </w:rPr>
        <w:t xml:space="preserve">. The FIs also faced the challenges in case of trading with the foreign securities such as </w:t>
      </w:r>
      <w:r w:rsidRPr="00E300D7">
        <w:rPr>
          <w:rFonts w:ascii="Times New Roman" w:eastAsia="Times New Roman" w:hAnsi="Times New Roman" w:cs="Times New Roman"/>
          <w:b/>
          <w:i/>
          <w:sz w:val="24"/>
          <w:szCs w:val="24"/>
          <w:lang w:val="en-GB"/>
        </w:rPr>
        <w:t>“American Depository Receipts (ADRs), Global Depository Receipts (GDRs)”</w:t>
      </w:r>
      <w:r w:rsidRPr="00E300D7">
        <w:rPr>
          <w:rFonts w:ascii="Times New Roman" w:eastAsia="Times New Roman" w:hAnsi="Times New Roman" w:cs="Times New Roman"/>
          <w:sz w:val="24"/>
          <w:szCs w:val="24"/>
          <w:lang w:val="en-GB"/>
        </w:rPr>
        <w:t xml:space="preserve"> and other foreign securities due to the fluctuations in the exchange rate. The </w:t>
      </w:r>
      <w:r w:rsidRPr="00E300D7">
        <w:rPr>
          <w:rFonts w:ascii="Times New Roman" w:eastAsia="Times New Roman" w:hAnsi="Times New Roman" w:cs="Times New Roman"/>
          <w:sz w:val="24"/>
          <w:szCs w:val="24"/>
          <w:lang w:val="en-GB"/>
        </w:rPr>
        <w:lastRenderedPageBreak/>
        <w:t>value of the securities can also be influenced by the fluctuations that can affect the business of FIs. Taking loans in the foreign currency by the FIs is also risky. In this situation, the enhancement of the value of a foreign currency can force the FIs to pay more than the borrowing. Providing debt by the FIs in the foreign currencies can also enhance the chances of risks of the FIs (</w:t>
      </w:r>
      <w:r w:rsidRPr="00E300D7">
        <w:rPr>
          <w:rFonts w:ascii="Times New Roman" w:eastAsia="Times New Roman" w:hAnsi="Times New Roman" w:cs="Times New Roman"/>
          <w:sz w:val="24"/>
          <w:szCs w:val="24"/>
          <w:highlight w:val="white"/>
          <w:lang w:val="en-GB"/>
        </w:rPr>
        <w:t xml:space="preserve">Alexandre </w:t>
      </w:r>
      <w:r w:rsidRPr="00E300D7">
        <w:rPr>
          <w:rFonts w:ascii="Times New Roman" w:eastAsia="Times New Roman" w:hAnsi="Times New Roman" w:cs="Times New Roman"/>
          <w:i/>
          <w:sz w:val="24"/>
          <w:szCs w:val="24"/>
          <w:highlight w:val="white"/>
          <w:lang w:val="en-GB"/>
        </w:rPr>
        <w:t>et al.</w:t>
      </w:r>
      <w:r w:rsidRPr="00E300D7">
        <w:rPr>
          <w:rFonts w:ascii="Times New Roman" w:eastAsia="Times New Roman" w:hAnsi="Times New Roman" w:cs="Times New Roman"/>
          <w:sz w:val="24"/>
          <w:szCs w:val="24"/>
          <w:highlight w:val="white"/>
          <w:lang w:val="en-GB"/>
        </w:rPr>
        <w:t xml:space="preserve"> 2021)</w:t>
      </w:r>
      <w:r w:rsidRPr="00E300D7">
        <w:rPr>
          <w:rFonts w:ascii="Times New Roman" w:eastAsia="Times New Roman" w:hAnsi="Times New Roman" w:cs="Times New Roman"/>
          <w:sz w:val="24"/>
          <w:szCs w:val="24"/>
          <w:lang w:val="en-GB"/>
        </w:rPr>
        <w:t xml:space="preserve">. Devaluation of the value of the foreign currency can cause a loss of the FIs that can have a negative impact on the profit of the FIs. Purchasing the foreign securities and the currencies is also linked with the challenge for the FIs. Devaluation of the currencies and the value of securities in this case can cause loss for the FIs in the market. </w:t>
      </w:r>
    </w:p>
    <w:p w:rsidR="00AD15EA" w:rsidRPr="00E300D7" w:rsidRDefault="007008CE">
      <w:pPr>
        <w:pStyle w:val="Heading2"/>
        <w:rPr>
          <w:lang w:val="en-GB"/>
        </w:rPr>
      </w:pPr>
      <w:bookmarkStart w:id="48" w:name="_Toc134034900"/>
      <w:bookmarkStart w:id="49" w:name="_Toc134035782"/>
      <w:bookmarkStart w:id="50" w:name="_Toc135417623"/>
      <w:bookmarkStart w:id="51" w:name="_Toc135418885"/>
      <w:r w:rsidRPr="00E300D7">
        <w:rPr>
          <w:lang w:val="en-GB"/>
        </w:rPr>
        <w:t>2.6 Policies of FIs to Face the Challenges of FX</w:t>
      </w:r>
      <w:bookmarkEnd w:id="48"/>
      <w:bookmarkEnd w:id="49"/>
      <w:bookmarkEnd w:id="50"/>
      <w:bookmarkEnd w:id="51"/>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In the world, most the companies and the governments of countries use the American Dollar for maintaining transactions of a business. However, the new geopolitical system and the assessment of threat by the government and companies to make transactions in the US dollar influence the governments to make transactions in local currencies. FIs also focus on reducing the dependence of countries using the foreign currencies for maintaining the transaction of business. It is an effective method that can help the FIs to mitigate the chances of fluctuation in the rate of currencies during transactions. Improvements in the </w:t>
      </w:r>
      <w:r w:rsidRPr="00E300D7">
        <w:rPr>
          <w:rFonts w:ascii="Times New Roman" w:eastAsia="Times New Roman" w:hAnsi="Times New Roman" w:cs="Times New Roman"/>
          <w:b/>
          <w:i/>
          <w:sz w:val="24"/>
          <w:szCs w:val="24"/>
          <w:lang w:val="en-GB"/>
        </w:rPr>
        <w:t>commercial relationships</w:t>
      </w:r>
      <w:r w:rsidRPr="00E300D7">
        <w:rPr>
          <w:rFonts w:ascii="Times New Roman" w:eastAsia="Times New Roman" w:hAnsi="Times New Roman" w:cs="Times New Roman"/>
          <w:sz w:val="24"/>
          <w:szCs w:val="24"/>
          <w:lang w:val="en-GB"/>
        </w:rPr>
        <w:t xml:space="preserve"> are also important for reducing the chances of risks linked with FX (</w:t>
      </w:r>
      <w:proofErr w:type="spellStart"/>
      <w:r w:rsidRPr="00E300D7">
        <w:rPr>
          <w:rFonts w:ascii="Times New Roman" w:eastAsia="Times New Roman" w:hAnsi="Times New Roman" w:cs="Times New Roman"/>
          <w:sz w:val="24"/>
          <w:szCs w:val="24"/>
          <w:highlight w:val="white"/>
          <w:lang w:val="en-GB"/>
        </w:rPr>
        <w:t>Anjomshoae</w:t>
      </w:r>
      <w:proofErr w:type="spellEnd"/>
      <w:r w:rsidRPr="00E300D7">
        <w:rPr>
          <w:rFonts w:ascii="Times New Roman" w:eastAsia="Times New Roman" w:hAnsi="Times New Roman" w:cs="Times New Roman"/>
          <w:i/>
          <w:sz w:val="24"/>
          <w:szCs w:val="24"/>
          <w:highlight w:val="white"/>
          <w:lang w:val="en-GB"/>
        </w:rPr>
        <w:t xml:space="preserve"> et al. </w:t>
      </w:r>
      <w:r w:rsidRPr="00E300D7">
        <w:rPr>
          <w:rFonts w:ascii="Times New Roman" w:eastAsia="Times New Roman" w:hAnsi="Times New Roman" w:cs="Times New Roman"/>
          <w:sz w:val="24"/>
          <w:szCs w:val="24"/>
          <w:highlight w:val="white"/>
          <w:lang w:val="en-GB"/>
        </w:rPr>
        <w:t>2021</w:t>
      </w:r>
      <w:r w:rsidRPr="00E300D7">
        <w:rPr>
          <w:rFonts w:ascii="Times New Roman" w:eastAsia="Times New Roman" w:hAnsi="Times New Roman" w:cs="Times New Roman"/>
          <w:sz w:val="24"/>
          <w:szCs w:val="24"/>
          <w:lang w:val="en-GB"/>
        </w:rPr>
        <w:t xml:space="preserve">). In some cases, the international organisations are linked with the projects in the foreign countries that last a long time. In this long period, the fluctuations can occur normally and the contracts between the parties have been made accordingly. However, exceeding the normal limit of the fluctuations can create problems for the companies, and it can make a loss for the company in the market. Therefore, a good relationship is important between the parties to make negotiations in these situations, and FIs focus on this policy to avoid risks. </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b/>
          <w:i/>
          <w:sz w:val="24"/>
          <w:szCs w:val="24"/>
          <w:lang w:val="en-GB"/>
        </w:rPr>
        <w:t>“Forward exchange contracts”</w:t>
      </w:r>
      <w:r w:rsidRPr="00E300D7">
        <w:rPr>
          <w:rFonts w:ascii="Times New Roman" w:eastAsia="Times New Roman" w:hAnsi="Times New Roman" w:cs="Times New Roman"/>
          <w:sz w:val="24"/>
          <w:szCs w:val="24"/>
          <w:lang w:val="en-GB"/>
        </w:rPr>
        <w:t xml:space="preserve"> is also an effective policy where the organisations agreed to purchase foreign currency on a particular date in the future which is important for avoiding the risks of fluctuations. It is useful for avoiding the loss during a transaction with an organisation of a foreign country. A currency option is another strategy or the policy used by the organisation to sell or purchase currencies at a particular rate before the date specified in the contract. It is also useful for avoiding the risks in the markets linked with the volatile FX (</w:t>
      </w:r>
      <w:proofErr w:type="spellStart"/>
      <w:r w:rsidRPr="00E300D7">
        <w:rPr>
          <w:rFonts w:ascii="Times New Roman" w:eastAsia="Times New Roman" w:hAnsi="Times New Roman" w:cs="Times New Roman"/>
          <w:sz w:val="24"/>
          <w:szCs w:val="24"/>
          <w:highlight w:val="white"/>
          <w:lang w:val="en-GB"/>
        </w:rPr>
        <w:t>Hernawaty</w:t>
      </w:r>
      <w:proofErr w:type="spellEnd"/>
      <w:r w:rsidR="00C570A7" w:rsidRPr="00E300D7">
        <w:rPr>
          <w:rFonts w:ascii="Times New Roman" w:eastAsia="Times New Roman" w:hAnsi="Times New Roman" w:cs="Times New Roman"/>
          <w:sz w:val="24"/>
          <w:szCs w:val="24"/>
          <w:highlight w:val="white"/>
          <w:lang w:val="en-GB"/>
        </w:rPr>
        <w:t xml:space="preserve"> </w:t>
      </w:r>
      <w:r w:rsidRPr="00E300D7">
        <w:rPr>
          <w:rFonts w:ascii="Times New Roman" w:eastAsia="Times New Roman" w:hAnsi="Times New Roman" w:cs="Times New Roman"/>
          <w:i/>
          <w:sz w:val="24"/>
          <w:szCs w:val="24"/>
          <w:highlight w:val="white"/>
          <w:lang w:val="en-GB"/>
        </w:rPr>
        <w:t>et al.</w:t>
      </w:r>
      <w:r w:rsidRPr="00E300D7">
        <w:rPr>
          <w:rFonts w:ascii="Times New Roman" w:eastAsia="Times New Roman" w:hAnsi="Times New Roman" w:cs="Times New Roman"/>
          <w:sz w:val="24"/>
          <w:szCs w:val="24"/>
          <w:highlight w:val="white"/>
          <w:lang w:val="en-GB"/>
        </w:rPr>
        <w:t xml:space="preserve"> 2020)</w:t>
      </w:r>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b/>
          <w:i/>
          <w:sz w:val="24"/>
          <w:szCs w:val="24"/>
          <w:lang w:val="en-GB"/>
        </w:rPr>
        <w:t xml:space="preserve">“Money market hedging” </w:t>
      </w:r>
      <w:r w:rsidRPr="00E300D7">
        <w:rPr>
          <w:rFonts w:ascii="Times New Roman" w:eastAsia="Times New Roman" w:hAnsi="Times New Roman" w:cs="Times New Roman"/>
          <w:sz w:val="24"/>
          <w:szCs w:val="24"/>
          <w:lang w:val="en-GB"/>
        </w:rPr>
        <w:t xml:space="preserve">is another option used by the institutions for facing the challenges of the fluctuations in the FX. The money market is associated with </w:t>
      </w:r>
      <w:r w:rsidRPr="00E300D7">
        <w:rPr>
          <w:rFonts w:ascii="Times New Roman" w:eastAsia="Times New Roman" w:hAnsi="Times New Roman" w:cs="Times New Roman"/>
          <w:sz w:val="24"/>
          <w:szCs w:val="24"/>
          <w:lang w:val="en-GB"/>
        </w:rPr>
        <w:lastRenderedPageBreak/>
        <w:t>the market from which the organisations borrow or lend as per the needs of the companies. Borrowin</w:t>
      </w:r>
      <w:r w:rsidR="00C570A7" w:rsidRPr="00E300D7">
        <w:rPr>
          <w:rFonts w:ascii="Times New Roman" w:eastAsia="Times New Roman" w:hAnsi="Times New Roman" w:cs="Times New Roman"/>
          <w:sz w:val="24"/>
          <w:szCs w:val="24"/>
          <w:lang w:val="en-GB"/>
        </w:rPr>
        <w:t xml:space="preserve">g or lending foreign currencies, </w:t>
      </w:r>
      <w:r w:rsidRPr="00E300D7">
        <w:rPr>
          <w:rFonts w:ascii="Times New Roman" w:eastAsia="Times New Roman" w:hAnsi="Times New Roman" w:cs="Times New Roman"/>
          <w:sz w:val="24"/>
          <w:szCs w:val="24"/>
          <w:lang w:val="en-GB"/>
        </w:rPr>
        <w:t>as per the requirement of companies</w:t>
      </w:r>
      <w:r w:rsidR="00C570A7" w:rsidRPr="00E300D7">
        <w:rPr>
          <w:rFonts w:ascii="Times New Roman" w:eastAsia="Times New Roman" w:hAnsi="Times New Roman" w:cs="Times New Roman"/>
          <w:sz w:val="24"/>
          <w:szCs w:val="24"/>
          <w:lang w:val="en-GB"/>
        </w:rPr>
        <w:t>,</w:t>
      </w:r>
      <w:r w:rsidRPr="00E300D7">
        <w:rPr>
          <w:rFonts w:ascii="Times New Roman" w:eastAsia="Times New Roman" w:hAnsi="Times New Roman" w:cs="Times New Roman"/>
          <w:sz w:val="24"/>
          <w:szCs w:val="24"/>
          <w:lang w:val="en-GB"/>
        </w:rPr>
        <w:t xml:space="preserve"> can help the companies to reduce the chances of risks effectively.  </w:t>
      </w:r>
    </w:p>
    <w:p w:rsidR="00AD15EA" w:rsidRPr="00E300D7" w:rsidRDefault="007008CE">
      <w:pPr>
        <w:pStyle w:val="Heading2"/>
        <w:rPr>
          <w:lang w:val="en-GB"/>
        </w:rPr>
      </w:pPr>
      <w:bookmarkStart w:id="52" w:name="_Toc134034901"/>
      <w:bookmarkStart w:id="53" w:name="_Toc134035783"/>
      <w:bookmarkStart w:id="54" w:name="_Toc135417624"/>
      <w:bookmarkStart w:id="55" w:name="_Toc135418886"/>
      <w:r w:rsidRPr="00E300D7">
        <w:rPr>
          <w:lang w:val="en-GB"/>
        </w:rPr>
        <w:t>2.7 Theoretical analysis</w:t>
      </w:r>
      <w:bookmarkEnd w:id="52"/>
      <w:bookmarkEnd w:id="53"/>
      <w:bookmarkEnd w:id="54"/>
      <w:bookmarkEnd w:id="55"/>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Different theories can be used for evaluating the factors linked with the changes in the rate of foreign currencies and also helps in understanding the impact of the fluctuation of the rate of FX. The theory of </w:t>
      </w:r>
      <w:r w:rsidRPr="00E300D7">
        <w:rPr>
          <w:rFonts w:ascii="Times New Roman" w:eastAsia="Times New Roman" w:hAnsi="Times New Roman" w:cs="Times New Roman"/>
          <w:b/>
          <w:i/>
          <w:sz w:val="24"/>
          <w:szCs w:val="24"/>
          <w:lang w:val="en-GB"/>
        </w:rPr>
        <w:t>“purchasing power parity”</w:t>
      </w:r>
      <w:r w:rsidRPr="00E300D7">
        <w:rPr>
          <w:rFonts w:ascii="Times New Roman" w:eastAsia="Times New Roman" w:hAnsi="Times New Roman" w:cs="Times New Roman"/>
          <w:sz w:val="24"/>
          <w:szCs w:val="24"/>
          <w:lang w:val="en-GB"/>
        </w:rPr>
        <w:t xml:space="preserve"> (PPP) is one of the theories that can help in understanding the factors of the volatility of the FX. This theory reflects that the spot rate has changed during the exchange of foreign currencies due to the differences in the rate of inflation in the countries (</w:t>
      </w:r>
      <w:proofErr w:type="spellStart"/>
      <w:r w:rsidRPr="00E300D7">
        <w:rPr>
          <w:rFonts w:ascii="Times New Roman" w:eastAsia="Times New Roman" w:hAnsi="Times New Roman" w:cs="Times New Roman"/>
          <w:sz w:val="24"/>
          <w:szCs w:val="24"/>
          <w:highlight w:val="white"/>
          <w:lang w:val="en-GB"/>
        </w:rPr>
        <w:t>Alsmadi</w:t>
      </w:r>
      <w:proofErr w:type="spellEnd"/>
      <w:r w:rsidRPr="00E300D7">
        <w:rPr>
          <w:rFonts w:ascii="Times New Roman" w:eastAsia="Times New Roman" w:hAnsi="Times New Roman" w:cs="Times New Roman"/>
          <w:i/>
          <w:sz w:val="24"/>
          <w:szCs w:val="24"/>
          <w:highlight w:val="white"/>
          <w:lang w:val="en-GB"/>
        </w:rPr>
        <w:t xml:space="preserve"> et al. </w:t>
      </w:r>
      <w:r w:rsidRPr="00E300D7">
        <w:rPr>
          <w:rFonts w:ascii="Times New Roman" w:eastAsia="Times New Roman" w:hAnsi="Times New Roman" w:cs="Times New Roman"/>
          <w:sz w:val="24"/>
          <w:szCs w:val="24"/>
          <w:highlight w:val="white"/>
          <w:lang w:val="en-GB"/>
        </w:rPr>
        <w:t>2022)</w:t>
      </w:r>
      <w:r w:rsidRPr="00E300D7">
        <w:rPr>
          <w:rFonts w:ascii="Times New Roman" w:eastAsia="Times New Roman" w:hAnsi="Times New Roman" w:cs="Times New Roman"/>
          <w:sz w:val="24"/>
          <w:szCs w:val="24"/>
          <w:lang w:val="en-GB"/>
        </w:rPr>
        <w:t xml:space="preserve">. The experts in this case focus on calculating the FX rate of the currency in this case which can help in purchasing products from another country. This theory helps the countries and the companies of different countries to purchase the same </w:t>
      </w:r>
      <w:proofErr w:type="gramStart"/>
      <w:r w:rsidRPr="00E300D7">
        <w:rPr>
          <w:rFonts w:ascii="Times New Roman" w:eastAsia="Times New Roman" w:hAnsi="Times New Roman" w:cs="Times New Roman"/>
          <w:sz w:val="24"/>
          <w:szCs w:val="24"/>
          <w:lang w:val="en-GB"/>
        </w:rPr>
        <w:t>amount</w:t>
      </w:r>
      <w:proofErr w:type="gramEnd"/>
      <w:r w:rsidRPr="00E300D7">
        <w:rPr>
          <w:rFonts w:ascii="Times New Roman" w:eastAsia="Times New Roman" w:hAnsi="Times New Roman" w:cs="Times New Roman"/>
          <w:sz w:val="24"/>
          <w:szCs w:val="24"/>
          <w:lang w:val="en-GB"/>
        </w:rPr>
        <w:t xml:space="preserve"> of products or services by spending the same amount in two different countries. </w:t>
      </w:r>
    </w:p>
    <w:p w:rsidR="00AD15EA" w:rsidRPr="00E300D7" w:rsidRDefault="00D73616">
      <w:pPr>
        <w:pStyle w:val="Normal2"/>
        <w:spacing w:before="180" w:after="240" w:line="360" w:lineRule="auto"/>
        <w:jc w:val="center"/>
        <w:rPr>
          <w:rFonts w:ascii="Times New Roman" w:eastAsia="Times New Roman" w:hAnsi="Times New Roman" w:cs="Times New Roman"/>
          <w:sz w:val="24"/>
          <w:szCs w:val="24"/>
          <w:lang w:val="en-GB"/>
        </w:rPr>
      </w:pPr>
      <w:r w:rsidRPr="00E300D7">
        <w:rPr>
          <w:b/>
          <w:noProof/>
          <w:lang w:val="en-GB"/>
        </w:rPr>
        <w:drawing>
          <wp:inline distT="0" distB="0" distL="0" distR="0">
            <wp:extent cx="3095625" cy="2498499"/>
            <wp:effectExtent l="38100" t="57150" r="123825" b="92301"/>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3095625" cy="24984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D15EA" w:rsidRPr="00E300D7" w:rsidRDefault="007008CE" w:rsidP="00703621">
      <w:pPr>
        <w:pStyle w:val="Heading4"/>
      </w:pPr>
      <w:r w:rsidRPr="00E300D7">
        <w:t>Figure 2.2: Graphical representation of PPP</w:t>
      </w:r>
    </w:p>
    <w:p w:rsidR="00AD15EA" w:rsidRPr="00E300D7" w:rsidRDefault="007008CE">
      <w:pPr>
        <w:pStyle w:val="Normal2"/>
        <w:spacing w:before="180" w:after="240" w:line="360" w:lineRule="auto"/>
        <w:jc w:val="center"/>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(Source: </w:t>
      </w:r>
      <w:r w:rsidRPr="00E300D7">
        <w:rPr>
          <w:rFonts w:ascii="Times New Roman" w:eastAsia="Times New Roman" w:hAnsi="Times New Roman" w:cs="Times New Roman"/>
          <w:sz w:val="24"/>
          <w:szCs w:val="24"/>
          <w:highlight w:val="white"/>
          <w:lang w:val="en-GB"/>
        </w:rPr>
        <w:t>Vo and Vo, 2023</w:t>
      </w:r>
      <w:r w:rsidRPr="00E300D7">
        <w:rPr>
          <w:rFonts w:ascii="Times New Roman" w:eastAsia="Times New Roman" w:hAnsi="Times New Roman" w:cs="Times New Roman"/>
          <w:sz w:val="24"/>
          <w:szCs w:val="24"/>
          <w:lang w:val="en-GB"/>
        </w:rPr>
        <w:t>)</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diagonal line of the above diagram is called the PPP line and it reflects the equilibrium position between the "relative inflation rate" and the "change in the rate of exchange". The point A in this diagram reflects the position of </w:t>
      </w:r>
      <w:r w:rsidR="00C570A7" w:rsidRPr="00E300D7">
        <w:rPr>
          <w:rFonts w:ascii="Times New Roman" w:eastAsia="Times New Roman" w:hAnsi="Times New Roman" w:cs="Times New Roman"/>
          <w:sz w:val="24"/>
          <w:szCs w:val="24"/>
          <w:lang w:val="en-GB"/>
        </w:rPr>
        <w:t>equilibrium</w:t>
      </w:r>
      <w:r w:rsidRPr="00E300D7">
        <w:rPr>
          <w:rFonts w:ascii="Times New Roman" w:eastAsia="Times New Roman" w:hAnsi="Times New Roman" w:cs="Times New Roman"/>
          <w:sz w:val="24"/>
          <w:szCs w:val="24"/>
          <w:lang w:val="en-GB"/>
        </w:rPr>
        <w:t xml:space="preserve"> where the rate of inflation foreign nation is lower than in a domestic country. It causes an appreciation of the foreign currency </w:t>
      </w:r>
      <w:r w:rsidRPr="00E300D7">
        <w:rPr>
          <w:rFonts w:ascii="Times New Roman" w:eastAsia="Times New Roman" w:hAnsi="Times New Roman" w:cs="Times New Roman"/>
          <w:sz w:val="24"/>
          <w:szCs w:val="24"/>
          <w:lang w:val="en-GB"/>
        </w:rPr>
        <w:lastRenderedPageBreak/>
        <w:t>with respect to the domestic currency (</w:t>
      </w:r>
      <w:r w:rsidRPr="00E300D7">
        <w:rPr>
          <w:rFonts w:ascii="Times New Roman" w:eastAsia="Times New Roman" w:hAnsi="Times New Roman" w:cs="Times New Roman"/>
          <w:sz w:val="24"/>
          <w:szCs w:val="24"/>
          <w:highlight w:val="white"/>
          <w:lang w:val="en-GB"/>
        </w:rPr>
        <w:t xml:space="preserve">Ang </w:t>
      </w:r>
      <w:r w:rsidRPr="00E300D7">
        <w:rPr>
          <w:rFonts w:ascii="Times New Roman" w:eastAsia="Times New Roman" w:hAnsi="Times New Roman" w:cs="Times New Roman"/>
          <w:i/>
          <w:sz w:val="24"/>
          <w:szCs w:val="24"/>
          <w:highlight w:val="white"/>
          <w:lang w:val="en-GB"/>
        </w:rPr>
        <w:t>et al.</w:t>
      </w:r>
      <w:r w:rsidRPr="00E300D7">
        <w:rPr>
          <w:rFonts w:ascii="Times New Roman" w:eastAsia="Times New Roman" w:hAnsi="Times New Roman" w:cs="Times New Roman"/>
          <w:sz w:val="24"/>
          <w:szCs w:val="24"/>
          <w:highlight w:val="white"/>
          <w:lang w:val="en-GB"/>
        </w:rPr>
        <w:t xml:space="preserve"> 2021)</w:t>
      </w:r>
      <w:r w:rsidRPr="00E300D7">
        <w:rPr>
          <w:rFonts w:ascii="Times New Roman" w:eastAsia="Times New Roman" w:hAnsi="Times New Roman" w:cs="Times New Roman"/>
          <w:sz w:val="24"/>
          <w:szCs w:val="24"/>
          <w:lang w:val="en-GB"/>
        </w:rPr>
        <w:t xml:space="preserve">. The point B in this diagram represents the equilibrium where the inflation rate of the foreign country is higher than the domestic country which can cause depreciation in the foreign currency in the future. FIs used this theory for predicting the FX in the future for developing strategies accordingly which is important for mitigating the challenges or the risks linked with the business. </w:t>
      </w:r>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b/>
          <w:i/>
          <w:sz w:val="24"/>
          <w:szCs w:val="24"/>
          <w:lang w:val="en-GB"/>
        </w:rPr>
        <w:t>“Interest rate parity”</w:t>
      </w:r>
      <w:r w:rsidRPr="00E300D7">
        <w:rPr>
          <w:rFonts w:ascii="Times New Roman" w:eastAsia="Times New Roman" w:hAnsi="Times New Roman" w:cs="Times New Roman"/>
          <w:sz w:val="24"/>
          <w:szCs w:val="24"/>
          <w:lang w:val="en-GB"/>
        </w:rPr>
        <w:t xml:space="preserve"> (IRP) is another theory that helps in understanding the impact of differential rates of interest of different countries on the rate of FX that can make an impact on the business of FIs. This theory believes that the differences in the rate of interest are similar to the differences between the </w:t>
      </w:r>
      <w:r w:rsidRPr="00E300D7">
        <w:rPr>
          <w:rFonts w:ascii="Times New Roman" w:eastAsia="Times New Roman" w:hAnsi="Times New Roman" w:cs="Times New Roman"/>
          <w:b/>
          <w:i/>
          <w:sz w:val="24"/>
          <w:szCs w:val="24"/>
          <w:lang w:val="en-GB"/>
        </w:rPr>
        <w:t>“spot exchange rate”</w:t>
      </w:r>
      <w:r w:rsidRPr="00E300D7">
        <w:rPr>
          <w:rFonts w:ascii="Times New Roman" w:eastAsia="Times New Roman" w:hAnsi="Times New Roman" w:cs="Times New Roman"/>
          <w:sz w:val="24"/>
          <w:szCs w:val="24"/>
          <w:lang w:val="en-GB"/>
        </w:rPr>
        <w:t xml:space="preserve">, and the </w:t>
      </w:r>
      <w:r w:rsidRPr="00E300D7">
        <w:rPr>
          <w:rFonts w:ascii="Times New Roman" w:eastAsia="Times New Roman" w:hAnsi="Times New Roman" w:cs="Times New Roman"/>
          <w:b/>
          <w:i/>
          <w:sz w:val="24"/>
          <w:szCs w:val="24"/>
          <w:lang w:val="en-GB"/>
        </w:rPr>
        <w:t>“forward exchange rate”.</w:t>
      </w:r>
      <w:r w:rsidRPr="00E300D7">
        <w:rPr>
          <w:rFonts w:ascii="Times New Roman" w:eastAsia="Times New Roman" w:hAnsi="Times New Roman" w:cs="Times New Roman"/>
          <w:sz w:val="24"/>
          <w:szCs w:val="24"/>
          <w:lang w:val="en-GB"/>
        </w:rPr>
        <w:t xml:space="preserve"> A higher level of interest in a country attracts foreign investors to invest in that country or lend money to the organisations in that country that can help in getting more return. Investments in a country also induce the value of the currency of a country (</w:t>
      </w:r>
      <w:r w:rsidRPr="00E300D7">
        <w:rPr>
          <w:rFonts w:ascii="Times New Roman" w:eastAsia="Times New Roman" w:hAnsi="Times New Roman" w:cs="Times New Roman"/>
          <w:sz w:val="24"/>
          <w:szCs w:val="24"/>
          <w:highlight w:val="white"/>
          <w:lang w:val="en-GB"/>
        </w:rPr>
        <w:t>Liao, 2020)</w:t>
      </w:r>
      <w:r w:rsidRPr="00E300D7">
        <w:rPr>
          <w:rFonts w:ascii="Times New Roman" w:eastAsia="Times New Roman" w:hAnsi="Times New Roman" w:cs="Times New Roman"/>
          <w:sz w:val="24"/>
          <w:szCs w:val="24"/>
          <w:lang w:val="en-GB"/>
        </w:rPr>
        <w:t xml:space="preserve">. However, fluctuations in the rate of exchange create problems for the companies to predict the proper return that can affect the business of the organisations. FIs also take decisions regarding making payments to international organisations after assessing the IRP properly, which can help in mitigating the uncertainty in business.  </w:t>
      </w:r>
    </w:p>
    <w:p w:rsidR="00AD15EA" w:rsidRPr="00E300D7" w:rsidRDefault="007008CE">
      <w:pPr>
        <w:pStyle w:val="Heading2"/>
        <w:rPr>
          <w:lang w:val="en-GB"/>
        </w:rPr>
      </w:pPr>
      <w:bookmarkStart w:id="56" w:name="_Toc134034902"/>
      <w:bookmarkStart w:id="57" w:name="_Toc134035784"/>
      <w:bookmarkStart w:id="58" w:name="_Toc135417625"/>
      <w:bookmarkStart w:id="59" w:name="_Toc135418887"/>
      <w:r w:rsidRPr="00E300D7">
        <w:rPr>
          <w:lang w:val="en-GB"/>
        </w:rPr>
        <w:t>2.8 Gap of the Literature</w:t>
      </w:r>
      <w:bookmarkEnd w:id="56"/>
      <w:bookmarkEnd w:id="57"/>
      <w:bookmarkEnd w:id="58"/>
      <w:bookmarkEnd w:id="59"/>
    </w:p>
    <w:p w:rsidR="00AD15EA" w:rsidRPr="00E300D7" w:rsidRDefault="007008CE">
      <w:pPr>
        <w:pStyle w:val="Normal2"/>
        <w:spacing w:before="18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This section of the literature review does not illustrate the impact of geopolitics properly in influencing the volatility of FX. These geopolitical situations are linked with the business outcomes of the countries and also with the inflation rate that can make an impact on the FX. The role of the management of the FIs in handling the situations linked with the volatile FX is not elaborated in this section. It is important for understanding the actions that can be taken by the FIs to avoid challenges. This section does not mention the impact of the internal politics of a country on the volatility of the FX which is important for the FIs to manage the business accordingly.   </w:t>
      </w:r>
    </w:p>
    <w:p w:rsidR="00AD15EA" w:rsidRPr="00E300D7" w:rsidRDefault="007008CE">
      <w:pPr>
        <w:pStyle w:val="Heading2"/>
        <w:rPr>
          <w:lang w:val="en-GB"/>
        </w:rPr>
      </w:pPr>
      <w:bookmarkStart w:id="60" w:name="_Toc134034903"/>
      <w:bookmarkStart w:id="61" w:name="_Toc134035785"/>
      <w:bookmarkStart w:id="62" w:name="_Toc135417626"/>
      <w:bookmarkStart w:id="63" w:name="_Toc135418888"/>
      <w:r w:rsidRPr="00E300D7">
        <w:rPr>
          <w:lang w:val="en-GB"/>
        </w:rPr>
        <w:t>2.9 Summary</w:t>
      </w:r>
      <w:bookmarkEnd w:id="60"/>
      <w:bookmarkEnd w:id="61"/>
      <w:bookmarkEnd w:id="62"/>
      <w:bookmarkEnd w:id="63"/>
    </w:p>
    <w:p w:rsidR="00AD15EA" w:rsidRPr="00E300D7" w:rsidRDefault="007008CE" w:rsidP="006C5310">
      <w:pPr>
        <w:pStyle w:val="Normal1"/>
        <w:rPr>
          <w:b/>
          <w:lang w:val="en-GB"/>
        </w:rPr>
      </w:pPr>
      <w:bookmarkStart w:id="64" w:name="_Toc135417627"/>
      <w:bookmarkStart w:id="65" w:name="_Toc135418889"/>
      <w:r w:rsidRPr="00E300D7">
        <w:rPr>
          <w:lang w:val="en-GB"/>
        </w:rPr>
        <w:t xml:space="preserve">The concept of FX is elaborated in this section of research properly which is important for understanding the role of FX in international trade. Evaluation of the perspectives of the experts revealed that several factors such as the interest rate, inflation, political stability, regulations linked with trade, and other factors influence the FX of a country. FIs have the duty in this case </w:t>
      </w:r>
      <w:r w:rsidRPr="00E300D7">
        <w:rPr>
          <w:lang w:val="en-GB"/>
        </w:rPr>
        <w:lastRenderedPageBreak/>
        <w:t>to provide proper consultancy to the companies in maintaining international trade which is important for avoiding risks. Several challenges such as economic challenges, transaction challenges, and other challenges that can affect the FIs are also elaborated in this section of this research. Strategies of the FIs to avoid the challenges are also illustrated which can help the FIs in mitigating the chances of risks linked with the FX. Different theories are also mentioned in this case that is linked with the FX and can help the FIs to assess the impact of the fluctuations in FX. Application of these theories such as PPP and IRP can also help the FIs to develop the strategies of business prominently.</w:t>
      </w:r>
      <w:bookmarkEnd w:id="64"/>
      <w:bookmarkEnd w:id="65"/>
      <w:r w:rsidRPr="00E300D7">
        <w:rPr>
          <w:lang w:val="en-GB"/>
        </w:rPr>
        <w:t xml:space="preserve"> </w:t>
      </w:r>
    </w:p>
    <w:p w:rsidR="00E04CA2" w:rsidRPr="00E300D7" w:rsidRDefault="00E04CA2">
      <w:pPr>
        <w:spacing w:before="0" w:line="276" w:lineRule="auto"/>
        <w:jc w:val="left"/>
        <w:outlineLvl w:val="9"/>
        <w:rPr>
          <w:szCs w:val="40"/>
          <w:lang w:val="en-GB"/>
        </w:rPr>
      </w:pPr>
      <w:bookmarkStart w:id="66" w:name="_Toc135322681"/>
      <w:r w:rsidRPr="00E300D7">
        <w:rPr>
          <w:lang w:val="en-GB"/>
        </w:rPr>
        <w:br w:type="page"/>
      </w:r>
    </w:p>
    <w:p w:rsidR="00AD15EA" w:rsidRPr="00E300D7" w:rsidRDefault="007008CE" w:rsidP="006C5310">
      <w:pPr>
        <w:pStyle w:val="Heading1"/>
        <w:rPr>
          <w:lang w:val="en-GB"/>
        </w:rPr>
      </w:pPr>
      <w:bookmarkStart w:id="67" w:name="_Toc135417628"/>
      <w:bookmarkStart w:id="68" w:name="_Toc135418890"/>
      <w:r w:rsidRPr="00E300D7">
        <w:rPr>
          <w:lang w:val="en-GB"/>
        </w:rPr>
        <w:lastRenderedPageBreak/>
        <w:t>Chapter 3: Research Methodology</w:t>
      </w:r>
      <w:bookmarkEnd w:id="66"/>
      <w:bookmarkEnd w:id="67"/>
      <w:bookmarkEnd w:id="68"/>
    </w:p>
    <w:p w:rsidR="00AD15EA" w:rsidRPr="00E300D7" w:rsidRDefault="007008CE">
      <w:pPr>
        <w:pStyle w:val="Heading2"/>
        <w:rPr>
          <w:lang w:val="en-GB"/>
        </w:rPr>
      </w:pPr>
      <w:bookmarkStart w:id="69" w:name="_Toc135322682"/>
      <w:bookmarkStart w:id="70" w:name="_Toc135417629"/>
      <w:bookmarkStart w:id="71" w:name="_Toc135418891"/>
      <w:r w:rsidRPr="00E300D7">
        <w:rPr>
          <w:lang w:val="en-GB"/>
        </w:rPr>
        <w:t>3.1 Introduction</w:t>
      </w:r>
      <w:bookmarkEnd w:id="69"/>
      <w:bookmarkEnd w:id="70"/>
      <w:bookmarkEnd w:id="71"/>
    </w:p>
    <w:p w:rsidR="00AD15EA" w:rsidRPr="00E300D7" w:rsidRDefault="007008CE" w:rsidP="006C5310">
      <w:pPr>
        <w:pStyle w:val="Normal1"/>
        <w:rPr>
          <w:b/>
          <w:lang w:val="en-GB"/>
        </w:rPr>
      </w:pPr>
      <w:bookmarkStart w:id="72" w:name="_Toc135417630"/>
      <w:bookmarkStart w:id="73" w:name="_Toc135418892"/>
      <w:r w:rsidRPr="00E300D7">
        <w:rPr>
          <w:lang w:val="en-GB"/>
        </w:rPr>
        <w:t>Research methodology is an important part of the research encircling effective processes and applications for data collection and its analysis. It is associated with a systematic approach in order to resolve a specific research problem. This section of research primarily emphasizes discussing the methods of research including philosophy, approach, design and methods for collecting data. In this part, various steps adopted by the researcher have been discussed in order to provide an overall view of the study. Moreover, it is important to know about the different aspects of the research and identify the logic behind selecting that particular method.</w:t>
      </w:r>
      <w:bookmarkEnd w:id="72"/>
      <w:bookmarkEnd w:id="73"/>
      <w:r w:rsidRPr="00E300D7">
        <w:rPr>
          <w:lang w:val="en-GB"/>
        </w:rPr>
        <w:t xml:space="preserve">        </w:t>
      </w:r>
    </w:p>
    <w:p w:rsidR="00AD15EA" w:rsidRPr="00E300D7" w:rsidRDefault="007008CE">
      <w:pPr>
        <w:pStyle w:val="Heading2"/>
        <w:rPr>
          <w:lang w:val="en-GB"/>
        </w:rPr>
      </w:pPr>
      <w:bookmarkStart w:id="74" w:name="_Toc135322683"/>
      <w:bookmarkStart w:id="75" w:name="_Toc135417631"/>
      <w:bookmarkStart w:id="76" w:name="_Toc135418893"/>
      <w:r w:rsidRPr="00E300D7">
        <w:rPr>
          <w:lang w:val="en-GB"/>
        </w:rPr>
        <w:t>3.2 Research onion</w:t>
      </w:r>
      <w:bookmarkEnd w:id="74"/>
      <w:bookmarkEnd w:id="75"/>
      <w:bookmarkEnd w:id="76"/>
    </w:p>
    <w:p w:rsidR="00AD15EA" w:rsidRPr="00E300D7" w:rsidRDefault="007008CE" w:rsidP="006C5310">
      <w:pPr>
        <w:pStyle w:val="Normal1"/>
        <w:rPr>
          <w:b/>
          <w:lang w:val="en-GB"/>
        </w:rPr>
      </w:pPr>
      <w:bookmarkStart w:id="77" w:name="_Toc135417632"/>
      <w:bookmarkStart w:id="78" w:name="_Toc135418894"/>
      <w:r w:rsidRPr="00E300D7">
        <w:rPr>
          <w:lang w:val="en-GB"/>
        </w:rPr>
        <w:t>The below model of research onion is responsible for illustrating the ways through which all the research elements have been engaged within the research. These elements have been later used to examine the final design of the research.</w:t>
      </w:r>
      <w:bookmarkEnd w:id="77"/>
      <w:bookmarkEnd w:id="78"/>
      <w:r w:rsidRPr="00E300D7">
        <w:rPr>
          <w:lang w:val="en-GB"/>
        </w:rPr>
        <w:t xml:space="preserve">    </w:t>
      </w:r>
    </w:p>
    <w:p w:rsidR="00AD15EA" w:rsidRPr="00E300D7" w:rsidRDefault="00472E22" w:rsidP="00E04CA2">
      <w:pPr>
        <w:pStyle w:val="Normal1"/>
        <w:jc w:val="center"/>
        <w:rPr>
          <w:lang w:val="en-GB"/>
        </w:rPr>
      </w:pPr>
      <w:bookmarkStart w:id="79" w:name="_Toc135418895"/>
      <w:r w:rsidRPr="00E300D7">
        <w:rPr>
          <w:noProof/>
          <w:lang w:val="en-GB"/>
        </w:rPr>
        <w:drawing>
          <wp:inline distT="0" distB="0" distL="0" distR="0">
            <wp:extent cx="5733415" cy="3841807"/>
            <wp:effectExtent l="38100" t="57150" r="114935" b="101543"/>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srcRect/>
                    <a:stretch>
                      <a:fillRect/>
                    </a:stretch>
                  </pic:blipFill>
                  <pic:spPr bwMode="auto">
                    <a:xfrm>
                      <a:off x="0" y="0"/>
                      <a:ext cx="5733415" cy="38418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End w:id="79"/>
    </w:p>
    <w:p w:rsidR="00AD15EA" w:rsidRPr="00E300D7" w:rsidRDefault="007008CE" w:rsidP="00703621">
      <w:pPr>
        <w:pStyle w:val="Heading4"/>
      </w:pPr>
      <w:bookmarkStart w:id="80" w:name="_Toc135417633"/>
      <w:r w:rsidRPr="00E300D7">
        <w:t>Figure 3.2: Research Onion</w:t>
      </w:r>
      <w:bookmarkEnd w:id="80"/>
    </w:p>
    <w:p w:rsidR="00AD15EA" w:rsidRPr="00E300D7" w:rsidRDefault="007008CE" w:rsidP="00E04CA2">
      <w:pPr>
        <w:pStyle w:val="Normal1"/>
        <w:jc w:val="center"/>
        <w:rPr>
          <w:b/>
          <w:lang w:val="en-GB"/>
        </w:rPr>
      </w:pPr>
      <w:bookmarkStart w:id="81" w:name="_Toc135417634"/>
      <w:bookmarkStart w:id="82" w:name="_Toc135418896"/>
      <w:r w:rsidRPr="00E300D7">
        <w:rPr>
          <w:lang w:val="en-GB"/>
        </w:rPr>
        <w:t xml:space="preserve">(Source: Saunders </w:t>
      </w:r>
      <w:r w:rsidRPr="00E300D7">
        <w:rPr>
          <w:i/>
          <w:lang w:val="en-GB"/>
        </w:rPr>
        <w:t>et al.</w:t>
      </w:r>
      <w:r w:rsidRPr="00E300D7">
        <w:rPr>
          <w:lang w:val="en-GB"/>
        </w:rPr>
        <w:t>2019)</w:t>
      </w:r>
      <w:bookmarkEnd w:id="81"/>
      <w:bookmarkEnd w:id="82"/>
    </w:p>
    <w:p w:rsidR="00AD15EA" w:rsidRPr="00E300D7" w:rsidRDefault="007008CE">
      <w:pPr>
        <w:pStyle w:val="Heading2"/>
        <w:rPr>
          <w:lang w:val="en-GB"/>
        </w:rPr>
      </w:pPr>
      <w:bookmarkStart w:id="83" w:name="_Toc135322684"/>
      <w:bookmarkStart w:id="84" w:name="_Toc135417635"/>
      <w:bookmarkStart w:id="85" w:name="_Toc135418897"/>
      <w:r w:rsidRPr="00E300D7">
        <w:rPr>
          <w:lang w:val="en-GB"/>
        </w:rPr>
        <w:lastRenderedPageBreak/>
        <w:t>3.3 Research philosophy</w:t>
      </w:r>
      <w:bookmarkEnd w:id="83"/>
      <w:bookmarkEnd w:id="84"/>
      <w:bookmarkEnd w:id="85"/>
    </w:p>
    <w:p w:rsidR="00AD15EA" w:rsidRPr="00E300D7" w:rsidRDefault="007008CE" w:rsidP="006C5310">
      <w:pPr>
        <w:pStyle w:val="Normal1"/>
        <w:rPr>
          <w:b/>
          <w:lang w:val="en-GB"/>
        </w:rPr>
      </w:pPr>
      <w:bookmarkStart w:id="86" w:name="_Toc135417636"/>
      <w:bookmarkStart w:id="87" w:name="_Toc135418898"/>
      <w:r w:rsidRPr="00E300D7">
        <w:rPr>
          <w:lang w:val="en-GB"/>
        </w:rPr>
        <w:t>Research philosophy is primarily associated with the stance through which the overall research is conducted. Considering this research interpretivism philosophy is chosen as the selected research philosophy. As per the point of view of Patel and Patel (2019), the core value of interpretivism philosophy is based on the perceptions of individual observers. This philosophy is going to be helpful for this research to understand the overall perspective of the researcher. It is also helpful to know how the researcher is understanding reality. Studies following the interpretivism philosophy tend to be qualitative in nature. However, positivist philosophy has not been used in this research as it focuses on independent knowledge about the subject. It does not support any observable facts or principles that can be implemented in this study. It is more inclined to generalise the end results of an object’s phenomenon.</w:t>
      </w:r>
      <w:bookmarkEnd w:id="86"/>
      <w:bookmarkEnd w:id="87"/>
      <w:r w:rsidRPr="00E300D7">
        <w:rPr>
          <w:lang w:val="en-GB"/>
        </w:rPr>
        <w:t xml:space="preserve">      </w:t>
      </w:r>
    </w:p>
    <w:p w:rsidR="00AD15EA" w:rsidRPr="00E300D7" w:rsidRDefault="007008CE">
      <w:pPr>
        <w:pStyle w:val="Heading2"/>
        <w:rPr>
          <w:lang w:val="en-GB"/>
        </w:rPr>
      </w:pPr>
      <w:bookmarkStart w:id="88" w:name="_Toc135322685"/>
      <w:bookmarkStart w:id="89" w:name="_Toc135417637"/>
      <w:bookmarkStart w:id="90" w:name="_Toc135418899"/>
      <w:r w:rsidRPr="00E300D7">
        <w:rPr>
          <w:lang w:val="en-GB"/>
        </w:rPr>
        <w:t>3.4 Research approach</w:t>
      </w:r>
      <w:bookmarkEnd w:id="88"/>
      <w:bookmarkEnd w:id="89"/>
      <w:bookmarkEnd w:id="90"/>
    </w:p>
    <w:p w:rsidR="00AD15EA" w:rsidRPr="00E300D7" w:rsidRDefault="007008CE" w:rsidP="006C5310">
      <w:pPr>
        <w:pStyle w:val="Normal1"/>
        <w:rPr>
          <w:b/>
          <w:lang w:val="en-GB"/>
        </w:rPr>
      </w:pPr>
      <w:bookmarkStart w:id="91" w:name="_Toc135417638"/>
      <w:bookmarkStart w:id="92" w:name="_Toc135418900"/>
      <w:r w:rsidRPr="00E300D7">
        <w:rPr>
          <w:lang w:val="en-GB"/>
        </w:rPr>
        <w:t>The research approach is one of the major elements of the research methodology. An appropriate approach is essential for knowing the plans and procedures for conducting the study. In this research, the appropriate approach used is the deductive approach. According to the research topic, several hypotheses need to be developed. As suggested by Newman and Gough, (2020), with the help of this hypothesis, the findings of the data can be analysed effectively. This is the main reason for accepting the deductive approach for this study. In this case, with the help of the deductive approach, it can be very easy for the researcher to review the hypothesis that has been made on the basis of the literature review. Apart from this, it gradually checks the hypothesis whether it is responsible for holding the specific context or not. On the other hand, the inductive approach is not considered for this study as it depends on different observations of the researcher in order to develop a new theory. As far as the topic of the dissertation is concerned there is no need for developing a theory which is why the inductive approach is not selected.</w:t>
      </w:r>
      <w:bookmarkEnd w:id="91"/>
      <w:bookmarkEnd w:id="92"/>
      <w:r w:rsidRPr="00E300D7">
        <w:rPr>
          <w:lang w:val="en-GB"/>
        </w:rPr>
        <w:t xml:space="preserve">       </w:t>
      </w:r>
    </w:p>
    <w:p w:rsidR="00AD15EA" w:rsidRPr="00E300D7" w:rsidRDefault="007008CE">
      <w:pPr>
        <w:pStyle w:val="Heading2"/>
        <w:rPr>
          <w:lang w:val="en-GB"/>
        </w:rPr>
      </w:pPr>
      <w:bookmarkStart w:id="93" w:name="_Toc135322686"/>
      <w:bookmarkStart w:id="94" w:name="_Toc135417639"/>
      <w:bookmarkStart w:id="95" w:name="_Toc135418901"/>
      <w:r w:rsidRPr="00E300D7">
        <w:rPr>
          <w:lang w:val="en-GB"/>
        </w:rPr>
        <w:t>3.5 Research Strategy</w:t>
      </w:r>
      <w:bookmarkEnd w:id="93"/>
      <w:bookmarkEnd w:id="94"/>
      <w:bookmarkEnd w:id="95"/>
    </w:p>
    <w:p w:rsidR="00AD15EA" w:rsidRPr="00E300D7" w:rsidRDefault="007008CE" w:rsidP="006C5310">
      <w:pPr>
        <w:pStyle w:val="Normal1"/>
        <w:rPr>
          <w:b/>
          <w:lang w:val="en-GB"/>
        </w:rPr>
      </w:pPr>
      <w:bookmarkStart w:id="96" w:name="_Toc135417640"/>
      <w:bookmarkStart w:id="97" w:name="_Toc135418902"/>
      <w:r w:rsidRPr="00E300D7">
        <w:rPr>
          <w:lang w:val="en-GB"/>
        </w:rPr>
        <w:t xml:space="preserve">It is very important to devise a strategy for the research. Research strategy is responsible for including action research, along with interviews and experimental research as well. In this research, a secondary data collection method is chosen hence, the appropriate research strategy is going to be the case study strategy. As per the opinion of Zhou and Sun (2022), in this case, the data collected from different sources of literature needs to be used in order to develop </w:t>
      </w:r>
      <w:r w:rsidRPr="00E300D7">
        <w:rPr>
          <w:lang w:val="en-GB"/>
        </w:rPr>
        <w:lastRenderedPageBreak/>
        <w:t>themes. On the basis of those themes, the overall data can be analysed in a systematic manner. This kind of research strategy is useful for allowing the researcher to conduct a multifaceted as well as composite investigation for a specific problem and issue.</w:t>
      </w:r>
      <w:bookmarkEnd w:id="96"/>
      <w:bookmarkEnd w:id="97"/>
    </w:p>
    <w:p w:rsidR="00AD15EA" w:rsidRPr="00E300D7" w:rsidRDefault="007008CE">
      <w:pPr>
        <w:pStyle w:val="Heading2"/>
        <w:rPr>
          <w:lang w:val="en-GB"/>
        </w:rPr>
      </w:pPr>
      <w:bookmarkStart w:id="98" w:name="_Toc135417641"/>
      <w:bookmarkStart w:id="99" w:name="_Toc135418903"/>
      <w:r w:rsidRPr="00E300D7">
        <w:rPr>
          <w:lang w:val="en-GB"/>
        </w:rPr>
        <w:t>3.6 Research Choice</w:t>
      </w:r>
      <w:bookmarkEnd w:id="98"/>
      <w:bookmarkEnd w:id="99"/>
    </w:p>
    <w:p w:rsidR="00AD15EA" w:rsidRPr="00E300D7" w:rsidRDefault="007008CE">
      <w:pPr>
        <w:pStyle w:val="Normal3"/>
        <w:spacing w:after="20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Research Choice explains the justifiability of the choice of research methods in the corresponding study. Research choice helps to determine the scope for success and quality of the study through analysing the documentation conducted throughout the research procedure (Reich and </w:t>
      </w:r>
      <w:proofErr w:type="spellStart"/>
      <w:r w:rsidRPr="00E300D7">
        <w:rPr>
          <w:rFonts w:ascii="Times New Roman" w:hAnsi="Times New Roman" w:cs="Times New Roman"/>
          <w:sz w:val="24"/>
          <w:szCs w:val="24"/>
          <w:lang w:val="en-GB"/>
        </w:rPr>
        <w:t>Subrahmanian</w:t>
      </w:r>
      <w:proofErr w:type="spellEnd"/>
      <w:r w:rsidRPr="00E300D7">
        <w:rPr>
          <w:rFonts w:ascii="Times New Roman" w:hAnsi="Times New Roman" w:cs="Times New Roman"/>
          <w:sz w:val="24"/>
          <w:szCs w:val="24"/>
          <w:lang w:val="en-GB"/>
        </w:rPr>
        <w:t xml:space="preserve">, 2022). As per Saunders Research Onion, there are three types of research choices including mono method, multi method and mixed method. This research has followed a qualitative research strategy; hence the research choice applicable in this case will be </w:t>
      </w:r>
      <w:r w:rsidRPr="00E300D7">
        <w:rPr>
          <w:rFonts w:ascii="Times New Roman" w:hAnsi="Times New Roman" w:cs="Times New Roman"/>
          <w:i/>
          <w:sz w:val="24"/>
          <w:szCs w:val="24"/>
          <w:lang w:val="en-GB"/>
        </w:rPr>
        <w:t>mono method</w:t>
      </w:r>
      <w:r w:rsidRPr="00E300D7">
        <w:rPr>
          <w:rFonts w:ascii="Times New Roman" w:hAnsi="Times New Roman" w:cs="Times New Roman"/>
          <w:sz w:val="24"/>
          <w:szCs w:val="24"/>
          <w:lang w:val="en-GB"/>
        </w:rPr>
        <w:t>. Based on the views of HR and Aithal, (2022), the mono method is composed of only one method of data collection and analysis for conducting the research. The Mono method has various advantages as it focuses upon only one way of collecting and analysing data (</w:t>
      </w:r>
      <w:proofErr w:type="spellStart"/>
      <w:r w:rsidRPr="00E300D7">
        <w:rPr>
          <w:rFonts w:ascii="Times New Roman" w:hAnsi="Times New Roman" w:cs="Times New Roman"/>
          <w:sz w:val="24"/>
          <w:szCs w:val="24"/>
          <w:lang w:val="en-GB"/>
        </w:rPr>
        <w:t>Amini</w:t>
      </w:r>
      <w:proofErr w:type="spellEnd"/>
      <w:r w:rsidRPr="00E300D7">
        <w:rPr>
          <w:rFonts w:ascii="Times New Roman" w:hAnsi="Times New Roman" w:cs="Times New Roman"/>
          <w:sz w:val="24"/>
          <w:szCs w:val="24"/>
          <w:lang w:val="en-GB"/>
        </w:rPr>
        <w:t xml:space="preserve"> </w:t>
      </w:r>
      <w:proofErr w:type="spellStart"/>
      <w:r w:rsidRPr="00E300D7">
        <w:rPr>
          <w:rFonts w:ascii="Times New Roman" w:hAnsi="Times New Roman" w:cs="Times New Roman"/>
          <w:sz w:val="24"/>
          <w:szCs w:val="24"/>
          <w:lang w:val="en-GB"/>
        </w:rPr>
        <w:t>Farsani</w:t>
      </w:r>
      <w:proofErr w:type="spellEnd"/>
      <w:r w:rsidRPr="00E300D7">
        <w:rPr>
          <w:rFonts w:ascii="Times New Roman" w:hAnsi="Times New Roman" w:cs="Times New Roman"/>
          <w:sz w:val="24"/>
          <w:szCs w:val="24"/>
          <w:lang w:val="en-GB"/>
        </w:rPr>
        <w:t xml:space="preserve"> and Mohammadi, 2022). Hence, it can be said that the clarity of thoughts and inferences are higher in mono methods. On the other hand, a mixed method is used when the research takes both qualitative and quantitative approaches for conducting the research. Hence, the mixed method is not applicable here.</w:t>
      </w:r>
    </w:p>
    <w:p w:rsidR="00AD15EA" w:rsidRPr="00E300D7" w:rsidRDefault="007008CE">
      <w:pPr>
        <w:pStyle w:val="Heading2"/>
        <w:rPr>
          <w:lang w:val="en-GB"/>
        </w:rPr>
      </w:pPr>
      <w:bookmarkStart w:id="100" w:name="_Toc135417642"/>
      <w:bookmarkStart w:id="101" w:name="_Toc135418904"/>
      <w:r w:rsidRPr="00E300D7">
        <w:rPr>
          <w:lang w:val="en-GB"/>
        </w:rPr>
        <w:t>3.7 Research Design</w:t>
      </w:r>
      <w:bookmarkEnd w:id="100"/>
      <w:bookmarkEnd w:id="101"/>
    </w:p>
    <w:p w:rsidR="00AD15EA" w:rsidRPr="00E300D7" w:rsidRDefault="007008CE" w:rsidP="006C5310">
      <w:pPr>
        <w:rPr>
          <w:b/>
          <w:lang w:val="en-GB"/>
        </w:rPr>
      </w:pPr>
      <w:bookmarkStart w:id="102" w:name="_Toc135334417"/>
      <w:bookmarkStart w:id="103" w:name="_Toc135417643"/>
      <w:bookmarkStart w:id="104" w:name="_Toc135418905"/>
      <w:r w:rsidRPr="00E300D7">
        <w:rPr>
          <w:lang w:val="en-GB"/>
        </w:rPr>
        <w:t>Research design corresponds to formulating a blueprint of the procedures involved in study. This research has involved a descriptive research design for a systematic obtainment of facts and figures by thoroughly describing the situation or population associated with the research. A descriptive research design allows a researcher to properly distribute the research variables to understand their interrelations and implications in order to answer the research problem (Aithal and Aithal, 2020). Hence, descriptive research design has been useful in this study. On the other hand, an exploratory research design is generally used when the research problem has limited prior referring sources to look at. Exploratory design is informal and unstructured (Thomas and Lawal, 2020). It is followed especially for developing and answering the hypothetical scenarios with regards to the study. This research has no such hypothetical scenario; hence an exploratory design has not been used.</w:t>
      </w:r>
      <w:bookmarkEnd w:id="102"/>
      <w:bookmarkEnd w:id="103"/>
      <w:bookmarkEnd w:id="104"/>
    </w:p>
    <w:p w:rsidR="00AD15EA" w:rsidRPr="00E300D7" w:rsidRDefault="007008CE">
      <w:pPr>
        <w:pStyle w:val="Heading2"/>
        <w:rPr>
          <w:lang w:val="en-GB"/>
        </w:rPr>
      </w:pPr>
      <w:bookmarkStart w:id="105" w:name="_Toc135417644"/>
      <w:bookmarkStart w:id="106" w:name="_Toc135418906"/>
      <w:r w:rsidRPr="00E300D7">
        <w:rPr>
          <w:lang w:val="en-GB"/>
        </w:rPr>
        <w:t>3.8 Techniques and Procedure</w:t>
      </w:r>
      <w:bookmarkEnd w:id="105"/>
      <w:bookmarkEnd w:id="106"/>
    </w:p>
    <w:p w:rsidR="00AD15EA" w:rsidRPr="00E300D7" w:rsidRDefault="007008CE">
      <w:pPr>
        <w:pStyle w:val="Heading3"/>
        <w:rPr>
          <w:lang w:val="en-GB"/>
        </w:rPr>
      </w:pPr>
      <w:bookmarkStart w:id="107" w:name="_Toc135417645"/>
      <w:bookmarkStart w:id="108" w:name="_Toc135418907"/>
      <w:r w:rsidRPr="00E300D7">
        <w:rPr>
          <w:lang w:val="en-GB"/>
        </w:rPr>
        <w:t>3.8.1 Data collection method</w:t>
      </w:r>
      <w:bookmarkEnd w:id="107"/>
      <w:bookmarkEnd w:id="108"/>
    </w:p>
    <w:p w:rsidR="00AD15EA" w:rsidRPr="00E300D7" w:rsidRDefault="007008CE">
      <w:pPr>
        <w:pStyle w:val="Normal3"/>
        <w:spacing w:before="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lastRenderedPageBreak/>
        <w:t>The data collection is a vital part in research for gathering key information to the solutions against a research problem. However, the secondary data collection method has been used in the research of risk management during the foreign exchanges in a financial institution. The secondary data collection is generally used to find key information from the secondary data sources using the Google scholar database for finding peer-reviewed journals</w:t>
      </w:r>
      <w:r w:rsidR="00471396" w:rsidRPr="00E300D7">
        <w:rPr>
          <w:rFonts w:ascii="Times New Roman" w:eastAsia="Times New Roman" w:hAnsi="Times New Roman" w:cs="Times New Roman"/>
          <w:sz w:val="24"/>
          <w:szCs w:val="24"/>
          <w:lang w:val="en-GB"/>
        </w:rPr>
        <w:t>, news</w:t>
      </w:r>
      <w:r w:rsidRPr="00E300D7">
        <w:rPr>
          <w:rFonts w:ascii="Times New Roman" w:eastAsia="Times New Roman" w:hAnsi="Times New Roman" w:cs="Times New Roman"/>
          <w:sz w:val="24"/>
          <w:szCs w:val="24"/>
          <w:lang w:val="en-GB"/>
        </w:rPr>
        <w:t xml:space="preserve"> articles and government registered websites. Based on the studies of Nayak and Narayan (2019), secondary data collection is an effective process to collect a vast number of resourceful data within less time and cost. However, there are chances of harming confidentiality and privacy of the research participants in the primary data collection process (</w:t>
      </w:r>
      <w:proofErr w:type="spellStart"/>
      <w:r w:rsidRPr="00E300D7">
        <w:rPr>
          <w:rFonts w:ascii="Times New Roman" w:eastAsia="Times New Roman" w:hAnsi="Times New Roman" w:cs="Times New Roman"/>
          <w:sz w:val="24"/>
          <w:szCs w:val="24"/>
          <w:lang w:val="en-GB"/>
        </w:rPr>
        <w:t>Chanal</w:t>
      </w:r>
      <w:proofErr w:type="spellEnd"/>
      <w:r w:rsidRPr="00E300D7">
        <w:rPr>
          <w:rFonts w:ascii="Times New Roman" w:eastAsia="Times New Roman" w:hAnsi="Times New Roman" w:cs="Times New Roman"/>
          <w:sz w:val="24"/>
          <w:szCs w:val="24"/>
          <w:lang w:val="en-GB"/>
        </w:rPr>
        <w:t xml:space="preserve"> and </w:t>
      </w:r>
      <w:proofErr w:type="spellStart"/>
      <w:r w:rsidRPr="00E300D7">
        <w:rPr>
          <w:rFonts w:ascii="Times New Roman" w:eastAsia="Times New Roman" w:hAnsi="Times New Roman" w:cs="Times New Roman"/>
          <w:sz w:val="24"/>
          <w:szCs w:val="24"/>
          <w:lang w:val="en-GB"/>
        </w:rPr>
        <w:t>Kakkasageri</w:t>
      </w:r>
      <w:proofErr w:type="spellEnd"/>
      <w:r w:rsidRPr="00E300D7">
        <w:rPr>
          <w:rFonts w:ascii="Times New Roman" w:eastAsia="Times New Roman" w:hAnsi="Times New Roman" w:cs="Times New Roman"/>
          <w:sz w:val="24"/>
          <w:szCs w:val="24"/>
          <w:lang w:val="en-GB"/>
        </w:rPr>
        <w:t xml:space="preserve">, 2020). There are less chances of harming the confidentiality of the research participants using secondary data collection. Hence, to avoid privacy issues and to collect a vast amount of data at less time and cost the secondary data collection method has been used in the research about the risk associated in management of foreign exchange by financial institutions. </w:t>
      </w:r>
    </w:p>
    <w:p w:rsidR="00AD15EA" w:rsidRPr="00E300D7" w:rsidRDefault="007008CE">
      <w:pPr>
        <w:pStyle w:val="Heading3"/>
        <w:rPr>
          <w:lang w:val="en-GB"/>
        </w:rPr>
      </w:pPr>
      <w:bookmarkStart w:id="109" w:name="_Toc135417646"/>
      <w:bookmarkStart w:id="110" w:name="_Toc135418908"/>
      <w:r w:rsidRPr="00E300D7">
        <w:rPr>
          <w:lang w:val="en-GB"/>
        </w:rPr>
        <w:t>3.8.2 Research limitations</w:t>
      </w:r>
      <w:bookmarkEnd w:id="109"/>
      <w:bookmarkEnd w:id="110"/>
    </w:p>
    <w:p w:rsidR="00AD15EA" w:rsidRPr="00E300D7" w:rsidRDefault="007008CE">
      <w:pPr>
        <w:pStyle w:val="Normal3"/>
        <w:spacing w:before="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research is limited to the secondary data of the from news journals and peer-reviewed research journals to identify the better risks management market volatility in the process of foreign exchanges </w:t>
      </w:r>
      <w:proofErr w:type="gramStart"/>
      <w:r w:rsidRPr="00E300D7">
        <w:rPr>
          <w:rFonts w:ascii="Times New Roman" w:eastAsia="Times New Roman" w:hAnsi="Times New Roman" w:cs="Times New Roman"/>
          <w:sz w:val="24"/>
          <w:szCs w:val="24"/>
          <w:lang w:val="en-GB"/>
        </w:rPr>
        <w:t>As</w:t>
      </w:r>
      <w:proofErr w:type="gramEnd"/>
      <w:r w:rsidRPr="00E300D7">
        <w:rPr>
          <w:rFonts w:ascii="Times New Roman" w:eastAsia="Times New Roman" w:hAnsi="Times New Roman" w:cs="Times New Roman"/>
          <w:sz w:val="24"/>
          <w:szCs w:val="24"/>
          <w:lang w:val="en-GB"/>
        </w:rPr>
        <w:t xml:space="preserve"> per research of </w:t>
      </w:r>
      <w:proofErr w:type="spellStart"/>
      <w:r w:rsidRPr="00E300D7">
        <w:rPr>
          <w:rFonts w:ascii="Times New Roman" w:eastAsia="Times New Roman" w:hAnsi="Times New Roman" w:cs="Times New Roman"/>
          <w:sz w:val="24"/>
          <w:szCs w:val="24"/>
          <w:lang w:val="en-GB"/>
        </w:rPr>
        <w:t>Taherdoost</w:t>
      </w:r>
      <w:proofErr w:type="spellEnd"/>
      <w:r w:rsidRPr="00E300D7">
        <w:rPr>
          <w:rFonts w:ascii="Times New Roman" w:eastAsia="Times New Roman" w:hAnsi="Times New Roman" w:cs="Times New Roman"/>
          <w:sz w:val="24"/>
          <w:szCs w:val="24"/>
          <w:lang w:val="en-GB"/>
        </w:rPr>
        <w:t xml:space="preserve"> (2021), primary research along with the statistical data using the survey and interviews can be more useful to gather the real-life data for a research. The research is limited to the use of the last 5 years data to identify the effective management of foreign exchange processes by the financial institutions. More relevant data using the past case studies and the interviews of a financial expert of a real-life firm in the UK can assist to find more evidence-based data for managing risks in foreign exchange.</w:t>
      </w:r>
    </w:p>
    <w:p w:rsidR="00AD15EA" w:rsidRPr="00E300D7" w:rsidRDefault="007008CE">
      <w:pPr>
        <w:pStyle w:val="Heading2"/>
        <w:rPr>
          <w:lang w:val="en-GB"/>
        </w:rPr>
      </w:pPr>
      <w:bookmarkStart w:id="111" w:name="_Toc135417647"/>
      <w:bookmarkStart w:id="112" w:name="_Toc135418909"/>
      <w:r w:rsidRPr="00E300D7">
        <w:rPr>
          <w:lang w:val="en-GB"/>
        </w:rPr>
        <w:t>3.9 Timeline</w:t>
      </w:r>
      <w:bookmarkEnd w:id="111"/>
      <w:bookmarkEnd w:id="112"/>
    </w:p>
    <w:p w:rsidR="00AD15EA" w:rsidRPr="00E300D7" w:rsidRDefault="007008CE">
      <w:pPr>
        <w:pStyle w:val="Normal3"/>
        <w:spacing w:before="200" w:line="360" w:lineRule="auto"/>
        <w:jc w:val="both"/>
        <w:rPr>
          <w:rFonts w:ascii="Times New Roman" w:eastAsia="Times New Roman" w:hAnsi="Times New Roman" w:cs="Times New Roman"/>
          <w:b/>
          <w:sz w:val="24"/>
          <w:szCs w:val="24"/>
          <w:lang w:val="en-GB"/>
        </w:rPr>
      </w:pPr>
      <w:r w:rsidRPr="00E300D7">
        <w:rPr>
          <w:rFonts w:ascii="Times New Roman" w:hAnsi="Times New Roman" w:cs="Times New Roman"/>
          <w:b/>
          <w:i/>
          <w:sz w:val="24"/>
          <w:szCs w:val="24"/>
          <w:lang w:val="en-GB"/>
        </w:rPr>
        <w:t>[Refer to the Appendix 1]</w:t>
      </w:r>
    </w:p>
    <w:p w:rsidR="00AD15EA" w:rsidRPr="00E300D7" w:rsidRDefault="007008CE">
      <w:pPr>
        <w:pStyle w:val="Heading2"/>
        <w:rPr>
          <w:lang w:val="en-GB"/>
        </w:rPr>
      </w:pPr>
      <w:bookmarkStart w:id="113" w:name="_Toc135322687"/>
      <w:bookmarkStart w:id="114" w:name="_Toc135417648"/>
      <w:bookmarkStart w:id="115" w:name="_Toc135418910"/>
      <w:r w:rsidRPr="00E300D7">
        <w:rPr>
          <w:lang w:val="en-GB"/>
        </w:rPr>
        <w:t>3.10 Ethical consideration</w:t>
      </w:r>
      <w:bookmarkEnd w:id="113"/>
      <w:bookmarkEnd w:id="114"/>
      <w:bookmarkEnd w:id="115"/>
    </w:p>
    <w:p w:rsidR="00AD15EA" w:rsidRPr="00E300D7" w:rsidRDefault="007008CE" w:rsidP="006C5310">
      <w:pPr>
        <w:pStyle w:val="Normal1"/>
        <w:rPr>
          <w:b/>
          <w:lang w:val="en-GB"/>
        </w:rPr>
      </w:pPr>
      <w:bookmarkStart w:id="116" w:name="_Toc135417649"/>
      <w:bookmarkStart w:id="117" w:name="_Toc135418911"/>
      <w:r w:rsidRPr="00E300D7">
        <w:rPr>
          <w:lang w:val="en-GB"/>
        </w:rPr>
        <w:t xml:space="preserve">Ethical consideration is treated as one of the most crucial parts of the research method. In order to conduct the </w:t>
      </w:r>
      <w:proofErr w:type="gramStart"/>
      <w:r w:rsidRPr="00E300D7">
        <w:rPr>
          <w:lang w:val="en-GB"/>
        </w:rPr>
        <w:t>research</w:t>
      </w:r>
      <w:proofErr w:type="gramEnd"/>
      <w:r w:rsidRPr="00E300D7">
        <w:rPr>
          <w:lang w:val="en-GB"/>
        </w:rPr>
        <w:t xml:space="preserve"> it needs to be ensured that it meets all the relevant considerations. While considering this research, it has been ensured that participants are not harmed. Apart from this, an adequate level of privacy for the user data has been maintained (Gov. UK, 2023). No </w:t>
      </w:r>
      <w:r w:rsidRPr="00E300D7">
        <w:rPr>
          <w:lang w:val="en-GB"/>
        </w:rPr>
        <w:lastRenderedPageBreak/>
        <w:t>misleading information as well as representation of the findings of the data is not been provided.</w:t>
      </w:r>
      <w:bookmarkEnd w:id="116"/>
      <w:bookmarkEnd w:id="117"/>
    </w:p>
    <w:p w:rsidR="00AD15EA" w:rsidRPr="00E300D7" w:rsidRDefault="007008CE">
      <w:pPr>
        <w:pStyle w:val="Heading2"/>
        <w:rPr>
          <w:lang w:val="en-GB"/>
        </w:rPr>
      </w:pPr>
      <w:bookmarkStart w:id="118" w:name="_Toc135417650"/>
      <w:bookmarkStart w:id="119" w:name="_Toc135418912"/>
      <w:r w:rsidRPr="00E300D7">
        <w:rPr>
          <w:lang w:val="en-GB"/>
        </w:rPr>
        <w:t>3.11 Reliability and Validity</w:t>
      </w:r>
      <w:bookmarkEnd w:id="118"/>
      <w:bookmarkEnd w:id="119"/>
    </w:p>
    <w:p w:rsidR="00AD15EA" w:rsidRPr="00E300D7" w:rsidRDefault="007008CE">
      <w:pPr>
        <w:pStyle w:val="Normal3"/>
        <w:spacing w:after="20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This research has adopted a qualitative data collection strategy for analysing the various factors associated with foreign exchange risk management. (Rose and Johnson, 2020) opined that reliability of qualitative data refers to the authenticity and stability of information gathered throughout the process. Reliability is based on the consistency of measuring the data, whereas validity refers to the quality and requirements behind the measurement. This research has maintained the consistency of data collection as well as documentation for enhancing the transparency. However, reliability and validity of data can be further increased by building dedicated data-sets and keeping detailed field notes obtained through recording devices and transcribing digital files (Begum </w:t>
      </w:r>
      <w:r w:rsidRPr="00E300D7">
        <w:rPr>
          <w:rFonts w:ascii="Times New Roman" w:hAnsi="Times New Roman" w:cs="Times New Roman"/>
          <w:i/>
          <w:sz w:val="24"/>
          <w:szCs w:val="24"/>
          <w:lang w:val="en-GB"/>
        </w:rPr>
        <w:t>et al.</w:t>
      </w:r>
      <w:r w:rsidRPr="00E300D7">
        <w:rPr>
          <w:rFonts w:ascii="Times New Roman" w:hAnsi="Times New Roman" w:cs="Times New Roman"/>
          <w:sz w:val="24"/>
          <w:szCs w:val="24"/>
          <w:lang w:val="en-GB"/>
        </w:rPr>
        <w:t xml:space="preserve"> 2020). The validity of research may vary due to a varied range of research variables. In case secondary data collection, the authenticity of data is high for being authored and analysed by various field experts. Hence, the reliability and validity aspect of the research is high.</w:t>
      </w:r>
    </w:p>
    <w:p w:rsidR="00AD15EA" w:rsidRPr="00E300D7" w:rsidRDefault="007008CE">
      <w:pPr>
        <w:pStyle w:val="Heading2"/>
        <w:rPr>
          <w:lang w:val="en-GB"/>
        </w:rPr>
      </w:pPr>
      <w:bookmarkStart w:id="120" w:name="_Toc135417651"/>
      <w:bookmarkStart w:id="121" w:name="_Toc135418913"/>
      <w:r w:rsidRPr="00E300D7">
        <w:rPr>
          <w:lang w:val="en-GB"/>
        </w:rPr>
        <w:t>3.12Chapter Summary</w:t>
      </w:r>
      <w:bookmarkEnd w:id="120"/>
      <w:bookmarkEnd w:id="121"/>
    </w:p>
    <w:p w:rsidR="00AD15EA" w:rsidRPr="00E300D7" w:rsidRDefault="007008CE" w:rsidP="006C5310">
      <w:pPr>
        <w:pStyle w:val="Normal1"/>
        <w:rPr>
          <w:b/>
          <w:lang w:val="en-GB"/>
        </w:rPr>
      </w:pPr>
      <w:bookmarkStart w:id="122" w:name="_Toc135417652"/>
      <w:bookmarkStart w:id="123" w:name="_Toc135418914"/>
      <w:r w:rsidRPr="00E300D7">
        <w:rPr>
          <w:lang w:val="en-GB"/>
        </w:rPr>
        <w:t>Secondary data collection is suitable for this research. Additionally, the research has included only those data sources which were created within the last five years in order to enhance the relevance of data. The ethical considerations associated with the study have been taken care of along with maintaining the reliability of data.</w:t>
      </w:r>
      <w:bookmarkEnd w:id="122"/>
      <w:bookmarkEnd w:id="123"/>
      <w:r w:rsidRPr="00E300D7">
        <w:rPr>
          <w:lang w:val="en-GB"/>
        </w:rPr>
        <w:br w:type="page"/>
      </w:r>
    </w:p>
    <w:p w:rsidR="006C5310" w:rsidRPr="00E300D7" w:rsidRDefault="007008CE" w:rsidP="003F3AF7">
      <w:pPr>
        <w:pStyle w:val="Heading1"/>
        <w:rPr>
          <w:lang w:val="en-GB"/>
        </w:rPr>
      </w:pPr>
      <w:bookmarkStart w:id="124" w:name="_Toc135417653"/>
      <w:bookmarkStart w:id="125" w:name="_Toc135418915"/>
      <w:bookmarkStart w:id="126" w:name="_Toc134035786"/>
      <w:r w:rsidRPr="00E300D7">
        <w:rPr>
          <w:lang w:val="en-GB"/>
        </w:rPr>
        <w:lastRenderedPageBreak/>
        <w:t>Chapter 4: Findings, Analysis and Discussion</w:t>
      </w:r>
      <w:bookmarkEnd w:id="124"/>
      <w:bookmarkEnd w:id="125"/>
    </w:p>
    <w:p w:rsidR="006C5310" w:rsidRPr="00E300D7" w:rsidRDefault="003F3AF7" w:rsidP="005E765E">
      <w:pPr>
        <w:pStyle w:val="Heading2"/>
        <w:rPr>
          <w:lang w:val="en-GB"/>
        </w:rPr>
      </w:pPr>
      <w:bookmarkStart w:id="127" w:name="_Toc135417654"/>
      <w:bookmarkStart w:id="128" w:name="_Toc135418916"/>
      <w:r w:rsidRPr="00E300D7">
        <w:rPr>
          <w:lang w:val="en-GB"/>
        </w:rPr>
        <w:t>4.1 Introduction</w:t>
      </w:r>
      <w:bookmarkEnd w:id="127"/>
      <w:bookmarkEnd w:id="128"/>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Foreign Exchange (FX) risk management aims to </w:t>
      </w:r>
      <w:r w:rsidR="003F3AF7" w:rsidRPr="00E300D7">
        <w:rPr>
          <w:rFonts w:ascii="Times New Roman" w:eastAsia="Times New Roman" w:hAnsi="Times New Roman" w:cs="Times New Roman"/>
          <w:sz w:val="24"/>
          <w:szCs w:val="24"/>
          <w:lang w:val="en-GB"/>
        </w:rPr>
        <w:t>minimize</w:t>
      </w:r>
      <w:r w:rsidRPr="00E300D7">
        <w:rPr>
          <w:rFonts w:ascii="Times New Roman" w:eastAsia="Times New Roman" w:hAnsi="Times New Roman" w:cs="Times New Roman"/>
          <w:sz w:val="24"/>
          <w:szCs w:val="24"/>
          <w:lang w:val="en-GB"/>
        </w:rPr>
        <w:t xml:space="preserve"> the impacts of surrounding pressure factors and facilitate the trading procedures into a more manageable state. The main concepts of FX along with the associated challenges faced by FIs are discussed in detail. The challenges discussed in this section include inflation, devaluation of local currency and fluctuating flow of money. The potential remedies for a better FX risk management are also discussed. This chapter mainly focuses upon finding the objective-wise facts and figures in order to derive a thorough concept regarding FX risk management. Further, gathered information in the Literature Review and Findings section are critically discussed in the Discussion section for gaining effective insights. </w:t>
      </w:r>
    </w:p>
    <w:p w:rsidR="006C5310" w:rsidRPr="00E300D7" w:rsidRDefault="006C5310" w:rsidP="005E765E">
      <w:pPr>
        <w:pStyle w:val="Heading2"/>
        <w:rPr>
          <w:lang w:val="en-GB"/>
        </w:rPr>
      </w:pPr>
      <w:bookmarkStart w:id="129" w:name="_Toc135417655"/>
      <w:bookmarkStart w:id="130" w:name="_Toc135418917"/>
      <w:r w:rsidRPr="00E300D7">
        <w:rPr>
          <w:lang w:val="en-GB"/>
        </w:rPr>
        <w:t>4.2 Findings</w:t>
      </w:r>
      <w:bookmarkEnd w:id="129"/>
      <w:bookmarkEnd w:id="130"/>
    </w:p>
    <w:p w:rsidR="006C5310" w:rsidRPr="00E300D7" w:rsidRDefault="006C5310" w:rsidP="006C5310">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t>Theme 1: The main concept of Foreign Exchange (FX) includes conversion of country’s currency in various types of FX market.</w:t>
      </w:r>
    </w:p>
    <w:p w:rsidR="006C5310" w:rsidRPr="00E300D7" w:rsidRDefault="006C5310" w:rsidP="006C5310">
      <w:pPr>
        <w:pStyle w:val="Normal3"/>
        <w:spacing w:before="240"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FX market is a transparent market within which the native as well as foreign traders have complete access to market information required for successful transactions. Based on the views of Turner </w:t>
      </w:r>
      <w:r w:rsidRPr="00E300D7">
        <w:rPr>
          <w:rFonts w:ascii="Times New Roman" w:eastAsia="Times New Roman" w:hAnsi="Times New Roman" w:cs="Times New Roman"/>
          <w:i/>
          <w:sz w:val="24"/>
          <w:szCs w:val="24"/>
          <w:lang w:val="en-GB"/>
        </w:rPr>
        <w:t>et al.</w:t>
      </w:r>
      <w:r w:rsidRPr="00E300D7">
        <w:rPr>
          <w:rFonts w:ascii="Times New Roman" w:eastAsia="Times New Roman" w:hAnsi="Times New Roman" w:cs="Times New Roman"/>
          <w:sz w:val="24"/>
          <w:szCs w:val="24"/>
          <w:lang w:val="en-GB"/>
        </w:rPr>
        <w:t xml:space="preserve"> (2019), a simplified concept of FX is the conversion of one country’s currency into another. FX market corresponds to an “over-the-counter (OTC)” marketplace for determining the exchange rate of global currencies. Hence, the FX market includes various propositional factors such as selling and exchanging the current valuation of the currencies. In a free economy, the currency of a country is valued as per the laws regarding supply and demand. However, “Official currency substitution” is useful for promoting fiscal and monetary discipline towards a better macroeconomic stability (Imam, 2022). Hence, many countries such as the British Virgin Islands, El Salvador, Palau and Ecuador do not have their own currencies but rather use a currency from another country.</w:t>
      </w:r>
    </w:p>
    <w:p w:rsidR="006C5310" w:rsidRPr="00E300D7" w:rsidRDefault="006C5310" w:rsidP="006C5310">
      <w:pPr>
        <w:pStyle w:val="Normal3"/>
        <w:spacing w:before="240"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Financial Regulations of the UK issued under “Emergency Powers (</w:t>
      </w:r>
      <w:proofErr w:type="spellStart"/>
      <w:r w:rsidRPr="00E300D7">
        <w:rPr>
          <w:rFonts w:ascii="Times New Roman" w:eastAsia="Times New Roman" w:hAnsi="Times New Roman" w:cs="Times New Roman"/>
          <w:sz w:val="24"/>
          <w:szCs w:val="24"/>
          <w:lang w:val="en-GB"/>
        </w:rPr>
        <w:t>Defense</w:t>
      </w:r>
      <w:proofErr w:type="spellEnd"/>
      <w:r w:rsidRPr="00E300D7">
        <w:rPr>
          <w:rFonts w:ascii="Times New Roman" w:eastAsia="Times New Roman" w:hAnsi="Times New Roman" w:cs="Times New Roman"/>
          <w:sz w:val="24"/>
          <w:szCs w:val="24"/>
          <w:lang w:val="en-GB"/>
        </w:rPr>
        <w:t xml:space="preserve">) Act 1939” issues strict restrictions for converting sterling into foreign currencies, such as US dollars (Parliament.uk, 2022). An important part of FX market is sourced from the financial activities of organisations and various businesses seeking FX to pay for goods and services. The main components of Foreign Reserves include “foreign currency assets”, gold, “special drawing rights” and the reserved position in the “International Monetary Fund (IMF)” </w:t>
      </w:r>
      <w:r w:rsidRPr="00E300D7">
        <w:rPr>
          <w:rFonts w:ascii="Times New Roman" w:eastAsia="Times New Roman" w:hAnsi="Times New Roman" w:cs="Times New Roman"/>
          <w:sz w:val="24"/>
          <w:szCs w:val="24"/>
          <w:lang w:val="en-GB"/>
        </w:rPr>
        <w:lastRenderedPageBreak/>
        <w:t>(Bankofengland.co.uk, 2022). On the other hand, Spot market is an important kind of FX market holding a significant share in the global FX market. The main participants of the FX market are “Commercial banks”, “Hedge funds”, “Retail traders”, “Sovereign wealth funds”, “Prime brokers” and “Proprietary trading firms”. However, the spot trade fell by 30% in 2019, whereas the shares of outright forward remained unchanged at 15% (Bis.org, 2022). Trading with other FIs along with inter-dealer trades saw a modest growth by 2022.</w:t>
      </w:r>
    </w:p>
    <w:p w:rsidR="006C5310" w:rsidRPr="00E300D7" w:rsidRDefault="006C5310" w:rsidP="006C5310">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t>Theme 2: The challenges faced by the FIs due to volatility in FX include rate of inflation, monetary policies of the central bank, devaluation of local currency, advent of Bitcoin and fluctuating flow of money.</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challenging factors associated with the FX market include transactional risk, translational risk and economic risks. The transactional risks involve multi-decade high inflation rate and fluctuating flow of currency exchange rates. Further, translational risks involve devaluation of local currency and the advent of Bitcoin and digital currencies, whereas the economic risks involve policies of the central bank and continuous deterioration of economic outlook in many regions (Imf.org, 2022). As per the Global Financial Stability Report, persistent geopolitical risks in many big economy countries such as Russia, UK, China and USA are destabilising the foreign exchange rates.</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noProof/>
          <w:sz w:val="24"/>
          <w:szCs w:val="24"/>
          <w:lang w:val="en-GB"/>
        </w:rPr>
        <w:lastRenderedPageBreak/>
        <w:drawing>
          <wp:inline distT="114300" distB="114300" distL="114300" distR="114300">
            <wp:extent cx="5731200" cy="45339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731200" cy="4533900"/>
                    </a:xfrm>
                    <a:prstGeom prst="rect">
                      <a:avLst/>
                    </a:prstGeom>
                    <a:ln w="25400">
                      <a:solidFill>
                        <a:srgbClr val="000000"/>
                      </a:solidFill>
                      <a:prstDash val="solid"/>
                    </a:ln>
                  </pic:spPr>
                </pic:pic>
              </a:graphicData>
            </a:graphic>
          </wp:inline>
        </w:drawing>
      </w:r>
    </w:p>
    <w:p w:rsidR="006C5310" w:rsidRPr="00E300D7" w:rsidRDefault="006C5310" w:rsidP="00703621">
      <w:pPr>
        <w:pStyle w:val="Heading4"/>
      </w:pPr>
      <w:r w:rsidRPr="00E300D7">
        <w:t>Figure 4.2.1: Commodity Price Pressure due to High Inflation destabilising the FX Market</w:t>
      </w:r>
    </w:p>
    <w:p w:rsidR="006C5310" w:rsidRPr="00E300D7" w:rsidRDefault="006C5310" w:rsidP="006C5310">
      <w:pPr>
        <w:pStyle w:val="Normal3"/>
        <w:spacing w:after="200" w:line="360" w:lineRule="auto"/>
        <w:jc w:val="center"/>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(Source: Imf.org, 2022)</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central bank is tightening its monetary policies to curb the inflationary pressure, as a result of which, both the advanced as well as developing economies are struggling across various sectors involving FX. Financial vulnerabilities are compelling the governments along with the “nonbank financial institutions (NBFIs)” such as insurers, pension funds, hedge funds and mutual funds towards a mounting debt (Imf.org, 2022). Additionally, the ease of asset trades has deteriorated due to volatile interest rates and poor market liquidity resulting in disorderly repricing. The asset prices have fallen down as investors have become more risk-averse regarding the uncertainty in economic policies. Furthermore, non-regulation of </w:t>
      </w:r>
      <w:r w:rsidR="003F3AF7" w:rsidRPr="00E300D7">
        <w:rPr>
          <w:rFonts w:ascii="Times New Roman" w:eastAsia="Times New Roman" w:hAnsi="Times New Roman" w:cs="Times New Roman"/>
          <w:sz w:val="24"/>
          <w:szCs w:val="24"/>
          <w:lang w:val="en-GB"/>
        </w:rPr>
        <w:t>Cryptocurrencies</w:t>
      </w:r>
      <w:r w:rsidRPr="00E300D7">
        <w:rPr>
          <w:rFonts w:ascii="Times New Roman" w:eastAsia="Times New Roman" w:hAnsi="Times New Roman" w:cs="Times New Roman"/>
          <w:sz w:val="24"/>
          <w:szCs w:val="24"/>
          <w:lang w:val="en-GB"/>
        </w:rPr>
        <w:t xml:space="preserve"> by any central bank or government adversely affects FX. </w:t>
      </w:r>
    </w:p>
    <w:p w:rsidR="006D71CB" w:rsidRPr="00E300D7" w:rsidRDefault="006D71CB" w:rsidP="006D71CB">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lastRenderedPageBreak/>
        <w:t xml:space="preserve">Theme 3: Political risk insurance (PRI) and use of machine learning (ML) to manage political and financial risks in FDI along with making better investment decisions </w:t>
      </w:r>
    </w:p>
    <w:p w:rsidR="006D71CB" w:rsidRPr="00E300D7" w:rsidRDefault="006D71CB" w:rsidP="006D71CB">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financial institutions (FIs) of the UK and other parts of the world need to assess both the </w:t>
      </w:r>
      <w:proofErr w:type="spellStart"/>
      <w:r w:rsidRPr="00E300D7">
        <w:rPr>
          <w:rFonts w:ascii="Times New Roman" w:eastAsia="Times New Roman" w:hAnsi="Times New Roman" w:cs="Times New Roman"/>
          <w:sz w:val="24"/>
          <w:szCs w:val="24"/>
          <w:lang w:val="en-GB"/>
        </w:rPr>
        <w:t>economical</w:t>
      </w:r>
      <w:proofErr w:type="spellEnd"/>
      <w:r w:rsidRPr="00E300D7">
        <w:rPr>
          <w:rFonts w:ascii="Times New Roman" w:eastAsia="Times New Roman" w:hAnsi="Times New Roman" w:cs="Times New Roman"/>
          <w:sz w:val="24"/>
          <w:szCs w:val="24"/>
          <w:lang w:val="en-GB"/>
        </w:rPr>
        <w:t xml:space="preserve"> and political factors of a new country before making a foreign investment. Countries having enhanced political rights have the higher rate of the outflows of the FDI as the foreign investors can trust the stable political situation to invest (Song </w:t>
      </w:r>
      <w:r w:rsidRPr="00E300D7">
        <w:rPr>
          <w:rFonts w:ascii="Times New Roman" w:eastAsia="Times New Roman" w:hAnsi="Times New Roman" w:cs="Times New Roman"/>
          <w:i/>
          <w:sz w:val="24"/>
          <w:szCs w:val="24"/>
          <w:lang w:val="en-GB"/>
        </w:rPr>
        <w:t>et al.</w:t>
      </w:r>
      <w:r w:rsidRPr="00E300D7">
        <w:rPr>
          <w:rFonts w:ascii="Times New Roman" w:eastAsia="Times New Roman" w:hAnsi="Times New Roman" w:cs="Times New Roman"/>
          <w:sz w:val="24"/>
          <w:szCs w:val="24"/>
          <w:lang w:val="en-GB"/>
        </w:rPr>
        <w:t xml:space="preserve"> 2020). The assessment and evaluation of the political stability of a country can assist a FI to make better infrastructure to attract the investors. On the other hand, the countries having higher political corruption along with less levels of democracy have higher FDI inflows (</w:t>
      </w:r>
      <w:proofErr w:type="spellStart"/>
      <w:r w:rsidRPr="00E300D7">
        <w:rPr>
          <w:rFonts w:ascii="Times New Roman" w:eastAsia="Times New Roman" w:hAnsi="Times New Roman" w:cs="Times New Roman"/>
          <w:sz w:val="24"/>
          <w:szCs w:val="24"/>
          <w:lang w:val="en-GB"/>
        </w:rPr>
        <w:t>Poufinas</w:t>
      </w:r>
      <w:proofErr w:type="spell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i/>
          <w:sz w:val="24"/>
          <w:szCs w:val="24"/>
          <w:lang w:val="en-GB"/>
        </w:rPr>
        <w:t>et al.</w:t>
      </w:r>
      <w:r w:rsidRPr="00E300D7">
        <w:rPr>
          <w:rFonts w:ascii="Times New Roman" w:eastAsia="Times New Roman" w:hAnsi="Times New Roman" w:cs="Times New Roman"/>
          <w:sz w:val="24"/>
          <w:szCs w:val="24"/>
          <w:lang w:val="en-GB"/>
        </w:rPr>
        <w:t xml:space="preserve"> 2023). Therefore, the financial institutions in the UK and other global regions need to invest within a country having a lower corruption rate. The assessment of any issues such as breach of contract and damage to any assets is essential during the FDI investments (Betz and Pond, 2019). The risk management process of a FI needs to focus on protecting the contract between the two parties and the financial assets of a firm. </w:t>
      </w:r>
    </w:p>
    <w:p w:rsidR="006D71CB" w:rsidRPr="00E300D7" w:rsidRDefault="006D71CB" w:rsidP="006D71CB">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sz w:val="24"/>
          <w:szCs w:val="24"/>
          <w:lang w:val="en-GB"/>
        </w:rPr>
        <w:t xml:space="preserve">The market volatility and various geopolitical situations can cause severe economic risks for a FI during any intervention of foreign exchange. Based on the views of </w:t>
      </w:r>
      <w:proofErr w:type="spellStart"/>
      <w:r w:rsidRPr="00E300D7">
        <w:rPr>
          <w:rFonts w:ascii="Times New Roman" w:eastAsia="Times New Roman" w:hAnsi="Times New Roman" w:cs="Times New Roman"/>
          <w:sz w:val="24"/>
          <w:szCs w:val="24"/>
          <w:lang w:val="en-GB"/>
        </w:rPr>
        <w:t>Jeevanandam</w:t>
      </w:r>
      <w:proofErr w:type="spellEnd"/>
      <w:r w:rsidRPr="00E300D7">
        <w:rPr>
          <w:rFonts w:ascii="Times New Roman" w:eastAsia="Times New Roman" w:hAnsi="Times New Roman" w:cs="Times New Roman"/>
          <w:sz w:val="24"/>
          <w:szCs w:val="24"/>
          <w:lang w:val="en-GB"/>
        </w:rPr>
        <w:t xml:space="preserve"> (2020), economic, transaction along translation risks are the main factors needed to analyse during the risk management process of foreign exchange. The evaluation of the translation and transaction risks is essential to enhance transparency during the FX process. On the contrary, use of the </w:t>
      </w:r>
      <w:r w:rsidRPr="00E300D7">
        <w:rPr>
          <w:rFonts w:ascii="Times New Roman" w:eastAsia="Times New Roman" w:hAnsi="Times New Roman" w:cs="Times New Roman"/>
          <w:b/>
          <w:i/>
          <w:sz w:val="24"/>
          <w:szCs w:val="24"/>
          <w:lang w:val="en-GB"/>
        </w:rPr>
        <w:t>ML or Machine learning along with effective application of optimization algorithms c</w:t>
      </w:r>
      <w:r w:rsidRPr="00E300D7">
        <w:rPr>
          <w:rFonts w:ascii="Times New Roman" w:eastAsia="Times New Roman" w:hAnsi="Times New Roman" w:cs="Times New Roman"/>
          <w:sz w:val="24"/>
          <w:szCs w:val="24"/>
          <w:lang w:val="en-GB"/>
        </w:rPr>
        <w:t xml:space="preserve">an assist FIs to get optimal solutions to assess financial risks associated with FDI inflow (Pan </w:t>
      </w:r>
      <w:r w:rsidRPr="00E300D7">
        <w:rPr>
          <w:rFonts w:ascii="Times New Roman" w:eastAsia="Times New Roman" w:hAnsi="Times New Roman" w:cs="Times New Roman"/>
          <w:i/>
          <w:sz w:val="24"/>
          <w:szCs w:val="24"/>
          <w:lang w:val="en-GB"/>
        </w:rPr>
        <w:t xml:space="preserve">et al. </w:t>
      </w:r>
      <w:r w:rsidRPr="00E300D7">
        <w:rPr>
          <w:rFonts w:ascii="Times New Roman" w:eastAsia="Times New Roman" w:hAnsi="Times New Roman" w:cs="Times New Roman"/>
          <w:sz w:val="24"/>
          <w:szCs w:val="24"/>
          <w:lang w:val="en-GB"/>
        </w:rPr>
        <w:t xml:space="preserve">2022). The better analysis of the inflows during the risk management with the use of advanced ML technologies can assist FIs to make better investment decisions through FX.  On the other hand, based on the studies of Papanastasiou (2021), </w:t>
      </w:r>
      <w:r w:rsidRPr="00E300D7">
        <w:rPr>
          <w:rFonts w:ascii="Times New Roman" w:eastAsia="Times New Roman" w:hAnsi="Times New Roman" w:cs="Times New Roman"/>
          <w:b/>
          <w:i/>
          <w:sz w:val="24"/>
          <w:szCs w:val="24"/>
          <w:lang w:val="en-GB"/>
        </w:rPr>
        <w:t xml:space="preserve">“political risk insurance (PRI)” </w:t>
      </w:r>
      <w:r w:rsidRPr="00E300D7">
        <w:rPr>
          <w:rFonts w:ascii="Times New Roman" w:eastAsia="Times New Roman" w:hAnsi="Times New Roman" w:cs="Times New Roman"/>
          <w:sz w:val="24"/>
          <w:szCs w:val="24"/>
          <w:lang w:val="en-GB"/>
        </w:rPr>
        <w:t xml:space="preserve">can be an effective process for the FIs to tackle the uncertain or unpredictable business conditions. The political risk management process (PRM) is an essential part within the risk management during FX for a financial institution to tackle budget constraints in a foreign business. </w:t>
      </w:r>
    </w:p>
    <w:p w:rsidR="006D71CB" w:rsidRPr="00E300D7" w:rsidRDefault="006D71CB" w:rsidP="006D71CB">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b/>
          <w:sz w:val="24"/>
          <w:szCs w:val="24"/>
          <w:lang w:val="en-GB"/>
        </w:rPr>
        <w:t>Theme 4: Use of “Investment Promotion Agency (IPA)”, protecting commercial contracts and follow-up of multilateral surveillance tool to making better investment decisions in FX</w:t>
      </w:r>
    </w:p>
    <w:p w:rsidR="006D71CB" w:rsidRPr="00E300D7" w:rsidRDefault="006D71CB" w:rsidP="006D71CB">
      <w:pPr>
        <w:pStyle w:val="Normal3"/>
        <w:spacing w:before="200"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lastRenderedPageBreak/>
        <w:t xml:space="preserve">The use of the effective commercial contracts and the better assessment of the macro environmental risks of a foreign country such as economical and political condition can assist the FIs. Based on the studies of Ramos </w:t>
      </w:r>
      <w:r w:rsidRPr="00E300D7">
        <w:rPr>
          <w:rFonts w:ascii="Times New Roman" w:eastAsia="Times New Roman" w:hAnsi="Times New Roman" w:cs="Times New Roman"/>
          <w:i/>
          <w:sz w:val="24"/>
          <w:szCs w:val="24"/>
          <w:lang w:val="en-GB"/>
        </w:rPr>
        <w:t xml:space="preserve">et al. </w:t>
      </w:r>
      <w:r w:rsidRPr="00E300D7">
        <w:rPr>
          <w:rFonts w:ascii="Times New Roman" w:eastAsia="Times New Roman" w:hAnsi="Times New Roman" w:cs="Times New Roman"/>
          <w:sz w:val="24"/>
          <w:szCs w:val="24"/>
          <w:lang w:val="en-GB"/>
        </w:rPr>
        <w:t xml:space="preserve">(2022), multilateral surveillance tools used by “International Monetary Fund (IMF)” can be useful to analyse the risks of macro-critical climate due to financial issues along with fiscal systems. The effective evaluation of the surveillance tool of the IMF can assist the FIs to better assess the political and </w:t>
      </w:r>
      <w:proofErr w:type="spellStart"/>
      <w:r w:rsidRPr="00E300D7">
        <w:rPr>
          <w:rFonts w:ascii="Times New Roman" w:eastAsia="Times New Roman" w:hAnsi="Times New Roman" w:cs="Times New Roman"/>
          <w:sz w:val="24"/>
          <w:szCs w:val="24"/>
          <w:lang w:val="en-GB"/>
        </w:rPr>
        <w:t>economical</w:t>
      </w:r>
      <w:proofErr w:type="spellEnd"/>
      <w:r w:rsidRPr="00E300D7">
        <w:rPr>
          <w:rFonts w:ascii="Times New Roman" w:eastAsia="Times New Roman" w:hAnsi="Times New Roman" w:cs="Times New Roman"/>
          <w:sz w:val="24"/>
          <w:szCs w:val="24"/>
          <w:lang w:val="en-GB"/>
        </w:rPr>
        <w:t xml:space="preserve"> risks during the FX process. The use of </w:t>
      </w:r>
      <w:r w:rsidRPr="00E300D7">
        <w:rPr>
          <w:rFonts w:ascii="Times New Roman" w:eastAsia="Times New Roman" w:hAnsi="Times New Roman" w:cs="Times New Roman"/>
          <w:b/>
          <w:i/>
          <w:sz w:val="24"/>
          <w:szCs w:val="24"/>
          <w:lang w:val="en-GB"/>
        </w:rPr>
        <w:t>“Investment Promotion Agency (IPA)”</w:t>
      </w:r>
      <w:r w:rsidRPr="00E300D7">
        <w:rPr>
          <w:rFonts w:ascii="Times New Roman" w:eastAsia="Times New Roman" w:hAnsi="Times New Roman" w:cs="Times New Roman"/>
          <w:sz w:val="24"/>
          <w:szCs w:val="24"/>
          <w:lang w:val="en-GB"/>
        </w:rPr>
        <w:t xml:space="preserve"> to prepare the readily accessible skilled technicians, labourers, managers along with engineers can assist to attract more investors for a FI (Moran, 2019). The use of the skilled employees with assistance of the IPA to hire skilled financial managers can assist the FIs in the UK and other global regions to lower the financial and operational risks. </w:t>
      </w:r>
    </w:p>
    <w:p w:rsidR="006D71CB" w:rsidRPr="00E300D7" w:rsidRDefault="006D71CB" w:rsidP="006D71CB">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FIs need to design effective commercial relations and contracts during designing their FX strategies. Based on the research of </w:t>
      </w:r>
      <w:proofErr w:type="spellStart"/>
      <w:r w:rsidRPr="00E300D7">
        <w:rPr>
          <w:rFonts w:ascii="Times New Roman" w:eastAsia="Times New Roman" w:hAnsi="Times New Roman" w:cs="Times New Roman"/>
          <w:sz w:val="24"/>
          <w:szCs w:val="24"/>
          <w:lang w:val="en-GB"/>
        </w:rPr>
        <w:t>Giofré</w:t>
      </w:r>
      <w:proofErr w:type="spellEnd"/>
      <w:r w:rsidRPr="00E300D7">
        <w:rPr>
          <w:rFonts w:ascii="Times New Roman" w:eastAsia="Times New Roman" w:hAnsi="Times New Roman" w:cs="Times New Roman"/>
          <w:sz w:val="24"/>
          <w:szCs w:val="24"/>
          <w:lang w:val="en-GB"/>
        </w:rPr>
        <w:t xml:space="preserve"> and </w:t>
      </w:r>
      <w:proofErr w:type="spellStart"/>
      <w:r w:rsidRPr="00E300D7">
        <w:rPr>
          <w:rFonts w:ascii="Times New Roman" w:eastAsia="Times New Roman" w:hAnsi="Times New Roman" w:cs="Times New Roman"/>
          <w:sz w:val="24"/>
          <w:szCs w:val="24"/>
          <w:lang w:val="en-GB"/>
        </w:rPr>
        <w:t>Sokolenko</w:t>
      </w:r>
      <w:proofErr w:type="spellEnd"/>
      <w:r w:rsidRPr="00E300D7">
        <w:rPr>
          <w:rFonts w:ascii="Times New Roman" w:eastAsia="Times New Roman" w:hAnsi="Times New Roman" w:cs="Times New Roman"/>
          <w:sz w:val="24"/>
          <w:szCs w:val="24"/>
          <w:lang w:val="en-GB"/>
        </w:rPr>
        <w:t xml:space="preserve"> (2022), </w:t>
      </w:r>
      <w:r w:rsidRPr="00E300D7">
        <w:rPr>
          <w:rFonts w:ascii="Times New Roman" w:eastAsia="Times New Roman" w:hAnsi="Times New Roman" w:cs="Times New Roman"/>
          <w:b/>
          <w:i/>
          <w:sz w:val="24"/>
          <w:szCs w:val="24"/>
          <w:lang w:val="en-GB"/>
        </w:rPr>
        <w:t xml:space="preserve">“Natural Foreign Exchange Hedging” </w:t>
      </w:r>
      <w:r w:rsidRPr="00E300D7">
        <w:rPr>
          <w:rFonts w:ascii="Times New Roman" w:eastAsia="Times New Roman" w:hAnsi="Times New Roman" w:cs="Times New Roman"/>
          <w:sz w:val="24"/>
          <w:szCs w:val="24"/>
          <w:lang w:val="en-GB"/>
        </w:rPr>
        <w:t xml:space="preserve">can assist the FIs along with the investors to lower the market volatility along with risks. The FIs can match the revues and costs within the foreign currencies using the hedging procedure. Based on the studies of </w:t>
      </w:r>
      <w:proofErr w:type="spellStart"/>
      <w:r w:rsidRPr="00E300D7">
        <w:rPr>
          <w:rFonts w:ascii="Times New Roman" w:eastAsia="Times New Roman" w:hAnsi="Times New Roman" w:cs="Times New Roman"/>
          <w:sz w:val="24"/>
          <w:szCs w:val="24"/>
          <w:lang w:val="en-GB"/>
        </w:rPr>
        <w:t>Dimoski</w:t>
      </w:r>
      <w:proofErr w:type="spell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i/>
          <w:sz w:val="24"/>
          <w:szCs w:val="24"/>
          <w:lang w:val="en-GB"/>
        </w:rPr>
        <w:t>et al.</w:t>
      </w:r>
      <w:r w:rsidRPr="00E300D7">
        <w:rPr>
          <w:rFonts w:ascii="Times New Roman" w:eastAsia="Times New Roman" w:hAnsi="Times New Roman" w:cs="Times New Roman"/>
          <w:sz w:val="24"/>
          <w:szCs w:val="24"/>
          <w:lang w:val="en-GB"/>
        </w:rPr>
        <w:t xml:space="preserve"> (2023), the effective use of the </w:t>
      </w:r>
      <w:r w:rsidRPr="00E300D7">
        <w:rPr>
          <w:rFonts w:ascii="Times New Roman" w:eastAsia="Times New Roman" w:hAnsi="Times New Roman" w:cs="Times New Roman"/>
          <w:b/>
          <w:i/>
          <w:sz w:val="24"/>
          <w:szCs w:val="24"/>
          <w:lang w:val="en-GB"/>
        </w:rPr>
        <w:t xml:space="preserve">currency option or a forward contract </w:t>
      </w:r>
      <w:r w:rsidRPr="00E300D7">
        <w:rPr>
          <w:rFonts w:ascii="Times New Roman" w:eastAsia="Times New Roman" w:hAnsi="Times New Roman" w:cs="Times New Roman"/>
          <w:sz w:val="24"/>
          <w:szCs w:val="24"/>
          <w:lang w:val="en-GB"/>
        </w:rPr>
        <w:t xml:space="preserve">can assist a firm to lower the specific transaction losses during FX (foreign exchange). The contract guidelines between two parties during a FX are essential to follow to avoid any future conflicts between the parties and positively grow a business within a foreign market. Based on the studies of </w:t>
      </w:r>
      <w:proofErr w:type="spellStart"/>
      <w:r w:rsidRPr="00E300D7">
        <w:rPr>
          <w:rFonts w:ascii="Times New Roman" w:eastAsia="Times New Roman" w:hAnsi="Times New Roman" w:cs="Times New Roman"/>
          <w:sz w:val="24"/>
          <w:szCs w:val="24"/>
          <w:lang w:val="en-GB"/>
        </w:rPr>
        <w:t>Wewege</w:t>
      </w:r>
      <w:proofErr w:type="spell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i/>
          <w:sz w:val="24"/>
          <w:szCs w:val="24"/>
          <w:lang w:val="en-GB"/>
        </w:rPr>
        <w:t xml:space="preserve">et al. </w:t>
      </w:r>
      <w:r w:rsidRPr="00E300D7">
        <w:rPr>
          <w:rFonts w:ascii="Times New Roman" w:eastAsia="Times New Roman" w:hAnsi="Times New Roman" w:cs="Times New Roman"/>
          <w:sz w:val="24"/>
          <w:szCs w:val="24"/>
          <w:lang w:val="en-GB"/>
        </w:rPr>
        <w:t xml:space="preserve">(2020), the financial institutions who are within a </w:t>
      </w:r>
      <w:proofErr w:type="gramStart"/>
      <w:r w:rsidRPr="00E300D7">
        <w:rPr>
          <w:rFonts w:ascii="Times New Roman" w:eastAsia="Times New Roman" w:hAnsi="Times New Roman" w:cs="Times New Roman"/>
          <w:sz w:val="24"/>
          <w:szCs w:val="24"/>
          <w:lang w:val="en-GB"/>
        </w:rPr>
        <w:t>high</w:t>
      </w:r>
      <w:proofErr w:type="gramEnd"/>
      <w:r w:rsidRPr="00E300D7">
        <w:rPr>
          <w:rFonts w:ascii="Times New Roman" w:eastAsia="Times New Roman" w:hAnsi="Times New Roman" w:cs="Times New Roman"/>
          <w:sz w:val="24"/>
          <w:szCs w:val="24"/>
          <w:lang w:val="en-GB"/>
        </w:rPr>
        <w:t xml:space="preserve"> competitive position along with having an exceptional brand image can transact in only one currency. The renowned FIs of the UK can rely on a single currency to continue their financial transaction in FX.</w:t>
      </w:r>
    </w:p>
    <w:p w:rsidR="006C5310" w:rsidRPr="00E300D7" w:rsidRDefault="005E765E" w:rsidP="005E765E">
      <w:pPr>
        <w:pStyle w:val="Heading2"/>
        <w:rPr>
          <w:lang w:val="en-GB"/>
        </w:rPr>
      </w:pPr>
      <w:bookmarkStart w:id="131" w:name="_Toc135417656"/>
      <w:bookmarkStart w:id="132" w:name="_Toc135418918"/>
      <w:r w:rsidRPr="00E300D7">
        <w:rPr>
          <w:lang w:val="en-GB"/>
        </w:rPr>
        <w:t>4.3 Secondary Data Analysis</w:t>
      </w:r>
      <w:bookmarkEnd w:id="131"/>
      <w:bookmarkEnd w:id="132"/>
    </w:p>
    <w:p w:rsidR="006C5310" w:rsidRPr="00E300D7" w:rsidRDefault="006C5310" w:rsidP="005E765E">
      <w:pPr>
        <w:pStyle w:val="Heading3"/>
        <w:rPr>
          <w:lang w:val="en-GB"/>
        </w:rPr>
      </w:pPr>
      <w:bookmarkStart w:id="133" w:name="_Toc135417657"/>
      <w:bookmarkStart w:id="134" w:name="_Toc135418919"/>
      <w:r w:rsidRPr="00E300D7">
        <w:rPr>
          <w:lang w:val="en-GB"/>
        </w:rPr>
        <w:t>4.3.1 Thematic Analysis</w:t>
      </w:r>
      <w:bookmarkEnd w:id="133"/>
      <w:bookmarkEnd w:id="134"/>
    </w:p>
    <w:p w:rsidR="006C5310" w:rsidRPr="00E300D7" w:rsidRDefault="006C5310" w:rsidP="006C5310">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t>Theme 1:</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UK is one of the leading international locations for FX transactions and conversions. The UK holds for around 43% global FX turnover. London is the hub for the FX market with a high volume of diverse trading currencies. The floating exchange rate of the UK depends upon the valuation of the pound which can change based on the supply and demand generation. For example, the current exchange rate of British pound to US dollars refers to “£1 GBP=$1.3405” </w:t>
      </w:r>
      <w:r w:rsidRPr="00E300D7">
        <w:rPr>
          <w:rFonts w:ascii="Times New Roman" w:eastAsia="Times New Roman" w:hAnsi="Times New Roman" w:cs="Times New Roman"/>
          <w:sz w:val="24"/>
          <w:szCs w:val="24"/>
          <w:lang w:val="en-GB"/>
        </w:rPr>
        <w:lastRenderedPageBreak/>
        <w:t xml:space="preserve">(Exchangerates.org.uk, 2022). The best exchange rate has been noticed to be 1.3712 in January, 2022; whereas the worst exchange rate was noticed during the pandemic period. However, not only for the UK, the FX rates were significantly fluctuated during the Pandemic period in global levels. Evaluating the theme 1 in the Findings section, the OTC market in FX and interest rate derivatives aim to aid the central banks along with monitoring the global financial market participants. The main types of FX market exchange rate regimes include “freely floating”, “fixed”, “crawling peg or pegged” and “managed float” (Wang and Wang, 2020). The UK's sterling is not a crawling peg like the other country’s foreign </w:t>
      </w:r>
      <w:proofErr w:type="gramStart"/>
      <w:r w:rsidRPr="00E300D7">
        <w:rPr>
          <w:rFonts w:ascii="Times New Roman" w:eastAsia="Times New Roman" w:hAnsi="Times New Roman" w:cs="Times New Roman"/>
          <w:sz w:val="24"/>
          <w:szCs w:val="24"/>
          <w:lang w:val="en-GB"/>
        </w:rPr>
        <w:t>reserves,</w:t>
      </w:r>
      <w:proofErr w:type="gramEnd"/>
      <w:r w:rsidRPr="00E300D7">
        <w:rPr>
          <w:rFonts w:ascii="Times New Roman" w:eastAsia="Times New Roman" w:hAnsi="Times New Roman" w:cs="Times New Roman"/>
          <w:sz w:val="24"/>
          <w:szCs w:val="24"/>
          <w:lang w:val="en-GB"/>
        </w:rPr>
        <w:t xml:space="preserve"> hence the nature and internal stability of the UK economy is relatively high.</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“Triennial Survey (2022)” highlighted that trading in OTC FX markets range up to 7.5 trillion per day (Bis.org, 2022). FX Trading desk includes the UK, US, Singapore, Hong Kong SAR and Japan amounting to 78% of the gross trade. Trading activities in the US and Singapore grew in the recent past by more than the global average. </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noProof/>
          <w:sz w:val="24"/>
          <w:szCs w:val="24"/>
          <w:lang w:val="en-GB"/>
        </w:rPr>
        <w:drawing>
          <wp:inline distT="114300" distB="114300" distL="114300" distR="114300">
            <wp:extent cx="5572125" cy="3555454"/>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t="11206" b="2203"/>
                    <a:stretch>
                      <a:fillRect/>
                    </a:stretch>
                  </pic:blipFill>
                  <pic:spPr>
                    <a:xfrm>
                      <a:off x="0" y="0"/>
                      <a:ext cx="5572125" cy="3555454"/>
                    </a:xfrm>
                    <a:prstGeom prst="rect">
                      <a:avLst/>
                    </a:prstGeom>
                    <a:ln w="25400">
                      <a:solidFill>
                        <a:srgbClr val="000000"/>
                      </a:solidFill>
                      <a:prstDash val="solid"/>
                    </a:ln>
                  </pic:spPr>
                </pic:pic>
              </a:graphicData>
            </a:graphic>
          </wp:inline>
        </w:drawing>
      </w:r>
    </w:p>
    <w:p w:rsidR="006C5310" w:rsidRPr="00E300D7" w:rsidRDefault="006C5310" w:rsidP="00703621">
      <w:pPr>
        <w:pStyle w:val="Heading4"/>
      </w:pPr>
      <w:r w:rsidRPr="00E300D7">
        <w:t>Figure 4.3.1.1: Volatile Exchange Rates destabilising the FX Market of US and Japan</w:t>
      </w:r>
    </w:p>
    <w:p w:rsidR="006C5310" w:rsidRPr="00E300D7" w:rsidRDefault="006C5310" w:rsidP="006C5310">
      <w:pPr>
        <w:pStyle w:val="Normal3"/>
        <w:spacing w:after="200" w:line="360" w:lineRule="auto"/>
        <w:jc w:val="center"/>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(Source: Hbr.org, 2022)</w:t>
      </w:r>
    </w:p>
    <w:p w:rsidR="006C5310" w:rsidRPr="00E300D7" w:rsidRDefault="006C5310" w:rsidP="006C5310">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sz w:val="24"/>
          <w:szCs w:val="24"/>
          <w:lang w:val="en-GB"/>
        </w:rPr>
        <w:t xml:space="preserve">The turnover of FX swaps increased after 2019 as a result of the declined share in global volume of FX activities (Bis.org, 2019). The UK’s composition of Foreign Reserves includes Euros, </w:t>
      </w:r>
      <w:r w:rsidRPr="00E300D7">
        <w:rPr>
          <w:rFonts w:ascii="Times New Roman" w:eastAsia="Times New Roman" w:hAnsi="Times New Roman" w:cs="Times New Roman"/>
          <w:sz w:val="24"/>
          <w:szCs w:val="24"/>
          <w:lang w:val="en-GB"/>
        </w:rPr>
        <w:lastRenderedPageBreak/>
        <w:t>gold and dollars which comprise around three-quarters of the horde (</w:t>
      </w:r>
      <w:proofErr w:type="spellStart"/>
      <w:r w:rsidRPr="00E300D7">
        <w:rPr>
          <w:rFonts w:ascii="Times New Roman" w:eastAsia="Times New Roman" w:hAnsi="Times New Roman" w:cs="Times New Roman"/>
          <w:sz w:val="24"/>
          <w:szCs w:val="24"/>
          <w:lang w:val="en-GB"/>
        </w:rPr>
        <w:t>Byttebier</w:t>
      </w:r>
      <w:proofErr w:type="spellEnd"/>
      <w:r w:rsidRPr="00E300D7">
        <w:rPr>
          <w:rFonts w:ascii="Times New Roman" w:eastAsia="Times New Roman" w:hAnsi="Times New Roman" w:cs="Times New Roman"/>
          <w:sz w:val="24"/>
          <w:szCs w:val="24"/>
          <w:lang w:val="en-GB"/>
        </w:rPr>
        <w:t>, 2022). The World Bank data of International Reserves of the G20 countries report that the available liquid foreign reserves of the UK are low. Also, “IMF’s special drawing rights” worth around $38.9 billion and sitting gold of $17.2 billion are not much supportive to the falling pound. The UK FX market is governed by “Financial Conduct Authority (FCA)” for monitoring the financial services of the organisations (Fca.org.uk, 2022). All the NBFIs are monitored under FCA for regulating the supply and demand of monetary flow.</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b/>
          <w:sz w:val="24"/>
          <w:szCs w:val="24"/>
          <w:lang w:val="en-GB"/>
        </w:rPr>
        <w:t>Theme 2:</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Evaluating the theme 2 in the Findings section, it has been found that there are various challenges faced by FIs in issuance of foreign currency denominated debts and making foreign currency loans. The escalating volatility of exchange rates influences international trade and investment-related decision making, resulting in a potential scope for losing investor’s money. Additionally, poor forecasting of cash visibility, siloed data and unprecedented events in the global supply chain such as the UK’s extended sanctions on Russia due to the </w:t>
      </w:r>
      <w:r w:rsidR="003F3AF7" w:rsidRPr="00E300D7">
        <w:rPr>
          <w:rFonts w:ascii="Times New Roman" w:eastAsia="Times New Roman" w:hAnsi="Times New Roman" w:cs="Times New Roman"/>
          <w:sz w:val="24"/>
          <w:szCs w:val="24"/>
          <w:lang w:val="en-GB"/>
        </w:rPr>
        <w:t>invasion are</w:t>
      </w:r>
      <w:r w:rsidRPr="00E300D7">
        <w:rPr>
          <w:rFonts w:ascii="Times New Roman" w:eastAsia="Times New Roman" w:hAnsi="Times New Roman" w:cs="Times New Roman"/>
          <w:sz w:val="24"/>
          <w:szCs w:val="24"/>
          <w:lang w:val="en-GB"/>
        </w:rPr>
        <w:t xml:space="preserve"> causing mismanagement of FX risks (Imf.org, 2022). Experts have predicted that a long-standing deterioration of financial conditions due to recession pressures and faltering property sector can result in an upcoming prolonged set-back in investor appetite (Imf.org, 2019). The increasing </w:t>
      </w:r>
      <w:r w:rsidR="003F3AF7" w:rsidRPr="00E300D7">
        <w:rPr>
          <w:rFonts w:ascii="Times New Roman" w:eastAsia="Times New Roman" w:hAnsi="Times New Roman" w:cs="Times New Roman"/>
          <w:sz w:val="24"/>
          <w:szCs w:val="24"/>
          <w:lang w:val="en-GB"/>
        </w:rPr>
        <w:t>pressure upon the macro economy sector of various nations is</w:t>
      </w:r>
      <w:r w:rsidRPr="00E300D7">
        <w:rPr>
          <w:rFonts w:ascii="Times New Roman" w:eastAsia="Times New Roman" w:hAnsi="Times New Roman" w:cs="Times New Roman"/>
          <w:sz w:val="24"/>
          <w:szCs w:val="24"/>
          <w:lang w:val="en-GB"/>
        </w:rPr>
        <w:t xml:space="preserve"> risking the housing markets due to rising mortgage rates and lending standards.</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Many potential FIs, investors and borrowers are being squeezed out of the FX market due to rising borrowing costs in many countries. Additionally, the IMF’s “Global Bank Stress Test” has warned that bolstering the banking sector with liquidity buffers and capital may not be enough. More than 29% of the emerging banks would struggle with their capital requirements, although the banks of advanced economies will perform much better than the developing countries (Imf.org, 2022). Smaller FIs are facing bankruptcies due to diminishing fiscal support and eroding corporate profits. </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noProof/>
          <w:sz w:val="24"/>
          <w:szCs w:val="24"/>
          <w:lang w:val="en-GB"/>
        </w:rPr>
        <w:lastRenderedPageBreak/>
        <w:drawing>
          <wp:inline distT="114300" distB="114300" distL="114300" distR="114300">
            <wp:extent cx="5731200" cy="41783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731200" cy="4178300"/>
                    </a:xfrm>
                    <a:prstGeom prst="rect">
                      <a:avLst/>
                    </a:prstGeom>
                    <a:ln w="25400">
                      <a:solidFill>
                        <a:srgbClr val="000000"/>
                      </a:solidFill>
                      <a:prstDash val="solid"/>
                    </a:ln>
                  </pic:spPr>
                </pic:pic>
              </a:graphicData>
            </a:graphic>
          </wp:inline>
        </w:drawing>
      </w:r>
    </w:p>
    <w:p w:rsidR="006C5310" w:rsidRPr="00E300D7" w:rsidRDefault="006C5310" w:rsidP="00703621">
      <w:pPr>
        <w:pStyle w:val="Heading4"/>
      </w:pPr>
      <w:r w:rsidRPr="00E300D7">
        <w:t>Figure 4.3.1.2: Stress upon the Global Banking Sector</w:t>
      </w:r>
    </w:p>
    <w:p w:rsidR="006C5310" w:rsidRPr="00E300D7" w:rsidRDefault="006C5310" w:rsidP="006C5310">
      <w:pPr>
        <w:pStyle w:val="Normal3"/>
        <w:spacing w:after="200" w:line="360" w:lineRule="auto"/>
        <w:jc w:val="center"/>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(Source: Imf.org, 2022)</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As per the “IMF’s Integrated Policy Framework”, exchange rate flexibility is beneficial for the countries to adjust their monetary policies with regards to the global standards (Imf.org, 2022). However, the issues of NBFIs are heightened due to high inflation and amplified price swings. On the other hand, Bitcoin prices significantly impact the exchange rates of FX. As opined by Baur and Dimpfl (2021), a higher price of Bitcoin implies an appreciation of local currencies. Many FX brokers have started accepting Bitcoin and other forms of </w:t>
      </w:r>
      <w:r w:rsidR="003F3AF7" w:rsidRPr="00E300D7">
        <w:rPr>
          <w:rFonts w:ascii="Times New Roman" w:eastAsia="Times New Roman" w:hAnsi="Times New Roman" w:cs="Times New Roman"/>
          <w:sz w:val="24"/>
          <w:szCs w:val="24"/>
          <w:lang w:val="en-GB"/>
        </w:rPr>
        <w:t>Cryptocurrencies</w:t>
      </w:r>
      <w:r w:rsidRPr="00E300D7">
        <w:rPr>
          <w:rFonts w:ascii="Times New Roman" w:eastAsia="Times New Roman" w:hAnsi="Times New Roman" w:cs="Times New Roman"/>
          <w:sz w:val="24"/>
          <w:szCs w:val="24"/>
          <w:lang w:val="en-GB"/>
        </w:rPr>
        <w:t xml:space="preserve"> for </w:t>
      </w:r>
      <w:r w:rsidR="003F3AF7" w:rsidRPr="00E300D7">
        <w:rPr>
          <w:rFonts w:ascii="Times New Roman" w:eastAsia="Times New Roman" w:hAnsi="Times New Roman" w:cs="Times New Roman"/>
          <w:sz w:val="24"/>
          <w:szCs w:val="24"/>
          <w:lang w:val="en-GB"/>
        </w:rPr>
        <w:t>decentralizing</w:t>
      </w:r>
      <w:r w:rsidRPr="00E300D7">
        <w:rPr>
          <w:rFonts w:ascii="Times New Roman" w:eastAsia="Times New Roman" w:hAnsi="Times New Roman" w:cs="Times New Roman"/>
          <w:sz w:val="24"/>
          <w:szCs w:val="24"/>
          <w:lang w:val="en-GB"/>
        </w:rPr>
        <w:t xml:space="preserve"> an anonymous valuation system. However, the extreme volatility of </w:t>
      </w:r>
      <w:r w:rsidR="003F3AF7" w:rsidRPr="00E300D7">
        <w:rPr>
          <w:rFonts w:ascii="Times New Roman" w:eastAsia="Times New Roman" w:hAnsi="Times New Roman" w:cs="Times New Roman"/>
          <w:sz w:val="24"/>
          <w:szCs w:val="24"/>
          <w:lang w:val="en-GB"/>
        </w:rPr>
        <w:t>Cryptocurrencies</w:t>
      </w:r>
      <w:r w:rsidRPr="00E300D7">
        <w:rPr>
          <w:rFonts w:ascii="Times New Roman" w:eastAsia="Times New Roman" w:hAnsi="Times New Roman" w:cs="Times New Roman"/>
          <w:sz w:val="24"/>
          <w:szCs w:val="24"/>
          <w:lang w:val="en-GB"/>
        </w:rPr>
        <w:t xml:space="preserve"> adds a new layer of risk in FX trading.</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A rise in imports along with a growing trade deficit is negatively impacting the FX market of various countries. As suggested by Spadoni (2021), a weak domestic currency makes expensive imports while stimulating the exports; conversely, stronger currencies tend to disturb exports while making imports cheaper. This implies the phenomenon of devaluation of local currencies hinting at the revival of a country’s economy whereas causing a deliberate downward </w:t>
      </w:r>
      <w:r w:rsidRPr="00E300D7">
        <w:rPr>
          <w:rFonts w:ascii="Times New Roman" w:eastAsia="Times New Roman" w:hAnsi="Times New Roman" w:cs="Times New Roman"/>
          <w:sz w:val="24"/>
          <w:szCs w:val="24"/>
          <w:lang w:val="en-GB"/>
        </w:rPr>
        <w:lastRenderedPageBreak/>
        <w:t xml:space="preserve">adjustment of the official FX rate. For instance, a majority of the UK trade involves 51% of exports and 59% of imports with the EU alone (Parliament.uk, 2021). The “Home Office Exchange Rate Policy” of the UK ensures the exchange rate to be charged at 4% above the bid rates to </w:t>
      </w:r>
      <w:r w:rsidR="003F3AF7" w:rsidRPr="00E300D7">
        <w:rPr>
          <w:rFonts w:ascii="Times New Roman" w:eastAsia="Times New Roman" w:hAnsi="Times New Roman" w:cs="Times New Roman"/>
          <w:sz w:val="24"/>
          <w:szCs w:val="24"/>
          <w:lang w:val="en-GB"/>
        </w:rPr>
        <w:t>minimize</w:t>
      </w:r>
      <w:r w:rsidRPr="00E300D7">
        <w:rPr>
          <w:rFonts w:ascii="Times New Roman" w:eastAsia="Times New Roman" w:hAnsi="Times New Roman" w:cs="Times New Roman"/>
          <w:sz w:val="24"/>
          <w:szCs w:val="24"/>
          <w:lang w:val="en-GB"/>
        </w:rPr>
        <w:t xml:space="preserve"> the fluctuations of the values (Gov.uk, 2023). However, a downturn of FX rates has been affecting the UK economy. The UK foreign Reserves </w:t>
      </w:r>
      <w:r w:rsidR="003F3AF7" w:rsidRPr="00E300D7">
        <w:rPr>
          <w:rFonts w:ascii="Times New Roman" w:eastAsia="Times New Roman" w:hAnsi="Times New Roman" w:cs="Times New Roman"/>
          <w:sz w:val="24"/>
          <w:szCs w:val="24"/>
          <w:lang w:val="en-GB"/>
        </w:rPr>
        <w:t>are</w:t>
      </w:r>
      <w:r w:rsidRPr="00E300D7">
        <w:rPr>
          <w:rFonts w:ascii="Times New Roman" w:eastAsia="Times New Roman" w:hAnsi="Times New Roman" w:cs="Times New Roman"/>
          <w:sz w:val="24"/>
          <w:szCs w:val="24"/>
          <w:lang w:val="en-GB"/>
        </w:rPr>
        <w:t xml:space="preserve"> declining due to a 5% lowering of the pound against the US dollar (Bloomberg.com, 2022). Hence, the </w:t>
      </w:r>
      <w:r w:rsidR="003F3AF7" w:rsidRPr="00E300D7">
        <w:rPr>
          <w:rFonts w:ascii="Times New Roman" w:eastAsia="Times New Roman" w:hAnsi="Times New Roman" w:cs="Times New Roman"/>
          <w:sz w:val="24"/>
          <w:szCs w:val="24"/>
          <w:lang w:val="en-GB"/>
        </w:rPr>
        <w:t>challenges upon the FIs of the UK posit</w:t>
      </w:r>
      <w:r w:rsidRPr="00E300D7">
        <w:rPr>
          <w:rFonts w:ascii="Times New Roman" w:eastAsia="Times New Roman" w:hAnsi="Times New Roman" w:cs="Times New Roman"/>
          <w:sz w:val="24"/>
          <w:szCs w:val="24"/>
          <w:lang w:val="en-GB"/>
        </w:rPr>
        <w:t xml:space="preserve"> grave concern in order to face the currency fluctuations.</w:t>
      </w:r>
    </w:p>
    <w:p w:rsidR="00C40F63" w:rsidRPr="00E300D7" w:rsidRDefault="00C40F63" w:rsidP="00C40F63">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t>Theme 3:</w:t>
      </w:r>
    </w:p>
    <w:p w:rsidR="00C40F63" w:rsidRPr="00E300D7" w:rsidRDefault="00C40F63" w:rsidP="00C40F63">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evaluation of the theme 3 findings shows that the financial institutions need to assess the political stability of a foreign country during foreign exchange process. Based on the studies of </w:t>
      </w:r>
      <w:proofErr w:type="spellStart"/>
      <w:r w:rsidRPr="00E300D7">
        <w:rPr>
          <w:rFonts w:ascii="Times New Roman" w:eastAsia="Times New Roman" w:hAnsi="Times New Roman" w:cs="Times New Roman"/>
          <w:sz w:val="24"/>
          <w:szCs w:val="24"/>
          <w:lang w:val="en-GB"/>
        </w:rPr>
        <w:t>Poufinas</w:t>
      </w:r>
      <w:proofErr w:type="spell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i/>
          <w:sz w:val="24"/>
          <w:szCs w:val="24"/>
          <w:lang w:val="en-GB"/>
        </w:rPr>
        <w:t>et al.</w:t>
      </w:r>
      <w:r w:rsidRPr="00E300D7">
        <w:rPr>
          <w:rFonts w:ascii="Times New Roman" w:eastAsia="Times New Roman" w:hAnsi="Times New Roman" w:cs="Times New Roman"/>
          <w:sz w:val="24"/>
          <w:szCs w:val="24"/>
          <w:lang w:val="en-GB"/>
        </w:rPr>
        <w:t xml:space="preserve"> (2023), the assessment of political risks such as high corruption rate of the government is essential for a firm before initiating a FX process in the particular country.  The developing a political risk management system can be an effective process for a financial institution in the UK to lower the chances of any economical risks during the FX process. The lack of an effective PRM system can cause severe financial damage to FIs in the UK and other parts of the globe. However, case studies of the Public Insurance Agencies of Japan </w:t>
      </w:r>
      <w:proofErr w:type="gramStart"/>
      <w:r w:rsidRPr="00E300D7">
        <w:rPr>
          <w:rFonts w:ascii="Times New Roman" w:eastAsia="Times New Roman" w:hAnsi="Times New Roman" w:cs="Times New Roman"/>
          <w:sz w:val="24"/>
          <w:szCs w:val="24"/>
          <w:lang w:val="en-GB"/>
        </w:rPr>
        <w:t>shows</w:t>
      </w:r>
      <w:proofErr w:type="gram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b/>
          <w:i/>
          <w:sz w:val="24"/>
          <w:szCs w:val="24"/>
          <w:lang w:val="en-GB"/>
        </w:rPr>
        <w:t>political risk insurance</w:t>
      </w:r>
      <w:r w:rsidRPr="00E300D7">
        <w:rPr>
          <w:rFonts w:ascii="Times New Roman" w:eastAsia="Times New Roman" w:hAnsi="Times New Roman" w:cs="Times New Roman"/>
          <w:b/>
          <w:sz w:val="24"/>
          <w:szCs w:val="24"/>
          <w:lang w:val="en-GB"/>
        </w:rPr>
        <w:t xml:space="preserve"> (PRI)”</w:t>
      </w:r>
      <w:r w:rsidRPr="00E300D7">
        <w:rPr>
          <w:rFonts w:ascii="Times New Roman" w:eastAsia="Times New Roman" w:hAnsi="Times New Roman" w:cs="Times New Roman"/>
          <w:b/>
          <w:i/>
          <w:sz w:val="24"/>
          <w:szCs w:val="24"/>
          <w:lang w:val="en-GB"/>
        </w:rPr>
        <w:t xml:space="preserve"> </w:t>
      </w:r>
      <w:r w:rsidRPr="00E300D7">
        <w:rPr>
          <w:rFonts w:ascii="Times New Roman" w:eastAsia="Times New Roman" w:hAnsi="Times New Roman" w:cs="Times New Roman"/>
          <w:sz w:val="24"/>
          <w:szCs w:val="24"/>
          <w:lang w:val="en-GB"/>
        </w:rPr>
        <w:t>can assist financial institutions to continue growing along with developing the global businesses during the uncertain or unpredictable business situations (Papanastasiou, 2021). The effective use of the PRI can assist FIs to deal with uncertain situations and during the political conflicts between two countries.</w:t>
      </w:r>
    </w:p>
    <w:p w:rsidR="00C40F63" w:rsidRPr="00E300D7" w:rsidRDefault="00C40F63" w:rsidP="00C40F63">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political disruptions between countries can hamper the foreign exchange process of a FI. Based on the research of </w:t>
      </w:r>
      <w:proofErr w:type="spellStart"/>
      <w:r w:rsidRPr="00E300D7">
        <w:rPr>
          <w:rFonts w:ascii="Times New Roman" w:eastAsia="Times New Roman" w:hAnsi="Times New Roman" w:cs="Times New Roman"/>
          <w:sz w:val="24"/>
          <w:szCs w:val="24"/>
          <w:lang w:val="en-GB"/>
        </w:rPr>
        <w:t>Boubakri</w:t>
      </w:r>
      <w:proofErr w:type="spell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i/>
          <w:sz w:val="24"/>
          <w:szCs w:val="24"/>
          <w:lang w:val="en-GB"/>
        </w:rPr>
        <w:t xml:space="preserve">et al. </w:t>
      </w:r>
      <w:r w:rsidRPr="00E300D7">
        <w:rPr>
          <w:rFonts w:ascii="Times New Roman" w:eastAsia="Times New Roman" w:hAnsi="Times New Roman" w:cs="Times New Roman"/>
          <w:sz w:val="24"/>
          <w:szCs w:val="24"/>
          <w:lang w:val="en-GB"/>
        </w:rPr>
        <w:t xml:space="preserve">(2019), countries who have been directly participating in war can face a higher rate of currency volatility compared with the countries not engaged within conflict. On the other hand, the use of the advanced ML technologies and financial prediction module can assist the FIs to deal with the financial volatility during FX (Pan </w:t>
      </w:r>
      <w:r w:rsidRPr="00E300D7">
        <w:rPr>
          <w:rFonts w:ascii="Times New Roman" w:eastAsia="Times New Roman" w:hAnsi="Times New Roman" w:cs="Times New Roman"/>
          <w:i/>
          <w:sz w:val="24"/>
          <w:szCs w:val="24"/>
          <w:lang w:val="en-GB"/>
        </w:rPr>
        <w:t xml:space="preserve">et al. </w:t>
      </w:r>
      <w:r w:rsidRPr="00E300D7">
        <w:rPr>
          <w:rFonts w:ascii="Times New Roman" w:eastAsia="Times New Roman" w:hAnsi="Times New Roman" w:cs="Times New Roman"/>
          <w:sz w:val="24"/>
          <w:szCs w:val="24"/>
          <w:lang w:val="en-GB"/>
        </w:rPr>
        <w:t xml:space="preserve">2022). The financial institutions in the UK need to calculate the inflows and outflows during the FDI process to lower the financial risks. </w:t>
      </w:r>
    </w:p>
    <w:p w:rsidR="00C40F63" w:rsidRPr="00E300D7" w:rsidRDefault="00C40F63" w:rsidP="00C40F63">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financial management of the FIs of the UK need to assess the risk associated within the FX to lower the chances of the economic losses. Report shows the currency values have affected and the </w:t>
      </w:r>
      <w:r w:rsidRPr="00E300D7">
        <w:rPr>
          <w:rFonts w:ascii="Times New Roman" w:eastAsia="Times New Roman" w:hAnsi="Times New Roman" w:cs="Times New Roman"/>
          <w:b/>
          <w:i/>
          <w:sz w:val="24"/>
          <w:szCs w:val="24"/>
          <w:lang w:val="en-GB"/>
        </w:rPr>
        <w:t xml:space="preserve">Russian </w:t>
      </w:r>
      <w:proofErr w:type="spellStart"/>
      <w:r w:rsidRPr="00E300D7">
        <w:rPr>
          <w:rFonts w:ascii="Times New Roman" w:eastAsia="Times New Roman" w:hAnsi="Times New Roman" w:cs="Times New Roman"/>
          <w:b/>
          <w:i/>
          <w:sz w:val="24"/>
          <w:szCs w:val="24"/>
          <w:lang w:val="en-GB"/>
        </w:rPr>
        <w:t>ruble</w:t>
      </w:r>
      <w:proofErr w:type="spellEnd"/>
      <w:r w:rsidRPr="00E300D7">
        <w:rPr>
          <w:rFonts w:ascii="Times New Roman" w:eastAsia="Times New Roman" w:hAnsi="Times New Roman" w:cs="Times New Roman"/>
          <w:b/>
          <w:i/>
          <w:sz w:val="24"/>
          <w:szCs w:val="24"/>
          <w:lang w:val="en-GB"/>
        </w:rPr>
        <w:t xml:space="preserve"> </w:t>
      </w:r>
      <w:r w:rsidRPr="00E300D7">
        <w:rPr>
          <w:rFonts w:ascii="Times New Roman" w:eastAsia="Times New Roman" w:hAnsi="Times New Roman" w:cs="Times New Roman"/>
          <w:sz w:val="24"/>
          <w:szCs w:val="24"/>
          <w:lang w:val="en-GB"/>
        </w:rPr>
        <w:t xml:space="preserve">has lost over 64% compared to the dollar year-to-date due to the Russia-Ukraine war (Cnbc.com, (2022). The fluctuation in the currency value to uncertain </w:t>
      </w:r>
      <w:r w:rsidRPr="00E300D7">
        <w:rPr>
          <w:rFonts w:ascii="Times New Roman" w:eastAsia="Times New Roman" w:hAnsi="Times New Roman" w:cs="Times New Roman"/>
          <w:sz w:val="24"/>
          <w:szCs w:val="24"/>
          <w:lang w:val="en-GB"/>
        </w:rPr>
        <w:lastRenderedPageBreak/>
        <w:t xml:space="preserve">political disruptions and war can cause economic risks for a FI in the UK and other parts of the globe. </w:t>
      </w:r>
    </w:p>
    <w:p w:rsidR="00C40F63" w:rsidRPr="00E300D7" w:rsidRDefault="00C40F63" w:rsidP="00C40F63">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b/>
          <w:sz w:val="24"/>
          <w:szCs w:val="24"/>
          <w:lang w:val="en-GB"/>
        </w:rPr>
        <w:t>Theme 4</w:t>
      </w:r>
      <w:r w:rsidRPr="00E300D7">
        <w:rPr>
          <w:rFonts w:ascii="Times New Roman" w:eastAsia="Times New Roman" w:hAnsi="Times New Roman" w:cs="Times New Roman"/>
          <w:sz w:val="24"/>
          <w:szCs w:val="24"/>
          <w:lang w:val="en-GB"/>
        </w:rPr>
        <w:t>:</w:t>
      </w:r>
    </w:p>
    <w:p w:rsidR="00C40F63" w:rsidRPr="00E300D7" w:rsidRDefault="00C40F63" w:rsidP="00C40F63">
      <w:pPr>
        <w:pStyle w:val="Normal3"/>
        <w:spacing w:after="200" w:line="360" w:lineRule="auto"/>
        <w:jc w:val="center"/>
        <w:rPr>
          <w:rFonts w:ascii="Times New Roman" w:eastAsia="Times New Roman" w:hAnsi="Times New Roman" w:cs="Times New Roman"/>
          <w:b/>
          <w:sz w:val="24"/>
          <w:szCs w:val="24"/>
          <w:lang w:val="en-GB"/>
        </w:rPr>
      </w:pPr>
      <w:r w:rsidRPr="00E300D7">
        <w:rPr>
          <w:rFonts w:ascii="Times New Roman" w:eastAsia="Times New Roman" w:hAnsi="Times New Roman" w:cs="Times New Roman"/>
          <w:b/>
          <w:noProof/>
          <w:sz w:val="24"/>
          <w:szCs w:val="24"/>
          <w:lang w:val="en-GB"/>
        </w:rPr>
        <w:drawing>
          <wp:inline distT="114300" distB="114300" distL="114300" distR="114300">
            <wp:extent cx="5731200" cy="48514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731200" cy="4851400"/>
                    </a:xfrm>
                    <a:prstGeom prst="rect">
                      <a:avLst/>
                    </a:prstGeom>
                    <a:ln/>
                  </pic:spPr>
                </pic:pic>
              </a:graphicData>
            </a:graphic>
          </wp:inline>
        </w:drawing>
      </w:r>
    </w:p>
    <w:p w:rsidR="00C40F63" w:rsidRPr="00E300D7" w:rsidRDefault="00C40F63" w:rsidP="00703621">
      <w:pPr>
        <w:pStyle w:val="Heading4"/>
      </w:pPr>
      <w:r w:rsidRPr="00E300D7">
        <w:t xml:space="preserve">Figure 4.2.1: Monitoring of the financial integration using multilateral surveillance tool (MST) by International Monetary Fund (IMF) </w:t>
      </w:r>
    </w:p>
    <w:p w:rsidR="00C40F63" w:rsidRPr="00E300D7" w:rsidRDefault="00C40F63" w:rsidP="00C40F63">
      <w:pPr>
        <w:pStyle w:val="Normal3"/>
        <w:spacing w:after="200" w:line="360" w:lineRule="auto"/>
        <w:jc w:val="center"/>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(Source: Imf.org, 2022)</w:t>
      </w:r>
    </w:p>
    <w:p w:rsidR="00C40F63" w:rsidRPr="00E300D7" w:rsidRDefault="00C40F63" w:rsidP="00C40F63">
      <w:pPr>
        <w:pStyle w:val="Normal3"/>
        <w:spacing w:before="200"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Above figure shows IMF has used </w:t>
      </w:r>
      <w:r w:rsidRPr="00E300D7">
        <w:rPr>
          <w:rFonts w:ascii="Times New Roman" w:eastAsia="Times New Roman" w:hAnsi="Times New Roman" w:cs="Times New Roman"/>
          <w:b/>
          <w:i/>
          <w:sz w:val="24"/>
          <w:szCs w:val="24"/>
          <w:lang w:val="en-GB"/>
        </w:rPr>
        <w:t xml:space="preserve">MST </w:t>
      </w:r>
      <w:r w:rsidRPr="00E300D7">
        <w:rPr>
          <w:rFonts w:ascii="Times New Roman" w:eastAsia="Times New Roman" w:hAnsi="Times New Roman" w:cs="Times New Roman"/>
          <w:sz w:val="24"/>
          <w:szCs w:val="24"/>
          <w:lang w:val="en-GB"/>
        </w:rPr>
        <w:t xml:space="preserve">to generate updates along with biannual reports on the ongoing “global economic developments” such as the “Global Financial Stability Report”, “World Economic Outlook” and “Fiscal Monitor” (Imf.org, 2022). UK’s financial institutions can use the MST to evaluate the economic crisis in any country before investing and market expansion. </w:t>
      </w:r>
      <w:r w:rsidRPr="00E300D7">
        <w:rPr>
          <w:rFonts w:ascii="Times New Roman" w:eastAsia="Times New Roman" w:hAnsi="Times New Roman" w:cs="Times New Roman"/>
          <w:b/>
          <w:i/>
          <w:sz w:val="24"/>
          <w:szCs w:val="24"/>
          <w:lang w:val="en-GB"/>
        </w:rPr>
        <w:t>The</w:t>
      </w:r>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b/>
          <w:i/>
          <w:sz w:val="24"/>
          <w:szCs w:val="24"/>
          <w:lang w:val="en-GB"/>
        </w:rPr>
        <w:t xml:space="preserve">MST </w:t>
      </w:r>
      <w:r w:rsidRPr="00E300D7">
        <w:rPr>
          <w:rFonts w:ascii="Times New Roman" w:eastAsia="Times New Roman" w:hAnsi="Times New Roman" w:cs="Times New Roman"/>
          <w:sz w:val="24"/>
          <w:szCs w:val="24"/>
          <w:lang w:val="en-GB"/>
        </w:rPr>
        <w:t xml:space="preserve">can assist the financial institution to use the </w:t>
      </w:r>
      <w:r w:rsidRPr="00E300D7">
        <w:rPr>
          <w:rFonts w:ascii="Times New Roman" w:eastAsia="Times New Roman" w:hAnsi="Times New Roman" w:cs="Times New Roman"/>
          <w:b/>
          <w:i/>
          <w:sz w:val="24"/>
          <w:szCs w:val="24"/>
          <w:lang w:val="en-GB"/>
        </w:rPr>
        <w:t>vulnerability indicators</w:t>
      </w:r>
      <w:r w:rsidRPr="00E300D7">
        <w:rPr>
          <w:rFonts w:ascii="Times New Roman" w:eastAsia="Times New Roman" w:hAnsi="Times New Roman" w:cs="Times New Roman"/>
          <w:sz w:val="24"/>
          <w:szCs w:val="24"/>
          <w:lang w:val="en-GB"/>
        </w:rPr>
        <w:t xml:space="preserve"> such as the </w:t>
      </w:r>
      <w:r w:rsidRPr="00E300D7">
        <w:rPr>
          <w:rFonts w:ascii="Times New Roman" w:eastAsia="Times New Roman" w:hAnsi="Times New Roman" w:cs="Times New Roman"/>
          <w:b/>
          <w:i/>
          <w:sz w:val="24"/>
          <w:szCs w:val="24"/>
          <w:lang w:val="en-GB"/>
        </w:rPr>
        <w:t xml:space="preserve">ratio </w:t>
      </w:r>
      <w:r w:rsidRPr="00E300D7">
        <w:rPr>
          <w:rFonts w:ascii="Times New Roman" w:eastAsia="Times New Roman" w:hAnsi="Times New Roman" w:cs="Times New Roman"/>
          <w:sz w:val="24"/>
          <w:szCs w:val="24"/>
          <w:lang w:val="en-GB"/>
        </w:rPr>
        <w:t xml:space="preserve">of the </w:t>
      </w:r>
      <w:r w:rsidRPr="00E300D7">
        <w:rPr>
          <w:rFonts w:ascii="Times New Roman" w:eastAsia="Times New Roman" w:hAnsi="Times New Roman" w:cs="Times New Roman"/>
          <w:b/>
          <w:i/>
          <w:sz w:val="24"/>
          <w:szCs w:val="24"/>
          <w:lang w:val="en-GB"/>
        </w:rPr>
        <w:t xml:space="preserve">short-term liabilities and liquid assets along with the debt-servicing </w:t>
      </w:r>
      <w:r w:rsidRPr="00E300D7">
        <w:rPr>
          <w:rFonts w:ascii="Times New Roman" w:eastAsia="Times New Roman" w:hAnsi="Times New Roman" w:cs="Times New Roman"/>
          <w:b/>
          <w:i/>
          <w:sz w:val="24"/>
          <w:szCs w:val="24"/>
          <w:lang w:val="en-GB"/>
        </w:rPr>
        <w:lastRenderedPageBreak/>
        <w:t xml:space="preserve">capacity </w:t>
      </w:r>
      <w:r w:rsidRPr="00E300D7">
        <w:rPr>
          <w:rFonts w:ascii="Times New Roman" w:eastAsia="Times New Roman" w:hAnsi="Times New Roman" w:cs="Times New Roman"/>
          <w:sz w:val="24"/>
          <w:szCs w:val="24"/>
          <w:lang w:val="en-GB"/>
        </w:rPr>
        <w:t xml:space="preserve">for developing macroprudential policies in FX (Imf.org, 2022).  The better assessment of a financial vulnerability of a foreign country can assist the FIs to make better decisions to invest the money during the FDI. </w:t>
      </w:r>
    </w:p>
    <w:p w:rsidR="00C40F63" w:rsidRPr="00E300D7" w:rsidRDefault="00C40F63" w:rsidP="00C40F63">
      <w:pPr>
        <w:pStyle w:val="Normal3"/>
        <w:spacing w:before="200" w:after="200" w:line="360" w:lineRule="auto"/>
        <w:jc w:val="center"/>
        <w:rPr>
          <w:rFonts w:ascii="Times New Roman" w:eastAsia="Times New Roman" w:hAnsi="Times New Roman" w:cs="Times New Roman"/>
          <w:sz w:val="24"/>
          <w:szCs w:val="24"/>
          <w:lang w:val="en-GB"/>
        </w:rPr>
      </w:pPr>
      <w:r w:rsidRPr="00E300D7">
        <w:rPr>
          <w:rFonts w:ascii="Times New Roman" w:eastAsia="Times New Roman" w:hAnsi="Times New Roman" w:cs="Times New Roman"/>
          <w:noProof/>
          <w:sz w:val="24"/>
          <w:szCs w:val="24"/>
          <w:lang w:val="en-GB"/>
        </w:rPr>
        <w:drawing>
          <wp:inline distT="114300" distB="114300" distL="114300" distR="114300">
            <wp:extent cx="5731200" cy="37211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731200" cy="3721100"/>
                    </a:xfrm>
                    <a:prstGeom prst="rect">
                      <a:avLst/>
                    </a:prstGeom>
                    <a:ln/>
                  </pic:spPr>
                </pic:pic>
              </a:graphicData>
            </a:graphic>
          </wp:inline>
        </w:drawing>
      </w:r>
    </w:p>
    <w:p w:rsidR="00C40F63" w:rsidRPr="00E300D7" w:rsidRDefault="00C40F63" w:rsidP="00703621">
      <w:pPr>
        <w:pStyle w:val="Heading4"/>
      </w:pPr>
      <w:r w:rsidRPr="00E300D7">
        <w:t>Figure 4.2.2: “Natural Foreign Exchange Hedging”</w:t>
      </w:r>
    </w:p>
    <w:p w:rsidR="00C40F63" w:rsidRPr="00E300D7" w:rsidRDefault="00C40F63" w:rsidP="00C40F63">
      <w:pPr>
        <w:pStyle w:val="Normal3"/>
        <w:spacing w:before="200" w:after="200" w:line="360" w:lineRule="auto"/>
        <w:jc w:val="center"/>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(Source: Toptal.com, 2023)</w:t>
      </w:r>
    </w:p>
    <w:p w:rsidR="00C40F63" w:rsidRPr="00E300D7" w:rsidRDefault="00C40F63" w:rsidP="00C40F63">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w:t>
      </w:r>
      <w:r w:rsidRPr="00E300D7">
        <w:rPr>
          <w:rFonts w:ascii="Times New Roman" w:eastAsia="Times New Roman" w:hAnsi="Times New Roman" w:cs="Times New Roman"/>
          <w:b/>
          <w:i/>
          <w:sz w:val="24"/>
          <w:szCs w:val="24"/>
          <w:lang w:val="en-GB"/>
        </w:rPr>
        <w:t xml:space="preserve">“Natural Foreign Exchange Hedging” </w:t>
      </w:r>
      <w:r w:rsidRPr="00E300D7">
        <w:rPr>
          <w:rFonts w:ascii="Times New Roman" w:eastAsia="Times New Roman" w:hAnsi="Times New Roman" w:cs="Times New Roman"/>
          <w:sz w:val="24"/>
          <w:szCs w:val="24"/>
          <w:lang w:val="en-GB"/>
        </w:rPr>
        <w:t xml:space="preserve">can be an effective process for the FIs to match costs along with revenues within foreign currencies such that the net exposure is lowered or can be eliminated (Toptal.com, 2023). The assistance of the hedging options can assist the FIs to lower the financial risks in a foreign market. The </w:t>
      </w:r>
      <w:r w:rsidRPr="00E300D7">
        <w:rPr>
          <w:rFonts w:ascii="Times New Roman" w:eastAsia="Times New Roman" w:hAnsi="Times New Roman" w:cs="Times New Roman"/>
          <w:b/>
          <w:i/>
          <w:sz w:val="24"/>
          <w:szCs w:val="24"/>
          <w:lang w:val="en-GB"/>
        </w:rPr>
        <w:t xml:space="preserve">“Investment Promotion Agency (IPA)” </w:t>
      </w:r>
      <w:r w:rsidRPr="00E300D7">
        <w:rPr>
          <w:rFonts w:ascii="Times New Roman" w:eastAsia="Times New Roman" w:hAnsi="Times New Roman" w:cs="Times New Roman"/>
          <w:sz w:val="24"/>
          <w:szCs w:val="24"/>
          <w:lang w:val="en-GB"/>
        </w:rPr>
        <w:t>within the foreign exchange can be used by the FIs to attract more foreign investors to enhance their global market share (</w:t>
      </w:r>
      <w:proofErr w:type="spellStart"/>
      <w:r w:rsidRPr="00E300D7">
        <w:rPr>
          <w:rFonts w:ascii="Times New Roman" w:eastAsia="Times New Roman" w:hAnsi="Times New Roman" w:cs="Times New Roman"/>
          <w:sz w:val="24"/>
          <w:szCs w:val="24"/>
          <w:lang w:val="en-GB"/>
        </w:rPr>
        <w:t>Heilbron</w:t>
      </w:r>
      <w:proofErr w:type="spellEnd"/>
      <w:r w:rsidRPr="00E300D7">
        <w:rPr>
          <w:rFonts w:ascii="Times New Roman" w:eastAsia="Times New Roman" w:hAnsi="Times New Roman" w:cs="Times New Roman"/>
          <w:sz w:val="24"/>
          <w:szCs w:val="24"/>
          <w:lang w:val="en-GB"/>
        </w:rPr>
        <w:t xml:space="preserve"> and </w:t>
      </w:r>
      <w:proofErr w:type="spellStart"/>
      <w:r w:rsidRPr="00E300D7">
        <w:rPr>
          <w:rFonts w:ascii="Times New Roman" w:eastAsia="Times New Roman" w:hAnsi="Times New Roman" w:cs="Times New Roman"/>
          <w:sz w:val="24"/>
          <w:szCs w:val="24"/>
          <w:lang w:val="en-GB"/>
        </w:rPr>
        <w:t>Kronfol</w:t>
      </w:r>
      <w:proofErr w:type="spellEnd"/>
      <w:r w:rsidRPr="00E300D7">
        <w:rPr>
          <w:rFonts w:ascii="Times New Roman" w:eastAsia="Times New Roman" w:hAnsi="Times New Roman" w:cs="Times New Roman"/>
          <w:sz w:val="24"/>
          <w:szCs w:val="24"/>
          <w:lang w:val="en-GB"/>
        </w:rPr>
        <w:t>, 2020). The effective application of the hedging, contracts and IPA can be three effective strategies for managing the financial and geopolitical risks for a FI in the UK.</w:t>
      </w:r>
    </w:p>
    <w:p w:rsidR="006C5310" w:rsidRPr="00E300D7" w:rsidRDefault="006C5310" w:rsidP="005E765E">
      <w:pPr>
        <w:pStyle w:val="Heading2"/>
        <w:rPr>
          <w:lang w:val="en-GB"/>
        </w:rPr>
      </w:pPr>
      <w:bookmarkStart w:id="135" w:name="_Toc135417658"/>
      <w:bookmarkStart w:id="136" w:name="_Toc135418920"/>
      <w:r w:rsidRPr="00E300D7">
        <w:rPr>
          <w:lang w:val="en-GB"/>
        </w:rPr>
        <w:t>4.4 Discussion</w:t>
      </w:r>
      <w:bookmarkEnd w:id="135"/>
      <w:bookmarkEnd w:id="136"/>
    </w:p>
    <w:p w:rsidR="006C5310" w:rsidRPr="00E300D7" w:rsidRDefault="006C5310" w:rsidP="006C5310">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t>Objective 1:</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lastRenderedPageBreak/>
        <w:t xml:space="preserve">Objective 1 corresponds to discussing the main concepts regarding FX. As discussed in the 2.2 section of the Literature Review, the rate of FX is linked with the rate of currency at which trades take place. Based on the Central Bank Monetary Policies of FX, national currencies are influenced by the fixed monetary fund transfer rate in order to adjust the supply of money through open market operations (Imf.org, 2022). “Money easing” is a concept of reducing interest rates until the </w:t>
      </w:r>
      <w:proofErr w:type="gramStart"/>
      <w:r w:rsidRPr="00E300D7">
        <w:rPr>
          <w:rFonts w:ascii="Times New Roman" w:eastAsia="Times New Roman" w:hAnsi="Times New Roman" w:cs="Times New Roman"/>
          <w:sz w:val="24"/>
          <w:szCs w:val="24"/>
          <w:lang w:val="en-GB"/>
        </w:rPr>
        <w:t>short term</w:t>
      </w:r>
      <w:proofErr w:type="gramEnd"/>
      <w:r w:rsidRPr="00E300D7">
        <w:rPr>
          <w:rFonts w:ascii="Times New Roman" w:eastAsia="Times New Roman" w:hAnsi="Times New Roman" w:cs="Times New Roman"/>
          <w:sz w:val="24"/>
          <w:szCs w:val="24"/>
          <w:lang w:val="en-GB"/>
        </w:rPr>
        <w:t xml:space="preserve"> rates come to zero. The Monetary Policies were eased by the central bank during the global financial crisis in 2007, COVID-19 Pandemic and again amid rapidly increasing inflation. Hence, the “exchange rate regime” significantly impacts the country-based currencies. Additionally, the concept of BOP is significant in the context of volatility and fluctuation of values in currency. A change in a country’s BOP can highly influence the fluctuating pattern of FX between the native and foreign currencies. On the contrary to that, fluctuations in global FX rates can in turn alter the relative currency strength in BOP.</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2.2 section of the Literature Review also mentioned the currency forward market as a special kind of FX market. Forward market involves exchange of currencies through transactions to be recorded at a pre-agreed future point and specified price. The UK is a “fair-efficient efficient market” deploying long-term bilateral contracts enabling the parties to hedge against price and quantity risks. The UK OTC outright forwards with a maturity date ranging from seven days up to one month comprising around 36% of the global FX market (Bankofengland.co.uk, 2019). On the other hand, the Theme 1 in the Findings and Analysis section discussed that the global shares of outright forward in the FX market remained unchanged along with inter-dealer trades in 2022. Based on the views of Chitra and Nithya (2019), forward markets facilitate the exchange between future and forward contracts for selling the price of an asset or financial instruments of the FIs. Hence, growth and stability of forward market based FIs </w:t>
      </w:r>
      <w:r w:rsidR="003F3AF7" w:rsidRPr="00E300D7">
        <w:rPr>
          <w:rFonts w:ascii="Times New Roman" w:eastAsia="Times New Roman" w:hAnsi="Times New Roman" w:cs="Times New Roman"/>
          <w:sz w:val="24"/>
          <w:szCs w:val="24"/>
          <w:lang w:val="en-GB"/>
        </w:rPr>
        <w:t>are</w:t>
      </w:r>
      <w:r w:rsidRPr="00E300D7">
        <w:rPr>
          <w:rFonts w:ascii="Times New Roman" w:eastAsia="Times New Roman" w:hAnsi="Times New Roman" w:cs="Times New Roman"/>
          <w:sz w:val="24"/>
          <w:szCs w:val="24"/>
          <w:lang w:val="en-GB"/>
        </w:rPr>
        <w:t xml:space="preserve"> crucial for FX risk management.</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As mentioned in the 2.4 section in the Literature Review regarding the role of FIs in managing FX in International Trade, various banks operate through a bid-ask spread to represent profit. “Speculative currency trade” is effective for the FIs for profit scoping during the fluctuations in currency. On the other hand, the Findings and Analysis section thoroughly described the phenomenon and repercussions of devaluation of domestic currency. Based on the views of </w:t>
      </w:r>
      <w:proofErr w:type="spellStart"/>
      <w:r w:rsidRPr="00E300D7">
        <w:rPr>
          <w:rFonts w:ascii="Times New Roman" w:eastAsia="Times New Roman" w:hAnsi="Times New Roman" w:cs="Times New Roman"/>
          <w:sz w:val="24"/>
          <w:szCs w:val="24"/>
          <w:lang w:val="en-GB"/>
        </w:rPr>
        <w:t>Faudot</w:t>
      </w:r>
      <w:proofErr w:type="spellEnd"/>
      <w:r w:rsidRPr="00E300D7">
        <w:rPr>
          <w:rFonts w:ascii="Times New Roman" w:eastAsia="Times New Roman" w:hAnsi="Times New Roman" w:cs="Times New Roman"/>
          <w:sz w:val="24"/>
          <w:szCs w:val="24"/>
          <w:lang w:val="en-GB"/>
        </w:rPr>
        <w:t xml:space="preserve"> and </w:t>
      </w:r>
      <w:proofErr w:type="spellStart"/>
      <w:r w:rsidRPr="00E300D7">
        <w:rPr>
          <w:rFonts w:ascii="Times New Roman" w:eastAsia="Times New Roman" w:hAnsi="Times New Roman" w:cs="Times New Roman"/>
          <w:sz w:val="24"/>
          <w:szCs w:val="24"/>
          <w:lang w:val="en-GB"/>
        </w:rPr>
        <w:t>Nenovsky</w:t>
      </w:r>
      <w:proofErr w:type="spellEnd"/>
      <w:r w:rsidRPr="00E300D7">
        <w:rPr>
          <w:rFonts w:ascii="Times New Roman" w:eastAsia="Times New Roman" w:hAnsi="Times New Roman" w:cs="Times New Roman"/>
          <w:sz w:val="24"/>
          <w:szCs w:val="24"/>
          <w:lang w:val="en-GB"/>
        </w:rPr>
        <w:t xml:space="preserve"> (2022), devaluation or depreciation of a country’s assets come under the speculative movements of the national funds. Speculative currency trade is based upon the </w:t>
      </w:r>
      <w:r w:rsidRPr="00E300D7">
        <w:rPr>
          <w:rFonts w:ascii="Times New Roman" w:eastAsia="Times New Roman" w:hAnsi="Times New Roman" w:cs="Times New Roman"/>
          <w:sz w:val="24"/>
          <w:szCs w:val="24"/>
          <w:lang w:val="en-GB"/>
        </w:rPr>
        <w:lastRenderedPageBreak/>
        <w:t xml:space="preserve">relative devaluation and deliberate downturn adjustments of group currencies or currency standards. However, the economic </w:t>
      </w:r>
      <w:r w:rsidR="003F3AF7" w:rsidRPr="00E300D7">
        <w:rPr>
          <w:rFonts w:ascii="Times New Roman" w:eastAsia="Times New Roman" w:hAnsi="Times New Roman" w:cs="Times New Roman"/>
          <w:sz w:val="24"/>
          <w:szCs w:val="24"/>
          <w:lang w:val="en-GB"/>
        </w:rPr>
        <w:t>roots of real currency depreciation affect</w:t>
      </w:r>
      <w:r w:rsidRPr="00E300D7">
        <w:rPr>
          <w:rFonts w:ascii="Times New Roman" w:eastAsia="Times New Roman" w:hAnsi="Times New Roman" w:cs="Times New Roman"/>
          <w:sz w:val="24"/>
          <w:szCs w:val="24"/>
          <w:lang w:val="en-GB"/>
        </w:rPr>
        <w:t xml:space="preserve"> the FIs due to their dependence upon productive capacity of the economy as well as size of the money supply.</w:t>
      </w:r>
    </w:p>
    <w:p w:rsidR="006C5310" w:rsidRPr="00E300D7" w:rsidRDefault="006C5310" w:rsidP="006C5310">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t>Objective 2</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Objective 2 corresponds to assessing the challenges faced by FIs due to volatility in FX. The 2.3 section of Literature Review mentioned the factors influencing the volatility of the market include excessive imports and enhancement of debt. As per the beliefs of Raiter (2021), high levels of debt of FIs in the FX market eventually </w:t>
      </w:r>
      <w:proofErr w:type="gramStart"/>
      <w:r w:rsidRPr="00E300D7">
        <w:rPr>
          <w:rFonts w:ascii="Times New Roman" w:eastAsia="Times New Roman" w:hAnsi="Times New Roman" w:cs="Times New Roman"/>
          <w:sz w:val="24"/>
          <w:szCs w:val="24"/>
          <w:lang w:val="en-GB"/>
        </w:rPr>
        <w:t>lead</w:t>
      </w:r>
      <w:proofErr w:type="gramEnd"/>
      <w:r w:rsidRPr="00E300D7">
        <w:rPr>
          <w:rFonts w:ascii="Times New Roman" w:eastAsia="Times New Roman" w:hAnsi="Times New Roman" w:cs="Times New Roman"/>
          <w:sz w:val="24"/>
          <w:szCs w:val="24"/>
          <w:lang w:val="en-GB"/>
        </w:rPr>
        <w:t xml:space="preserve"> to high inflation rates. As a result of higher inflation and debt accumulation, the relative value of domestic currency defaulters. An excellent example of the Silicon Valley Bank (SVB) crash can be mentioned here. The reduced value of security such as Treasury Bills is speculated as the major reason of collapse in order to stage the insolvency for depositors to pull money from SVB. Many UK companies such </w:t>
      </w:r>
      <w:r w:rsidR="003F3AF7" w:rsidRPr="00E300D7">
        <w:rPr>
          <w:rFonts w:ascii="Times New Roman" w:eastAsia="Times New Roman" w:hAnsi="Times New Roman" w:cs="Times New Roman"/>
          <w:sz w:val="24"/>
          <w:szCs w:val="24"/>
          <w:lang w:val="en-GB"/>
        </w:rPr>
        <w:t>a</w:t>
      </w:r>
      <w:r w:rsidR="00471396" w:rsidRPr="00E300D7">
        <w:rPr>
          <w:rFonts w:ascii="Times New Roman" w:eastAsia="Times New Roman" w:hAnsi="Times New Roman" w:cs="Times New Roman"/>
          <w:sz w:val="24"/>
          <w:szCs w:val="24"/>
          <w:lang w:val="en-GB"/>
        </w:rPr>
        <w:t>s</w:t>
      </w:r>
      <w:r w:rsidRPr="00E300D7">
        <w:rPr>
          <w:rFonts w:ascii="Times New Roman" w:eastAsia="Times New Roman" w:hAnsi="Times New Roman" w:cs="Times New Roman"/>
          <w:sz w:val="24"/>
          <w:szCs w:val="24"/>
          <w:lang w:val="en-GB"/>
        </w:rPr>
        <w:t xml:space="preserve"> “Naked Wines”, “Auction Technology Group” and “</w:t>
      </w:r>
      <w:proofErr w:type="spellStart"/>
      <w:r w:rsidRPr="00E300D7">
        <w:rPr>
          <w:rFonts w:ascii="Times New Roman" w:eastAsia="Times New Roman" w:hAnsi="Times New Roman" w:cs="Times New Roman"/>
          <w:sz w:val="24"/>
          <w:szCs w:val="24"/>
          <w:lang w:val="en-GB"/>
        </w:rPr>
        <w:t>Polarean</w:t>
      </w:r>
      <w:proofErr w:type="spellEnd"/>
      <w:r w:rsidRPr="00E300D7">
        <w:rPr>
          <w:rFonts w:ascii="Times New Roman" w:eastAsia="Times New Roman" w:hAnsi="Times New Roman" w:cs="Times New Roman"/>
          <w:sz w:val="24"/>
          <w:szCs w:val="24"/>
          <w:lang w:val="en-GB"/>
        </w:rPr>
        <w:t xml:space="preserve"> Imaging” plunged into huge debt (Investorschronicle.co.uk, 2022). As a result, the UK government had to sell the SVB UK to the HSBC USA in order to prevent further fallouts (Cnbc.com, 2023). Hence, the FX volatility rate of FIs is linked with the country's overall trading niche.</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As discussed in the Findings and Analysis section, the UK FIs are under pressure from various challenging scenarios such as high inflation, recession and a falling pound destabilising the FX trades. According to the Central Bank’s data, BoE holds a significant responsibility for the downturn of foreign reserves for 12 months due to lack of effective investment decision making. Reports reveal that the UK's gold reserves are not enough to strengthen the pound (Qz.com, 2022). As a result, the UK, fifth largest world economy, is currently standing at the 18th position of gold and foreign currencies. John Grieve, the former governor of BoE, explained that FX reserves of the UK are ineffective for intervening in the downturn foreign trades. However, BoE needs to directly intervene into the foreign currency markets to prop up sterling as well as revert back the hedge funds to bet against it (Ft.com, 2022). Although, the UK is less vulnerable to the fluctuations of global capital flows due to less borrowing requirement and non-crawling peg of sterling; faulty implementation of BoE’s monetary policy toolkit is creating pressure. </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2.6 section of Literature Review regarding the challenges of FIs due to volatility of FX mentioned transaction risks causing delay in the development of settlements in construct </w:t>
      </w:r>
      <w:r w:rsidRPr="00E300D7">
        <w:rPr>
          <w:rFonts w:ascii="Times New Roman" w:eastAsia="Times New Roman" w:hAnsi="Times New Roman" w:cs="Times New Roman"/>
          <w:sz w:val="24"/>
          <w:szCs w:val="24"/>
          <w:lang w:val="en-GB"/>
        </w:rPr>
        <w:lastRenderedPageBreak/>
        <w:t xml:space="preserve">payments of businesses. As opined by Morina et al. (2020), forward contracts can be one of the potential solutions to the issues arising by transaction risks of FIs. On a similar note, the Theme 2 in Findings and Analysis section discussed that high inflation and fluctuating flow of currency exchange rates are counted as transaction risks faced by the FIs. Transaction risks also cause a deteriorated poor market liquidity destabilising the NBFIs significantly. The assessed challenges faced by the FIs are thoroughly monitored by FCA in the UK. Additionally, the advent of Bitcoin has been identified as a risk to traditional FX trading, whereas Chi-Ming (2020) suggests that cryptocurrency development can cause a structural change in </w:t>
      </w:r>
      <w:proofErr w:type="gramStart"/>
      <w:r w:rsidRPr="00E300D7">
        <w:rPr>
          <w:rFonts w:ascii="Times New Roman" w:eastAsia="Times New Roman" w:hAnsi="Times New Roman" w:cs="Times New Roman"/>
          <w:sz w:val="24"/>
          <w:szCs w:val="24"/>
          <w:lang w:val="en-GB"/>
        </w:rPr>
        <w:t>International</w:t>
      </w:r>
      <w:proofErr w:type="gramEnd"/>
      <w:r w:rsidRPr="00E300D7">
        <w:rPr>
          <w:rFonts w:ascii="Times New Roman" w:eastAsia="Times New Roman" w:hAnsi="Times New Roman" w:cs="Times New Roman"/>
          <w:sz w:val="24"/>
          <w:szCs w:val="24"/>
          <w:lang w:val="en-GB"/>
        </w:rPr>
        <w:t xml:space="preserve"> trade and cross-border transactions. However, the long-standing impacts of Bitcoin can be understood only after a regulated implementation in the FX market.</w:t>
      </w:r>
    </w:p>
    <w:p w:rsidR="005D404F" w:rsidRPr="00E300D7" w:rsidRDefault="005D404F" w:rsidP="005D404F">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t>Objective 3:</w:t>
      </w:r>
    </w:p>
    <w:p w:rsidR="005D404F" w:rsidRPr="00E300D7" w:rsidRDefault="005D404F" w:rsidP="005D404F">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assessment objective 3 in 2.4 literature review section and theme 3 findings shows that the procedures in managing risks during FX need to be improved through a better economic and political risk management plan, it is necessary for the FIs to grow foreign business by lowering the economic and transactional risks. In the literature section 2.4, as per views of Bloom (2019), </w:t>
      </w:r>
      <w:r w:rsidRPr="00E300D7">
        <w:rPr>
          <w:rFonts w:ascii="Times New Roman" w:eastAsia="Times New Roman" w:hAnsi="Times New Roman" w:cs="Times New Roman"/>
          <w:b/>
          <w:i/>
          <w:sz w:val="24"/>
          <w:szCs w:val="24"/>
          <w:lang w:val="en-GB"/>
        </w:rPr>
        <w:t>speculative currency trade</w:t>
      </w:r>
      <w:r w:rsidRPr="00E300D7">
        <w:rPr>
          <w:rFonts w:ascii="Times New Roman" w:eastAsia="Times New Roman" w:hAnsi="Times New Roman" w:cs="Times New Roman"/>
          <w:b/>
          <w:sz w:val="24"/>
          <w:szCs w:val="24"/>
          <w:lang w:val="en-GB"/>
        </w:rPr>
        <w:t xml:space="preserve"> </w:t>
      </w:r>
      <w:r w:rsidRPr="00E300D7">
        <w:rPr>
          <w:rFonts w:ascii="Times New Roman" w:eastAsia="Times New Roman" w:hAnsi="Times New Roman" w:cs="Times New Roman"/>
          <w:sz w:val="24"/>
          <w:szCs w:val="24"/>
          <w:lang w:val="en-GB"/>
        </w:rPr>
        <w:t>is an effective strategy to tackle the market volatility in the foreign exchange process. The assessment of the rules and regulation of the central bank of a firm can assist in combating a highly volatile business environment. On the other hand, as per views of Vučinić (2020), the developing countries have poor financial, legal, and regulatory and policy frameworks which can be challenging aspects to deal with for a FI during FX. Therefore, the FIs need to develop the basic infrastructure with the assistance of the local government to lower any volatility due to political and financial risks in foreign exchange.</w:t>
      </w:r>
    </w:p>
    <w:p w:rsidR="005D404F" w:rsidRPr="00E300D7" w:rsidRDefault="005D404F" w:rsidP="005D404F">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foreign exchange rates of the countries used to fluctuate due to the political and social disruptions in a country. The research of Papanastasiou (2021) shows the use of the PRI can assist a financial institution in the UK to lower financial and operational risks during political issues and war. On the other hand, FDI of UK-based firms have declined up to £43.8 billion in 2020 from £75.2 billion within 2018 (Ons.gov.uk, 2020). The market volatility can be managed by the effective use of the insurance policies in FX. The FIs need to follow-up the foreign investment norms to lower the financial risks in the global market. For instance, OECD treaties and its norms are essential to follow countries such as the UK during the foreign exchange and investment process (Oecd.org, 2023).  The effective evaluation of the OECD guidelines is an </w:t>
      </w:r>
      <w:r w:rsidRPr="00E300D7">
        <w:rPr>
          <w:rFonts w:ascii="Times New Roman" w:eastAsia="Times New Roman" w:hAnsi="Times New Roman" w:cs="Times New Roman"/>
          <w:sz w:val="24"/>
          <w:szCs w:val="24"/>
          <w:lang w:val="en-GB"/>
        </w:rPr>
        <w:lastRenderedPageBreak/>
        <w:t xml:space="preserve">essential part that the FIs need to follow to attain sustainable growth through foreign investment. </w:t>
      </w:r>
    </w:p>
    <w:p w:rsidR="005D404F" w:rsidRPr="00E300D7" w:rsidRDefault="005D404F" w:rsidP="005D404F">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sz w:val="24"/>
          <w:szCs w:val="24"/>
          <w:lang w:val="en-GB"/>
        </w:rPr>
        <w:t>Objective 4:</w:t>
      </w:r>
    </w:p>
    <w:p w:rsidR="005D404F" w:rsidRPr="00E300D7" w:rsidRDefault="005D404F" w:rsidP="005D404F">
      <w:pPr>
        <w:pStyle w:val="Normal3"/>
        <w:spacing w:before="200"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theme 4 of the findings and the 2.6 section of the literature review has been elaborated and it shows that effective improvement in the commercial relationships can lower the financial risks during the foreign exchange (</w:t>
      </w:r>
      <w:proofErr w:type="spellStart"/>
      <w:r w:rsidRPr="00E300D7">
        <w:rPr>
          <w:rFonts w:ascii="Times New Roman" w:eastAsia="Times New Roman" w:hAnsi="Times New Roman" w:cs="Times New Roman"/>
          <w:sz w:val="24"/>
          <w:szCs w:val="24"/>
          <w:lang w:val="en-GB"/>
        </w:rPr>
        <w:t>Anjomshoae</w:t>
      </w:r>
      <w:proofErr w:type="spell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i/>
          <w:sz w:val="24"/>
          <w:szCs w:val="24"/>
          <w:lang w:val="en-GB"/>
        </w:rPr>
        <w:t>et al.</w:t>
      </w:r>
      <w:r w:rsidRPr="00E300D7">
        <w:rPr>
          <w:rFonts w:ascii="Times New Roman" w:eastAsia="Times New Roman" w:hAnsi="Times New Roman" w:cs="Times New Roman"/>
          <w:sz w:val="24"/>
          <w:szCs w:val="24"/>
          <w:lang w:val="en-GB"/>
        </w:rPr>
        <w:t xml:space="preserve"> 2021). The above findings and the literature </w:t>
      </w:r>
      <w:proofErr w:type="gramStart"/>
      <w:r w:rsidRPr="00E300D7">
        <w:rPr>
          <w:rFonts w:ascii="Times New Roman" w:eastAsia="Times New Roman" w:hAnsi="Times New Roman" w:cs="Times New Roman"/>
          <w:sz w:val="24"/>
          <w:szCs w:val="24"/>
          <w:lang w:val="en-GB"/>
        </w:rPr>
        <w:t>has</w:t>
      </w:r>
      <w:proofErr w:type="gramEnd"/>
      <w:r w:rsidRPr="00E300D7">
        <w:rPr>
          <w:rFonts w:ascii="Times New Roman" w:eastAsia="Times New Roman" w:hAnsi="Times New Roman" w:cs="Times New Roman"/>
          <w:sz w:val="24"/>
          <w:szCs w:val="24"/>
          <w:lang w:val="en-GB"/>
        </w:rPr>
        <w:t xml:space="preserve"> evaluated the recommendations such as the use of IPA and the use of the trade contracts to lower the geopolitical and financial risks. On the other hand, it can be challenging for two firms in international business to lower the transaction and translation exposure in foreign exchange (Lin </w:t>
      </w:r>
      <w:r w:rsidRPr="00E300D7">
        <w:rPr>
          <w:rFonts w:ascii="Times New Roman" w:eastAsia="Times New Roman" w:hAnsi="Times New Roman" w:cs="Times New Roman"/>
          <w:i/>
          <w:sz w:val="24"/>
          <w:szCs w:val="24"/>
          <w:lang w:val="en-GB"/>
        </w:rPr>
        <w:t xml:space="preserve">et al. </w:t>
      </w:r>
      <w:r w:rsidRPr="00E300D7">
        <w:rPr>
          <w:rFonts w:ascii="Times New Roman" w:eastAsia="Times New Roman" w:hAnsi="Times New Roman" w:cs="Times New Roman"/>
          <w:sz w:val="24"/>
          <w:szCs w:val="24"/>
          <w:lang w:val="en-GB"/>
        </w:rPr>
        <w:t xml:space="preserve">2020). The sudden fluctuations in the international FX rates can cause severe damage in managing the global business interventions and to acquire noteworthy growth in foreign market. </w:t>
      </w:r>
    </w:p>
    <w:p w:rsidR="005D404F" w:rsidRPr="00E300D7" w:rsidRDefault="005D404F" w:rsidP="005D404F">
      <w:pPr>
        <w:pStyle w:val="Normal3"/>
        <w:spacing w:before="200"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assessment of findings of theme 4 and the literature section 2.5 shows that in the FX the businesses can face several challenges in an international trade due to the change in the “World Economic Outlook”. On the other hand, Euro is a single currency that has been used in trading in the European market by various European nations (European-union.europa.eu, 2023). The use of a single currency can be an effective strategy for the businesses to lower the transaction cost in the foreign markets. However, due to strict foreign economic policies, it can be difficult for a UK-based FI to make foreign investment in a single currency while investing within the middle-east, Asia and American market (</w:t>
      </w:r>
      <w:proofErr w:type="spellStart"/>
      <w:r w:rsidRPr="00E300D7">
        <w:rPr>
          <w:rFonts w:ascii="Times New Roman" w:eastAsia="Times New Roman" w:hAnsi="Times New Roman" w:cs="Times New Roman"/>
          <w:sz w:val="24"/>
          <w:szCs w:val="24"/>
          <w:lang w:val="en-GB"/>
        </w:rPr>
        <w:t>Welfens</w:t>
      </w:r>
      <w:proofErr w:type="spellEnd"/>
      <w:r w:rsidRPr="00E300D7">
        <w:rPr>
          <w:rFonts w:ascii="Times New Roman" w:eastAsia="Times New Roman" w:hAnsi="Times New Roman" w:cs="Times New Roman"/>
          <w:sz w:val="24"/>
          <w:szCs w:val="24"/>
          <w:lang w:val="en-GB"/>
        </w:rPr>
        <w:t xml:space="preserve">, 2020). The effective financial management can assist the FIs to lower any sudden fluctuations in the FX rates and its negative impact on the firm. </w:t>
      </w:r>
    </w:p>
    <w:p w:rsidR="005D404F" w:rsidRPr="00E300D7" w:rsidRDefault="005D404F" w:rsidP="005D404F">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financial team of a FI in the UK needs to focus on improving </w:t>
      </w:r>
      <w:proofErr w:type="gramStart"/>
      <w:r w:rsidRPr="00E300D7">
        <w:rPr>
          <w:rFonts w:ascii="Times New Roman" w:eastAsia="Times New Roman" w:hAnsi="Times New Roman" w:cs="Times New Roman"/>
          <w:sz w:val="24"/>
          <w:szCs w:val="24"/>
          <w:lang w:val="en-GB"/>
        </w:rPr>
        <w:t>On</w:t>
      </w:r>
      <w:proofErr w:type="gramEnd"/>
      <w:r w:rsidRPr="00E300D7">
        <w:rPr>
          <w:rFonts w:ascii="Times New Roman" w:eastAsia="Times New Roman" w:hAnsi="Times New Roman" w:cs="Times New Roman"/>
          <w:sz w:val="24"/>
          <w:szCs w:val="24"/>
          <w:lang w:val="en-GB"/>
        </w:rPr>
        <w:t xml:space="preserve"> the contrary, as per the argument of </w:t>
      </w:r>
      <w:proofErr w:type="spellStart"/>
      <w:r w:rsidRPr="00E300D7">
        <w:rPr>
          <w:rFonts w:ascii="Times New Roman" w:eastAsia="Times New Roman" w:hAnsi="Times New Roman" w:cs="Times New Roman"/>
          <w:sz w:val="24"/>
          <w:szCs w:val="24"/>
          <w:lang w:val="en-GB"/>
        </w:rPr>
        <w:t>Dimoski</w:t>
      </w:r>
      <w:proofErr w:type="spellEnd"/>
      <w:r w:rsidRPr="00E300D7">
        <w:rPr>
          <w:rFonts w:ascii="Times New Roman" w:eastAsia="Times New Roman" w:hAnsi="Times New Roman" w:cs="Times New Roman"/>
          <w:sz w:val="24"/>
          <w:szCs w:val="24"/>
          <w:lang w:val="en-GB"/>
        </w:rPr>
        <w:t xml:space="preserve"> et al. (2023), the use of the </w:t>
      </w:r>
      <w:r w:rsidRPr="00E300D7">
        <w:rPr>
          <w:rFonts w:ascii="Times New Roman" w:eastAsia="Times New Roman" w:hAnsi="Times New Roman" w:cs="Times New Roman"/>
          <w:b/>
          <w:i/>
          <w:sz w:val="24"/>
          <w:szCs w:val="24"/>
          <w:lang w:val="en-GB"/>
        </w:rPr>
        <w:t xml:space="preserve">forward exchange contract </w:t>
      </w:r>
      <w:r w:rsidRPr="00E300D7">
        <w:rPr>
          <w:rFonts w:ascii="Times New Roman" w:eastAsia="Times New Roman" w:hAnsi="Times New Roman" w:cs="Times New Roman"/>
          <w:b/>
          <w:sz w:val="24"/>
          <w:szCs w:val="24"/>
          <w:lang w:val="en-GB"/>
        </w:rPr>
        <w:t xml:space="preserve">(FEC) </w:t>
      </w:r>
      <w:r w:rsidRPr="00E300D7">
        <w:rPr>
          <w:rFonts w:ascii="Times New Roman" w:eastAsia="Times New Roman" w:hAnsi="Times New Roman" w:cs="Times New Roman"/>
          <w:sz w:val="24"/>
          <w:szCs w:val="24"/>
          <w:lang w:val="en-GB"/>
        </w:rPr>
        <w:t xml:space="preserve">can assist the FIs to lower the economical risks by lowering transaction cost. However, it is necessary for the FIs to monitor the function of their treasury along with the cash accounts or collection of the payable teams for effectively managing FX contracts (Toptal.com, 2023). The follow-up of the functions of the FEC can assist lower the chances of the financial losses at the time of FX. On the other hand, there are no particular laws for restricting or governing the foreign investment in the UK; </w:t>
      </w:r>
      <w:proofErr w:type="gramStart"/>
      <w:r w:rsidRPr="00E300D7">
        <w:rPr>
          <w:rFonts w:ascii="Times New Roman" w:eastAsia="Times New Roman" w:hAnsi="Times New Roman" w:cs="Times New Roman"/>
          <w:sz w:val="24"/>
          <w:szCs w:val="24"/>
          <w:lang w:val="en-GB"/>
        </w:rPr>
        <w:t>however</w:t>
      </w:r>
      <w:proofErr w:type="gramEnd"/>
      <w:r w:rsidRPr="00E300D7">
        <w:rPr>
          <w:rFonts w:ascii="Times New Roman" w:eastAsia="Times New Roman" w:hAnsi="Times New Roman" w:cs="Times New Roman"/>
          <w:sz w:val="24"/>
          <w:szCs w:val="24"/>
          <w:lang w:val="en-GB"/>
        </w:rPr>
        <w:t xml:space="preserve"> the banking or other FIs have to follow rules of the financial service authority or FSA (Deloitte.co.uk, 2023). On the other hand, the rules and regulations </w:t>
      </w:r>
      <w:r w:rsidRPr="00E300D7">
        <w:rPr>
          <w:rFonts w:ascii="Times New Roman" w:eastAsia="Times New Roman" w:hAnsi="Times New Roman" w:cs="Times New Roman"/>
          <w:sz w:val="24"/>
          <w:szCs w:val="24"/>
          <w:lang w:val="en-GB"/>
        </w:rPr>
        <w:lastRenderedPageBreak/>
        <w:t>of other foreign countries need to be followed during the FX policies to avoid any lawsuits that can hamper international business operations.</w:t>
      </w:r>
    </w:p>
    <w:p w:rsidR="006C5310" w:rsidRPr="00E300D7" w:rsidRDefault="006C5310" w:rsidP="005E765E">
      <w:pPr>
        <w:pStyle w:val="Heading2"/>
        <w:rPr>
          <w:lang w:val="en-GB"/>
        </w:rPr>
      </w:pPr>
      <w:bookmarkStart w:id="137" w:name="_Toc135417659"/>
      <w:bookmarkStart w:id="138" w:name="_Toc135418921"/>
      <w:r w:rsidRPr="00E300D7">
        <w:rPr>
          <w:lang w:val="en-GB"/>
        </w:rPr>
        <w:t>4.5 Summary</w:t>
      </w:r>
      <w:bookmarkEnd w:id="137"/>
      <w:bookmarkEnd w:id="138"/>
    </w:p>
    <w:p w:rsidR="006C5310" w:rsidRPr="00E300D7" w:rsidRDefault="006C5310" w:rsidP="006C5310">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sz w:val="24"/>
          <w:szCs w:val="24"/>
          <w:lang w:val="en-GB"/>
        </w:rPr>
        <w:t xml:space="preserve">Money easing and BOP are important concepts for facilitating FX of FIs. Forward market potential is high to keep the momentum of the FX rate, whereas speculative currency trade is effective </w:t>
      </w:r>
      <w:proofErr w:type="gramStart"/>
      <w:r w:rsidRPr="00E300D7">
        <w:rPr>
          <w:rFonts w:ascii="Times New Roman" w:eastAsia="Times New Roman" w:hAnsi="Times New Roman" w:cs="Times New Roman"/>
          <w:sz w:val="24"/>
          <w:szCs w:val="24"/>
          <w:lang w:val="en-GB"/>
        </w:rPr>
        <w:t>for profit</w:t>
      </w:r>
      <w:proofErr w:type="gramEnd"/>
      <w:r w:rsidRPr="00E300D7">
        <w:rPr>
          <w:rFonts w:ascii="Times New Roman" w:eastAsia="Times New Roman" w:hAnsi="Times New Roman" w:cs="Times New Roman"/>
          <w:sz w:val="24"/>
          <w:szCs w:val="24"/>
          <w:lang w:val="en-GB"/>
        </w:rPr>
        <w:t xml:space="preserve"> scoping during the fluctuations in currency. The main challenges faced by the FIs due to volatility in FX include rate of inflation, monetary policies of the central bank and devaluation of local currency. Analysing the case study of Public Insurance Agencies of Japan, PRI can effectively manage the FX risks within FIs. Additionally, use of FEC can help the FIs to curb the risks associated with FX volatility. </w:t>
      </w:r>
      <w:r w:rsidRPr="00E300D7">
        <w:rPr>
          <w:lang w:val="en-GB"/>
        </w:rPr>
        <w:br w:type="page"/>
      </w:r>
    </w:p>
    <w:p w:rsidR="006C5310" w:rsidRPr="00E300D7" w:rsidRDefault="006C5310" w:rsidP="005E765E">
      <w:pPr>
        <w:pStyle w:val="Heading1"/>
        <w:rPr>
          <w:lang w:val="en-GB"/>
        </w:rPr>
      </w:pPr>
      <w:bookmarkStart w:id="139" w:name="_Toc135417660"/>
      <w:bookmarkStart w:id="140" w:name="_Toc135418922"/>
      <w:r w:rsidRPr="00E300D7">
        <w:rPr>
          <w:lang w:val="en-GB"/>
        </w:rPr>
        <w:lastRenderedPageBreak/>
        <w:t>Chapter 5: Conclusion and Recommendation</w:t>
      </w:r>
      <w:bookmarkEnd w:id="139"/>
      <w:bookmarkEnd w:id="140"/>
    </w:p>
    <w:p w:rsidR="00B54F6D" w:rsidRPr="00E300D7" w:rsidRDefault="00B54F6D" w:rsidP="00B54F6D">
      <w:pPr>
        <w:pStyle w:val="Heading2"/>
        <w:rPr>
          <w:lang w:val="en-GB"/>
        </w:rPr>
      </w:pPr>
      <w:bookmarkStart w:id="141" w:name="_Toc135418923"/>
      <w:bookmarkStart w:id="142" w:name="_Toc135417661"/>
      <w:r w:rsidRPr="00E300D7">
        <w:rPr>
          <w:lang w:val="en-GB"/>
        </w:rPr>
        <w:t>5.1 Conclusion</w:t>
      </w:r>
      <w:bookmarkEnd w:id="141"/>
    </w:p>
    <w:p w:rsidR="00B54F6D" w:rsidRPr="00E300D7" w:rsidRDefault="00B54F6D" w:rsidP="00B54F6D">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Thus, it can be concluded that the use of the Political risk insurance (PRI) along with use of advanced Machine learning tools can assist the </w:t>
      </w:r>
      <w:proofErr w:type="gramStart"/>
      <w:r w:rsidRPr="00E300D7">
        <w:rPr>
          <w:rFonts w:ascii="Times New Roman" w:eastAsia="Times New Roman" w:hAnsi="Times New Roman" w:cs="Times New Roman"/>
          <w:sz w:val="24"/>
          <w:szCs w:val="24"/>
          <w:lang w:val="en-GB"/>
        </w:rPr>
        <w:t>Financial</w:t>
      </w:r>
      <w:proofErr w:type="gramEnd"/>
      <w:r w:rsidRPr="00E300D7">
        <w:rPr>
          <w:rFonts w:ascii="Times New Roman" w:eastAsia="Times New Roman" w:hAnsi="Times New Roman" w:cs="Times New Roman"/>
          <w:sz w:val="24"/>
          <w:szCs w:val="24"/>
          <w:lang w:val="en-GB"/>
        </w:rPr>
        <w:t xml:space="preserve"> institutions to mitigate both political and financial risks. However, it is necessary for the FIs to follow-up the foreign policies and the fluctuation in the FX rates by the FIs to enhance their market growth and to tackle any economic risks. The FX markets depend on the “over-the-counter (OTC)” marketplace to determine the FX rate of global currencies. The financial team needs to monitor the sudden changes within FDI activities. The assessment of the concept of the Official currency substitution” is necessary to follow within the foreign market to enhance the growth of the market share.</w:t>
      </w:r>
    </w:p>
    <w:p w:rsidR="00B54F6D" w:rsidRPr="00E300D7" w:rsidRDefault="00B54F6D" w:rsidP="00B54F6D">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assessment of the thematic analysis and the literature review has assessed several challenges within the FX activities. The economic, transaction and the translational risks are the challenging aspects during the FX. The fluctuation of the inflow and outflow of the “currency exchange rate” and the high inflation rate can be a major issue for a firm to face during the FDI activities in a foreign country. The translational risks such as the advent of Bitcoin, devaluation of local or regional currency along with the challenges with the digital currencies can cause severe economic risks for a FI in the foreign market. The economic outlook within various regions can cause a severe challenge for a firm while making the FX activities within a new international market.</w:t>
      </w:r>
    </w:p>
    <w:p w:rsidR="00B54F6D" w:rsidRPr="00E300D7" w:rsidRDefault="00B54F6D" w:rsidP="00B54F6D">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In the findings and literature review section, the necessity to follow-up all the legal acts and the norms within the foreign policies have been assessed. It has been evaluated that it is necessary to follow the sudden changes in FX rates during the FX practices. The process of assessing and managing the political and financial risks during a foreign exchange process can assist a firm to advance the growth of their international business. The “political risk insurance (PRI)” can be an effective tool for a FI to tackle any adverse political condition due to war or any political disruptions. The use of the financial prediction models and the ML technologies can be useful for a company to predict the chances of fluctuation in the inflows and outflows of a firm. The effective prediction of the financial condition of a foreign country can assist the finance management of a FI to lower the risk on their financial assets and to invest accordingly within a foreign nation. The use of speculative currency trade can also be a better option for a </w:t>
      </w:r>
      <w:r w:rsidRPr="00E300D7">
        <w:rPr>
          <w:rFonts w:ascii="Times New Roman" w:eastAsia="Times New Roman" w:hAnsi="Times New Roman" w:cs="Times New Roman"/>
          <w:sz w:val="24"/>
          <w:szCs w:val="24"/>
          <w:lang w:val="en-GB"/>
        </w:rPr>
        <w:lastRenderedPageBreak/>
        <w:t>FI in the UK and other parts of the world to lower the risks due to the volatility in foreign markets.</w:t>
      </w:r>
    </w:p>
    <w:p w:rsidR="00B54F6D" w:rsidRPr="00E300D7" w:rsidRDefault="00B54F6D" w:rsidP="00B54F6D">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assessment in the findings, analysis and literature review section has highlighted that the effective strategies such as FEC as a hedging method can assist the FIs in the UK to lower the financial risks. The enhanced communication with the foreign investors and the proper follow-up of the contracts with the foreign partners can assist a FI to sustain a positive growth in the international market. The use of the MST can help the FIs to protect their short or long-term financial and debt-servicing capability. The use of the IPA to recruit a financial advisor or policy maker can assist the FIs to develop the better macroprudential FX policies. The hiring of an experienced and talented financial advisor can assist the FIs to tackle the market volatility and to acquire a positive financial growth within a global market. </w:t>
      </w:r>
    </w:p>
    <w:p w:rsidR="00B54F6D" w:rsidRPr="00E300D7" w:rsidRDefault="00B54F6D" w:rsidP="00B54F6D">
      <w:pPr>
        <w:pStyle w:val="Heading2"/>
        <w:rPr>
          <w:lang w:val="en-GB"/>
        </w:rPr>
      </w:pPr>
      <w:bookmarkStart w:id="143" w:name="_Toc135418924"/>
      <w:r w:rsidRPr="00E300D7">
        <w:rPr>
          <w:lang w:val="en-GB"/>
        </w:rPr>
        <w:t>5.2 Linking with Objectives</w:t>
      </w:r>
      <w:bookmarkEnd w:id="143"/>
    </w:p>
    <w:p w:rsidR="00B54F6D" w:rsidRPr="00E300D7" w:rsidRDefault="00B54F6D" w:rsidP="00B54F6D">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objective 1 and the concept of the foreign exchange (FX) has been analysed in the 2.2 section of the literature review (LR) and in the theme 1 of the 4.2 findings section. The findings, analysis and the discussion have elaborated the role of the “International Monetary Fund (IMF)” in the FX procedure of a firm. The concept of Financial Regulations in the UK such as the “Emergency Powers (</w:t>
      </w:r>
      <w:proofErr w:type="spellStart"/>
      <w:r w:rsidRPr="00E300D7">
        <w:rPr>
          <w:rFonts w:ascii="Times New Roman" w:eastAsia="Times New Roman" w:hAnsi="Times New Roman" w:cs="Times New Roman"/>
          <w:sz w:val="24"/>
          <w:szCs w:val="24"/>
          <w:lang w:val="en-GB"/>
        </w:rPr>
        <w:t>Defense</w:t>
      </w:r>
      <w:proofErr w:type="spellEnd"/>
      <w:r w:rsidRPr="00E300D7">
        <w:rPr>
          <w:rFonts w:ascii="Times New Roman" w:eastAsia="Times New Roman" w:hAnsi="Times New Roman" w:cs="Times New Roman"/>
          <w:sz w:val="24"/>
          <w:szCs w:val="24"/>
          <w:lang w:val="en-GB"/>
        </w:rPr>
        <w:t>) Act 1939” has been discussed in the findings of objective 1.</w:t>
      </w:r>
    </w:p>
    <w:p w:rsidR="00B54F6D" w:rsidRPr="00E300D7" w:rsidRDefault="00B54F6D" w:rsidP="00B54F6D">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The objective 2 and the challenges within the FDI and FX process for the FIs has been assessed in the 2.5 LR section of the research and in the theme 2 findings sections of chapter 4.2. The financial risks and the due to volatile FX rates and other economical vulnerabilities have been assessed here. </w:t>
      </w:r>
    </w:p>
    <w:p w:rsidR="00B54F6D" w:rsidRPr="00E300D7" w:rsidRDefault="00B54F6D" w:rsidP="00B54F6D">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The objective 3 and the several risk management processes such as the translational, transactional, political and economic risks management are discussed in theme 3 of 4.2 findings and the 2.6 section of the LR. The political risk management in the FX using “political risk insurance (PRI)” and the financial risk management with the use of the advanced ML technologies have been assessed here.</w:t>
      </w:r>
    </w:p>
    <w:p w:rsidR="00B54F6D" w:rsidRPr="00E300D7" w:rsidRDefault="00B54F6D" w:rsidP="00821E5A">
      <w:pPr>
        <w:pStyle w:val="Normal3"/>
        <w:spacing w:line="360" w:lineRule="auto"/>
        <w:jc w:val="both"/>
        <w:rPr>
          <w:rFonts w:ascii="Times New Roman" w:hAnsi="Times New Roman" w:cs="Times New Roman"/>
          <w:sz w:val="24"/>
          <w:lang w:val="en-GB"/>
        </w:rPr>
      </w:pPr>
      <w:r w:rsidRPr="00E300D7">
        <w:rPr>
          <w:rFonts w:ascii="Times New Roman" w:hAnsi="Times New Roman" w:cs="Times New Roman"/>
          <w:sz w:val="24"/>
          <w:lang w:val="en-GB"/>
        </w:rPr>
        <w:t xml:space="preserve">The objective 4 has been met in the theme 4 of the 4.2 findings section along with the LR section 2.4 and the 2.6 sections. The use of the FEC has been mentioned to lower the transnational cost and the IPA to hire an experienced financial advisor to lower the financial </w:t>
      </w:r>
      <w:r w:rsidRPr="00E300D7">
        <w:rPr>
          <w:rFonts w:ascii="Times New Roman" w:hAnsi="Times New Roman" w:cs="Times New Roman"/>
          <w:sz w:val="24"/>
          <w:lang w:val="en-GB"/>
        </w:rPr>
        <w:lastRenderedPageBreak/>
        <w:t>risks. The risk management process has been elaborated in the research here to suggest better FX strategies.</w:t>
      </w:r>
    </w:p>
    <w:p w:rsidR="006C5310" w:rsidRPr="00E300D7" w:rsidRDefault="006C5310" w:rsidP="005E765E">
      <w:pPr>
        <w:pStyle w:val="Heading2"/>
        <w:rPr>
          <w:lang w:val="en-GB"/>
        </w:rPr>
      </w:pPr>
      <w:bookmarkStart w:id="144" w:name="_Toc135418925"/>
      <w:r w:rsidRPr="00E300D7">
        <w:rPr>
          <w:lang w:val="en-GB"/>
        </w:rPr>
        <w:t>5.3 Recommendation</w:t>
      </w:r>
      <w:bookmarkEnd w:id="142"/>
      <w:bookmarkEnd w:id="144"/>
    </w:p>
    <w:p w:rsidR="006C5310" w:rsidRPr="00E300D7" w:rsidRDefault="006C5310" w:rsidP="006C5310">
      <w:pPr>
        <w:pStyle w:val="Normal3"/>
        <w:spacing w:after="200" w:line="360" w:lineRule="auto"/>
        <w:jc w:val="both"/>
        <w:rPr>
          <w:rFonts w:ascii="Times New Roman" w:eastAsia="Times New Roman" w:hAnsi="Times New Roman" w:cs="Times New Roman"/>
          <w:b/>
          <w:i/>
          <w:sz w:val="24"/>
          <w:szCs w:val="24"/>
          <w:lang w:val="en-GB"/>
        </w:rPr>
      </w:pPr>
      <w:r w:rsidRPr="00E300D7">
        <w:rPr>
          <w:rFonts w:ascii="Times New Roman" w:eastAsia="Times New Roman" w:hAnsi="Times New Roman" w:cs="Times New Roman"/>
          <w:b/>
          <w:i/>
          <w:sz w:val="24"/>
          <w:szCs w:val="24"/>
          <w:lang w:val="en-GB"/>
        </w:rPr>
        <w:t>Increasing debt-servicing capacity</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Increasing market debt of the FIs is a potential cause of their failure to manage associated financial risks. Hence, both the emerging as well as frontier FX markets need to reduce the debt risks through early engagement with the creditors, multilateral corporations and international aids (Imf.org, 2022). The small-scale FIs struggling under pressure of inflation need to coordinate with the bilateral and private sector creditors on a pre-emptive restructuring basis in order to avoid prolonged losses. The monetary transmission mechanism of the central bank and FX intervention can address the vulnerabilities of volatile exchange rates.</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Following up global economic </w:t>
      </w:r>
      <w:proofErr w:type="gramStart"/>
      <w:r w:rsidRPr="00E300D7">
        <w:rPr>
          <w:rFonts w:ascii="Times New Roman" w:eastAsia="Times New Roman" w:hAnsi="Times New Roman" w:cs="Times New Roman"/>
          <w:sz w:val="24"/>
          <w:szCs w:val="24"/>
          <w:lang w:val="en-GB"/>
        </w:rPr>
        <w:t>developments</w:t>
      </w:r>
      <w:proofErr w:type="gramEnd"/>
      <w:r w:rsidRPr="00E300D7">
        <w:rPr>
          <w:rFonts w:ascii="Times New Roman" w:eastAsia="Times New Roman" w:hAnsi="Times New Roman" w:cs="Times New Roman"/>
          <w:sz w:val="24"/>
          <w:szCs w:val="24"/>
          <w:lang w:val="en-GB"/>
        </w:rPr>
        <w:t xml:space="preserve"> reports published by the IMF such as “Global Financial Stability Report”, “World Economic Outlook” and “Fiscal Monitor” can also enhance the scale of informed investment decision making in FIs. Additionally, “Group of Twenty Common Framework” is </w:t>
      </w:r>
      <w:r w:rsidR="00471396" w:rsidRPr="00E300D7">
        <w:rPr>
          <w:rFonts w:ascii="Times New Roman" w:eastAsia="Times New Roman" w:hAnsi="Times New Roman" w:cs="Times New Roman"/>
          <w:sz w:val="24"/>
          <w:szCs w:val="24"/>
          <w:lang w:val="en-GB"/>
        </w:rPr>
        <w:t>an</w:t>
      </w:r>
      <w:r w:rsidRPr="00E300D7">
        <w:rPr>
          <w:rFonts w:ascii="Times New Roman" w:eastAsia="Times New Roman" w:hAnsi="Times New Roman" w:cs="Times New Roman"/>
          <w:sz w:val="24"/>
          <w:szCs w:val="24"/>
          <w:lang w:val="en-GB"/>
        </w:rPr>
        <w:t xml:space="preserve"> IMF-specified tool that deals with the insolvency, protracted liquidity and debt treatment issues through “Debt Service Suspension Initiative (DSSI)” (Imf.org, 2022). Developing fiscal systems along with an alternative currency option through a FEC can effectively offer a solution to lack of investment decision making (</w:t>
      </w:r>
      <w:proofErr w:type="spellStart"/>
      <w:r w:rsidRPr="00E300D7">
        <w:rPr>
          <w:rFonts w:ascii="Times New Roman" w:eastAsia="Times New Roman" w:hAnsi="Times New Roman" w:cs="Times New Roman"/>
          <w:sz w:val="24"/>
          <w:szCs w:val="24"/>
          <w:lang w:val="en-GB"/>
        </w:rPr>
        <w:t>Dimoski</w:t>
      </w:r>
      <w:proofErr w:type="spell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i/>
          <w:sz w:val="24"/>
          <w:szCs w:val="24"/>
          <w:lang w:val="en-GB"/>
        </w:rPr>
        <w:t>et al.</w:t>
      </w:r>
      <w:r w:rsidRPr="00E300D7">
        <w:rPr>
          <w:rFonts w:ascii="Times New Roman" w:eastAsia="Times New Roman" w:hAnsi="Times New Roman" w:cs="Times New Roman"/>
          <w:sz w:val="24"/>
          <w:szCs w:val="24"/>
          <w:lang w:val="en-GB"/>
        </w:rPr>
        <w:t xml:space="preserve"> 2023). Implementing MST can also bring resilience in currency handling. Additionally, using vulnerability indicators such as liquidity ratios and market value ratios can help the organisations to apprehend the fault-lines in flow of money. </w:t>
      </w:r>
    </w:p>
    <w:p w:rsidR="006C5310" w:rsidRPr="00E300D7" w:rsidRDefault="006C5310" w:rsidP="006C5310">
      <w:pPr>
        <w:pStyle w:val="Normal3"/>
        <w:spacing w:after="200" w:line="360" w:lineRule="auto"/>
        <w:jc w:val="both"/>
        <w:rPr>
          <w:rFonts w:ascii="Times New Roman" w:eastAsia="Times New Roman" w:hAnsi="Times New Roman" w:cs="Times New Roman"/>
          <w:b/>
          <w:sz w:val="24"/>
          <w:szCs w:val="24"/>
          <w:lang w:val="en-GB"/>
        </w:rPr>
      </w:pPr>
      <w:r w:rsidRPr="00E300D7">
        <w:rPr>
          <w:rFonts w:ascii="Times New Roman" w:eastAsia="Times New Roman" w:hAnsi="Times New Roman" w:cs="Times New Roman"/>
          <w:b/>
          <w:i/>
          <w:sz w:val="24"/>
          <w:szCs w:val="24"/>
          <w:lang w:val="en-GB"/>
        </w:rPr>
        <w:t>Improvement in Commercial Relationships</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FIs need to build effective commercial relationships with the other market players including small-scale NBFIs, brokers, retail traders and proprietary trading firms for enhancing the flow of information and communication. Additionally, Natural Foreign Exchange Hedging can be effective to build a cost-effective progression in the global markets and lower the </w:t>
      </w:r>
      <w:r w:rsidR="00471396" w:rsidRPr="00E300D7">
        <w:rPr>
          <w:rFonts w:ascii="Times New Roman" w:eastAsia="Times New Roman" w:hAnsi="Times New Roman" w:cs="Times New Roman"/>
          <w:sz w:val="24"/>
          <w:szCs w:val="24"/>
          <w:lang w:val="en-GB"/>
        </w:rPr>
        <w:t>risk</w:t>
      </w:r>
      <w:r w:rsidRPr="00E300D7">
        <w:rPr>
          <w:rFonts w:ascii="Times New Roman" w:eastAsia="Times New Roman" w:hAnsi="Times New Roman" w:cs="Times New Roman"/>
          <w:sz w:val="24"/>
          <w:szCs w:val="24"/>
          <w:lang w:val="en-GB"/>
        </w:rPr>
        <w:t xml:space="preserve"> exposure (Toptal.com, 2023). Adding to that, developing merger and acquisition (M&amp;A) initiatives can be impactful for the companies to consolidate their major assets through regulating the transactions (</w:t>
      </w:r>
      <w:proofErr w:type="spellStart"/>
      <w:r w:rsidRPr="00E300D7">
        <w:rPr>
          <w:rFonts w:ascii="Times New Roman" w:eastAsia="Times New Roman" w:hAnsi="Times New Roman" w:cs="Times New Roman"/>
          <w:sz w:val="24"/>
          <w:szCs w:val="24"/>
          <w:lang w:val="en-GB"/>
        </w:rPr>
        <w:t>Wewege</w:t>
      </w:r>
      <w:proofErr w:type="spellEnd"/>
      <w:r w:rsidRPr="00E300D7">
        <w:rPr>
          <w:rFonts w:ascii="Times New Roman" w:eastAsia="Times New Roman" w:hAnsi="Times New Roman" w:cs="Times New Roman"/>
          <w:sz w:val="24"/>
          <w:szCs w:val="24"/>
          <w:lang w:val="en-GB"/>
        </w:rPr>
        <w:t xml:space="preserve"> </w:t>
      </w:r>
      <w:r w:rsidRPr="00E300D7">
        <w:rPr>
          <w:rFonts w:ascii="Times New Roman" w:eastAsia="Times New Roman" w:hAnsi="Times New Roman" w:cs="Times New Roman"/>
          <w:i/>
          <w:sz w:val="24"/>
          <w:szCs w:val="24"/>
          <w:lang w:val="en-GB"/>
        </w:rPr>
        <w:t xml:space="preserve">et al. </w:t>
      </w:r>
      <w:r w:rsidRPr="00E300D7">
        <w:rPr>
          <w:rFonts w:ascii="Times New Roman" w:eastAsia="Times New Roman" w:hAnsi="Times New Roman" w:cs="Times New Roman"/>
          <w:sz w:val="24"/>
          <w:szCs w:val="24"/>
          <w:lang w:val="en-GB"/>
        </w:rPr>
        <w:t xml:space="preserve">2020). M&amp;A can expedite the expansion of the financial activities of both banking as well as NBFIs in order to compete at a global scale. </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b/>
          <w:i/>
          <w:sz w:val="24"/>
          <w:szCs w:val="24"/>
          <w:lang w:val="en-GB"/>
        </w:rPr>
        <w:lastRenderedPageBreak/>
        <w:t>Regulation of Digital and Crypto-currencies</w:t>
      </w:r>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Crypto-currencies and </w:t>
      </w:r>
      <w:r w:rsidR="00471396" w:rsidRPr="00E300D7">
        <w:rPr>
          <w:rFonts w:ascii="Times New Roman" w:eastAsia="Times New Roman" w:hAnsi="Times New Roman" w:cs="Times New Roman"/>
          <w:sz w:val="24"/>
          <w:szCs w:val="24"/>
          <w:lang w:val="en-GB"/>
        </w:rPr>
        <w:t>Bitcoin</w:t>
      </w:r>
      <w:r w:rsidRPr="00E300D7">
        <w:rPr>
          <w:rFonts w:ascii="Times New Roman" w:eastAsia="Times New Roman" w:hAnsi="Times New Roman" w:cs="Times New Roman"/>
          <w:sz w:val="24"/>
          <w:szCs w:val="24"/>
          <w:lang w:val="en-GB"/>
        </w:rPr>
        <w:t xml:space="preserve"> are currently seen as </w:t>
      </w:r>
      <w:r w:rsidR="00471396" w:rsidRPr="00E300D7">
        <w:rPr>
          <w:rFonts w:ascii="Times New Roman" w:eastAsia="Times New Roman" w:hAnsi="Times New Roman" w:cs="Times New Roman"/>
          <w:sz w:val="24"/>
          <w:szCs w:val="24"/>
          <w:lang w:val="en-GB"/>
        </w:rPr>
        <w:t>democratizing</w:t>
      </w:r>
      <w:r w:rsidRPr="00E300D7">
        <w:rPr>
          <w:rFonts w:ascii="Times New Roman" w:eastAsia="Times New Roman" w:hAnsi="Times New Roman" w:cs="Times New Roman"/>
          <w:sz w:val="24"/>
          <w:szCs w:val="24"/>
          <w:lang w:val="en-GB"/>
        </w:rPr>
        <w:t xml:space="preserve"> forces to curb the dictations of the central bank and </w:t>
      </w:r>
      <w:r w:rsidR="00471396" w:rsidRPr="00E300D7">
        <w:rPr>
          <w:rFonts w:ascii="Times New Roman" w:eastAsia="Times New Roman" w:hAnsi="Times New Roman" w:cs="Times New Roman"/>
          <w:sz w:val="24"/>
          <w:szCs w:val="24"/>
          <w:lang w:val="en-GB"/>
        </w:rPr>
        <w:t>Wall Street</w:t>
      </w:r>
      <w:r w:rsidRPr="00E300D7">
        <w:rPr>
          <w:rFonts w:ascii="Times New Roman" w:eastAsia="Times New Roman" w:hAnsi="Times New Roman" w:cs="Times New Roman"/>
          <w:sz w:val="24"/>
          <w:szCs w:val="24"/>
          <w:lang w:val="en-GB"/>
        </w:rPr>
        <w:t xml:space="preserve"> (Cfr.org, 2022). As the phenomena of de-</w:t>
      </w:r>
      <w:r w:rsidR="00471396" w:rsidRPr="00E300D7">
        <w:rPr>
          <w:rFonts w:ascii="Times New Roman" w:eastAsia="Times New Roman" w:hAnsi="Times New Roman" w:cs="Times New Roman"/>
          <w:sz w:val="24"/>
          <w:szCs w:val="24"/>
          <w:lang w:val="en-GB"/>
        </w:rPr>
        <w:t>dollarization</w:t>
      </w:r>
      <w:r w:rsidRPr="00E300D7">
        <w:rPr>
          <w:rFonts w:ascii="Times New Roman" w:eastAsia="Times New Roman" w:hAnsi="Times New Roman" w:cs="Times New Roman"/>
          <w:sz w:val="24"/>
          <w:szCs w:val="24"/>
          <w:lang w:val="en-GB"/>
        </w:rPr>
        <w:t xml:space="preserve"> boosted the other country currencies such as Chinese Yuan by reducing the dependency on US dollar, similarly crypto can complement the existing money by </w:t>
      </w:r>
      <w:r w:rsidR="00471396" w:rsidRPr="00E300D7">
        <w:rPr>
          <w:rFonts w:ascii="Times New Roman" w:eastAsia="Times New Roman" w:hAnsi="Times New Roman" w:cs="Times New Roman"/>
          <w:sz w:val="24"/>
          <w:szCs w:val="24"/>
          <w:lang w:val="en-GB"/>
        </w:rPr>
        <w:t>digitizing</w:t>
      </w:r>
      <w:r w:rsidRPr="00E300D7">
        <w:rPr>
          <w:rFonts w:ascii="Times New Roman" w:eastAsia="Times New Roman" w:hAnsi="Times New Roman" w:cs="Times New Roman"/>
          <w:sz w:val="24"/>
          <w:szCs w:val="24"/>
          <w:lang w:val="en-GB"/>
        </w:rPr>
        <w:t xml:space="preserve"> the financial activities. Furthermore, stricter government regulations on FDI are crucial for managing the financial risks associated with building commercial relationships in countries such as the UK.</w:t>
      </w:r>
      <w:r w:rsidR="002E746E" w:rsidRPr="00E300D7">
        <w:rPr>
          <w:rFonts w:ascii="Times New Roman" w:eastAsia="Times New Roman" w:hAnsi="Times New Roman" w:cs="Times New Roman"/>
          <w:sz w:val="24"/>
          <w:szCs w:val="24"/>
          <w:lang w:val="en-GB"/>
        </w:rPr>
        <w:t xml:space="preserve"> </w:t>
      </w:r>
    </w:p>
    <w:p w:rsidR="006C5310" w:rsidRPr="00E300D7" w:rsidRDefault="006C5310" w:rsidP="005E765E">
      <w:pPr>
        <w:pStyle w:val="Heading2"/>
        <w:rPr>
          <w:lang w:val="en-GB"/>
        </w:rPr>
      </w:pPr>
      <w:bookmarkStart w:id="145" w:name="_Toc135417662"/>
      <w:bookmarkStart w:id="146" w:name="_Toc135418926"/>
      <w:r w:rsidRPr="00E300D7">
        <w:rPr>
          <w:lang w:val="en-GB"/>
        </w:rPr>
        <w:t>5.4 Research Limitation</w:t>
      </w:r>
      <w:bookmarkEnd w:id="145"/>
      <w:bookmarkEnd w:id="146"/>
    </w:p>
    <w:p w:rsidR="006C5310" w:rsidRPr="00E300D7" w:rsidRDefault="006C5310" w:rsidP="006C5310">
      <w:pPr>
        <w:pStyle w:val="Normal3"/>
        <w:spacing w:after="20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This research only considered secondary data for identifying the challenges and risks associated with financial management, whereas primary data through gathering expert advice and FI managers could have enhanced the relevance and authenticity of the outcomes. Additionally, this research focused more on the aspects of FI of the UK. However, the global aspects could be studied in more detail to understand the limitations and delimitations of foreign exchange risk factors. Thereby, more substantive remedies could be suggested.</w:t>
      </w:r>
      <w:r w:rsidR="002E746E" w:rsidRPr="00E300D7">
        <w:rPr>
          <w:rFonts w:ascii="Times New Roman" w:eastAsia="Times New Roman" w:hAnsi="Times New Roman" w:cs="Times New Roman"/>
          <w:sz w:val="24"/>
          <w:szCs w:val="24"/>
          <w:lang w:val="en-GB"/>
        </w:rPr>
        <w:t xml:space="preserve"> </w:t>
      </w:r>
      <w:r w:rsidR="00A92676" w:rsidRPr="00E300D7">
        <w:rPr>
          <w:rFonts w:ascii="Times New Roman" w:eastAsia="Times New Roman" w:hAnsi="Times New Roman" w:cs="Times New Roman"/>
          <w:sz w:val="24"/>
          <w:szCs w:val="24"/>
          <w:lang w:val="en-GB"/>
        </w:rPr>
        <w:t>Additionally, this research only considered those</w:t>
      </w:r>
      <w:r w:rsidR="00EB61DF" w:rsidRPr="00E300D7">
        <w:rPr>
          <w:rFonts w:ascii="Times New Roman" w:eastAsia="Times New Roman" w:hAnsi="Times New Roman" w:cs="Times New Roman"/>
          <w:sz w:val="24"/>
          <w:szCs w:val="24"/>
          <w:lang w:val="en-GB"/>
        </w:rPr>
        <w:t xml:space="preserve"> news articles and journal articles, which have been published within the recent 5 years in order to enhance the relevance with the current market scenario. However, considering </w:t>
      </w:r>
      <w:r w:rsidR="00CC1FD7" w:rsidRPr="00E300D7">
        <w:rPr>
          <w:rFonts w:ascii="Times New Roman" w:eastAsia="Times New Roman" w:hAnsi="Times New Roman" w:cs="Times New Roman"/>
          <w:sz w:val="24"/>
          <w:szCs w:val="24"/>
          <w:lang w:val="en-GB"/>
        </w:rPr>
        <w:t>earlier information could have enhanced a thorough understanding on the long-standing impacts on the FX trends and patterns in the global market.</w:t>
      </w:r>
    </w:p>
    <w:p w:rsidR="006C5310" w:rsidRPr="00E300D7" w:rsidRDefault="006C5310" w:rsidP="005E765E">
      <w:pPr>
        <w:pStyle w:val="Heading2"/>
        <w:rPr>
          <w:lang w:val="en-GB"/>
        </w:rPr>
      </w:pPr>
      <w:bookmarkStart w:id="147" w:name="_Toc135417663"/>
      <w:bookmarkStart w:id="148" w:name="_Toc135418927"/>
      <w:r w:rsidRPr="00E300D7">
        <w:rPr>
          <w:lang w:val="en-GB"/>
        </w:rPr>
        <w:t>5.5 Future scope</w:t>
      </w:r>
      <w:bookmarkEnd w:id="147"/>
      <w:bookmarkEnd w:id="148"/>
    </w:p>
    <w:p w:rsidR="00AD15EA" w:rsidRPr="00E300D7" w:rsidRDefault="006C5310" w:rsidP="006C5310">
      <w:pPr>
        <w:pStyle w:val="Normal1"/>
        <w:rPr>
          <w:b/>
          <w:lang w:val="en-GB"/>
        </w:rPr>
      </w:pPr>
      <w:bookmarkStart w:id="149" w:name="_Toc135417664"/>
      <w:bookmarkStart w:id="150" w:name="_Toc135418928"/>
      <w:r w:rsidRPr="00E300D7">
        <w:rPr>
          <w:lang w:val="en-GB"/>
        </w:rPr>
        <w:t xml:space="preserve">This research can effectively suggest the FIs to build provisions for risk scoping through establishing IPA to deal with the uncertainties in the financial sector. Additionally, this study also suggests the FIs and governments to </w:t>
      </w:r>
      <w:r w:rsidR="00471396" w:rsidRPr="00E300D7">
        <w:rPr>
          <w:lang w:val="en-GB"/>
        </w:rPr>
        <w:t>legalize</w:t>
      </w:r>
      <w:r w:rsidRPr="00E300D7">
        <w:rPr>
          <w:lang w:val="en-GB"/>
        </w:rPr>
        <w:t xml:space="preserve"> as well as regulate crypto service providers to get registered by FinCEN along with implementing an “AML/CFT program”. </w:t>
      </w:r>
      <w:r w:rsidR="00471396" w:rsidRPr="00E300D7">
        <w:rPr>
          <w:lang w:val="en-GB"/>
        </w:rPr>
        <w:t>Digitizing</w:t>
      </w:r>
      <w:r w:rsidRPr="00E300D7">
        <w:rPr>
          <w:lang w:val="en-GB"/>
        </w:rPr>
        <w:t xml:space="preserve"> and implementing “Bitcoin exchange rate (BER)” can re</w:t>
      </w:r>
      <w:r w:rsidR="00387B0E" w:rsidRPr="00E300D7">
        <w:rPr>
          <w:lang w:val="en-GB"/>
        </w:rPr>
        <w:t>duce the scopes for crashes on fiduciary currencies</w:t>
      </w:r>
      <w:r w:rsidR="009331F5" w:rsidRPr="00E300D7">
        <w:rPr>
          <w:lang w:val="en-GB"/>
        </w:rPr>
        <w:t xml:space="preserve"> (</w:t>
      </w:r>
      <w:proofErr w:type="spellStart"/>
      <w:r w:rsidR="009331F5" w:rsidRPr="00E300D7">
        <w:rPr>
          <w:shd w:val="clear" w:color="auto" w:fill="FFFFFF"/>
          <w:lang w:val="en-GB"/>
        </w:rPr>
        <w:t>BenSaïda</w:t>
      </w:r>
      <w:proofErr w:type="spellEnd"/>
      <w:r w:rsidR="009331F5" w:rsidRPr="00E300D7">
        <w:rPr>
          <w:shd w:val="clear" w:color="auto" w:fill="FFFFFF"/>
          <w:lang w:val="en-GB"/>
        </w:rPr>
        <w:t>, 2023)</w:t>
      </w:r>
      <w:r w:rsidRPr="00E300D7">
        <w:rPr>
          <w:lang w:val="en-GB"/>
        </w:rPr>
        <w:t>. Hence, the financial risks associated with FX rates of FIs can be addressed beforehand.</w:t>
      </w:r>
      <w:r w:rsidR="000F6360" w:rsidRPr="00E300D7">
        <w:rPr>
          <w:lang w:val="en-GB"/>
        </w:rPr>
        <w:t xml:space="preserve"> Additionally, this research suggests for aligning various vulnerability indicators for with the financial activities of the FIs </w:t>
      </w:r>
      <w:r w:rsidR="0092113F" w:rsidRPr="00E300D7">
        <w:rPr>
          <w:lang w:val="en-GB"/>
        </w:rPr>
        <w:t xml:space="preserve">in order to assess the fault-lines beforehand. </w:t>
      </w:r>
      <w:r w:rsidR="00387B0E" w:rsidRPr="00E300D7">
        <w:rPr>
          <w:lang w:val="en-GB"/>
        </w:rPr>
        <w:t xml:space="preserve">Effective </w:t>
      </w:r>
      <w:r w:rsidR="00BD03F7" w:rsidRPr="00E300D7">
        <w:rPr>
          <w:lang w:val="en-GB"/>
        </w:rPr>
        <w:t xml:space="preserve">market study can help the FIs to understand the potential scopes for fluctuations and </w:t>
      </w:r>
      <w:r w:rsidR="0092113F" w:rsidRPr="00E300D7">
        <w:rPr>
          <w:lang w:val="en-GB"/>
        </w:rPr>
        <w:t xml:space="preserve">volatility of </w:t>
      </w:r>
      <w:r w:rsidR="00BD03F7" w:rsidRPr="00E300D7">
        <w:rPr>
          <w:lang w:val="en-GB"/>
        </w:rPr>
        <w:t xml:space="preserve">the </w:t>
      </w:r>
      <w:r w:rsidR="00545AA1" w:rsidRPr="00E300D7">
        <w:rPr>
          <w:lang w:val="en-GB"/>
        </w:rPr>
        <w:t>currencies and FX rates.</w:t>
      </w:r>
      <w:bookmarkEnd w:id="149"/>
      <w:bookmarkEnd w:id="150"/>
    </w:p>
    <w:p w:rsidR="00AD15EA" w:rsidRPr="00E300D7" w:rsidRDefault="007008CE" w:rsidP="008A4E78">
      <w:pPr>
        <w:rPr>
          <w:rFonts w:eastAsia="Arial" w:cs="Arial"/>
          <w:szCs w:val="40"/>
          <w:lang w:val="en-GB"/>
        </w:rPr>
      </w:pPr>
      <w:r w:rsidRPr="00E300D7">
        <w:rPr>
          <w:lang w:val="en-GB"/>
        </w:rPr>
        <w:br w:type="page"/>
      </w:r>
      <w:bookmarkStart w:id="151" w:name="_Toc135417665"/>
      <w:bookmarkStart w:id="152" w:name="_Toc135418929"/>
      <w:r w:rsidRPr="00E300D7">
        <w:rPr>
          <w:lang w:val="en-GB"/>
        </w:rPr>
        <w:lastRenderedPageBreak/>
        <w:t>References</w:t>
      </w:r>
      <w:bookmarkEnd w:id="126"/>
      <w:bookmarkEnd w:id="151"/>
      <w:bookmarkEnd w:id="152"/>
    </w:p>
    <w:p w:rsidR="008A4E78" w:rsidRPr="00E300D7" w:rsidRDefault="008A4E78" w:rsidP="00AA487C">
      <w:pPr>
        <w:spacing w:after="240"/>
        <w:rPr>
          <w:b/>
          <w:shd w:val="clear" w:color="auto" w:fill="FFFFFF"/>
          <w:lang w:val="en-GB"/>
        </w:rPr>
      </w:pPr>
      <w:bookmarkStart w:id="153" w:name="_Toc135334430"/>
      <w:bookmarkStart w:id="154" w:name="_Toc135417666"/>
      <w:bookmarkStart w:id="155" w:name="_Toc135418930"/>
      <w:r w:rsidRPr="00E300D7">
        <w:rPr>
          <w:shd w:val="clear" w:color="auto" w:fill="FFFFFF"/>
          <w:lang w:val="en-GB"/>
        </w:rPr>
        <w:t>Abdulkarim, U.F., Mohammed, L. and Musa-Mubi, A., (2020). Lease finance in Nigeria: Current Status, challenges and future prospects. </w:t>
      </w:r>
      <w:r w:rsidRPr="00E300D7">
        <w:rPr>
          <w:i/>
          <w:iCs/>
          <w:shd w:val="clear" w:color="auto" w:fill="FFFFFF"/>
          <w:lang w:val="en-GB"/>
        </w:rPr>
        <w:t>Journal of Accounting Research, Organization and Economics</w:t>
      </w:r>
      <w:r w:rsidRPr="00E300D7">
        <w:rPr>
          <w:shd w:val="clear" w:color="auto" w:fill="FFFFFF"/>
          <w:lang w:val="en-GB"/>
        </w:rPr>
        <w:t>, </w:t>
      </w:r>
      <w:r w:rsidRPr="00E300D7">
        <w:rPr>
          <w:i/>
          <w:iCs/>
          <w:shd w:val="clear" w:color="auto" w:fill="FFFFFF"/>
          <w:lang w:val="en-GB"/>
        </w:rPr>
        <w:t>3</w:t>
      </w:r>
      <w:r w:rsidRPr="00E300D7">
        <w:rPr>
          <w:shd w:val="clear" w:color="auto" w:fill="FFFFFF"/>
          <w:lang w:val="en-GB"/>
        </w:rPr>
        <w:t>(2), pp.172-181.</w:t>
      </w:r>
      <w:bookmarkEnd w:id="153"/>
      <w:bookmarkEnd w:id="154"/>
      <w:bookmarkEnd w:id="155"/>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Aithal, A. and Aithal, P.S., (2020). </w:t>
      </w:r>
      <w:r w:rsidRPr="00E300D7">
        <w:rPr>
          <w:rFonts w:ascii="Times New Roman" w:hAnsi="Times New Roman" w:cs="Times New Roman"/>
          <w:i/>
          <w:sz w:val="24"/>
          <w:szCs w:val="24"/>
          <w:lang w:val="en-GB"/>
        </w:rPr>
        <w:t xml:space="preserve">Development and validation of survey questionnaire &amp; experimental data–a </w:t>
      </w:r>
      <w:proofErr w:type="spellStart"/>
      <w:r w:rsidRPr="00E300D7">
        <w:rPr>
          <w:rFonts w:ascii="Times New Roman" w:hAnsi="Times New Roman" w:cs="Times New Roman"/>
          <w:i/>
          <w:sz w:val="24"/>
          <w:szCs w:val="24"/>
          <w:lang w:val="en-GB"/>
        </w:rPr>
        <w:t>systematical</w:t>
      </w:r>
      <w:proofErr w:type="spellEnd"/>
      <w:r w:rsidRPr="00E300D7">
        <w:rPr>
          <w:rFonts w:ascii="Times New Roman" w:hAnsi="Times New Roman" w:cs="Times New Roman"/>
          <w:i/>
          <w:sz w:val="24"/>
          <w:szCs w:val="24"/>
          <w:lang w:val="en-GB"/>
        </w:rPr>
        <w:t xml:space="preserve"> review-based statistical approach</w:t>
      </w:r>
      <w:r w:rsidRPr="00E300D7">
        <w:rPr>
          <w:rFonts w:ascii="Times New Roman" w:hAnsi="Times New Roman" w:cs="Times New Roman"/>
          <w:sz w:val="24"/>
          <w:szCs w:val="24"/>
          <w:lang w:val="en-GB"/>
        </w:rPr>
        <w:t>. International Journal of Management, Technology, and Social Sciences (IJMTS), 5(2), pp.233-251.</w:t>
      </w:r>
    </w:p>
    <w:p w:rsidR="008A4E78" w:rsidRPr="00E300D7" w:rsidRDefault="008A4E78" w:rsidP="00AA487C">
      <w:pPr>
        <w:spacing w:after="240"/>
        <w:rPr>
          <w:b/>
          <w:shd w:val="clear" w:color="auto" w:fill="FFFFFF"/>
          <w:lang w:val="en-GB"/>
        </w:rPr>
      </w:pPr>
      <w:bookmarkStart w:id="156" w:name="_Toc135334431"/>
      <w:bookmarkStart w:id="157" w:name="_Toc135417668"/>
      <w:bookmarkStart w:id="158" w:name="_Toc135418931"/>
      <w:r w:rsidRPr="00E300D7">
        <w:rPr>
          <w:shd w:val="clear" w:color="auto" w:fill="FFFFFF"/>
          <w:lang w:val="en-GB"/>
        </w:rPr>
        <w:t>Akbar, M., Iqbal, F. and Noor, F., (2019). Bayesian analysis of dynamic linkages among gold price, stock prices, exchange rate and interest rate in Pakistan. </w:t>
      </w:r>
      <w:r w:rsidRPr="00E300D7">
        <w:rPr>
          <w:i/>
          <w:iCs/>
          <w:shd w:val="clear" w:color="auto" w:fill="FFFFFF"/>
          <w:lang w:val="en-GB"/>
        </w:rPr>
        <w:t>Resources Policy</w:t>
      </w:r>
      <w:r w:rsidRPr="00E300D7">
        <w:rPr>
          <w:shd w:val="clear" w:color="auto" w:fill="FFFFFF"/>
          <w:lang w:val="en-GB"/>
        </w:rPr>
        <w:t>, </w:t>
      </w:r>
      <w:r w:rsidRPr="00E300D7">
        <w:rPr>
          <w:i/>
          <w:iCs/>
          <w:shd w:val="clear" w:color="auto" w:fill="FFFFFF"/>
          <w:lang w:val="en-GB"/>
        </w:rPr>
        <w:t>62</w:t>
      </w:r>
      <w:r w:rsidRPr="00E300D7">
        <w:rPr>
          <w:shd w:val="clear" w:color="auto" w:fill="FFFFFF"/>
          <w:lang w:val="en-GB"/>
        </w:rPr>
        <w:t>, pp.154-164.</w:t>
      </w:r>
      <w:bookmarkEnd w:id="156"/>
      <w:bookmarkEnd w:id="157"/>
      <w:bookmarkEnd w:id="158"/>
    </w:p>
    <w:p w:rsidR="008A4E78" w:rsidRPr="00E300D7" w:rsidRDefault="008A4E78" w:rsidP="00AA487C">
      <w:pPr>
        <w:spacing w:after="240"/>
        <w:rPr>
          <w:b/>
          <w:shd w:val="clear" w:color="auto" w:fill="FFFFFF"/>
          <w:lang w:val="en-GB"/>
        </w:rPr>
      </w:pPr>
      <w:bookmarkStart w:id="159" w:name="_Toc135334432"/>
      <w:bookmarkStart w:id="160" w:name="_Toc135417669"/>
      <w:bookmarkStart w:id="161" w:name="_Toc135418932"/>
      <w:r w:rsidRPr="00E300D7">
        <w:rPr>
          <w:shd w:val="clear" w:color="auto" w:fill="FFFFFF"/>
          <w:lang w:val="en-GB"/>
        </w:rPr>
        <w:t>Alexandre, M., Silva, T.C., Connaughton, C. and Rodrigues, F.A., (2021). The drivers of systemic risk in financial networks: a data-driven machine learning analysis. </w:t>
      </w:r>
      <w:r w:rsidRPr="00E300D7">
        <w:rPr>
          <w:i/>
          <w:iCs/>
          <w:shd w:val="clear" w:color="auto" w:fill="FFFFFF"/>
          <w:lang w:val="en-GB"/>
        </w:rPr>
        <w:t>Chaos, Solitons &amp; Fractals</w:t>
      </w:r>
      <w:r w:rsidRPr="00E300D7">
        <w:rPr>
          <w:shd w:val="clear" w:color="auto" w:fill="FFFFFF"/>
          <w:lang w:val="en-GB"/>
        </w:rPr>
        <w:t>, </w:t>
      </w:r>
      <w:r w:rsidRPr="00E300D7">
        <w:rPr>
          <w:i/>
          <w:iCs/>
          <w:shd w:val="clear" w:color="auto" w:fill="FFFFFF"/>
          <w:lang w:val="en-GB"/>
        </w:rPr>
        <w:t>153</w:t>
      </w:r>
      <w:r w:rsidRPr="00E300D7">
        <w:rPr>
          <w:shd w:val="clear" w:color="auto" w:fill="FFFFFF"/>
          <w:lang w:val="en-GB"/>
        </w:rPr>
        <w:t>, p.111588.</w:t>
      </w:r>
      <w:bookmarkEnd w:id="159"/>
      <w:bookmarkEnd w:id="160"/>
      <w:bookmarkEnd w:id="161"/>
    </w:p>
    <w:p w:rsidR="008A4E78" w:rsidRPr="00E300D7" w:rsidRDefault="008A4E78" w:rsidP="00AA487C">
      <w:pPr>
        <w:spacing w:after="240"/>
        <w:rPr>
          <w:b/>
          <w:shd w:val="clear" w:color="auto" w:fill="FFFFFF"/>
          <w:lang w:val="en-GB"/>
        </w:rPr>
      </w:pPr>
      <w:bookmarkStart w:id="162" w:name="_Toc135334433"/>
      <w:bookmarkStart w:id="163" w:name="_Toc135417670"/>
      <w:bookmarkStart w:id="164" w:name="_Toc135418933"/>
      <w:proofErr w:type="spellStart"/>
      <w:r w:rsidRPr="00E300D7">
        <w:rPr>
          <w:shd w:val="clear" w:color="auto" w:fill="FFFFFF"/>
          <w:lang w:val="en-GB"/>
        </w:rPr>
        <w:t>Alsmadi</w:t>
      </w:r>
      <w:proofErr w:type="spellEnd"/>
      <w:r w:rsidRPr="00E300D7">
        <w:rPr>
          <w:shd w:val="clear" w:color="auto" w:fill="FFFFFF"/>
          <w:lang w:val="en-GB"/>
        </w:rPr>
        <w:t>, A.A., Al-</w:t>
      </w:r>
      <w:proofErr w:type="spellStart"/>
      <w:r w:rsidRPr="00E300D7">
        <w:rPr>
          <w:shd w:val="clear" w:color="auto" w:fill="FFFFFF"/>
          <w:lang w:val="en-GB"/>
        </w:rPr>
        <w:t>Gasaymeh</w:t>
      </w:r>
      <w:proofErr w:type="spellEnd"/>
      <w:r w:rsidRPr="00E300D7">
        <w:rPr>
          <w:shd w:val="clear" w:color="auto" w:fill="FFFFFF"/>
          <w:lang w:val="en-GB"/>
        </w:rPr>
        <w:t xml:space="preserve">, A. and </w:t>
      </w:r>
      <w:proofErr w:type="spellStart"/>
      <w:r w:rsidRPr="00E300D7">
        <w:rPr>
          <w:shd w:val="clear" w:color="auto" w:fill="FFFFFF"/>
          <w:lang w:val="en-GB"/>
        </w:rPr>
        <w:t>Alrawashdeh</w:t>
      </w:r>
      <w:proofErr w:type="spellEnd"/>
      <w:r w:rsidRPr="00E300D7">
        <w:rPr>
          <w:shd w:val="clear" w:color="auto" w:fill="FFFFFF"/>
          <w:lang w:val="en-GB"/>
        </w:rPr>
        <w:t>, N., (2022). Purchasing Power Parity: A Bibliometric approach for the period of 1935-2021. </w:t>
      </w:r>
      <w:r w:rsidRPr="00E300D7">
        <w:rPr>
          <w:i/>
          <w:iCs/>
          <w:shd w:val="clear" w:color="auto" w:fill="FFFFFF"/>
          <w:lang w:val="en-GB"/>
        </w:rPr>
        <w:t>Access Success</w:t>
      </w:r>
      <w:r w:rsidRPr="00E300D7">
        <w:rPr>
          <w:shd w:val="clear" w:color="auto" w:fill="FFFFFF"/>
          <w:lang w:val="en-GB"/>
        </w:rPr>
        <w:t>, </w:t>
      </w:r>
      <w:r w:rsidRPr="00E300D7">
        <w:rPr>
          <w:i/>
          <w:iCs/>
          <w:shd w:val="clear" w:color="auto" w:fill="FFFFFF"/>
          <w:lang w:val="en-GB"/>
        </w:rPr>
        <w:t>23</w:t>
      </w:r>
      <w:r w:rsidRPr="00E300D7">
        <w:rPr>
          <w:shd w:val="clear" w:color="auto" w:fill="FFFFFF"/>
          <w:lang w:val="en-GB"/>
        </w:rPr>
        <w:t>, pp.260-269.</w:t>
      </w:r>
      <w:bookmarkEnd w:id="162"/>
      <w:bookmarkEnd w:id="163"/>
      <w:bookmarkEnd w:id="164"/>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proofErr w:type="spellStart"/>
      <w:r w:rsidRPr="00E300D7">
        <w:rPr>
          <w:rFonts w:ascii="Times New Roman" w:hAnsi="Times New Roman" w:cs="Times New Roman"/>
          <w:sz w:val="24"/>
          <w:szCs w:val="24"/>
          <w:lang w:val="en-GB"/>
        </w:rPr>
        <w:t>Amini</w:t>
      </w:r>
      <w:proofErr w:type="spellEnd"/>
      <w:r w:rsidRPr="00E300D7">
        <w:rPr>
          <w:rFonts w:ascii="Times New Roman" w:hAnsi="Times New Roman" w:cs="Times New Roman"/>
          <w:sz w:val="24"/>
          <w:szCs w:val="24"/>
          <w:lang w:val="en-GB"/>
        </w:rPr>
        <w:t xml:space="preserve"> </w:t>
      </w:r>
      <w:proofErr w:type="spellStart"/>
      <w:r w:rsidRPr="00E300D7">
        <w:rPr>
          <w:rFonts w:ascii="Times New Roman" w:hAnsi="Times New Roman" w:cs="Times New Roman"/>
          <w:sz w:val="24"/>
          <w:szCs w:val="24"/>
          <w:lang w:val="en-GB"/>
        </w:rPr>
        <w:t>Farsani</w:t>
      </w:r>
      <w:proofErr w:type="spellEnd"/>
      <w:r w:rsidRPr="00E300D7">
        <w:rPr>
          <w:rFonts w:ascii="Times New Roman" w:hAnsi="Times New Roman" w:cs="Times New Roman"/>
          <w:sz w:val="24"/>
          <w:szCs w:val="24"/>
          <w:lang w:val="en-GB"/>
        </w:rPr>
        <w:t xml:space="preserve">, M. and Mohammadi, V., (2022). </w:t>
      </w:r>
      <w:r w:rsidRPr="00E300D7">
        <w:rPr>
          <w:rFonts w:ascii="Times New Roman" w:hAnsi="Times New Roman" w:cs="Times New Roman"/>
          <w:i/>
          <w:sz w:val="24"/>
          <w:szCs w:val="24"/>
          <w:lang w:val="en-GB"/>
        </w:rPr>
        <w:t>Mixed Methods Research in an EFL Context: A Quality Assessment Perspective</w:t>
      </w:r>
      <w:r w:rsidRPr="00E300D7">
        <w:rPr>
          <w:rFonts w:ascii="Times New Roman" w:hAnsi="Times New Roman" w:cs="Times New Roman"/>
          <w:sz w:val="24"/>
          <w:szCs w:val="24"/>
          <w:lang w:val="en-GB"/>
        </w:rPr>
        <w:t>. Journal of Modern Research in English Language Studies, 9(2), pp.99-122.</w:t>
      </w:r>
    </w:p>
    <w:p w:rsidR="008A4E78" w:rsidRPr="00E300D7" w:rsidRDefault="008A4E78" w:rsidP="00AA487C">
      <w:pPr>
        <w:spacing w:after="240"/>
        <w:rPr>
          <w:b/>
          <w:shd w:val="clear" w:color="auto" w:fill="FFFFFF"/>
          <w:lang w:val="en-GB"/>
        </w:rPr>
      </w:pPr>
      <w:bookmarkStart w:id="165" w:name="_Toc135334434"/>
      <w:bookmarkStart w:id="166" w:name="_Toc135417671"/>
      <w:bookmarkStart w:id="167" w:name="_Toc135418934"/>
      <w:r w:rsidRPr="00E300D7">
        <w:rPr>
          <w:shd w:val="clear" w:color="auto" w:fill="FFFFFF"/>
          <w:lang w:val="en-GB"/>
        </w:rPr>
        <w:t xml:space="preserve">Ang, A.L., Thum, Y.T. and Sek, S.K., (2021), July. Does trade openness explain the deviation of purchasing power parity and exchange rate </w:t>
      </w:r>
      <w:proofErr w:type="gramStart"/>
      <w:r w:rsidRPr="00E300D7">
        <w:rPr>
          <w:shd w:val="clear" w:color="auto" w:fill="FFFFFF"/>
          <w:lang w:val="en-GB"/>
        </w:rPr>
        <w:t>movement?.</w:t>
      </w:r>
      <w:proofErr w:type="gramEnd"/>
      <w:r w:rsidRPr="00E300D7">
        <w:rPr>
          <w:shd w:val="clear" w:color="auto" w:fill="FFFFFF"/>
          <w:lang w:val="en-GB"/>
        </w:rPr>
        <w:t xml:space="preserve"> In </w:t>
      </w:r>
      <w:r w:rsidRPr="00E300D7">
        <w:rPr>
          <w:i/>
          <w:iCs/>
          <w:shd w:val="clear" w:color="auto" w:fill="FFFFFF"/>
          <w:lang w:val="en-GB"/>
        </w:rPr>
        <w:t>Journal of Physics: Conference Series</w:t>
      </w:r>
      <w:r w:rsidRPr="00E300D7">
        <w:rPr>
          <w:shd w:val="clear" w:color="auto" w:fill="FFFFFF"/>
          <w:lang w:val="en-GB"/>
        </w:rPr>
        <w:t> (Vol. 1988, No. 1, p. 012087). IOP Publishing.</w:t>
      </w:r>
      <w:bookmarkEnd w:id="165"/>
      <w:bookmarkEnd w:id="166"/>
      <w:bookmarkEnd w:id="167"/>
    </w:p>
    <w:p w:rsidR="008A4E78" w:rsidRPr="00E300D7" w:rsidRDefault="008A4E78" w:rsidP="00AA487C">
      <w:pPr>
        <w:spacing w:after="240"/>
        <w:rPr>
          <w:b/>
          <w:shd w:val="clear" w:color="auto" w:fill="FFFFFF"/>
          <w:lang w:val="en-GB"/>
        </w:rPr>
      </w:pPr>
      <w:bookmarkStart w:id="168" w:name="_Toc135334435"/>
      <w:bookmarkStart w:id="169" w:name="_Toc135417672"/>
      <w:bookmarkStart w:id="170" w:name="_Toc135418935"/>
      <w:proofErr w:type="spellStart"/>
      <w:r w:rsidRPr="00E300D7">
        <w:rPr>
          <w:shd w:val="clear" w:color="auto" w:fill="FFFFFF"/>
          <w:lang w:val="en-GB"/>
        </w:rPr>
        <w:t>Anjomshoae</w:t>
      </w:r>
      <w:proofErr w:type="spellEnd"/>
      <w:r w:rsidRPr="00E300D7">
        <w:rPr>
          <w:shd w:val="clear" w:color="auto" w:fill="FFFFFF"/>
          <w:lang w:val="en-GB"/>
        </w:rPr>
        <w:t xml:space="preserve">, A., Hassan, A., Wong, K.Y. and </w:t>
      </w:r>
      <w:proofErr w:type="spellStart"/>
      <w:r w:rsidRPr="00E300D7">
        <w:rPr>
          <w:shd w:val="clear" w:color="auto" w:fill="FFFFFF"/>
          <w:lang w:val="en-GB"/>
        </w:rPr>
        <w:t>Banomyong</w:t>
      </w:r>
      <w:proofErr w:type="spellEnd"/>
      <w:r w:rsidRPr="00E300D7">
        <w:rPr>
          <w:shd w:val="clear" w:color="auto" w:fill="FFFFFF"/>
          <w:lang w:val="en-GB"/>
        </w:rPr>
        <w:t>, R., (2021). An integrated multi-stage fuzzy inference performance measurement scheme in humanitarian relief operations. </w:t>
      </w:r>
      <w:r w:rsidRPr="00E300D7">
        <w:rPr>
          <w:i/>
          <w:iCs/>
          <w:shd w:val="clear" w:color="auto" w:fill="FFFFFF"/>
          <w:lang w:val="en-GB"/>
        </w:rPr>
        <w:t>International Journal of Disaster Risk Reduction</w:t>
      </w:r>
      <w:r w:rsidRPr="00E300D7">
        <w:rPr>
          <w:shd w:val="clear" w:color="auto" w:fill="FFFFFF"/>
          <w:lang w:val="en-GB"/>
        </w:rPr>
        <w:t>, </w:t>
      </w:r>
      <w:r w:rsidRPr="00E300D7">
        <w:rPr>
          <w:i/>
          <w:iCs/>
          <w:shd w:val="clear" w:color="auto" w:fill="FFFFFF"/>
          <w:lang w:val="en-GB"/>
        </w:rPr>
        <w:t>61</w:t>
      </w:r>
      <w:r w:rsidRPr="00E300D7">
        <w:rPr>
          <w:shd w:val="clear" w:color="auto" w:fill="FFFFFF"/>
          <w:lang w:val="en-GB"/>
        </w:rPr>
        <w:t>, p.102298.</w:t>
      </w:r>
      <w:bookmarkEnd w:id="168"/>
      <w:bookmarkEnd w:id="169"/>
      <w:bookmarkEnd w:id="170"/>
    </w:p>
    <w:p w:rsidR="008A4E78" w:rsidRPr="00E300D7" w:rsidRDefault="008A4E78" w:rsidP="00AA487C">
      <w:pPr>
        <w:spacing w:after="240"/>
        <w:rPr>
          <w:b/>
          <w:shd w:val="clear" w:color="auto" w:fill="FFFFFF"/>
          <w:lang w:val="en-GB"/>
        </w:rPr>
      </w:pPr>
      <w:bookmarkStart w:id="171" w:name="_Toc135334436"/>
      <w:bookmarkStart w:id="172" w:name="_Toc135417673"/>
      <w:bookmarkStart w:id="173" w:name="_Toc135418936"/>
      <w:r w:rsidRPr="00E300D7">
        <w:rPr>
          <w:shd w:val="clear" w:color="auto" w:fill="FFFFFF"/>
          <w:lang w:val="en-GB"/>
        </w:rPr>
        <w:t xml:space="preserve">Augustin, P., Chernov, M. and Song, D., (2020). Sovereign credit risk and exchange rates: Evidence from CDS </w:t>
      </w:r>
      <w:proofErr w:type="spellStart"/>
      <w:r w:rsidRPr="00E300D7">
        <w:rPr>
          <w:shd w:val="clear" w:color="auto" w:fill="FFFFFF"/>
          <w:lang w:val="en-GB"/>
        </w:rPr>
        <w:t>quanto</w:t>
      </w:r>
      <w:proofErr w:type="spellEnd"/>
      <w:r w:rsidRPr="00E300D7">
        <w:rPr>
          <w:shd w:val="clear" w:color="auto" w:fill="FFFFFF"/>
          <w:lang w:val="en-GB"/>
        </w:rPr>
        <w:t xml:space="preserve"> spreads. </w:t>
      </w:r>
      <w:r w:rsidRPr="00E300D7">
        <w:rPr>
          <w:i/>
          <w:iCs/>
          <w:shd w:val="clear" w:color="auto" w:fill="FFFFFF"/>
          <w:lang w:val="en-GB"/>
        </w:rPr>
        <w:t>Journal of Financial Economics</w:t>
      </w:r>
      <w:r w:rsidRPr="00E300D7">
        <w:rPr>
          <w:shd w:val="clear" w:color="auto" w:fill="FFFFFF"/>
          <w:lang w:val="en-GB"/>
        </w:rPr>
        <w:t>, </w:t>
      </w:r>
      <w:r w:rsidRPr="00E300D7">
        <w:rPr>
          <w:i/>
          <w:iCs/>
          <w:shd w:val="clear" w:color="auto" w:fill="FFFFFF"/>
          <w:lang w:val="en-GB"/>
        </w:rPr>
        <w:t>137</w:t>
      </w:r>
      <w:r w:rsidRPr="00E300D7">
        <w:rPr>
          <w:shd w:val="clear" w:color="auto" w:fill="FFFFFF"/>
          <w:lang w:val="en-GB"/>
        </w:rPr>
        <w:t>(1), pp.129-151.</w:t>
      </w:r>
      <w:bookmarkEnd w:id="171"/>
      <w:bookmarkEnd w:id="172"/>
      <w:bookmarkEnd w:id="173"/>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lastRenderedPageBreak/>
        <w:t xml:space="preserve">Bankofengland.co.uk (2019), </w:t>
      </w:r>
      <w:r w:rsidRPr="00E300D7">
        <w:rPr>
          <w:rFonts w:ascii="Times New Roman" w:eastAsia="Times New Roman" w:hAnsi="Times New Roman" w:cs="Times New Roman"/>
          <w:i/>
          <w:sz w:val="24"/>
          <w:szCs w:val="24"/>
          <w:lang w:val="en-GB"/>
        </w:rPr>
        <w:t>The foreign exchange and over-the-counter interest rate derivatives market in the United Kingdom,</w:t>
      </w:r>
      <w:r w:rsidRPr="00E300D7">
        <w:rPr>
          <w:rFonts w:ascii="Times New Roman" w:eastAsia="Times New Roman" w:hAnsi="Times New Roman" w:cs="Times New Roman"/>
          <w:sz w:val="24"/>
          <w:szCs w:val="24"/>
          <w:lang w:val="en-GB"/>
        </w:rPr>
        <w:t xml:space="preserve"> Available at: https://www.bankofengland.co.uk/quarterly-bulletin/2019/2019-q4/the-foreign-exchange-and-over-the-counter-interest-rate-derivatives-market-in-the-uk [Accessed on: 19-05-2023]</w:t>
      </w:r>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Bankofengland.co.uk (2022), </w:t>
      </w:r>
      <w:r w:rsidRPr="00E300D7">
        <w:rPr>
          <w:rFonts w:ascii="Times New Roman" w:hAnsi="Times New Roman" w:cs="Times New Roman"/>
          <w:i/>
          <w:sz w:val="24"/>
          <w:szCs w:val="24"/>
          <w:lang w:val="en-GB"/>
        </w:rPr>
        <w:t>Foreign currency reserves</w:t>
      </w:r>
      <w:r w:rsidRPr="00E300D7">
        <w:rPr>
          <w:rFonts w:ascii="Times New Roman" w:hAnsi="Times New Roman" w:cs="Times New Roman"/>
          <w:sz w:val="24"/>
          <w:szCs w:val="24"/>
          <w:lang w:val="en-GB"/>
        </w:rPr>
        <w:t>, Available at: https://www.bankofengland.co.uk/markets/foreign-currency-reserves [Accessed on: 18-05-2023]</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Baur, D.G. and Dimpfl, T., (2021). </w:t>
      </w:r>
      <w:r w:rsidRPr="00E300D7">
        <w:rPr>
          <w:rFonts w:ascii="Times New Roman" w:eastAsia="Times New Roman" w:hAnsi="Times New Roman" w:cs="Times New Roman"/>
          <w:i/>
          <w:sz w:val="24"/>
          <w:szCs w:val="24"/>
          <w:lang w:val="en-GB"/>
        </w:rPr>
        <w:t>The volatility of Bitcoin and its role as a medium of exchange and a store of value</w:t>
      </w:r>
      <w:r w:rsidRPr="00E300D7">
        <w:rPr>
          <w:rFonts w:ascii="Times New Roman" w:eastAsia="Times New Roman" w:hAnsi="Times New Roman" w:cs="Times New Roman"/>
          <w:sz w:val="24"/>
          <w:szCs w:val="24"/>
          <w:lang w:val="en-GB"/>
        </w:rPr>
        <w:t>. Empirical Economics, 61(5), pp.2663-2683.</w:t>
      </w:r>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Begum, T., Khan, S.M., Adamou, B., Ferdous, J., Parvez, M.M., Islam, M.S., Kumkum, F.A., Rahman, A. and Anwar, I., (2020). </w:t>
      </w:r>
      <w:r w:rsidRPr="00E300D7">
        <w:rPr>
          <w:rFonts w:ascii="Times New Roman" w:hAnsi="Times New Roman" w:cs="Times New Roman"/>
          <w:i/>
          <w:sz w:val="24"/>
          <w:szCs w:val="24"/>
          <w:lang w:val="en-GB"/>
        </w:rPr>
        <w:t>Perceptions and experiences with district health information system software to collect and utilize health data in Bangladesh: a qualitative exploratory study</w:t>
      </w:r>
      <w:r w:rsidRPr="00E300D7">
        <w:rPr>
          <w:rFonts w:ascii="Times New Roman" w:hAnsi="Times New Roman" w:cs="Times New Roman"/>
          <w:sz w:val="24"/>
          <w:szCs w:val="24"/>
          <w:lang w:val="en-GB"/>
        </w:rPr>
        <w:t>. BMC health services research, 20(1), pp.1-13.</w:t>
      </w:r>
    </w:p>
    <w:p w:rsidR="008A4E78" w:rsidRPr="00E300D7" w:rsidRDefault="008A4E78" w:rsidP="00AA487C">
      <w:pPr>
        <w:spacing w:after="240"/>
        <w:rPr>
          <w:b/>
          <w:shd w:val="clear" w:color="auto" w:fill="FFFFFF"/>
          <w:lang w:val="en-GB"/>
        </w:rPr>
      </w:pPr>
      <w:bookmarkStart w:id="174" w:name="_Toc135417667"/>
      <w:bookmarkStart w:id="175" w:name="_Toc135418937"/>
      <w:proofErr w:type="spellStart"/>
      <w:r w:rsidRPr="00E300D7">
        <w:rPr>
          <w:shd w:val="clear" w:color="auto" w:fill="FFFFFF"/>
          <w:lang w:val="en-GB"/>
        </w:rPr>
        <w:t>BenSaïda</w:t>
      </w:r>
      <w:proofErr w:type="spellEnd"/>
      <w:r w:rsidRPr="00E300D7">
        <w:rPr>
          <w:shd w:val="clear" w:color="auto" w:fill="FFFFFF"/>
          <w:lang w:val="en-GB"/>
        </w:rPr>
        <w:t xml:space="preserve">, A., (2023). </w:t>
      </w:r>
      <w:r w:rsidRPr="00E300D7">
        <w:rPr>
          <w:i/>
          <w:shd w:val="clear" w:color="auto" w:fill="FFFFFF"/>
          <w:lang w:val="en-GB"/>
        </w:rPr>
        <w:t>The linkage between Bitcoin and foreign exchanges in developed and emerging markets</w:t>
      </w:r>
      <w:r w:rsidRPr="00E300D7">
        <w:rPr>
          <w:shd w:val="clear" w:color="auto" w:fill="FFFFFF"/>
          <w:lang w:val="en-GB"/>
        </w:rPr>
        <w:t>. </w:t>
      </w:r>
      <w:r w:rsidRPr="00E300D7">
        <w:rPr>
          <w:i/>
          <w:iCs/>
          <w:shd w:val="clear" w:color="auto" w:fill="FFFFFF"/>
          <w:lang w:val="en-GB"/>
        </w:rPr>
        <w:t>Financial Innovation</w:t>
      </w:r>
      <w:r w:rsidRPr="00E300D7">
        <w:rPr>
          <w:shd w:val="clear" w:color="auto" w:fill="FFFFFF"/>
          <w:lang w:val="en-GB"/>
        </w:rPr>
        <w:t>, </w:t>
      </w:r>
      <w:r w:rsidRPr="00E300D7">
        <w:rPr>
          <w:i/>
          <w:iCs/>
          <w:shd w:val="clear" w:color="auto" w:fill="FFFFFF"/>
          <w:lang w:val="en-GB"/>
        </w:rPr>
        <w:t>9</w:t>
      </w:r>
      <w:r w:rsidRPr="00E300D7">
        <w:rPr>
          <w:shd w:val="clear" w:color="auto" w:fill="FFFFFF"/>
          <w:lang w:val="en-GB"/>
        </w:rPr>
        <w:t>(1), p.38.</w:t>
      </w:r>
      <w:bookmarkEnd w:id="174"/>
      <w:bookmarkEnd w:id="175"/>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Betz, T., and Pond, A. (2019). Foreign financing and the international sources of property rights. </w:t>
      </w:r>
      <w:r w:rsidRPr="00E300D7">
        <w:rPr>
          <w:i/>
          <w:iCs/>
          <w:color w:val="000000"/>
          <w:lang w:val="en-GB"/>
        </w:rPr>
        <w:t>World Politics</w:t>
      </w:r>
      <w:r w:rsidRPr="00E300D7">
        <w:rPr>
          <w:color w:val="000000"/>
          <w:lang w:val="en-GB"/>
        </w:rPr>
        <w:t>, 71(3), pp. 503-541.</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Bis.org (2019), </w:t>
      </w:r>
      <w:r w:rsidRPr="00E300D7">
        <w:rPr>
          <w:rFonts w:ascii="Times New Roman" w:eastAsia="Times New Roman" w:hAnsi="Times New Roman" w:cs="Times New Roman"/>
          <w:i/>
          <w:sz w:val="24"/>
          <w:szCs w:val="24"/>
          <w:lang w:val="en-GB"/>
        </w:rPr>
        <w:t>Foreign exchange turnover in April 2019</w:t>
      </w:r>
      <w:r w:rsidRPr="00E300D7">
        <w:rPr>
          <w:rFonts w:ascii="Times New Roman" w:eastAsia="Times New Roman" w:hAnsi="Times New Roman" w:cs="Times New Roman"/>
          <w:sz w:val="24"/>
          <w:szCs w:val="24"/>
          <w:lang w:val="en-GB"/>
        </w:rPr>
        <w:t>, Available at: https://www.bis.org/statistics/rpfx19_fx.htm [Accessed on: 19-05-2023]</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Bis.org (2022), </w:t>
      </w:r>
      <w:r w:rsidRPr="00E300D7">
        <w:rPr>
          <w:rFonts w:ascii="Times New Roman" w:eastAsia="Times New Roman" w:hAnsi="Times New Roman" w:cs="Times New Roman"/>
          <w:i/>
          <w:sz w:val="24"/>
          <w:szCs w:val="24"/>
          <w:lang w:val="en-GB"/>
        </w:rPr>
        <w:t>OTC foreign exchange turnover in April 2022</w:t>
      </w:r>
      <w:r w:rsidRPr="00E300D7">
        <w:rPr>
          <w:rFonts w:ascii="Times New Roman" w:eastAsia="Times New Roman" w:hAnsi="Times New Roman" w:cs="Times New Roman"/>
          <w:sz w:val="24"/>
          <w:szCs w:val="24"/>
          <w:lang w:val="en-GB"/>
        </w:rPr>
        <w:t>, Available at: https://www.bis.org/statistics/rpfx22_fx.htm#:~:text=The%20share%20of%20spot%20trades,share%20than%20in%20previous%20Surveys. [Accessed on: 19-05-2023]</w:t>
      </w:r>
    </w:p>
    <w:p w:rsidR="008A4E78" w:rsidRPr="00E300D7" w:rsidRDefault="008A4E78" w:rsidP="00AA487C">
      <w:pPr>
        <w:spacing w:after="240"/>
        <w:rPr>
          <w:b/>
          <w:lang w:val="en-GB"/>
        </w:rPr>
      </w:pPr>
      <w:bookmarkStart w:id="176" w:name="_Toc135334437"/>
      <w:bookmarkStart w:id="177" w:name="_Toc135417674"/>
      <w:bookmarkStart w:id="178" w:name="_Toc135418938"/>
      <w:r w:rsidRPr="00E300D7">
        <w:rPr>
          <w:lang w:val="en-GB"/>
        </w:rPr>
        <w:t xml:space="preserve">bis.org (2023) </w:t>
      </w:r>
      <w:r w:rsidRPr="00E300D7">
        <w:rPr>
          <w:i/>
          <w:lang w:val="en-GB"/>
        </w:rPr>
        <w:t>Statistics,</w:t>
      </w:r>
      <w:r w:rsidRPr="00E300D7">
        <w:rPr>
          <w:lang w:val="en-GB"/>
        </w:rPr>
        <w:t xml:space="preserve"> Available at: </w:t>
      </w:r>
      <w:hyperlink r:id="rId18" w:history="1">
        <w:r w:rsidRPr="00E300D7">
          <w:rPr>
            <w:rStyle w:val="Hyperlink"/>
            <w:color w:val="auto"/>
            <w:u w:val="none"/>
            <w:lang w:val="en-GB"/>
          </w:rPr>
          <w:t>https://www.bis.org/statistics/rpfx22_fx.htm</w:t>
        </w:r>
      </w:hyperlink>
      <w:r w:rsidRPr="00E300D7">
        <w:rPr>
          <w:lang w:val="en-GB"/>
        </w:rPr>
        <w:t xml:space="preserve"> (Accessed on: 4th April, 2023)</w:t>
      </w:r>
      <w:bookmarkEnd w:id="176"/>
      <w:bookmarkEnd w:id="177"/>
      <w:bookmarkEnd w:id="178"/>
    </w:p>
    <w:p w:rsidR="008A4E78" w:rsidRPr="00E300D7" w:rsidRDefault="008A4E78" w:rsidP="00AA487C">
      <w:pPr>
        <w:spacing w:after="240"/>
        <w:rPr>
          <w:b/>
          <w:shd w:val="clear" w:color="auto" w:fill="FFFFFF"/>
          <w:lang w:val="en-GB"/>
        </w:rPr>
      </w:pPr>
      <w:bookmarkStart w:id="179" w:name="_Toc135334438"/>
      <w:bookmarkStart w:id="180" w:name="_Toc135417675"/>
      <w:bookmarkStart w:id="181" w:name="_Toc135418939"/>
      <w:r w:rsidRPr="00E300D7">
        <w:rPr>
          <w:shd w:val="clear" w:color="auto" w:fill="FFFFFF"/>
          <w:lang w:val="en-GB"/>
        </w:rPr>
        <w:t>Bloom, D.T., (2019). The Legal Underpinnings of the Global Foreign Exchange Market. </w:t>
      </w:r>
      <w:r w:rsidRPr="00E300D7">
        <w:rPr>
          <w:i/>
          <w:iCs/>
          <w:shd w:val="clear" w:color="auto" w:fill="FFFFFF"/>
          <w:lang w:val="en-GB"/>
        </w:rPr>
        <w:t>NC Banking Inst.</w:t>
      </w:r>
      <w:r w:rsidRPr="00E300D7">
        <w:rPr>
          <w:shd w:val="clear" w:color="auto" w:fill="FFFFFF"/>
          <w:lang w:val="en-GB"/>
        </w:rPr>
        <w:t>, </w:t>
      </w:r>
      <w:r w:rsidRPr="00E300D7">
        <w:rPr>
          <w:i/>
          <w:iCs/>
          <w:shd w:val="clear" w:color="auto" w:fill="FFFFFF"/>
          <w:lang w:val="en-GB"/>
        </w:rPr>
        <w:t>23</w:t>
      </w:r>
      <w:r w:rsidRPr="00E300D7">
        <w:rPr>
          <w:shd w:val="clear" w:color="auto" w:fill="FFFFFF"/>
          <w:lang w:val="en-GB"/>
        </w:rPr>
        <w:t>, p.27.</w:t>
      </w:r>
      <w:bookmarkEnd w:id="179"/>
      <w:bookmarkEnd w:id="180"/>
      <w:bookmarkEnd w:id="181"/>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lastRenderedPageBreak/>
        <w:t xml:space="preserve">Bloomberg.com (2022), </w:t>
      </w:r>
      <w:r w:rsidRPr="00E300D7">
        <w:rPr>
          <w:rFonts w:ascii="Times New Roman" w:eastAsia="Times New Roman" w:hAnsi="Times New Roman" w:cs="Times New Roman"/>
          <w:i/>
          <w:sz w:val="24"/>
          <w:szCs w:val="24"/>
          <w:lang w:val="en-GB"/>
        </w:rPr>
        <w:t xml:space="preserve">Here’s Why the UK May Struggle to Save the Pound in Financial Markets, </w:t>
      </w:r>
      <w:r w:rsidRPr="00E300D7">
        <w:rPr>
          <w:rFonts w:ascii="Times New Roman" w:eastAsia="Times New Roman" w:hAnsi="Times New Roman" w:cs="Times New Roman"/>
          <w:sz w:val="24"/>
          <w:szCs w:val="24"/>
          <w:lang w:val="en-GB"/>
        </w:rPr>
        <w:t>Available at: https://www.bloomberg.com/news/articles/2022-09-26/uk-currency-warchest-is-a-fraction-of-japan-s-intervention-fund [Accessed on: 19-05-2023]</w:t>
      </w:r>
    </w:p>
    <w:p w:rsidR="008A4E78" w:rsidRPr="00E300D7" w:rsidRDefault="008A4E78" w:rsidP="008A4E78">
      <w:pPr>
        <w:pStyle w:val="NormalWeb"/>
        <w:spacing w:before="200" w:beforeAutospacing="0" w:after="0" w:afterAutospacing="0" w:line="360" w:lineRule="auto"/>
        <w:jc w:val="both"/>
        <w:rPr>
          <w:lang w:val="en-GB"/>
        </w:rPr>
      </w:pPr>
      <w:proofErr w:type="spellStart"/>
      <w:r w:rsidRPr="00E300D7">
        <w:rPr>
          <w:color w:val="000000"/>
          <w:lang w:val="en-GB"/>
        </w:rPr>
        <w:t>Boubakri</w:t>
      </w:r>
      <w:proofErr w:type="spellEnd"/>
      <w:r w:rsidRPr="00E300D7">
        <w:rPr>
          <w:color w:val="000000"/>
          <w:lang w:val="en-GB"/>
        </w:rPr>
        <w:t xml:space="preserve">, S., </w:t>
      </w:r>
      <w:proofErr w:type="spellStart"/>
      <w:r w:rsidRPr="00E300D7">
        <w:rPr>
          <w:color w:val="000000"/>
          <w:lang w:val="en-GB"/>
        </w:rPr>
        <w:t>Guillaumin</w:t>
      </w:r>
      <w:proofErr w:type="spellEnd"/>
      <w:r w:rsidRPr="00E300D7">
        <w:rPr>
          <w:color w:val="000000"/>
          <w:lang w:val="en-GB"/>
        </w:rPr>
        <w:t xml:space="preserve">, C. and </w:t>
      </w:r>
      <w:proofErr w:type="spellStart"/>
      <w:r w:rsidRPr="00E300D7">
        <w:rPr>
          <w:color w:val="000000"/>
          <w:lang w:val="en-GB"/>
        </w:rPr>
        <w:t>Silanine</w:t>
      </w:r>
      <w:proofErr w:type="spellEnd"/>
      <w:r w:rsidRPr="00E300D7">
        <w:rPr>
          <w:color w:val="000000"/>
          <w:lang w:val="en-GB"/>
        </w:rPr>
        <w:t>, A., (2019). Non-linear relationship between real commodity price volatility and real effective exchange rate: The case of commodity-exporting countries.</w:t>
      </w:r>
      <w:r w:rsidRPr="00E300D7">
        <w:rPr>
          <w:i/>
          <w:iCs/>
          <w:color w:val="000000"/>
          <w:lang w:val="en-GB"/>
        </w:rPr>
        <w:t xml:space="preserve"> Journal of Macroeconomics,</w:t>
      </w:r>
      <w:r w:rsidRPr="00E300D7">
        <w:rPr>
          <w:color w:val="000000"/>
          <w:lang w:val="en-GB"/>
        </w:rPr>
        <w:t xml:space="preserve"> 60, pp.212-228.</w:t>
      </w:r>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proofErr w:type="spellStart"/>
      <w:r w:rsidRPr="00E300D7">
        <w:rPr>
          <w:rFonts w:ascii="Times New Roman" w:hAnsi="Times New Roman" w:cs="Times New Roman"/>
          <w:sz w:val="24"/>
          <w:szCs w:val="24"/>
          <w:lang w:val="en-GB"/>
        </w:rPr>
        <w:t>Byttebier</w:t>
      </w:r>
      <w:proofErr w:type="spellEnd"/>
      <w:r w:rsidRPr="00E300D7">
        <w:rPr>
          <w:rFonts w:ascii="Times New Roman" w:hAnsi="Times New Roman" w:cs="Times New Roman"/>
          <w:sz w:val="24"/>
          <w:szCs w:val="24"/>
          <w:lang w:val="en-GB"/>
        </w:rPr>
        <w:t xml:space="preserve">, K., (2022). </w:t>
      </w:r>
      <w:r w:rsidRPr="00E300D7">
        <w:rPr>
          <w:rFonts w:ascii="Times New Roman" w:hAnsi="Times New Roman" w:cs="Times New Roman"/>
          <w:i/>
          <w:sz w:val="24"/>
          <w:szCs w:val="24"/>
          <w:lang w:val="en-GB"/>
        </w:rPr>
        <w:t>Monetary Response to and Financial Implications of Covid-19. In Covid-19 and Capitalism: Success and Failure of the Legal Methods for Dealing with a Pandemic</w:t>
      </w:r>
      <w:r w:rsidRPr="00E300D7">
        <w:rPr>
          <w:rFonts w:ascii="Times New Roman" w:hAnsi="Times New Roman" w:cs="Times New Roman"/>
          <w:sz w:val="24"/>
          <w:szCs w:val="24"/>
          <w:lang w:val="en-GB"/>
        </w:rPr>
        <w:t xml:space="preserve"> (pp. 241-371). Cham: Springer International Publishing.</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Cfr.org (2022), </w:t>
      </w:r>
      <w:r w:rsidRPr="00E300D7">
        <w:rPr>
          <w:rFonts w:ascii="Times New Roman" w:eastAsia="Times New Roman" w:hAnsi="Times New Roman" w:cs="Times New Roman"/>
          <w:i/>
          <w:sz w:val="24"/>
          <w:szCs w:val="24"/>
          <w:lang w:val="en-GB"/>
        </w:rPr>
        <w:t>Cryptocurrencies, Digital Dollars, and the Future of Money</w:t>
      </w:r>
      <w:r w:rsidRPr="00E300D7">
        <w:rPr>
          <w:rFonts w:ascii="Times New Roman" w:eastAsia="Times New Roman" w:hAnsi="Times New Roman" w:cs="Times New Roman"/>
          <w:sz w:val="24"/>
          <w:szCs w:val="24"/>
          <w:lang w:val="en-GB"/>
        </w:rPr>
        <w:t>, Available at: https://www.cfr.org/backgrounder/cryptocurrencies-digital-dollars-and-future-money [Accessed on: 19-05-2023]</w:t>
      </w:r>
    </w:p>
    <w:p w:rsidR="008A4E78" w:rsidRPr="00E300D7" w:rsidRDefault="008A4E78" w:rsidP="00AA487C">
      <w:pPr>
        <w:pStyle w:val="Normal3"/>
        <w:spacing w:before="20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Chanal, P.M. and </w:t>
      </w:r>
      <w:proofErr w:type="spellStart"/>
      <w:r w:rsidRPr="00E300D7">
        <w:rPr>
          <w:rFonts w:ascii="Times New Roman" w:eastAsia="Times New Roman" w:hAnsi="Times New Roman" w:cs="Times New Roman"/>
          <w:sz w:val="24"/>
          <w:szCs w:val="24"/>
          <w:lang w:val="en-GB"/>
        </w:rPr>
        <w:t>Kakkasageri</w:t>
      </w:r>
      <w:proofErr w:type="spellEnd"/>
      <w:r w:rsidRPr="00E300D7">
        <w:rPr>
          <w:rFonts w:ascii="Times New Roman" w:eastAsia="Times New Roman" w:hAnsi="Times New Roman" w:cs="Times New Roman"/>
          <w:sz w:val="24"/>
          <w:szCs w:val="24"/>
          <w:lang w:val="en-GB"/>
        </w:rPr>
        <w:t>, M.S., (2020). Security and privacy in IOT: a survey.</w:t>
      </w:r>
      <w:r w:rsidRPr="00E300D7">
        <w:rPr>
          <w:rFonts w:ascii="Times New Roman" w:eastAsia="Times New Roman" w:hAnsi="Times New Roman" w:cs="Times New Roman"/>
          <w:i/>
          <w:sz w:val="24"/>
          <w:szCs w:val="24"/>
          <w:lang w:val="en-GB"/>
        </w:rPr>
        <w:t xml:space="preserve"> Wireless Personal Communications</w:t>
      </w:r>
      <w:r w:rsidRPr="00E300D7">
        <w:rPr>
          <w:rFonts w:ascii="Times New Roman" w:eastAsia="Times New Roman" w:hAnsi="Times New Roman" w:cs="Times New Roman"/>
          <w:sz w:val="24"/>
          <w:szCs w:val="24"/>
          <w:lang w:val="en-GB"/>
        </w:rPr>
        <w:t>, 115, pp.1667-1693.</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Chi-Ming, H., (2020). </w:t>
      </w:r>
      <w:r w:rsidRPr="00E300D7">
        <w:rPr>
          <w:rFonts w:ascii="Times New Roman" w:eastAsia="Times New Roman" w:hAnsi="Times New Roman" w:cs="Times New Roman"/>
          <w:i/>
          <w:sz w:val="24"/>
          <w:szCs w:val="24"/>
          <w:lang w:val="en-GB"/>
        </w:rPr>
        <w:t>Impact of cryptocurrency exchange rate on financial stock exposure: comparison between two emerging markets</w:t>
      </w:r>
      <w:r w:rsidRPr="00E300D7">
        <w:rPr>
          <w:rFonts w:ascii="Times New Roman" w:eastAsia="Times New Roman" w:hAnsi="Times New Roman" w:cs="Times New Roman"/>
          <w:sz w:val="24"/>
          <w:szCs w:val="24"/>
          <w:lang w:val="en-GB"/>
        </w:rPr>
        <w:t>. Financial and credit activity: problems of theory and practice, 4(35), pp.28-36.</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Chitra, B. and Nithya, D., (2019). </w:t>
      </w:r>
      <w:r w:rsidRPr="00E300D7">
        <w:rPr>
          <w:rFonts w:ascii="Times New Roman" w:eastAsia="Times New Roman" w:hAnsi="Times New Roman" w:cs="Times New Roman"/>
          <w:i/>
          <w:sz w:val="24"/>
          <w:szCs w:val="24"/>
          <w:lang w:val="en-GB"/>
        </w:rPr>
        <w:t>A Study of Innovations in Capital Market and Its Growth with Governance.</w:t>
      </w:r>
      <w:r w:rsidRPr="00E300D7">
        <w:rPr>
          <w:rFonts w:ascii="Times New Roman" w:eastAsia="Times New Roman" w:hAnsi="Times New Roman" w:cs="Times New Roman"/>
          <w:sz w:val="24"/>
          <w:szCs w:val="24"/>
          <w:lang w:val="en-GB"/>
        </w:rPr>
        <w:t xml:space="preserve"> Journal of Emerging Technologies and Innovative Research, 6(6), pp.558-564.</w:t>
      </w:r>
    </w:p>
    <w:p w:rsidR="008A4E78" w:rsidRPr="00E300D7" w:rsidRDefault="008A4E78" w:rsidP="00AA487C">
      <w:pPr>
        <w:spacing w:after="240"/>
        <w:rPr>
          <w:b/>
          <w:shd w:val="clear" w:color="auto" w:fill="FFFFFF"/>
          <w:lang w:val="en-GB"/>
        </w:rPr>
      </w:pPr>
      <w:bookmarkStart w:id="182" w:name="_Toc135334439"/>
      <w:bookmarkStart w:id="183" w:name="_Toc135417676"/>
      <w:bookmarkStart w:id="184" w:name="_Toc135418940"/>
      <w:proofErr w:type="spellStart"/>
      <w:r w:rsidRPr="00E300D7">
        <w:rPr>
          <w:shd w:val="clear" w:color="auto" w:fill="FFFFFF"/>
          <w:lang w:val="en-GB"/>
        </w:rPr>
        <w:t>Chukurna</w:t>
      </w:r>
      <w:proofErr w:type="spellEnd"/>
      <w:r w:rsidRPr="00E300D7">
        <w:rPr>
          <w:shd w:val="clear" w:color="auto" w:fill="FFFFFF"/>
          <w:lang w:val="en-GB"/>
        </w:rPr>
        <w:t xml:space="preserve">, O., </w:t>
      </w:r>
      <w:proofErr w:type="spellStart"/>
      <w:r w:rsidRPr="00E300D7">
        <w:rPr>
          <w:shd w:val="clear" w:color="auto" w:fill="FFFFFF"/>
          <w:lang w:val="en-GB"/>
        </w:rPr>
        <w:t>Nitsenko</w:t>
      </w:r>
      <w:proofErr w:type="spellEnd"/>
      <w:r w:rsidRPr="00E300D7">
        <w:rPr>
          <w:shd w:val="clear" w:color="auto" w:fill="FFFFFF"/>
          <w:lang w:val="en-GB"/>
        </w:rPr>
        <w:t xml:space="preserve">, V., </w:t>
      </w:r>
      <w:proofErr w:type="spellStart"/>
      <w:r w:rsidRPr="00E300D7">
        <w:rPr>
          <w:shd w:val="clear" w:color="auto" w:fill="FFFFFF"/>
          <w:lang w:val="en-GB"/>
        </w:rPr>
        <w:t>Kralia</w:t>
      </w:r>
      <w:proofErr w:type="spellEnd"/>
      <w:r w:rsidRPr="00E300D7">
        <w:rPr>
          <w:shd w:val="clear" w:color="auto" w:fill="FFFFFF"/>
          <w:lang w:val="en-GB"/>
        </w:rPr>
        <w:t xml:space="preserve">, V., </w:t>
      </w:r>
      <w:proofErr w:type="spellStart"/>
      <w:r w:rsidRPr="00E300D7">
        <w:rPr>
          <w:shd w:val="clear" w:color="auto" w:fill="FFFFFF"/>
          <w:lang w:val="en-GB"/>
        </w:rPr>
        <w:t>Sahachko</w:t>
      </w:r>
      <w:proofErr w:type="spellEnd"/>
      <w:r w:rsidRPr="00E300D7">
        <w:rPr>
          <w:shd w:val="clear" w:color="auto" w:fill="FFFFFF"/>
          <w:lang w:val="en-GB"/>
        </w:rPr>
        <w:t>, Y., Morkunas, M. and Volkov, A., (2019). Modelling and managing the effect of transferring the dynamics of exchange rates on prices of machine-building enterprises in Ukraine. </w:t>
      </w:r>
      <w:r w:rsidRPr="00E300D7">
        <w:rPr>
          <w:i/>
          <w:iCs/>
          <w:shd w:val="clear" w:color="auto" w:fill="FFFFFF"/>
          <w:lang w:val="en-GB"/>
        </w:rPr>
        <w:t>Polish Journal of Management Studies</w:t>
      </w:r>
      <w:r w:rsidRPr="00E300D7">
        <w:rPr>
          <w:shd w:val="clear" w:color="auto" w:fill="FFFFFF"/>
          <w:lang w:val="en-GB"/>
        </w:rPr>
        <w:t>, </w:t>
      </w:r>
      <w:r w:rsidRPr="00E300D7">
        <w:rPr>
          <w:i/>
          <w:iCs/>
          <w:shd w:val="clear" w:color="auto" w:fill="FFFFFF"/>
          <w:lang w:val="en-GB"/>
        </w:rPr>
        <w:t>19</w:t>
      </w:r>
      <w:r w:rsidRPr="00E300D7">
        <w:rPr>
          <w:shd w:val="clear" w:color="auto" w:fill="FFFFFF"/>
          <w:lang w:val="en-GB"/>
        </w:rPr>
        <w:t>(1.), pp.117-129.</w:t>
      </w:r>
      <w:bookmarkEnd w:id="182"/>
      <w:bookmarkEnd w:id="183"/>
      <w:bookmarkEnd w:id="184"/>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Cnbc.com (2023), </w:t>
      </w:r>
      <w:r w:rsidRPr="00E300D7">
        <w:rPr>
          <w:rFonts w:ascii="Times New Roman" w:eastAsia="Times New Roman" w:hAnsi="Times New Roman" w:cs="Times New Roman"/>
          <w:i/>
          <w:sz w:val="24"/>
          <w:szCs w:val="24"/>
          <w:lang w:val="en-GB"/>
        </w:rPr>
        <w:t>HSBC bought Silicon Valley Bank UK in record time — here’s how events unfolded,</w:t>
      </w:r>
      <w:r w:rsidRPr="00E300D7">
        <w:rPr>
          <w:rFonts w:ascii="Times New Roman" w:eastAsia="Times New Roman" w:hAnsi="Times New Roman" w:cs="Times New Roman"/>
          <w:sz w:val="24"/>
          <w:szCs w:val="24"/>
          <w:lang w:val="en-GB"/>
        </w:rPr>
        <w:t xml:space="preserve"> Available at: https://www.cnbc.com/2023/03/16/hsbc-ceo-on-how-the-bank-bought-silicon-valley-bank-uk-.html#:~:text=HSBC%20UK%20announced%20at%207,%C2%A36.7%20billion%20in%20deposits. [Accessed on: 19-05-2023]</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lastRenderedPageBreak/>
        <w:t xml:space="preserve">Cnbc.com, (2022), </w:t>
      </w:r>
      <w:r w:rsidRPr="00E300D7">
        <w:rPr>
          <w:i/>
          <w:iCs/>
          <w:color w:val="000000"/>
          <w:lang w:val="en-GB"/>
        </w:rPr>
        <w:t>The Russia-Ukraine war has hit many currencies hard. Here’s what analysts are expecting now</w:t>
      </w:r>
      <w:r w:rsidRPr="00E300D7">
        <w:rPr>
          <w:color w:val="000000"/>
          <w:lang w:val="en-GB"/>
        </w:rPr>
        <w:t xml:space="preserve">, Available at: </w:t>
      </w:r>
      <w:proofErr w:type="gramStart"/>
      <w:r w:rsidRPr="00E300D7">
        <w:rPr>
          <w:color w:val="000000"/>
          <w:lang w:val="en-GB"/>
        </w:rPr>
        <w:t>https://www.cnbc.com/2022/03/09/russia-ukraine-war-has-hit-currencies-hard-heres-what-analysts-expect-next.html,  [</w:t>
      </w:r>
      <w:proofErr w:type="gramEnd"/>
      <w:r w:rsidRPr="00E300D7">
        <w:rPr>
          <w:color w:val="000000"/>
          <w:lang w:val="en-GB"/>
        </w:rPr>
        <w:t>Accessed on: 19.05.2023]</w:t>
      </w:r>
    </w:p>
    <w:p w:rsidR="008A4E78" w:rsidRPr="00E300D7" w:rsidRDefault="008A4E78" w:rsidP="00AA487C">
      <w:pPr>
        <w:spacing w:after="240"/>
        <w:rPr>
          <w:b/>
          <w:shd w:val="clear" w:color="auto" w:fill="FFFFFF"/>
          <w:lang w:val="en-GB"/>
        </w:rPr>
      </w:pPr>
      <w:bookmarkStart w:id="185" w:name="_Toc135334440"/>
      <w:bookmarkStart w:id="186" w:name="_Toc135417677"/>
      <w:bookmarkStart w:id="187" w:name="_Toc135418941"/>
      <w:r w:rsidRPr="00E300D7">
        <w:rPr>
          <w:shd w:val="clear" w:color="auto" w:fill="FFFFFF"/>
          <w:lang w:val="en-GB"/>
        </w:rPr>
        <w:t>Dada, J.T., (2021). Asymmetric effect of exchange rate volatility on trade in sub-Saharan African countries. </w:t>
      </w:r>
      <w:r w:rsidRPr="00E300D7">
        <w:rPr>
          <w:i/>
          <w:iCs/>
          <w:shd w:val="clear" w:color="auto" w:fill="FFFFFF"/>
          <w:lang w:val="en-GB"/>
        </w:rPr>
        <w:t>Journal of Economic and Administrative Sciences</w:t>
      </w:r>
      <w:r w:rsidRPr="00E300D7">
        <w:rPr>
          <w:shd w:val="clear" w:color="auto" w:fill="FFFFFF"/>
          <w:lang w:val="en-GB"/>
        </w:rPr>
        <w:t>, </w:t>
      </w:r>
      <w:r w:rsidRPr="00E300D7">
        <w:rPr>
          <w:i/>
          <w:iCs/>
          <w:shd w:val="clear" w:color="auto" w:fill="FFFFFF"/>
          <w:lang w:val="en-GB"/>
        </w:rPr>
        <w:t>37</w:t>
      </w:r>
      <w:r w:rsidRPr="00E300D7">
        <w:rPr>
          <w:shd w:val="clear" w:color="auto" w:fill="FFFFFF"/>
          <w:lang w:val="en-GB"/>
        </w:rPr>
        <w:t>(2), pp.149-162.</w:t>
      </w:r>
      <w:bookmarkEnd w:id="185"/>
      <w:bookmarkEnd w:id="186"/>
      <w:bookmarkEnd w:id="187"/>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Deloitte.co.uk, (2023),</w:t>
      </w:r>
      <w:r w:rsidRPr="00E300D7">
        <w:rPr>
          <w:i/>
          <w:iCs/>
          <w:color w:val="000000"/>
          <w:lang w:val="en-GB"/>
        </w:rPr>
        <w:t xml:space="preserve"> 2. Foreign direct investment in the UK | Deloitte UK</w:t>
      </w:r>
      <w:r w:rsidRPr="00E300D7">
        <w:rPr>
          <w:color w:val="000000"/>
          <w:lang w:val="en-GB"/>
        </w:rPr>
        <w:t xml:space="preserve">, Available at: </w:t>
      </w:r>
      <w:proofErr w:type="gramStart"/>
      <w:r w:rsidRPr="00E300D7">
        <w:rPr>
          <w:color w:val="000000"/>
          <w:lang w:val="en-GB"/>
        </w:rPr>
        <w:t>https://www.deloitte.co.uk/investingintheuk/pdfs/india/uk_investingintheuk_in_twoforeigndirectinvestmentintheuk.pdf,[</w:t>
      </w:r>
      <w:proofErr w:type="gramEnd"/>
      <w:r w:rsidRPr="00E300D7">
        <w:rPr>
          <w:color w:val="000000"/>
          <w:lang w:val="en-GB"/>
        </w:rPr>
        <w:t>Accessed on: 19.05.2023]</w:t>
      </w:r>
    </w:p>
    <w:p w:rsidR="008A4E78" w:rsidRPr="00E300D7" w:rsidRDefault="008A4E78" w:rsidP="008A4E78">
      <w:pPr>
        <w:pStyle w:val="NormalWeb"/>
        <w:spacing w:before="200" w:beforeAutospacing="0" w:after="0" w:afterAutospacing="0" w:line="360" w:lineRule="auto"/>
        <w:jc w:val="both"/>
        <w:rPr>
          <w:lang w:val="en-GB"/>
        </w:rPr>
      </w:pPr>
      <w:proofErr w:type="spellStart"/>
      <w:r w:rsidRPr="00E300D7">
        <w:rPr>
          <w:color w:val="000000"/>
          <w:lang w:val="en-GB"/>
        </w:rPr>
        <w:t>Dimoski</w:t>
      </w:r>
      <w:proofErr w:type="spellEnd"/>
      <w:r w:rsidRPr="00E300D7">
        <w:rPr>
          <w:color w:val="000000"/>
          <w:lang w:val="en-GB"/>
        </w:rPr>
        <w:t xml:space="preserve">, J., </w:t>
      </w:r>
      <w:proofErr w:type="spellStart"/>
      <w:r w:rsidRPr="00E300D7">
        <w:rPr>
          <w:color w:val="000000"/>
          <w:lang w:val="en-GB"/>
        </w:rPr>
        <w:t>Fleten</w:t>
      </w:r>
      <w:proofErr w:type="spellEnd"/>
      <w:r w:rsidRPr="00E300D7">
        <w:rPr>
          <w:color w:val="000000"/>
          <w:lang w:val="en-GB"/>
        </w:rPr>
        <w:t xml:space="preserve">, S.E., </w:t>
      </w:r>
      <w:proofErr w:type="spellStart"/>
      <w:r w:rsidRPr="00E300D7">
        <w:rPr>
          <w:color w:val="000000"/>
          <w:lang w:val="en-GB"/>
        </w:rPr>
        <w:t>Löhndorf</w:t>
      </w:r>
      <w:proofErr w:type="spellEnd"/>
      <w:r w:rsidRPr="00E300D7">
        <w:rPr>
          <w:color w:val="000000"/>
          <w:lang w:val="en-GB"/>
        </w:rPr>
        <w:t xml:space="preserve">, N. and </w:t>
      </w:r>
      <w:proofErr w:type="spellStart"/>
      <w:r w:rsidRPr="00E300D7">
        <w:rPr>
          <w:color w:val="000000"/>
          <w:lang w:val="en-GB"/>
        </w:rPr>
        <w:t>Nersten</w:t>
      </w:r>
      <w:proofErr w:type="spellEnd"/>
      <w:r w:rsidRPr="00E300D7">
        <w:rPr>
          <w:color w:val="000000"/>
          <w:lang w:val="en-GB"/>
        </w:rPr>
        <w:t xml:space="preserve">, S., (2023). Dynamic hedging for the real option management of hydropower production with exchange rate risks. </w:t>
      </w:r>
      <w:r w:rsidRPr="00E300D7">
        <w:rPr>
          <w:i/>
          <w:iCs/>
          <w:color w:val="000000"/>
          <w:lang w:val="en-GB"/>
        </w:rPr>
        <w:t xml:space="preserve">OR Spectrum, </w:t>
      </w:r>
      <w:r w:rsidRPr="00E300D7">
        <w:rPr>
          <w:color w:val="000000"/>
          <w:lang w:val="en-GB"/>
        </w:rPr>
        <w:t>pp.1-30.</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European-union.europa.eu, (2023),</w:t>
      </w:r>
      <w:r w:rsidRPr="00E300D7">
        <w:rPr>
          <w:i/>
          <w:iCs/>
          <w:color w:val="000000"/>
          <w:lang w:val="en-GB"/>
        </w:rPr>
        <w:t xml:space="preserve"> Benefits of the euro | European Union</w:t>
      </w:r>
      <w:r w:rsidRPr="00E300D7">
        <w:rPr>
          <w:color w:val="000000"/>
          <w:lang w:val="en-GB"/>
        </w:rPr>
        <w:t xml:space="preserve">, Available at: </w:t>
      </w:r>
      <w:proofErr w:type="gramStart"/>
      <w:r w:rsidRPr="00E300D7">
        <w:rPr>
          <w:color w:val="000000"/>
          <w:lang w:val="en-GB"/>
        </w:rPr>
        <w:t>https://european-union.europa.eu/institutions-law-budget/euro/history-and-purpose_en,[</w:t>
      </w:r>
      <w:proofErr w:type="gramEnd"/>
      <w:r w:rsidRPr="00E300D7">
        <w:rPr>
          <w:color w:val="000000"/>
          <w:lang w:val="en-GB"/>
        </w:rPr>
        <w:t>Accessed on: 19.05.2023]</w:t>
      </w:r>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Exchangerates.org.uk (2022), </w:t>
      </w:r>
      <w:r w:rsidRPr="00E300D7">
        <w:rPr>
          <w:rFonts w:ascii="Times New Roman" w:hAnsi="Times New Roman" w:cs="Times New Roman"/>
          <w:i/>
          <w:sz w:val="24"/>
          <w:szCs w:val="24"/>
          <w:lang w:val="en-GB"/>
        </w:rPr>
        <w:t xml:space="preserve">British Pound to US Dollar Spot Exchange Rates for 2022, </w:t>
      </w:r>
      <w:r w:rsidRPr="00E300D7">
        <w:rPr>
          <w:rFonts w:ascii="Times New Roman" w:hAnsi="Times New Roman" w:cs="Times New Roman"/>
          <w:sz w:val="24"/>
          <w:szCs w:val="24"/>
          <w:lang w:val="en-GB"/>
        </w:rPr>
        <w:t>Available at: https://www.exchangerates.org.uk/GBP-USD-spot-exchange-rates-history-2022.html [Accessed on: 18-05-2023]</w:t>
      </w:r>
    </w:p>
    <w:p w:rsidR="008A4E78" w:rsidRPr="00E300D7" w:rsidRDefault="008A4E78" w:rsidP="00AA487C">
      <w:pPr>
        <w:spacing w:after="240"/>
        <w:rPr>
          <w:b/>
          <w:shd w:val="clear" w:color="auto" w:fill="FFFFFF"/>
          <w:lang w:val="en-GB"/>
        </w:rPr>
      </w:pPr>
      <w:bookmarkStart w:id="188" w:name="_Toc135334441"/>
      <w:bookmarkStart w:id="189" w:name="_Toc135417678"/>
      <w:bookmarkStart w:id="190" w:name="_Toc135418942"/>
      <w:proofErr w:type="spellStart"/>
      <w:r w:rsidRPr="00E300D7">
        <w:rPr>
          <w:shd w:val="clear" w:color="auto" w:fill="FFFFFF"/>
          <w:lang w:val="en-GB"/>
        </w:rPr>
        <w:t>Fasanya</w:t>
      </w:r>
      <w:proofErr w:type="spellEnd"/>
      <w:r w:rsidRPr="00E300D7">
        <w:rPr>
          <w:shd w:val="clear" w:color="auto" w:fill="FFFFFF"/>
          <w:lang w:val="en-GB"/>
        </w:rPr>
        <w:t xml:space="preserve">, I.O., </w:t>
      </w:r>
      <w:proofErr w:type="spellStart"/>
      <w:r w:rsidRPr="00E300D7">
        <w:rPr>
          <w:shd w:val="clear" w:color="auto" w:fill="FFFFFF"/>
          <w:lang w:val="en-GB"/>
        </w:rPr>
        <w:t>Oyewole</w:t>
      </w:r>
      <w:proofErr w:type="spellEnd"/>
      <w:r w:rsidRPr="00E300D7">
        <w:rPr>
          <w:shd w:val="clear" w:color="auto" w:fill="FFFFFF"/>
          <w:lang w:val="en-GB"/>
        </w:rPr>
        <w:t xml:space="preserve">, O., Adekoya, O.B. and </w:t>
      </w:r>
      <w:proofErr w:type="spellStart"/>
      <w:r w:rsidRPr="00E300D7">
        <w:rPr>
          <w:shd w:val="clear" w:color="auto" w:fill="FFFFFF"/>
          <w:lang w:val="en-GB"/>
        </w:rPr>
        <w:t>Odei</w:t>
      </w:r>
      <w:proofErr w:type="spellEnd"/>
      <w:r w:rsidRPr="00E300D7">
        <w:rPr>
          <w:shd w:val="clear" w:color="auto" w:fill="FFFFFF"/>
          <w:lang w:val="en-GB"/>
        </w:rPr>
        <w:t xml:space="preserve">-Mensah, J., (2021). Dynamic </w:t>
      </w:r>
      <w:proofErr w:type="spellStart"/>
      <w:r w:rsidRPr="00E300D7">
        <w:rPr>
          <w:shd w:val="clear" w:color="auto" w:fill="FFFFFF"/>
          <w:lang w:val="en-GB"/>
        </w:rPr>
        <w:t>spillovers</w:t>
      </w:r>
      <w:proofErr w:type="spellEnd"/>
      <w:r w:rsidRPr="00E300D7">
        <w:rPr>
          <w:shd w:val="clear" w:color="auto" w:fill="FFFFFF"/>
          <w:lang w:val="en-GB"/>
        </w:rPr>
        <w:t xml:space="preserve"> and connectedness between COVID-19 pandemic and global foreign exchange markets. </w:t>
      </w:r>
      <w:r w:rsidRPr="00E300D7">
        <w:rPr>
          <w:i/>
          <w:iCs/>
          <w:shd w:val="clear" w:color="auto" w:fill="FFFFFF"/>
          <w:lang w:val="en-GB"/>
        </w:rPr>
        <w:t>Economic Research-</w:t>
      </w:r>
      <w:proofErr w:type="spellStart"/>
      <w:r w:rsidRPr="00E300D7">
        <w:rPr>
          <w:i/>
          <w:iCs/>
          <w:shd w:val="clear" w:color="auto" w:fill="FFFFFF"/>
          <w:lang w:val="en-GB"/>
        </w:rPr>
        <w:t>EkonomskaIstraživanja</w:t>
      </w:r>
      <w:proofErr w:type="spellEnd"/>
      <w:r w:rsidRPr="00E300D7">
        <w:rPr>
          <w:shd w:val="clear" w:color="auto" w:fill="FFFFFF"/>
          <w:lang w:val="en-GB"/>
        </w:rPr>
        <w:t>, </w:t>
      </w:r>
      <w:r w:rsidRPr="00E300D7">
        <w:rPr>
          <w:i/>
          <w:iCs/>
          <w:shd w:val="clear" w:color="auto" w:fill="FFFFFF"/>
          <w:lang w:val="en-GB"/>
        </w:rPr>
        <w:t>34</w:t>
      </w:r>
      <w:r w:rsidRPr="00E300D7">
        <w:rPr>
          <w:shd w:val="clear" w:color="auto" w:fill="FFFFFF"/>
          <w:lang w:val="en-GB"/>
        </w:rPr>
        <w:t>(1), pp.2059-2084.</w:t>
      </w:r>
      <w:bookmarkEnd w:id="188"/>
      <w:bookmarkEnd w:id="189"/>
      <w:bookmarkEnd w:id="190"/>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proofErr w:type="spellStart"/>
      <w:r w:rsidRPr="00E300D7">
        <w:rPr>
          <w:rFonts w:ascii="Times New Roman" w:eastAsia="Times New Roman" w:hAnsi="Times New Roman" w:cs="Times New Roman"/>
          <w:sz w:val="24"/>
          <w:szCs w:val="24"/>
          <w:lang w:val="en-GB"/>
        </w:rPr>
        <w:t>Faudot</w:t>
      </w:r>
      <w:proofErr w:type="spellEnd"/>
      <w:r w:rsidRPr="00E300D7">
        <w:rPr>
          <w:rFonts w:ascii="Times New Roman" w:eastAsia="Times New Roman" w:hAnsi="Times New Roman" w:cs="Times New Roman"/>
          <w:sz w:val="24"/>
          <w:szCs w:val="24"/>
          <w:lang w:val="en-GB"/>
        </w:rPr>
        <w:t xml:space="preserve">, A. and </w:t>
      </w:r>
      <w:proofErr w:type="spellStart"/>
      <w:r w:rsidRPr="00E300D7">
        <w:rPr>
          <w:rFonts w:ascii="Times New Roman" w:eastAsia="Times New Roman" w:hAnsi="Times New Roman" w:cs="Times New Roman"/>
          <w:sz w:val="24"/>
          <w:szCs w:val="24"/>
          <w:lang w:val="en-GB"/>
        </w:rPr>
        <w:t>Nenovsky</w:t>
      </w:r>
      <w:proofErr w:type="spellEnd"/>
      <w:r w:rsidRPr="00E300D7">
        <w:rPr>
          <w:rFonts w:ascii="Times New Roman" w:eastAsia="Times New Roman" w:hAnsi="Times New Roman" w:cs="Times New Roman"/>
          <w:sz w:val="24"/>
          <w:szCs w:val="24"/>
          <w:lang w:val="en-GB"/>
        </w:rPr>
        <w:t xml:space="preserve">, N., (2022). </w:t>
      </w:r>
      <w:r w:rsidRPr="00E300D7">
        <w:rPr>
          <w:rFonts w:ascii="Times New Roman" w:eastAsia="Times New Roman" w:hAnsi="Times New Roman" w:cs="Times New Roman"/>
          <w:i/>
          <w:sz w:val="24"/>
          <w:szCs w:val="24"/>
          <w:lang w:val="en-GB"/>
        </w:rPr>
        <w:t xml:space="preserve">The Case for Fixed Exchange Rate Regimes: What for and in What </w:t>
      </w:r>
      <w:proofErr w:type="gramStart"/>
      <w:r w:rsidRPr="00E300D7">
        <w:rPr>
          <w:rFonts w:ascii="Times New Roman" w:eastAsia="Times New Roman" w:hAnsi="Times New Roman" w:cs="Times New Roman"/>
          <w:i/>
          <w:sz w:val="24"/>
          <w:szCs w:val="24"/>
          <w:lang w:val="en-GB"/>
        </w:rPr>
        <w:t>Form?.</w:t>
      </w:r>
      <w:proofErr w:type="gramEnd"/>
      <w:r w:rsidRPr="00E300D7">
        <w:rPr>
          <w:rFonts w:ascii="Times New Roman" w:eastAsia="Times New Roman" w:hAnsi="Times New Roman" w:cs="Times New Roman"/>
          <w:i/>
          <w:sz w:val="24"/>
          <w:szCs w:val="24"/>
          <w:lang w:val="en-GB"/>
        </w:rPr>
        <w:t xml:space="preserve"> In Debates in Monetary Macroeconomics</w:t>
      </w:r>
      <w:r w:rsidRPr="00E300D7">
        <w:rPr>
          <w:rFonts w:ascii="Times New Roman" w:eastAsia="Times New Roman" w:hAnsi="Times New Roman" w:cs="Times New Roman"/>
          <w:sz w:val="24"/>
          <w:szCs w:val="24"/>
          <w:lang w:val="en-GB"/>
        </w:rPr>
        <w:t>: Tackling Some Unsettled Questions (pp. 193-216). Cham: Springer International Publishing.</w:t>
      </w:r>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Fca.org.uk (2022), </w:t>
      </w:r>
      <w:r w:rsidRPr="00E300D7">
        <w:rPr>
          <w:rFonts w:ascii="Times New Roman" w:hAnsi="Times New Roman" w:cs="Times New Roman"/>
          <w:i/>
          <w:sz w:val="24"/>
          <w:szCs w:val="24"/>
          <w:lang w:val="en-GB"/>
        </w:rPr>
        <w:t>Welcome to the Financial Conduct Authority</w:t>
      </w:r>
      <w:r w:rsidRPr="00E300D7">
        <w:rPr>
          <w:rFonts w:ascii="Times New Roman" w:hAnsi="Times New Roman" w:cs="Times New Roman"/>
          <w:sz w:val="24"/>
          <w:szCs w:val="24"/>
          <w:lang w:val="en-GB"/>
        </w:rPr>
        <w:t>, Available at: https://www.fca.org.uk/#:~:text=Welcome%20to%20the%20Financial%20Conduct%20Authority&amp;text=up%2Dto%2Ddate%20with%20financial%20services%20in%20the%20UK. [Accessed on: 18-05-2023]</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lastRenderedPageBreak/>
        <w:t xml:space="preserve">Ft.com (2022), </w:t>
      </w:r>
      <w:r w:rsidRPr="00E300D7">
        <w:rPr>
          <w:rFonts w:ascii="Times New Roman" w:eastAsia="Times New Roman" w:hAnsi="Times New Roman" w:cs="Times New Roman"/>
          <w:i/>
          <w:sz w:val="24"/>
          <w:szCs w:val="24"/>
          <w:lang w:val="en-GB"/>
        </w:rPr>
        <w:t>Why the UK cannot intervene to prop up sterling</w:t>
      </w:r>
      <w:r w:rsidRPr="00E300D7">
        <w:rPr>
          <w:rFonts w:ascii="Times New Roman" w:eastAsia="Times New Roman" w:hAnsi="Times New Roman" w:cs="Times New Roman"/>
          <w:sz w:val="24"/>
          <w:szCs w:val="24"/>
          <w:lang w:val="en-GB"/>
        </w:rPr>
        <w:t>, Available at: https://www.ft.com/content/92b848f5-cf1f-43b6-9df5-e83df5353b6d [Accessed on: 19-05-2023]</w:t>
      </w:r>
    </w:p>
    <w:p w:rsidR="008A4E78" w:rsidRPr="00E300D7" w:rsidRDefault="008A4E78" w:rsidP="008A4E78">
      <w:pPr>
        <w:pStyle w:val="NormalWeb"/>
        <w:spacing w:before="200" w:beforeAutospacing="0" w:after="0" w:afterAutospacing="0" w:line="360" w:lineRule="auto"/>
        <w:jc w:val="both"/>
        <w:rPr>
          <w:lang w:val="en-GB"/>
        </w:rPr>
      </w:pPr>
      <w:proofErr w:type="spellStart"/>
      <w:r w:rsidRPr="00E300D7">
        <w:rPr>
          <w:color w:val="000000"/>
          <w:lang w:val="en-GB"/>
        </w:rPr>
        <w:t>Giofré</w:t>
      </w:r>
      <w:proofErr w:type="spellEnd"/>
      <w:r w:rsidRPr="00E300D7">
        <w:rPr>
          <w:color w:val="000000"/>
          <w:lang w:val="en-GB"/>
        </w:rPr>
        <w:t xml:space="preserve">, M. and </w:t>
      </w:r>
      <w:proofErr w:type="spellStart"/>
      <w:r w:rsidRPr="00E300D7">
        <w:rPr>
          <w:color w:val="000000"/>
          <w:lang w:val="en-GB"/>
        </w:rPr>
        <w:t>Sokolenko</w:t>
      </w:r>
      <w:proofErr w:type="spellEnd"/>
      <w:r w:rsidRPr="00E300D7">
        <w:rPr>
          <w:color w:val="000000"/>
          <w:lang w:val="en-GB"/>
        </w:rPr>
        <w:t xml:space="preserve">, O., (2022). Cross-border investment and the decline of exchange rate volatility: implications for Euro area bilateral investments. </w:t>
      </w:r>
      <w:r w:rsidRPr="00E300D7">
        <w:rPr>
          <w:i/>
          <w:iCs/>
          <w:color w:val="000000"/>
          <w:lang w:val="en-GB"/>
        </w:rPr>
        <w:t>Review of World Economics</w:t>
      </w:r>
      <w:r w:rsidRPr="00E300D7">
        <w:rPr>
          <w:color w:val="000000"/>
          <w:lang w:val="en-GB"/>
        </w:rPr>
        <w:t>, pp.1-33.</w:t>
      </w:r>
    </w:p>
    <w:p w:rsidR="008A4E78" w:rsidRPr="00E300D7" w:rsidRDefault="008A4E78" w:rsidP="00AA487C">
      <w:pPr>
        <w:spacing w:after="240"/>
        <w:rPr>
          <w:b/>
          <w:shd w:val="clear" w:color="auto" w:fill="FFFFFF"/>
          <w:lang w:val="en-GB"/>
        </w:rPr>
      </w:pPr>
      <w:bookmarkStart w:id="191" w:name="_Toc135334442"/>
      <w:bookmarkStart w:id="192" w:name="_Toc135417679"/>
      <w:bookmarkStart w:id="193" w:name="_Toc135418943"/>
      <w:proofErr w:type="spellStart"/>
      <w:r w:rsidRPr="00E300D7">
        <w:rPr>
          <w:shd w:val="clear" w:color="auto" w:fill="FFFFFF"/>
          <w:lang w:val="en-GB"/>
        </w:rPr>
        <w:t>Gkillas</w:t>
      </w:r>
      <w:proofErr w:type="spellEnd"/>
      <w:r w:rsidRPr="00E300D7">
        <w:rPr>
          <w:shd w:val="clear" w:color="auto" w:fill="FFFFFF"/>
          <w:lang w:val="en-GB"/>
        </w:rPr>
        <w:t xml:space="preserve">, K., Gupta, R. and </w:t>
      </w:r>
      <w:proofErr w:type="spellStart"/>
      <w:r w:rsidRPr="00E300D7">
        <w:rPr>
          <w:shd w:val="clear" w:color="auto" w:fill="FFFFFF"/>
          <w:lang w:val="en-GB"/>
        </w:rPr>
        <w:t>Pierdzioch</w:t>
      </w:r>
      <w:proofErr w:type="spellEnd"/>
      <w:r w:rsidRPr="00E300D7">
        <w:rPr>
          <w:shd w:val="clear" w:color="auto" w:fill="FFFFFF"/>
          <w:lang w:val="en-GB"/>
        </w:rPr>
        <w:t>, C., (2020). Forecasting realized oil-price volatility: The role of financial stress and asymmetric loss. </w:t>
      </w:r>
      <w:r w:rsidRPr="00E300D7">
        <w:rPr>
          <w:i/>
          <w:iCs/>
          <w:shd w:val="clear" w:color="auto" w:fill="FFFFFF"/>
          <w:lang w:val="en-GB"/>
        </w:rPr>
        <w:t>Journal of International Money and Finance</w:t>
      </w:r>
      <w:r w:rsidRPr="00E300D7">
        <w:rPr>
          <w:shd w:val="clear" w:color="auto" w:fill="FFFFFF"/>
          <w:lang w:val="en-GB"/>
        </w:rPr>
        <w:t>, </w:t>
      </w:r>
      <w:r w:rsidRPr="00E300D7">
        <w:rPr>
          <w:i/>
          <w:iCs/>
          <w:shd w:val="clear" w:color="auto" w:fill="FFFFFF"/>
          <w:lang w:val="en-GB"/>
        </w:rPr>
        <w:t>104</w:t>
      </w:r>
      <w:r w:rsidRPr="00E300D7">
        <w:rPr>
          <w:shd w:val="clear" w:color="auto" w:fill="FFFFFF"/>
          <w:lang w:val="en-GB"/>
        </w:rPr>
        <w:t>, p.102137.</w:t>
      </w:r>
      <w:bookmarkEnd w:id="191"/>
      <w:bookmarkEnd w:id="192"/>
      <w:bookmarkEnd w:id="193"/>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Gov.uk (2023), </w:t>
      </w:r>
      <w:r w:rsidRPr="00E300D7">
        <w:rPr>
          <w:rFonts w:ascii="Times New Roman" w:eastAsia="Times New Roman" w:hAnsi="Times New Roman" w:cs="Times New Roman"/>
          <w:i/>
          <w:sz w:val="24"/>
          <w:szCs w:val="24"/>
          <w:lang w:val="en-GB"/>
        </w:rPr>
        <w:t>Home Office Exchange Rate Policy</w:t>
      </w:r>
      <w:r w:rsidRPr="00E300D7">
        <w:rPr>
          <w:rFonts w:ascii="Times New Roman" w:eastAsia="Times New Roman" w:hAnsi="Times New Roman" w:cs="Times New Roman"/>
          <w:sz w:val="24"/>
          <w:szCs w:val="24"/>
          <w:lang w:val="en-GB"/>
        </w:rPr>
        <w:t>, Available at: https://assets.publishing.service.gov.uk/government/uploads/system/uploads/attachment_data/file/1129631/Home_Office_Exchange_Rate_Policy.pdf [Accessed on: 19-05-2023]</w:t>
      </w:r>
    </w:p>
    <w:p w:rsidR="008A4E78" w:rsidRPr="00E300D7" w:rsidRDefault="008A4E78" w:rsidP="00AA487C">
      <w:pPr>
        <w:pStyle w:val="Normal3"/>
        <w:spacing w:before="240"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gov.uk, (2023), overview of the data protection </w:t>
      </w:r>
      <w:proofErr w:type="gramStart"/>
      <w:r w:rsidRPr="00E300D7">
        <w:rPr>
          <w:rFonts w:ascii="Times New Roman" w:hAnsi="Times New Roman" w:cs="Times New Roman"/>
          <w:sz w:val="24"/>
          <w:szCs w:val="24"/>
          <w:lang w:val="en-GB"/>
        </w:rPr>
        <w:t>act</w:t>
      </w:r>
      <w:proofErr w:type="gramEnd"/>
      <w:r w:rsidRPr="00E300D7">
        <w:rPr>
          <w:rFonts w:ascii="Times New Roman" w:hAnsi="Times New Roman" w:cs="Times New Roman"/>
          <w:sz w:val="24"/>
          <w:szCs w:val="24"/>
          <w:lang w:val="en-GB"/>
        </w:rPr>
        <w:t xml:space="preserve"> available at:  www.gov.uk [Accessed on 18.05.2023]</w:t>
      </w:r>
    </w:p>
    <w:p w:rsidR="008A4E78" w:rsidRPr="00E300D7" w:rsidRDefault="008A4E78" w:rsidP="00AA487C">
      <w:pPr>
        <w:spacing w:after="240"/>
        <w:rPr>
          <w:b/>
          <w:shd w:val="clear" w:color="auto" w:fill="FFFFFF"/>
          <w:lang w:val="en-GB"/>
        </w:rPr>
      </w:pPr>
      <w:bookmarkStart w:id="194" w:name="_Toc135334443"/>
      <w:bookmarkStart w:id="195" w:name="_Toc135417680"/>
      <w:bookmarkStart w:id="196" w:name="_Toc135418944"/>
      <w:r w:rsidRPr="00E300D7">
        <w:rPr>
          <w:shd w:val="clear" w:color="auto" w:fill="FFFFFF"/>
          <w:lang w:val="en-GB"/>
        </w:rPr>
        <w:t>Hamdi, B., Aloui, M., Alqahtani, F. and Tiwari, A., (2019). Relationship between the oil price volatility and sectoral stock markets in oil-exporting economies: Evidence from wavelet nonlinear denoised based quantile and Granger-causality analysis. </w:t>
      </w:r>
      <w:r w:rsidRPr="00E300D7">
        <w:rPr>
          <w:i/>
          <w:iCs/>
          <w:shd w:val="clear" w:color="auto" w:fill="FFFFFF"/>
          <w:lang w:val="en-GB"/>
        </w:rPr>
        <w:t>Energy Economics</w:t>
      </w:r>
      <w:r w:rsidRPr="00E300D7">
        <w:rPr>
          <w:shd w:val="clear" w:color="auto" w:fill="FFFFFF"/>
          <w:lang w:val="en-GB"/>
        </w:rPr>
        <w:t>, </w:t>
      </w:r>
      <w:r w:rsidRPr="00E300D7">
        <w:rPr>
          <w:i/>
          <w:iCs/>
          <w:shd w:val="clear" w:color="auto" w:fill="FFFFFF"/>
          <w:lang w:val="en-GB"/>
        </w:rPr>
        <w:t>80</w:t>
      </w:r>
      <w:r w:rsidRPr="00E300D7">
        <w:rPr>
          <w:shd w:val="clear" w:color="auto" w:fill="FFFFFF"/>
          <w:lang w:val="en-GB"/>
        </w:rPr>
        <w:t>, pp.536-552.</w:t>
      </w:r>
      <w:bookmarkEnd w:id="194"/>
      <w:bookmarkEnd w:id="195"/>
      <w:bookmarkEnd w:id="196"/>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Hbr.org (2022), </w:t>
      </w:r>
      <w:r w:rsidRPr="00E300D7">
        <w:rPr>
          <w:rFonts w:ascii="Times New Roman" w:eastAsia="Times New Roman" w:hAnsi="Times New Roman" w:cs="Times New Roman"/>
          <w:i/>
          <w:sz w:val="24"/>
          <w:szCs w:val="24"/>
          <w:lang w:val="en-GB"/>
        </w:rPr>
        <w:t>Volatile Exchange Rates Can Put Operations at Risk</w:t>
      </w:r>
      <w:r w:rsidRPr="00E300D7">
        <w:rPr>
          <w:rFonts w:ascii="Times New Roman" w:eastAsia="Times New Roman" w:hAnsi="Times New Roman" w:cs="Times New Roman"/>
          <w:sz w:val="24"/>
          <w:szCs w:val="24"/>
          <w:lang w:val="en-GB"/>
        </w:rPr>
        <w:t>, Available at: https://hbr.org/1986/07/volatile-exchange-rates-can-put-operations-at-risk [Accessed on: 19-05-2023]</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Heilbron, A. and </w:t>
      </w:r>
      <w:proofErr w:type="spellStart"/>
      <w:r w:rsidRPr="00E300D7">
        <w:rPr>
          <w:color w:val="000000"/>
          <w:lang w:val="en-GB"/>
        </w:rPr>
        <w:t>Kronfol</w:t>
      </w:r>
      <w:proofErr w:type="spellEnd"/>
      <w:r w:rsidRPr="00E300D7">
        <w:rPr>
          <w:color w:val="000000"/>
          <w:lang w:val="en-GB"/>
        </w:rPr>
        <w:t xml:space="preserve">, H., (2020). Increasing the development impact of investment promotion agencies. </w:t>
      </w:r>
      <w:r w:rsidRPr="00E300D7">
        <w:rPr>
          <w:i/>
          <w:iCs/>
          <w:color w:val="000000"/>
          <w:lang w:val="en-GB"/>
        </w:rPr>
        <w:t xml:space="preserve">Global Investment Competitiveness Report 2019/2020: Rebuilding Investor Confidence in Times of Uncertainty, </w:t>
      </w:r>
      <w:r w:rsidRPr="00E300D7">
        <w:rPr>
          <w:color w:val="000000"/>
          <w:lang w:val="en-GB"/>
        </w:rPr>
        <w:t>pp.170-207.</w:t>
      </w:r>
    </w:p>
    <w:p w:rsidR="008A4E78" w:rsidRPr="00E300D7" w:rsidRDefault="008A4E78" w:rsidP="00AA487C">
      <w:pPr>
        <w:spacing w:after="240"/>
        <w:rPr>
          <w:b/>
          <w:shd w:val="clear" w:color="auto" w:fill="FFFFFF"/>
          <w:lang w:val="en-GB"/>
        </w:rPr>
      </w:pPr>
      <w:bookmarkStart w:id="197" w:name="_Toc135334444"/>
      <w:bookmarkStart w:id="198" w:name="_Toc135417681"/>
      <w:bookmarkStart w:id="199" w:name="_Toc135418945"/>
      <w:proofErr w:type="spellStart"/>
      <w:r w:rsidRPr="00E300D7">
        <w:rPr>
          <w:shd w:val="clear" w:color="auto" w:fill="FFFFFF"/>
          <w:lang w:val="en-GB"/>
        </w:rPr>
        <w:t>Hernawaty</w:t>
      </w:r>
      <w:proofErr w:type="spellEnd"/>
      <w:r w:rsidRPr="00E300D7">
        <w:rPr>
          <w:shd w:val="clear" w:color="auto" w:fill="FFFFFF"/>
          <w:lang w:val="en-GB"/>
        </w:rPr>
        <w:t xml:space="preserve">, H., Chrisna, H. and </w:t>
      </w:r>
      <w:proofErr w:type="spellStart"/>
      <w:r w:rsidRPr="00E300D7">
        <w:rPr>
          <w:shd w:val="clear" w:color="auto" w:fill="FFFFFF"/>
          <w:lang w:val="en-GB"/>
        </w:rPr>
        <w:t>Junawan</w:t>
      </w:r>
      <w:proofErr w:type="spellEnd"/>
      <w:r w:rsidRPr="00E300D7">
        <w:rPr>
          <w:shd w:val="clear" w:color="auto" w:fill="FFFFFF"/>
          <w:lang w:val="en-GB"/>
        </w:rPr>
        <w:t xml:space="preserve">, J., (2020). Analisa </w:t>
      </w:r>
      <w:proofErr w:type="spellStart"/>
      <w:r w:rsidRPr="00E300D7">
        <w:rPr>
          <w:shd w:val="clear" w:color="auto" w:fill="FFFFFF"/>
          <w:lang w:val="en-GB"/>
        </w:rPr>
        <w:t>Penggunaan</w:t>
      </w:r>
      <w:proofErr w:type="spellEnd"/>
      <w:r w:rsidRPr="00E300D7">
        <w:rPr>
          <w:shd w:val="clear" w:color="auto" w:fill="FFFFFF"/>
          <w:lang w:val="en-GB"/>
        </w:rPr>
        <w:t xml:space="preserve"> Forward Contract Hedging pada Nilai </w:t>
      </w:r>
      <w:proofErr w:type="spellStart"/>
      <w:r w:rsidRPr="00E300D7">
        <w:rPr>
          <w:shd w:val="clear" w:color="auto" w:fill="FFFFFF"/>
          <w:lang w:val="en-GB"/>
        </w:rPr>
        <w:t>Ekspor</w:t>
      </w:r>
      <w:proofErr w:type="spellEnd"/>
      <w:r w:rsidRPr="00E300D7">
        <w:rPr>
          <w:shd w:val="clear" w:color="auto" w:fill="FFFFFF"/>
          <w:lang w:val="en-GB"/>
        </w:rPr>
        <w:t xml:space="preserve"> </w:t>
      </w:r>
      <w:proofErr w:type="spellStart"/>
      <w:r w:rsidRPr="00E300D7">
        <w:rPr>
          <w:shd w:val="clear" w:color="auto" w:fill="FFFFFF"/>
          <w:lang w:val="en-GB"/>
        </w:rPr>
        <w:t>Barang</w:t>
      </w:r>
      <w:proofErr w:type="spellEnd"/>
      <w:r w:rsidRPr="00E300D7">
        <w:rPr>
          <w:shd w:val="clear" w:color="auto" w:fill="FFFFFF"/>
          <w:lang w:val="en-GB"/>
        </w:rPr>
        <w:t xml:space="preserve"> Ekonomi </w:t>
      </w:r>
      <w:proofErr w:type="spellStart"/>
      <w:r w:rsidRPr="00E300D7">
        <w:rPr>
          <w:shd w:val="clear" w:color="auto" w:fill="FFFFFF"/>
          <w:lang w:val="en-GB"/>
        </w:rPr>
        <w:t>Provinsi</w:t>
      </w:r>
      <w:proofErr w:type="spellEnd"/>
      <w:r w:rsidRPr="00E300D7">
        <w:rPr>
          <w:shd w:val="clear" w:color="auto" w:fill="FFFFFF"/>
          <w:lang w:val="en-GB"/>
        </w:rPr>
        <w:t xml:space="preserve"> Sumatera Utara. </w:t>
      </w:r>
      <w:proofErr w:type="spellStart"/>
      <w:r w:rsidRPr="00E300D7">
        <w:rPr>
          <w:i/>
          <w:iCs/>
          <w:shd w:val="clear" w:color="auto" w:fill="FFFFFF"/>
          <w:lang w:val="en-GB"/>
        </w:rPr>
        <w:t>Jurnal</w:t>
      </w:r>
      <w:proofErr w:type="spellEnd"/>
      <w:r w:rsidRPr="00E300D7">
        <w:rPr>
          <w:i/>
          <w:iCs/>
          <w:shd w:val="clear" w:color="auto" w:fill="FFFFFF"/>
          <w:lang w:val="en-GB"/>
        </w:rPr>
        <w:t xml:space="preserve"> AKMAMI (</w:t>
      </w:r>
      <w:proofErr w:type="spellStart"/>
      <w:r w:rsidRPr="00E300D7">
        <w:rPr>
          <w:i/>
          <w:iCs/>
          <w:shd w:val="clear" w:color="auto" w:fill="FFFFFF"/>
          <w:lang w:val="en-GB"/>
        </w:rPr>
        <w:t>AkuntansiManajemen</w:t>
      </w:r>
      <w:proofErr w:type="spellEnd"/>
      <w:r w:rsidRPr="00E300D7">
        <w:rPr>
          <w:i/>
          <w:iCs/>
          <w:shd w:val="clear" w:color="auto" w:fill="FFFFFF"/>
          <w:lang w:val="en-GB"/>
        </w:rPr>
        <w:t xml:space="preserve"> Ekonomi)</w:t>
      </w:r>
      <w:r w:rsidRPr="00E300D7">
        <w:rPr>
          <w:shd w:val="clear" w:color="auto" w:fill="FFFFFF"/>
          <w:lang w:val="en-GB"/>
        </w:rPr>
        <w:t>, </w:t>
      </w:r>
      <w:r w:rsidRPr="00E300D7">
        <w:rPr>
          <w:i/>
          <w:iCs/>
          <w:shd w:val="clear" w:color="auto" w:fill="FFFFFF"/>
          <w:lang w:val="en-GB"/>
        </w:rPr>
        <w:t>1</w:t>
      </w:r>
      <w:r w:rsidRPr="00E300D7">
        <w:rPr>
          <w:shd w:val="clear" w:color="auto" w:fill="FFFFFF"/>
          <w:lang w:val="en-GB"/>
        </w:rPr>
        <w:t>(3), pp.95-109.</w:t>
      </w:r>
      <w:bookmarkEnd w:id="197"/>
      <w:bookmarkEnd w:id="198"/>
      <w:bookmarkEnd w:id="199"/>
    </w:p>
    <w:p w:rsidR="008A4E78" w:rsidRPr="00E300D7" w:rsidRDefault="008A4E78" w:rsidP="00AA487C">
      <w:pPr>
        <w:spacing w:after="240"/>
        <w:rPr>
          <w:b/>
          <w:shd w:val="clear" w:color="auto" w:fill="FFFFFF"/>
          <w:lang w:val="en-GB"/>
        </w:rPr>
      </w:pPr>
      <w:bookmarkStart w:id="200" w:name="_Toc135334445"/>
      <w:bookmarkStart w:id="201" w:name="_Toc135417682"/>
      <w:bookmarkStart w:id="202" w:name="_Toc135418946"/>
      <w:r w:rsidRPr="00E300D7">
        <w:rPr>
          <w:shd w:val="clear" w:color="auto" w:fill="FFFFFF"/>
          <w:lang w:val="en-GB"/>
        </w:rPr>
        <w:lastRenderedPageBreak/>
        <w:t>Hofmann, B., Shim, I. and Shin, H.S., (2020). Bond risk premia and the exchange rate. </w:t>
      </w:r>
      <w:r w:rsidRPr="00E300D7">
        <w:rPr>
          <w:i/>
          <w:iCs/>
          <w:shd w:val="clear" w:color="auto" w:fill="FFFFFF"/>
          <w:lang w:val="en-GB"/>
        </w:rPr>
        <w:t>Journal of Money, Credit and Banking</w:t>
      </w:r>
      <w:r w:rsidRPr="00E300D7">
        <w:rPr>
          <w:shd w:val="clear" w:color="auto" w:fill="FFFFFF"/>
          <w:lang w:val="en-GB"/>
        </w:rPr>
        <w:t>, </w:t>
      </w:r>
      <w:r w:rsidRPr="00E300D7">
        <w:rPr>
          <w:i/>
          <w:iCs/>
          <w:shd w:val="clear" w:color="auto" w:fill="FFFFFF"/>
          <w:lang w:val="en-GB"/>
        </w:rPr>
        <w:t>52</w:t>
      </w:r>
      <w:r w:rsidRPr="00E300D7">
        <w:rPr>
          <w:shd w:val="clear" w:color="auto" w:fill="FFFFFF"/>
          <w:lang w:val="en-GB"/>
        </w:rPr>
        <w:t>(S2), pp.497-520.</w:t>
      </w:r>
      <w:bookmarkEnd w:id="200"/>
      <w:bookmarkEnd w:id="201"/>
      <w:bookmarkEnd w:id="202"/>
    </w:p>
    <w:p w:rsidR="008A4E78" w:rsidRPr="00E300D7" w:rsidRDefault="008A4E78" w:rsidP="00AA487C">
      <w:pPr>
        <w:pStyle w:val="Normal3"/>
        <w:spacing w:after="240" w:line="360" w:lineRule="auto"/>
        <w:jc w:val="both"/>
        <w:rPr>
          <w:lang w:val="en-GB"/>
        </w:rPr>
      </w:pPr>
      <w:r w:rsidRPr="00E300D7">
        <w:rPr>
          <w:rFonts w:ascii="Times New Roman" w:hAnsi="Times New Roman" w:cs="Times New Roman"/>
          <w:sz w:val="24"/>
          <w:szCs w:val="24"/>
          <w:lang w:val="en-GB"/>
        </w:rPr>
        <w:t xml:space="preserve">HR, G. and Aithal, P.S., (2022). </w:t>
      </w:r>
      <w:r w:rsidRPr="00E300D7">
        <w:rPr>
          <w:rFonts w:ascii="Times New Roman" w:hAnsi="Times New Roman" w:cs="Times New Roman"/>
          <w:i/>
          <w:sz w:val="24"/>
          <w:szCs w:val="24"/>
          <w:lang w:val="en-GB"/>
        </w:rPr>
        <w:t xml:space="preserve">How to Choose an Appropriate Research Data Collection Method and Method Choice among Various Research Data Collection Methods and Method Choices During Ph. D. Program in </w:t>
      </w:r>
      <w:proofErr w:type="gramStart"/>
      <w:r w:rsidRPr="00E300D7">
        <w:rPr>
          <w:rFonts w:ascii="Times New Roman" w:hAnsi="Times New Roman" w:cs="Times New Roman"/>
          <w:i/>
          <w:sz w:val="24"/>
          <w:szCs w:val="24"/>
          <w:lang w:val="en-GB"/>
        </w:rPr>
        <w:t>India</w:t>
      </w:r>
      <w:r w:rsidRPr="00E300D7">
        <w:rPr>
          <w:rFonts w:ascii="Times New Roman" w:hAnsi="Times New Roman" w:cs="Times New Roman"/>
          <w:sz w:val="24"/>
          <w:szCs w:val="24"/>
          <w:lang w:val="en-GB"/>
        </w:rPr>
        <w:t>?.</w:t>
      </w:r>
      <w:proofErr w:type="gramEnd"/>
      <w:r w:rsidRPr="00E300D7">
        <w:rPr>
          <w:rFonts w:ascii="Times New Roman" w:hAnsi="Times New Roman" w:cs="Times New Roman"/>
          <w:sz w:val="24"/>
          <w:szCs w:val="24"/>
          <w:lang w:val="en-GB"/>
        </w:rPr>
        <w:t xml:space="preserve"> International Journal of Management, Technology, and Social Sciences (IJMTS), 7(2), pp.455-489.</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Imam, P.A., (2022). </w:t>
      </w:r>
      <w:r w:rsidRPr="00E300D7">
        <w:rPr>
          <w:rFonts w:ascii="Times New Roman" w:eastAsia="Times New Roman" w:hAnsi="Times New Roman" w:cs="Times New Roman"/>
          <w:i/>
          <w:sz w:val="24"/>
          <w:szCs w:val="24"/>
          <w:lang w:val="en-GB"/>
        </w:rPr>
        <w:t xml:space="preserve">De‐dollarization in Zimbabwe: What lessons can be learned from other sub‐Saharan </w:t>
      </w:r>
      <w:proofErr w:type="gramStart"/>
      <w:r w:rsidRPr="00E300D7">
        <w:rPr>
          <w:rFonts w:ascii="Times New Roman" w:eastAsia="Times New Roman" w:hAnsi="Times New Roman" w:cs="Times New Roman"/>
          <w:i/>
          <w:sz w:val="24"/>
          <w:szCs w:val="24"/>
          <w:lang w:val="en-GB"/>
        </w:rPr>
        <w:t>countries</w:t>
      </w:r>
      <w:r w:rsidRPr="00E300D7">
        <w:rPr>
          <w:rFonts w:ascii="Times New Roman" w:eastAsia="Times New Roman" w:hAnsi="Times New Roman" w:cs="Times New Roman"/>
          <w:sz w:val="24"/>
          <w:szCs w:val="24"/>
          <w:lang w:val="en-GB"/>
        </w:rPr>
        <w:t>?.</w:t>
      </w:r>
      <w:proofErr w:type="gramEnd"/>
      <w:r w:rsidRPr="00E300D7">
        <w:rPr>
          <w:rFonts w:ascii="Times New Roman" w:eastAsia="Times New Roman" w:hAnsi="Times New Roman" w:cs="Times New Roman"/>
          <w:sz w:val="24"/>
          <w:szCs w:val="24"/>
          <w:lang w:val="en-GB"/>
        </w:rPr>
        <w:t xml:space="preserve"> International Journal of Finance &amp; Economics, 27(1), pp.770-801.</w:t>
      </w:r>
    </w:p>
    <w:p w:rsidR="008A4E78" w:rsidRPr="00E300D7" w:rsidRDefault="008A4E78" w:rsidP="00AA487C">
      <w:pPr>
        <w:spacing w:before="0" w:after="240"/>
        <w:outlineLvl w:val="9"/>
        <w:rPr>
          <w:b/>
          <w:lang w:val="en-GB"/>
        </w:rPr>
      </w:pPr>
      <w:bookmarkStart w:id="203" w:name="_Toc135417683"/>
      <w:r w:rsidRPr="00E300D7">
        <w:rPr>
          <w:lang w:val="en-GB"/>
        </w:rPr>
        <w:t xml:space="preserve">Imf.org (2019), </w:t>
      </w:r>
      <w:r w:rsidRPr="00E300D7">
        <w:rPr>
          <w:i/>
          <w:lang w:val="en-GB"/>
        </w:rPr>
        <w:t>Challenges to the International Monetary System: Rebalancing Currencies, Institutions, and Rates</w:t>
      </w:r>
      <w:r w:rsidRPr="00E300D7">
        <w:rPr>
          <w:lang w:val="en-GB"/>
        </w:rPr>
        <w:t>, https://www.imf.org/en/News/Articles/2015/09/28/04/53/sp093007 [Accessed on: 19-05-2023]</w:t>
      </w:r>
      <w:bookmarkEnd w:id="203"/>
    </w:p>
    <w:p w:rsidR="008A4E78" w:rsidRPr="00E300D7" w:rsidRDefault="008A4E78" w:rsidP="00AA487C">
      <w:pPr>
        <w:spacing w:before="0" w:after="240"/>
        <w:outlineLvl w:val="9"/>
        <w:rPr>
          <w:b/>
          <w:szCs w:val="40"/>
          <w:lang w:val="en-GB"/>
        </w:rPr>
      </w:pPr>
      <w:bookmarkStart w:id="204" w:name="_Toc135417684"/>
      <w:r w:rsidRPr="00E300D7">
        <w:rPr>
          <w:lang w:val="en-GB"/>
        </w:rPr>
        <w:t xml:space="preserve">Imf.org (2022), </w:t>
      </w:r>
      <w:r w:rsidRPr="00E300D7">
        <w:rPr>
          <w:i/>
          <w:lang w:val="en-GB"/>
        </w:rPr>
        <w:t>How War in Ukraine Is Reverberating Across World’s Regions</w:t>
      </w:r>
      <w:r w:rsidRPr="00E300D7">
        <w:rPr>
          <w:lang w:val="en-GB"/>
        </w:rPr>
        <w:t>, Available at: https://www.imf.org/en/Blogs/Articles/2022/03/15/blog-how-war-in-ukraine-is-reverberating-across-worlds-regions-031522 [Accessed on: 19-05-2023]</w:t>
      </w:r>
      <w:bookmarkEnd w:id="204"/>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Imf.org (2022), </w:t>
      </w:r>
      <w:r w:rsidRPr="00E300D7">
        <w:rPr>
          <w:rFonts w:ascii="Times New Roman" w:eastAsia="Times New Roman" w:hAnsi="Times New Roman" w:cs="Times New Roman"/>
          <w:i/>
          <w:sz w:val="24"/>
          <w:szCs w:val="24"/>
          <w:lang w:val="en-GB"/>
        </w:rPr>
        <w:t>Interest Rate Increases, Volatile Markets Signal Rising Financial Stability Risks,</w:t>
      </w:r>
      <w:r w:rsidRPr="00E300D7">
        <w:rPr>
          <w:rFonts w:ascii="Times New Roman" w:eastAsia="Times New Roman" w:hAnsi="Times New Roman" w:cs="Times New Roman"/>
          <w:sz w:val="24"/>
          <w:szCs w:val="24"/>
          <w:lang w:val="en-GB"/>
        </w:rPr>
        <w:t xml:space="preserve"> Available at: https://www.imf.org/en/Blogs/Articles/2022/10/11/interest-rate-increases-volatile-markets-signal-rising-financial-stability-risks [Accessed on: 19-05-2023]</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Imf.org (2022), </w:t>
      </w:r>
      <w:r w:rsidRPr="00E300D7">
        <w:rPr>
          <w:rFonts w:ascii="Times New Roman" w:eastAsia="Times New Roman" w:hAnsi="Times New Roman" w:cs="Times New Roman"/>
          <w:i/>
          <w:sz w:val="24"/>
          <w:szCs w:val="24"/>
          <w:lang w:val="en-GB"/>
        </w:rPr>
        <w:t xml:space="preserve">What is monetary policy and why is it </w:t>
      </w:r>
      <w:proofErr w:type="gramStart"/>
      <w:r w:rsidRPr="00E300D7">
        <w:rPr>
          <w:rFonts w:ascii="Times New Roman" w:eastAsia="Times New Roman" w:hAnsi="Times New Roman" w:cs="Times New Roman"/>
          <w:i/>
          <w:sz w:val="24"/>
          <w:szCs w:val="24"/>
          <w:lang w:val="en-GB"/>
        </w:rPr>
        <w:t>important?</w:t>
      </w:r>
      <w:r w:rsidRPr="00E300D7">
        <w:rPr>
          <w:rFonts w:ascii="Times New Roman" w:eastAsia="Times New Roman" w:hAnsi="Times New Roman" w:cs="Times New Roman"/>
          <w:sz w:val="24"/>
          <w:szCs w:val="24"/>
          <w:lang w:val="en-GB"/>
        </w:rPr>
        <w:t>,</w:t>
      </w:r>
      <w:proofErr w:type="gramEnd"/>
      <w:r w:rsidRPr="00E300D7">
        <w:rPr>
          <w:rFonts w:ascii="Times New Roman" w:eastAsia="Times New Roman" w:hAnsi="Times New Roman" w:cs="Times New Roman"/>
          <w:sz w:val="24"/>
          <w:szCs w:val="24"/>
          <w:lang w:val="en-GB"/>
        </w:rPr>
        <w:t xml:space="preserve"> Available at: https://www.imf.org/en/About/Factsheets/Sheets/2023/monetary-policy-and-central-banking [Accessed on: 19-05-2023]</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Imf.org, (2022),</w:t>
      </w:r>
      <w:r w:rsidRPr="00E300D7">
        <w:rPr>
          <w:i/>
          <w:iCs/>
          <w:color w:val="000000"/>
          <w:lang w:val="en-GB"/>
        </w:rPr>
        <w:t xml:space="preserve"> From 1980s Debt Crisis to Crypto Era, Financial Stability Monitoring is Always Evolving</w:t>
      </w:r>
      <w:r w:rsidRPr="00E300D7">
        <w:rPr>
          <w:color w:val="000000"/>
          <w:lang w:val="en-GB"/>
        </w:rPr>
        <w:t>, Available at:</w:t>
      </w:r>
      <w:r w:rsidRPr="00E300D7">
        <w:rPr>
          <w:i/>
          <w:iCs/>
          <w:color w:val="000000"/>
          <w:lang w:val="en-GB"/>
        </w:rPr>
        <w:t xml:space="preserve"> </w:t>
      </w:r>
      <w:r w:rsidRPr="00E300D7">
        <w:rPr>
          <w:color w:val="000000"/>
          <w:lang w:val="en-GB"/>
        </w:rPr>
        <w:t>https://www.imf.org/en/Blogs/Articles/2022/06/22/from-1980s-debt-crisis-to-crypto-era-financial-stability-monitoring-is-always-evolving, [Accessed on: 19.05.2023]</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Investorschronicle.co.uk (2022), </w:t>
      </w:r>
      <w:r w:rsidRPr="00E300D7">
        <w:rPr>
          <w:rFonts w:ascii="Times New Roman" w:eastAsia="Times New Roman" w:hAnsi="Times New Roman" w:cs="Times New Roman"/>
          <w:i/>
          <w:sz w:val="24"/>
          <w:szCs w:val="24"/>
          <w:lang w:val="en-GB"/>
        </w:rPr>
        <w:t>SVB collapse: list of UK equities exposed</w:t>
      </w:r>
      <w:r w:rsidRPr="00E300D7">
        <w:rPr>
          <w:rFonts w:ascii="Times New Roman" w:eastAsia="Times New Roman" w:hAnsi="Times New Roman" w:cs="Times New Roman"/>
          <w:sz w:val="24"/>
          <w:szCs w:val="24"/>
          <w:lang w:val="en-GB"/>
        </w:rPr>
        <w:t>, Available at: https://www.investorschronicle.co.uk/news/2023/03/13/svb-collapse-list-of-uk-equities-exposed/ [Accessed on: 19-05-2023]</w:t>
      </w:r>
    </w:p>
    <w:p w:rsidR="008A4E78" w:rsidRPr="00E300D7" w:rsidRDefault="008A4E78" w:rsidP="00AA487C">
      <w:pPr>
        <w:pStyle w:val="Normal3"/>
        <w:spacing w:after="240" w:line="360" w:lineRule="auto"/>
        <w:jc w:val="both"/>
        <w:rPr>
          <w:sz w:val="24"/>
          <w:szCs w:val="24"/>
          <w:lang w:val="en-GB"/>
        </w:rPr>
      </w:pPr>
      <w:proofErr w:type="spellStart"/>
      <w:r w:rsidRPr="00E300D7">
        <w:rPr>
          <w:rFonts w:ascii="Times New Roman" w:hAnsi="Times New Roman" w:cs="Times New Roman"/>
          <w:sz w:val="24"/>
          <w:szCs w:val="24"/>
          <w:shd w:val="clear" w:color="auto" w:fill="FFFFFF"/>
          <w:lang w:val="en-GB"/>
        </w:rPr>
        <w:lastRenderedPageBreak/>
        <w:t>Jabeur</w:t>
      </w:r>
      <w:proofErr w:type="spellEnd"/>
      <w:r w:rsidRPr="00E300D7">
        <w:rPr>
          <w:rFonts w:ascii="Times New Roman" w:hAnsi="Times New Roman" w:cs="Times New Roman"/>
          <w:sz w:val="24"/>
          <w:szCs w:val="24"/>
          <w:shd w:val="clear" w:color="auto" w:fill="FFFFFF"/>
          <w:lang w:val="en-GB"/>
        </w:rPr>
        <w:t xml:space="preserve">, S.B., </w:t>
      </w:r>
      <w:proofErr w:type="spellStart"/>
      <w:r w:rsidRPr="00E300D7">
        <w:rPr>
          <w:rFonts w:ascii="Times New Roman" w:hAnsi="Times New Roman" w:cs="Times New Roman"/>
          <w:sz w:val="24"/>
          <w:szCs w:val="24"/>
          <w:shd w:val="clear" w:color="auto" w:fill="FFFFFF"/>
          <w:lang w:val="en-GB"/>
        </w:rPr>
        <w:t>Mefteh-Wali</w:t>
      </w:r>
      <w:proofErr w:type="spellEnd"/>
      <w:r w:rsidRPr="00E300D7">
        <w:rPr>
          <w:rFonts w:ascii="Times New Roman" w:hAnsi="Times New Roman" w:cs="Times New Roman"/>
          <w:sz w:val="24"/>
          <w:szCs w:val="24"/>
          <w:shd w:val="clear" w:color="auto" w:fill="FFFFFF"/>
          <w:lang w:val="en-GB"/>
        </w:rPr>
        <w:t xml:space="preserve">, S. and Viviani, J.L., (2021). Forecasting gold price with the </w:t>
      </w:r>
      <w:proofErr w:type="spellStart"/>
      <w:r w:rsidRPr="00E300D7">
        <w:rPr>
          <w:rFonts w:ascii="Times New Roman" w:hAnsi="Times New Roman" w:cs="Times New Roman"/>
          <w:sz w:val="24"/>
          <w:szCs w:val="24"/>
          <w:shd w:val="clear" w:color="auto" w:fill="FFFFFF"/>
          <w:lang w:val="en-GB"/>
        </w:rPr>
        <w:t>XGBoost</w:t>
      </w:r>
      <w:proofErr w:type="spellEnd"/>
      <w:r w:rsidRPr="00E300D7">
        <w:rPr>
          <w:rFonts w:ascii="Times New Roman" w:hAnsi="Times New Roman" w:cs="Times New Roman"/>
          <w:sz w:val="24"/>
          <w:szCs w:val="24"/>
          <w:shd w:val="clear" w:color="auto" w:fill="FFFFFF"/>
          <w:lang w:val="en-GB"/>
        </w:rPr>
        <w:t xml:space="preserve"> algorithm and SHAP interaction values. </w:t>
      </w:r>
      <w:r w:rsidRPr="00E300D7">
        <w:rPr>
          <w:rFonts w:ascii="Times New Roman" w:hAnsi="Times New Roman" w:cs="Times New Roman"/>
          <w:i/>
          <w:iCs/>
          <w:sz w:val="24"/>
          <w:szCs w:val="24"/>
          <w:shd w:val="clear" w:color="auto" w:fill="FFFFFF"/>
          <w:lang w:val="en-GB"/>
        </w:rPr>
        <w:t>Annals of Operations Research</w:t>
      </w:r>
      <w:r w:rsidRPr="00E300D7">
        <w:rPr>
          <w:rFonts w:ascii="Times New Roman" w:hAnsi="Times New Roman" w:cs="Times New Roman"/>
          <w:sz w:val="24"/>
          <w:szCs w:val="24"/>
          <w:shd w:val="clear" w:color="auto" w:fill="FFFFFF"/>
          <w:lang w:val="en-GB"/>
        </w:rPr>
        <w:t>, pp.1-21.</w:t>
      </w:r>
    </w:p>
    <w:p w:rsidR="008A4E78" w:rsidRPr="00E300D7" w:rsidRDefault="008A4E78" w:rsidP="008A4E78">
      <w:pPr>
        <w:pStyle w:val="NormalWeb"/>
        <w:spacing w:before="200" w:beforeAutospacing="0" w:after="0" w:afterAutospacing="0" w:line="360" w:lineRule="auto"/>
        <w:jc w:val="both"/>
        <w:rPr>
          <w:lang w:val="en-GB"/>
        </w:rPr>
      </w:pPr>
      <w:proofErr w:type="spellStart"/>
      <w:r w:rsidRPr="00E300D7">
        <w:rPr>
          <w:color w:val="000000"/>
          <w:lang w:val="en-GB"/>
        </w:rPr>
        <w:t>Jeevanandam</w:t>
      </w:r>
      <w:proofErr w:type="spellEnd"/>
      <w:r w:rsidRPr="00E300D7">
        <w:rPr>
          <w:color w:val="000000"/>
          <w:lang w:val="en-GB"/>
        </w:rPr>
        <w:t xml:space="preserve">, C., (2020). </w:t>
      </w:r>
      <w:r w:rsidRPr="00E300D7">
        <w:rPr>
          <w:i/>
          <w:iCs/>
          <w:color w:val="000000"/>
          <w:lang w:val="en-GB"/>
        </w:rPr>
        <w:t xml:space="preserve">Foreign Exchange &amp; Risk Management. </w:t>
      </w:r>
      <w:r w:rsidRPr="00E300D7">
        <w:rPr>
          <w:color w:val="000000"/>
          <w:lang w:val="en-GB"/>
        </w:rPr>
        <w:t>Sultan Chand &amp; Sons.</w:t>
      </w:r>
    </w:p>
    <w:p w:rsidR="008A4E78" w:rsidRPr="00E300D7" w:rsidRDefault="008A4E78" w:rsidP="00AA487C">
      <w:pPr>
        <w:spacing w:after="240"/>
        <w:rPr>
          <w:b/>
          <w:shd w:val="clear" w:color="auto" w:fill="FFFFFF"/>
          <w:lang w:val="en-GB"/>
        </w:rPr>
      </w:pPr>
      <w:bookmarkStart w:id="205" w:name="_Toc135334446"/>
      <w:bookmarkStart w:id="206" w:name="_Toc135417685"/>
      <w:bookmarkStart w:id="207" w:name="_Toc135418947"/>
      <w:proofErr w:type="spellStart"/>
      <w:r w:rsidRPr="00E300D7">
        <w:rPr>
          <w:shd w:val="clear" w:color="auto" w:fill="FFFFFF"/>
          <w:lang w:val="en-GB"/>
        </w:rPr>
        <w:t>Keshtgar</w:t>
      </w:r>
      <w:proofErr w:type="spellEnd"/>
      <w:r w:rsidRPr="00E300D7">
        <w:rPr>
          <w:shd w:val="clear" w:color="auto" w:fill="FFFFFF"/>
          <w:lang w:val="en-GB"/>
        </w:rPr>
        <w:t xml:space="preserve">, N., </w:t>
      </w:r>
      <w:proofErr w:type="spellStart"/>
      <w:r w:rsidRPr="00E300D7">
        <w:rPr>
          <w:shd w:val="clear" w:color="auto" w:fill="FFFFFF"/>
          <w:lang w:val="en-GB"/>
        </w:rPr>
        <w:t>Pahlavani</w:t>
      </w:r>
      <w:proofErr w:type="spellEnd"/>
      <w:r w:rsidRPr="00E300D7">
        <w:rPr>
          <w:shd w:val="clear" w:color="auto" w:fill="FFFFFF"/>
          <w:lang w:val="en-GB"/>
        </w:rPr>
        <w:t xml:space="preserve">, M. and </w:t>
      </w:r>
      <w:proofErr w:type="spellStart"/>
      <w:r w:rsidRPr="00E300D7">
        <w:rPr>
          <w:shd w:val="clear" w:color="auto" w:fill="FFFFFF"/>
          <w:lang w:val="en-GB"/>
        </w:rPr>
        <w:t>Mirjalili</w:t>
      </w:r>
      <w:proofErr w:type="spellEnd"/>
      <w:r w:rsidRPr="00E300D7">
        <w:rPr>
          <w:shd w:val="clear" w:color="auto" w:fill="FFFFFF"/>
          <w:lang w:val="en-GB"/>
        </w:rPr>
        <w:t>, S.H., (2020). The impact of exchange rate volatility on banking performance (case of Iran). </w:t>
      </w:r>
      <w:r w:rsidRPr="00E300D7">
        <w:rPr>
          <w:i/>
          <w:iCs/>
          <w:shd w:val="clear" w:color="auto" w:fill="FFFFFF"/>
          <w:lang w:val="en-GB"/>
        </w:rPr>
        <w:t>International Journal of Business and Development Studies</w:t>
      </w:r>
      <w:r w:rsidRPr="00E300D7">
        <w:rPr>
          <w:shd w:val="clear" w:color="auto" w:fill="FFFFFF"/>
          <w:lang w:val="en-GB"/>
        </w:rPr>
        <w:t>, </w:t>
      </w:r>
      <w:r w:rsidRPr="00E300D7">
        <w:rPr>
          <w:i/>
          <w:iCs/>
          <w:shd w:val="clear" w:color="auto" w:fill="FFFFFF"/>
          <w:lang w:val="en-GB"/>
        </w:rPr>
        <w:t>12</w:t>
      </w:r>
      <w:r w:rsidRPr="00E300D7">
        <w:rPr>
          <w:shd w:val="clear" w:color="auto" w:fill="FFFFFF"/>
          <w:lang w:val="en-GB"/>
        </w:rPr>
        <w:t>(1), pp.39-56.</w:t>
      </w:r>
      <w:bookmarkEnd w:id="205"/>
      <w:bookmarkEnd w:id="206"/>
      <w:bookmarkEnd w:id="207"/>
    </w:p>
    <w:p w:rsidR="008A4E78" w:rsidRPr="00E300D7" w:rsidRDefault="008A4E78" w:rsidP="00AA487C">
      <w:pPr>
        <w:spacing w:after="240"/>
        <w:rPr>
          <w:b/>
          <w:shd w:val="clear" w:color="auto" w:fill="FFFFFF"/>
          <w:lang w:val="en-GB"/>
        </w:rPr>
      </w:pPr>
      <w:bookmarkStart w:id="208" w:name="_Toc135334447"/>
      <w:bookmarkStart w:id="209" w:name="_Toc135417686"/>
      <w:bookmarkStart w:id="210" w:name="_Toc135418948"/>
      <w:r w:rsidRPr="00E300D7">
        <w:rPr>
          <w:shd w:val="clear" w:color="auto" w:fill="FFFFFF"/>
          <w:lang w:val="en-GB"/>
        </w:rPr>
        <w:t xml:space="preserve">Lawal, A.I., Salisu, A.A., </w:t>
      </w:r>
      <w:proofErr w:type="spellStart"/>
      <w:r w:rsidRPr="00E300D7">
        <w:rPr>
          <w:shd w:val="clear" w:color="auto" w:fill="FFFFFF"/>
          <w:lang w:val="en-GB"/>
        </w:rPr>
        <w:t>Asaleye</w:t>
      </w:r>
      <w:proofErr w:type="spellEnd"/>
      <w:r w:rsidRPr="00E300D7">
        <w:rPr>
          <w:shd w:val="clear" w:color="auto" w:fill="FFFFFF"/>
          <w:lang w:val="en-GB"/>
        </w:rPr>
        <w:t xml:space="preserve">, A.J., </w:t>
      </w:r>
      <w:proofErr w:type="spellStart"/>
      <w:r w:rsidRPr="00E300D7">
        <w:rPr>
          <w:shd w:val="clear" w:color="auto" w:fill="FFFFFF"/>
          <w:lang w:val="en-GB"/>
        </w:rPr>
        <w:t>Oseni</w:t>
      </w:r>
      <w:proofErr w:type="spellEnd"/>
      <w:r w:rsidRPr="00E300D7">
        <w:rPr>
          <w:shd w:val="clear" w:color="auto" w:fill="FFFFFF"/>
          <w:lang w:val="en-GB"/>
        </w:rPr>
        <w:t xml:space="preserve">, E., Lawal-Adedoyin, B.B., </w:t>
      </w:r>
      <w:proofErr w:type="spellStart"/>
      <w:r w:rsidRPr="00E300D7">
        <w:rPr>
          <w:shd w:val="clear" w:color="auto" w:fill="FFFFFF"/>
          <w:lang w:val="en-GB"/>
        </w:rPr>
        <w:t>Dahunsi</w:t>
      </w:r>
      <w:proofErr w:type="spellEnd"/>
      <w:r w:rsidRPr="00E300D7">
        <w:rPr>
          <w:shd w:val="clear" w:color="auto" w:fill="FFFFFF"/>
          <w:lang w:val="en-GB"/>
        </w:rPr>
        <w:t xml:space="preserve">, S.O., </w:t>
      </w:r>
      <w:proofErr w:type="spellStart"/>
      <w:r w:rsidRPr="00E300D7">
        <w:rPr>
          <w:shd w:val="clear" w:color="auto" w:fill="FFFFFF"/>
          <w:lang w:val="en-GB"/>
        </w:rPr>
        <w:t>Omoju</w:t>
      </w:r>
      <w:proofErr w:type="spellEnd"/>
      <w:r w:rsidRPr="00E300D7">
        <w:rPr>
          <w:shd w:val="clear" w:color="auto" w:fill="FFFFFF"/>
          <w:lang w:val="en-GB"/>
        </w:rPr>
        <w:t xml:space="preserve">, E.O., </w:t>
      </w:r>
      <w:proofErr w:type="spellStart"/>
      <w:r w:rsidRPr="00E300D7">
        <w:rPr>
          <w:shd w:val="clear" w:color="auto" w:fill="FFFFFF"/>
          <w:lang w:val="en-GB"/>
        </w:rPr>
        <w:t>DickTonye</w:t>
      </w:r>
      <w:proofErr w:type="spellEnd"/>
      <w:r w:rsidRPr="00E300D7">
        <w:rPr>
          <w:shd w:val="clear" w:color="auto" w:fill="FFFFFF"/>
          <w:lang w:val="en-GB"/>
        </w:rPr>
        <w:t xml:space="preserve">, A.O., </w:t>
      </w:r>
      <w:proofErr w:type="spellStart"/>
      <w:r w:rsidRPr="00E300D7">
        <w:rPr>
          <w:shd w:val="clear" w:color="auto" w:fill="FFFFFF"/>
          <w:lang w:val="en-GB"/>
        </w:rPr>
        <w:t>Ogunwole</w:t>
      </w:r>
      <w:proofErr w:type="spellEnd"/>
      <w:r w:rsidRPr="00E300D7">
        <w:rPr>
          <w:shd w:val="clear" w:color="auto" w:fill="FFFFFF"/>
          <w:lang w:val="en-GB"/>
        </w:rPr>
        <w:t>, E.B. and Babajide, A.A., (2022). Economic Growth, Exchange Rate and Remittance Nexus: Evidence from Africa. </w:t>
      </w:r>
      <w:r w:rsidRPr="00E300D7">
        <w:rPr>
          <w:i/>
          <w:iCs/>
          <w:shd w:val="clear" w:color="auto" w:fill="FFFFFF"/>
          <w:lang w:val="en-GB"/>
        </w:rPr>
        <w:t>Journal of Risk and Financial Management</w:t>
      </w:r>
      <w:r w:rsidRPr="00E300D7">
        <w:rPr>
          <w:shd w:val="clear" w:color="auto" w:fill="FFFFFF"/>
          <w:lang w:val="en-GB"/>
        </w:rPr>
        <w:t>, </w:t>
      </w:r>
      <w:r w:rsidRPr="00E300D7">
        <w:rPr>
          <w:i/>
          <w:iCs/>
          <w:shd w:val="clear" w:color="auto" w:fill="FFFFFF"/>
          <w:lang w:val="en-GB"/>
        </w:rPr>
        <w:t>15</w:t>
      </w:r>
      <w:r w:rsidRPr="00E300D7">
        <w:rPr>
          <w:shd w:val="clear" w:color="auto" w:fill="FFFFFF"/>
          <w:lang w:val="en-GB"/>
        </w:rPr>
        <w:t>(6), p.235.</w:t>
      </w:r>
      <w:bookmarkEnd w:id="208"/>
      <w:bookmarkEnd w:id="209"/>
      <w:bookmarkEnd w:id="210"/>
    </w:p>
    <w:p w:rsidR="008A4E78" w:rsidRPr="00E300D7" w:rsidRDefault="008A4E78" w:rsidP="00AA487C">
      <w:pPr>
        <w:spacing w:after="240"/>
        <w:rPr>
          <w:b/>
          <w:shd w:val="clear" w:color="auto" w:fill="FFFFFF"/>
          <w:lang w:val="en-GB"/>
        </w:rPr>
      </w:pPr>
      <w:bookmarkStart w:id="211" w:name="_Toc135334448"/>
      <w:bookmarkStart w:id="212" w:name="_Toc135417687"/>
      <w:bookmarkStart w:id="213" w:name="_Toc135418949"/>
      <w:r w:rsidRPr="00E300D7">
        <w:rPr>
          <w:shd w:val="clear" w:color="auto" w:fill="FFFFFF"/>
          <w:lang w:val="en-GB"/>
        </w:rPr>
        <w:t>Liao, G.Y., (2020). Credit migration and covered interest rate parity. </w:t>
      </w:r>
      <w:r w:rsidRPr="00E300D7">
        <w:rPr>
          <w:i/>
          <w:iCs/>
          <w:shd w:val="clear" w:color="auto" w:fill="FFFFFF"/>
          <w:lang w:val="en-GB"/>
        </w:rPr>
        <w:t>Journal of Financial Economics</w:t>
      </w:r>
      <w:r w:rsidRPr="00E300D7">
        <w:rPr>
          <w:shd w:val="clear" w:color="auto" w:fill="FFFFFF"/>
          <w:lang w:val="en-GB"/>
        </w:rPr>
        <w:t>, </w:t>
      </w:r>
      <w:r w:rsidRPr="00E300D7">
        <w:rPr>
          <w:i/>
          <w:iCs/>
          <w:shd w:val="clear" w:color="auto" w:fill="FFFFFF"/>
          <w:lang w:val="en-GB"/>
        </w:rPr>
        <w:t>138</w:t>
      </w:r>
      <w:r w:rsidRPr="00E300D7">
        <w:rPr>
          <w:shd w:val="clear" w:color="auto" w:fill="FFFFFF"/>
          <w:lang w:val="en-GB"/>
        </w:rPr>
        <w:t>(2), pp.504-525.</w:t>
      </w:r>
      <w:bookmarkEnd w:id="211"/>
      <w:bookmarkEnd w:id="212"/>
      <w:bookmarkEnd w:id="213"/>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Lin, H., Sun, Q., and Chen, S. Q. (2020). Reducing exchange rate risks in international trade: a hybrid forecasting approach of CEEMDAN and multilayer LSTM. </w:t>
      </w:r>
      <w:r w:rsidRPr="00E300D7">
        <w:rPr>
          <w:i/>
          <w:iCs/>
          <w:color w:val="000000"/>
          <w:lang w:val="en-GB"/>
        </w:rPr>
        <w:t xml:space="preserve">Sustainability, </w:t>
      </w:r>
      <w:r w:rsidRPr="00E300D7">
        <w:rPr>
          <w:color w:val="000000"/>
          <w:lang w:val="en-GB"/>
        </w:rPr>
        <w:t>12(6), 2451.</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Moran, T.H., (2019). FDI and Supply Chains in Horticulture: Diversifying Exports and Reducing Poverty in Africa, Latin America, and other Developing Economies. </w:t>
      </w:r>
      <w:r w:rsidRPr="00E300D7">
        <w:rPr>
          <w:i/>
          <w:iCs/>
          <w:color w:val="000000"/>
          <w:lang w:val="en-GB"/>
        </w:rPr>
        <w:t xml:space="preserve">Thailand and The World Economy, </w:t>
      </w:r>
      <w:r w:rsidRPr="00E300D7">
        <w:rPr>
          <w:color w:val="000000"/>
          <w:lang w:val="en-GB"/>
        </w:rPr>
        <w:t>37(3), pp.1-24.</w:t>
      </w:r>
    </w:p>
    <w:p w:rsidR="008A4E78" w:rsidRPr="00E300D7" w:rsidRDefault="008A4E78" w:rsidP="00AA487C">
      <w:pPr>
        <w:spacing w:after="240"/>
        <w:rPr>
          <w:b/>
          <w:shd w:val="clear" w:color="auto" w:fill="FFFFFF"/>
          <w:lang w:val="en-GB"/>
        </w:rPr>
      </w:pPr>
      <w:bookmarkStart w:id="214" w:name="_Toc135334449"/>
      <w:bookmarkStart w:id="215" w:name="_Toc135417688"/>
      <w:bookmarkStart w:id="216" w:name="_Toc135418950"/>
      <w:r w:rsidRPr="00E300D7">
        <w:rPr>
          <w:shd w:val="clear" w:color="auto" w:fill="FFFFFF"/>
          <w:lang w:val="en-GB"/>
        </w:rPr>
        <w:t>Morina, F., Hysa, E., Ergün, U., Panait, M. and Voica, M.C., (2020). The effect of exchange rate volatility on economic growth: Case of the CEE countries. </w:t>
      </w:r>
      <w:r w:rsidRPr="00E300D7">
        <w:rPr>
          <w:i/>
          <w:iCs/>
          <w:shd w:val="clear" w:color="auto" w:fill="FFFFFF"/>
          <w:lang w:val="en-GB"/>
        </w:rPr>
        <w:t>Journal of Risk and Financial Management</w:t>
      </w:r>
      <w:r w:rsidRPr="00E300D7">
        <w:rPr>
          <w:shd w:val="clear" w:color="auto" w:fill="FFFFFF"/>
          <w:lang w:val="en-GB"/>
        </w:rPr>
        <w:t>, </w:t>
      </w:r>
      <w:r w:rsidRPr="00E300D7">
        <w:rPr>
          <w:i/>
          <w:iCs/>
          <w:shd w:val="clear" w:color="auto" w:fill="FFFFFF"/>
          <w:lang w:val="en-GB"/>
        </w:rPr>
        <w:t>13</w:t>
      </w:r>
      <w:r w:rsidRPr="00E300D7">
        <w:rPr>
          <w:shd w:val="clear" w:color="auto" w:fill="FFFFFF"/>
          <w:lang w:val="en-GB"/>
        </w:rPr>
        <w:t>(8), p.177.</w:t>
      </w:r>
      <w:bookmarkEnd w:id="214"/>
      <w:bookmarkEnd w:id="215"/>
      <w:bookmarkEnd w:id="216"/>
    </w:p>
    <w:p w:rsidR="008A4E78" w:rsidRPr="00E300D7" w:rsidRDefault="008A4E78" w:rsidP="00AA487C">
      <w:pPr>
        <w:pStyle w:val="Normal3"/>
        <w:spacing w:before="200"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Nayak, M.S.D.P. and Narayan, K.A., (2019). Strengths and weaknesses of online surveys. </w:t>
      </w:r>
      <w:r w:rsidRPr="00E300D7">
        <w:rPr>
          <w:rFonts w:ascii="Times New Roman" w:eastAsia="Times New Roman" w:hAnsi="Times New Roman" w:cs="Times New Roman"/>
          <w:i/>
          <w:sz w:val="24"/>
          <w:szCs w:val="24"/>
          <w:lang w:val="en-GB"/>
        </w:rPr>
        <w:t xml:space="preserve">Technology, </w:t>
      </w:r>
      <w:r w:rsidRPr="00E300D7">
        <w:rPr>
          <w:rFonts w:ascii="Times New Roman" w:eastAsia="Times New Roman" w:hAnsi="Times New Roman" w:cs="Times New Roman"/>
          <w:sz w:val="24"/>
          <w:szCs w:val="24"/>
          <w:lang w:val="en-GB"/>
        </w:rPr>
        <w:t>6(7), pp.0837-2405053138.</w:t>
      </w:r>
    </w:p>
    <w:p w:rsidR="008A4E78" w:rsidRPr="00E300D7" w:rsidRDefault="008A4E78" w:rsidP="00AA487C">
      <w:pPr>
        <w:pStyle w:val="Normal3"/>
        <w:spacing w:before="240" w:after="240" w:line="360" w:lineRule="auto"/>
        <w:jc w:val="both"/>
        <w:rPr>
          <w:rFonts w:ascii="Times New Roman" w:hAnsi="Times New Roman" w:cs="Times New Roman"/>
          <w:sz w:val="24"/>
          <w:szCs w:val="24"/>
          <w:lang w:val="en-GB"/>
        </w:rPr>
      </w:pPr>
      <w:r w:rsidRPr="00E300D7">
        <w:rPr>
          <w:rFonts w:ascii="Times New Roman" w:hAnsi="Times New Roman" w:cs="Times New Roman"/>
          <w:color w:val="222222"/>
          <w:sz w:val="24"/>
          <w:szCs w:val="24"/>
          <w:highlight w:val="white"/>
          <w:lang w:val="en-GB"/>
        </w:rPr>
        <w:t xml:space="preserve">Newman, M. and Gough, D., </w:t>
      </w:r>
      <w:proofErr w:type="gramStart"/>
      <w:r w:rsidRPr="00E300D7">
        <w:rPr>
          <w:rFonts w:ascii="Times New Roman" w:hAnsi="Times New Roman" w:cs="Times New Roman"/>
          <w:color w:val="222222"/>
          <w:sz w:val="24"/>
          <w:szCs w:val="24"/>
          <w:highlight w:val="white"/>
          <w:lang w:val="en-GB"/>
        </w:rPr>
        <w:t>( 2020</w:t>
      </w:r>
      <w:proofErr w:type="gramEnd"/>
      <w:r w:rsidRPr="00E300D7">
        <w:rPr>
          <w:rFonts w:ascii="Times New Roman" w:hAnsi="Times New Roman" w:cs="Times New Roman"/>
          <w:color w:val="222222"/>
          <w:sz w:val="24"/>
          <w:szCs w:val="24"/>
          <w:highlight w:val="white"/>
          <w:lang w:val="en-GB"/>
        </w:rPr>
        <w:t xml:space="preserve">). Systematic reviews in educational research: Methodology, perspectives and application. </w:t>
      </w:r>
      <w:r w:rsidRPr="00E300D7">
        <w:rPr>
          <w:rFonts w:ascii="Times New Roman" w:hAnsi="Times New Roman" w:cs="Times New Roman"/>
          <w:i/>
          <w:sz w:val="24"/>
          <w:szCs w:val="24"/>
          <w:lang w:val="en-GB"/>
        </w:rPr>
        <w:t>Systematic reviews in educational research: Methodology, perspectives and application</w:t>
      </w:r>
      <w:r w:rsidRPr="00E300D7">
        <w:rPr>
          <w:rFonts w:ascii="Times New Roman" w:hAnsi="Times New Roman" w:cs="Times New Roman"/>
          <w:sz w:val="24"/>
          <w:szCs w:val="24"/>
          <w:lang w:val="en-GB"/>
        </w:rPr>
        <w:t>, pp.3-22.</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lastRenderedPageBreak/>
        <w:t>Oecd.org, (2023),</w:t>
      </w:r>
      <w:r w:rsidRPr="00E300D7">
        <w:rPr>
          <w:i/>
          <w:iCs/>
          <w:color w:val="000000"/>
          <w:lang w:val="en-GB"/>
        </w:rPr>
        <w:t xml:space="preserve"> The Future of Investment Treaties</w:t>
      </w:r>
      <w:r w:rsidRPr="00E300D7">
        <w:rPr>
          <w:color w:val="000000"/>
          <w:lang w:val="en-GB"/>
        </w:rPr>
        <w:t>, Available at: https://www.oecd.org/investment/investment-policy/investment-treaties.htm#:~:text=Investment%20treaties%20are%20an%20important,investment%20provisions%20of%20trade%20agreements</w:t>
      </w:r>
      <w:proofErr w:type="gramStart"/>
      <w:r w:rsidRPr="00E300D7">
        <w:rPr>
          <w:color w:val="000000"/>
          <w:lang w:val="en-GB"/>
        </w:rPr>
        <w:t>.,  [</w:t>
      </w:r>
      <w:proofErr w:type="gramEnd"/>
      <w:r w:rsidRPr="00E300D7">
        <w:rPr>
          <w:color w:val="000000"/>
          <w:lang w:val="en-GB"/>
        </w:rPr>
        <w:t>Accessed on: 19.05.2023]</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Ons.gov.uk, (2020), </w:t>
      </w:r>
      <w:r w:rsidRPr="00E300D7">
        <w:rPr>
          <w:i/>
          <w:iCs/>
          <w:color w:val="000000"/>
          <w:lang w:val="en-GB"/>
        </w:rPr>
        <w:t>Foreign direct investment involving UK companies: 2019</w:t>
      </w:r>
      <w:r w:rsidRPr="00E300D7">
        <w:rPr>
          <w:color w:val="000000"/>
          <w:lang w:val="en-GB"/>
        </w:rPr>
        <w:t xml:space="preserve">, Available at: </w:t>
      </w:r>
      <w:proofErr w:type="gramStart"/>
      <w:r w:rsidRPr="00E300D7">
        <w:rPr>
          <w:color w:val="000000"/>
          <w:lang w:val="en-GB"/>
        </w:rPr>
        <w:t>https://www.ons.gov.uk/economy/nationalaccounts/balanceofpayments/bulletins/foreigndirectinvestmentinvolvingukcompanies/2019,  [</w:t>
      </w:r>
      <w:proofErr w:type="gramEnd"/>
      <w:r w:rsidRPr="00E300D7">
        <w:rPr>
          <w:color w:val="000000"/>
          <w:lang w:val="en-GB"/>
        </w:rPr>
        <w:t>Accessed on: 19.05.2023]</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Pan, L., Wang, L. and Feng, Q., (2022). A Bibliometric Analysis of Risk Management in Foreign Direct Investment: Insights and Implications. </w:t>
      </w:r>
      <w:r w:rsidRPr="00E300D7">
        <w:rPr>
          <w:i/>
          <w:iCs/>
          <w:color w:val="000000"/>
          <w:lang w:val="en-GB"/>
        </w:rPr>
        <w:t>Sustainability,</w:t>
      </w:r>
      <w:r w:rsidRPr="00E300D7">
        <w:rPr>
          <w:color w:val="000000"/>
          <w:lang w:val="en-GB"/>
        </w:rPr>
        <w:t xml:space="preserve"> 14(12), p.7078.</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Papanastasiou, T.N., (2021). The Implications of Political Risk Insurance in the Governance of Energy Projects: </w:t>
      </w:r>
      <w:proofErr w:type="spellStart"/>
      <w:r w:rsidRPr="00E300D7">
        <w:rPr>
          <w:color w:val="000000"/>
          <w:lang w:val="en-GB"/>
        </w:rPr>
        <w:t>Τhe</w:t>
      </w:r>
      <w:proofErr w:type="spellEnd"/>
      <w:r w:rsidRPr="00E300D7">
        <w:rPr>
          <w:color w:val="000000"/>
          <w:lang w:val="en-GB"/>
        </w:rPr>
        <w:t xml:space="preserve"> Case of Japan’s Public Insurance Agencies. </w:t>
      </w:r>
      <w:r w:rsidRPr="00E300D7">
        <w:rPr>
          <w:i/>
          <w:iCs/>
          <w:color w:val="000000"/>
          <w:lang w:val="en-GB"/>
        </w:rPr>
        <w:t xml:space="preserve">Public Actors in International Investment Law, </w:t>
      </w:r>
      <w:r w:rsidRPr="00E300D7">
        <w:rPr>
          <w:color w:val="000000"/>
          <w:lang w:val="en-GB"/>
        </w:rPr>
        <w:t>pp.155-178.</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Parliament.uk (2021), </w:t>
      </w:r>
      <w:r w:rsidRPr="00E300D7">
        <w:rPr>
          <w:rFonts w:ascii="Times New Roman" w:eastAsia="Times New Roman" w:hAnsi="Times New Roman" w:cs="Times New Roman"/>
          <w:i/>
          <w:sz w:val="24"/>
          <w:szCs w:val="24"/>
          <w:lang w:val="en-GB"/>
        </w:rPr>
        <w:t>Geographical Pattern of UK Trade</w:t>
      </w:r>
      <w:r w:rsidRPr="00E300D7">
        <w:rPr>
          <w:rFonts w:ascii="Times New Roman" w:eastAsia="Times New Roman" w:hAnsi="Times New Roman" w:cs="Times New Roman"/>
          <w:sz w:val="24"/>
          <w:szCs w:val="24"/>
          <w:lang w:val="en-GB"/>
        </w:rPr>
        <w:t>, Available at: https://researchbriefings.files.parliament.uk/documents/CBP-7593/CBP-7593.pdf [Accessed on: 19-05-2023]</w:t>
      </w:r>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Parliament.uk (2022), </w:t>
      </w:r>
      <w:r w:rsidRPr="00E300D7">
        <w:rPr>
          <w:rFonts w:ascii="Times New Roman" w:hAnsi="Times New Roman" w:cs="Times New Roman"/>
          <w:i/>
          <w:sz w:val="24"/>
          <w:szCs w:val="24"/>
          <w:lang w:val="en-GB"/>
        </w:rPr>
        <w:t>EMERGENCY LAWS (TRANSITIONAL PROVISIONS) BILL,</w:t>
      </w:r>
      <w:r w:rsidRPr="00E300D7">
        <w:rPr>
          <w:rFonts w:ascii="Times New Roman" w:hAnsi="Times New Roman" w:cs="Times New Roman"/>
          <w:sz w:val="24"/>
          <w:szCs w:val="24"/>
          <w:lang w:val="en-GB"/>
        </w:rPr>
        <w:t xml:space="preserve"> Available at: https://api.parliament.uk/historic-hansard/commons/1945/nov/20/emergency-laws-transitional-provisions [Accessed on: 18-05-2023]</w:t>
      </w:r>
    </w:p>
    <w:p w:rsidR="008A4E78" w:rsidRPr="00E300D7" w:rsidRDefault="008A4E78" w:rsidP="00AA487C">
      <w:pPr>
        <w:pStyle w:val="Normal3"/>
        <w:spacing w:before="240"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Patel, M. and Patel, N., (2019). Exploring Research Methodology. </w:t>
      </w:r>
      <w:r w:rsidRPr="00E300D7">
        <w:rPr>
          <w:rFonts w:ascii="Times New Roman" w:hAnsi="Times New Roman" w:cs="Times New Roman"/>
          <w:i/>
          <w:sz w:val="24"/>
          <w:szCs w:val="24"/>
          <w:lang w:val="en-GB"/>
        </w:rPr>
        <w:t>International Journal of Research and Review</w:t>
      </w:r>
      <w:r w:rsidRPr="00E300D7">
        <w:rPr>
          <w:rFonts w:ascii="Times New Roman" w:hAnsi="Times New Roman" w:cs="Times New Roman"/>
          <w:sz w:val="24"/>
          <w:szCs w:val="24"/>
          <w:lang w:val="en-GB"/>
        </w:rPr>
        <w:t xml:space="preserve">, </w:t>
      </w:r>
      <w:r w:rsidRPr="00E300D7">
        <w:rPr>
          <w:rFonts w:ascii="Times New Roman" w:hAnsi="Times New Roman" w:cs="Times New Roman"/>
          <w:i/>
          <w:sz w:val="24"/>
          <w:szCs w:val="24"/>
          <w:lang w:val="en-GB"/>
        </w:rPr>
        <w:t>6</w:t>
      </w:r>
      <w:r w:rsidRPr="00E300D7">
        <w:rPr>
          <w:rFonts w:ascii="Times New Roman" w:hAnsi="Times New Roman" w:cs="Times New Roman"/>
          <w:sz w:val="24"/>
          <w:szCs w:val="24"/>
          <w:lang w:val="en-GB"/>
        </w:rPr>
        <w:t>(3), pp.48-55.</w:t>
      </w:r>
    </w:p>
    <w:p w:rsidR="008A4E78" w:rsidRPr="00E300D7" w:rsidRDefault="008A4E78" w:rsidP="00AA487C">
      <w:pPr>
        <w:spacing w:after="240"/>
        <w:rPr>
          <w:b/>
          <w:shd w:val="clear" w:color="auto" w:fill="FFFFFF"/>
          <w:lang w:val="en-GB"/>
        </w:rPr>
      </w:pPr>
      <w:bookmarkStart w:id="217" w:name="_Toc135334450"/>
      <w:bookmarkStart w:id="218" w:name="_Toc135417689"/>
      <w:bookmarkStart w:id="219" w:name="_Toc135418951"/>
      <w:proofErr w:type="spellStart"/>
      <w:r w:rsidRPr="00E300D7">
        <w:rPr>
          <w:shd w:val="clear" w:color="auto" w:fill="FFFFFF"/>
          <w:lang w:val="en-GB"/>
        </w:rPr>
        <w:t>Plíhal</w:t>
      </w:r>
      <w:proofErr w:type="spellEnd"/>
      <w:r w:rsidRPr="00E300D7">
        <w:rPr>
          <w:shd w:val="clear" w:color="auto" w:fill="FFFFFF"/>
          <w:lang w:val="en-GB"/>
        </w:rPr>
        <w:t>, T., (2021). Scheduled macroeconomic news announcements and Forex volatility forecasting. </w:t>
      </w:r>
      <w:r w:rsidRPr="00E300D7">
        <w:rPr>
          <w:i/>
          <w:iCs/>
          <w:shd w:val="clear" w:color="auto" w:fill="FFFFFF"/>
          <w:lang w:val="en-GB"/>
        </w:rPr>
        <w:t>Journal of Forecasting</w:t>
      </w:r>
      <w:r w:rsidRPr="00E300D7">
        <w:rPr>
          <w:shd w:val="clear" w:color="auto" w:fill="FFFFFF"/>
          <w:lang w:val="en-GB"/>
        </w:rPr>
        <w:t>, </w:t>
      </w:r>
      <w:r w:rsidRPr="00E300D7">
        <w:rPr>
          <w:i/>
          <w:iCs/>
          <w:shd w:val="clear" w:color="auto" w:fill="FFFFFF"/>
          <w:lang w:val="en-GB"/>
        </w:rPr>
        <w:t>40</w:t>
      </w:r>
      <w:r w:rsidRPr="00E300D7">
        <w:rPr>
          <w:shd w:val="clear" w:color="auto" w:fill="FFFFFF"/>
          <w:lang w:val="en-GB"/>
        </w:rPr>
        <w:t>(8), pp.1379-1397.</w:t>
      </w:r>
      <w:bookmarkEnd w:id="217"/>
      <w:bookmarkEnd w:id="218"/>
      <w:bookmarkEnd w:id="219"/>
    </w:p>
    <w:p w:rsidR="008A4E78" w:rsidRPr="00E300D7" w:rsidRDefault="008A4E78" w:rsidP="008A4E78">
      <w:pPr>
        <w:pStyle w:val="NormalWeb"/>
        <w:spacing w:before="200" w:beforeAutospacing="0" w:after="0" w:afterAutospacing="0" w:line="360" w:lineRule="auto"/>
        <w:jc w:val="both"/>
        <w:rPr>
          <w:lang w:val="en-GB"/>
        </w:rPr>
      </w:pPr>
      <w:proofErr w:type="spellStart"/>
      <w:r w:rsidRPr="00E300D7">
        <w:rPr>
          <w:color w:val="000000"/>
          <w:lang w:val="en-GB"/>
        </w:rPr>
        <w:t>Poufinas</w:t>
      </w:r>
      <w:proofErr w:type="spellEnd"/>
      <w:r w:rsidRPr="00E300D7">
        <w:rPr>
          <w:color w:val="000000"/>
          <w:lang w:val="en-GB"/>
        </w:rPr>
        <w:t xml:space="preserve">, T., </w:t>
      </w:r>
      <w:proofErr w:type="spellStart"/>
      <w:r w:rsidRPr="00E300D7">
        <w:rPr>
          <w:color w:val="000000"/>
          <w:lang w:val="en-GB"/>
        </w:rPr>
        <w:t>Laskareli</w:t>
      </w:r>
      <w:proofErr w:type="spellEnd"/>
      <w:r w:rsidRPr="00E300D7">
        <w:rPr>
          <w:color w:val="000000"/>
          <w:lang w:val="en-GB"/>
        </w:rPr>
        <w:t xml:space="preserve">, A. and </w:t>
      </w:r>
      <w:proofErr w:type="spellStart"/>
      <w:r w:rsidRPr="00E300D7">
        <w:rPr>
          <w:color w:val="000000"/>
          <w:lang w:val="en-GB"/>
        </w:rPr>
        <w:t>Agiropoulos</w:t>
      </w:r>
      <w:proofErr w:type="spellEnd"/>
      <w:r w:rsidRPr="00E300D7">
        <w:rPr>
          <w:color w:val="000000"/>
          <w:lang w:val="en-GB"/>
        </w:rPr>
        <w:t xml:space="preserve">, C., (2023). Decreasing Corruption and Increasing Competitiveness through E-Government. </w:t>
      </w:r>
      <w:r w:rsidRPr="00E300D7">
        <w:rPr>
          <w:i/>
          <w:iCs/>
          <w:color w:val="000000"/>
          <w:lang w:val="en-GB"/>
        </w:rPr>
        <w:t xml:space="preserve">Theoretical Economics Letters, </w:t>
      </w:r>
      <w:r w:rsidRPr="00E300D7">
        <w:rPr>
          <w:color w:val="000000"/>
          <w:lang w:val="en-GB"/>
        </w:rPr>
        <w:t>13(2), pp.310-331.</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Qz.com (2022), </w:t>
      </w:r>
      <w:r w:rsidRPr="00E300D7">
        <w:rPr>
          <w:rFonts w:ascii="Times New Roman" w:eastAsia="Times New Roman" w:hAnsi="Times New Roman" w:cs="Times New Roman"/>
          <w:i/>
          <w:sz w:val="24"/>
          <w:szCs w:val="24"/>
          <w:lang w:val="en-GB"/>
        </w:rPr>
        <w:t>Explaining the UK's foreign-exchange reserves</w:t>
      </w:r>
      <w:r w:rsidRPr="00E300D7">
        <w:rPr>
          <w:rFonts w:ascii="Times New Roman" w:eastAsia="Times New Roman" w:hAnsi="Times New Roman" w:cs="Times New Roman"/>
          <w:sz w:val="24"/>
          <w:szCs w:val="24"/>
          <w:lang w:val="en-GB"/>
        </w:rPr>
        <w:t>, Available at: https://qz.com/explaining-the-uks-foreign-exchange-reserves-1849585374 [Accessed on: 19-05-2023]</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lastRenderedPageBreak/>
        <w:t xml:space="preserve">Raiter, O., (2021). </w:t>
      </w:r>
      <w:r w:rsidRPr="00E300D7">
        <w:rPr>
          <w:rFonts w:ascii="Times New Roman" w:eastAsia="Times New Roman" w:hAnsi="Times New Roman" w:cs="Times New Roman"/>
          <w:i/>
          <w:sz w:val="24"/>
          <w:szCs w:val="24"/>
          <w:lang w:val="en-GB"/>
        </w:rPr>
        <w:t>Macro-Economic and Bank-Specific Determinants of Credit Risk in Commercial Banks</w:t>
      </w:r>
      <w:r w:rsidRPr="00E300D7">
        <w:rPr>
          <w:rFonts w:ascii="Times New Roman" w:eastAsia="Times New Roman" w:hAnsi="Times New Roman" w:cs="Times New Roman"/>
          <w:sz w:val="24"/>
          <w:szCs w:val="24"/>
          <w:lang w:val="en-GB"/>
        </w:rPr>
        <w:t>. Empirical Quests for Management Essences, 1(1), pp.36-50.</w:t>
      </w:r>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Ramos, L., Gallagher, K.P., Stephenson, C. and </w:t>
      </w:r>
      <w:proofErr w:type="spellStart"/>
      <w:r w:rsidRPr="00E300D7">
        <w:rPr>
          <w:color w:val="000000"/>
          <w:lang w:val="en-GB"/>
        </w:rPr>
        <w:t>Monasterolo</w:t>
      </w:r>
      <w:proofErr w:type="spellEnd"/>
      <w:r w:rsidRPr="00E300D7">
        <w:rPr>
          <w:color w:val="000000"/>
          <w:lang w:val="en-GB"/>
        </w:rPr>
        <w:t xml:space="preserve">, I., (2022). Climate risk and IMF surveillance policy: a baseline analysis. </w:t>
      </w:r>
      <w:r w:rsidRPr="00E300D7">
        <w:rPr>
          <w:i/>
          <w:iCs/>
          <w:color w:val="000000"/>
          <w:lang w:val="en-GB"/>
        </w:rPr>
        <w:t>Climate Policy</w:t>
      </w:r>
      <w:r w:rsidRPr="00E300D7">
        <w:rPr>
          <w:color w:val="000000"/>
          <w:lang w:val="en-GB"/>
        </w:rPr>
        <w:t>, 22(3), pp.371-388.</w:t>
      </w:r>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Reich, Y. and </w:t>
      </w:r>
      <w:proofErr w:type="spellStart"/>
      <w:r w:rsidRPr="00E300D7">
        <w:rPr>
          <w:rFonts w:ascii="Times New Roman" w:hAnsi="Times New Roman" w:cs="Times New Roman"/>
          <w:sz w:val="24"/>
          <w:szCs w:val="24"/>
          <w:lang w:val="en-GB"/>
        </w:rPr>
        <w:t>Subrahmanian</w:t>
      </w:r>
      <w:proofErr w:type="spellEnd"/>
      <w:r w:rsidRPr="00E300D7">
        <w:rPr>
          <w:rFonts w:ascii="Times New Roman" w:hAnsi="Times New Roman" w:cs="Times New Roman"/>
          <w:sz w:val="24"/>
          <w:szCs w:val="24"/>
          <w:lang w:val="en-GB"/>
        </w:rPr>
        <w:t xml:space="preserve">, E., (2022). </w:t>
      </w:r>
      <w:r w:rsidRPr="00E300D7">
        <w:rPr>
          <w:rFonts w:ascii="Times New Roman" w:hAnsi="Times New Roman" w:cs="Times New Roman"/>
          <w:i/>
          <w:sz w:val="24"/>
          <w:szCs w:val="24"/>
          <w:lang w:val="en-GB"/>
        </w:rPr>
        <w:t>Documenting design research by structured multilevel analysis: supporting the diversity of the design research community of practice</w:t>
      </w:r>
      <w:r w:rsidRPr="00E300D7">
        <w:rPr>
          <w:rFonts w:ascii="Times New Roman" w:hAnsi="Times New Roman" w:cs="Times New Roman"/>
          <w:sz w:val="24"/>
          <w:szCs w:val="24"/>
          <w:lang w:val="en-GB"/>
        </w:rPr>
        <w:t>. Design Science, 8, p.e3.</w:t>
      </w:r>
    </w:p>
    <w:p w:rsidR="008A4E78" w:rsidRPr="00E300D7" w:rsidRDefault="00000000" w:rsidP="00AA487C">
      <w:pPr>
        <w:spacing w:after="240"/>
        <w:rPr>
          <w:b/>
          <w:lang w:val="en-GB"/>
        </w:rPr>
      </w:pPr>
      <w:hyperlink w:history="1">
        <w:bookmarkStart w:id="220" w:name="_Toc135334451"/>
        <w:bookmarkStart w:id="221" w:name="_Toc135417690"/>
        <w:bookmarkStart w:id="222" w:name="_Toc135418952"/>
        <w:r w:rsidR="008A4E78" w:rsidRPr="00E300D7">
          <w:rPr>
            <w:rStyle w:val="Hyperlink"/>
            <w:color w:val="auto"/>
            <w:u w:val="none"/>
            <w:lang w:val="en-GB"/>
          </w:rPr>
          <w:t xml:space="preserve">reuters.com (2023) </w:t>
        </w:r>
        <w:r w:rsidR="008A4E78" w:rsidRPr="00E300D7">
          <w:rPr>
            <w:rStyle w:val="Hyperlink"/>
            <w:i/>
            <w:color w:val="auto"/>
            <w:u w:val="none"/>
            <w:lang w:val="en-GB"/>
          </w:rPr>
          <w:t>Global FX Trading,</w:t>
        </w:r>
        <w:r w:rsidR="008A4E78" w:rsidRPr="00E300D7">
          <w:rPr>
            <w:rStyle w:val="Hyperlink"/>
            <w:color w:val="auto"/>
            <w:u w:val="none"/>
            <w:lang w:val="en-GB"/>
          </w:rPr>
          <w:t xml:space="preserve"> Available at: https://www.reuters.com/markets/us/global-fx-trading-hits-record-75-trln-day-bis-survey-2022-10-27/</w:t>
        </w:r>
      </w:hyperlink>
      <w:r w:rsidR="008A4E78" w:rsidRPr="00E300D7">
        <w:rPr>
          <w:lang w:val="en-GB"/>
        </w:rPr>
        <w:t xml:space="preserve"> (Accessed on: 4th April, 2023)</w:t>
      </w:r>
      <w:bookmarkEnd w:id="220"/>
      <w:bookmarkEnd w:id="221"/>
      <w:bookmarkEnd w:id="222"/>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Rose, J. and Johnson, C.W., (2020). </w:t>
      </w:r>
      <w:r w:rsidRPr="00E300D7">
        <w:rPr>
          <w:rFonts w:ascii="Times New Roman" w:hAnsi="Times New Roman" w:cs="Times New Roman"/>
          <w:i/>
          <w:sz w:val="24"/>
          <w:szCs w:val="24"/>
          <w:lang w:val="en-GB"/>
        </w:rPr>
        <w:t>Contextualizing reliability and validity in qualitative research: Toward more rigorous and trustworthy qualitative social science in leisure research</w:t>
      </w:r>
      <w:r w:rsidRPr="00E300D7">
        <w:rPr>
          <w:rFonts w:ascii="Times New Roman" w:hAnsi="Times New Roman" w:cs="Times New Roman"/>
          <w:sz w:val="24"/>
          <w:szCs w:val="24"/>
          <w:lang w:val="en-GB"/>
        </w:rPr>
        <w:t>. Journal of leisure research, 51(4), pp.432-451.</w:t>
      </w:r>
    </w:p>
    <w:p w:rsidR="008A4E78" w:rsidRPr="00E300D7" w:rsidRDefault="008A4E78" w:rsidP="00AA487C">
      <w:pPr>
        <w:pStyle w:val="Normal3"/>
        <w:spacing w:before="240"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Saunders, M.N.K., Lewis, P. &amp; Thornhill, </w:t>
      </w:r>
      <w:proofErr w:type="gramStart"/>
      <w:r w:rsidRPr="00E300D7">
        <w:rPr>
          <w:rFonts w:ascii="Times New Roman" w:hAnsi="Times New Roman" w:cs="Times New Roman"/>
          <w:sz w:val="24"/>
          <w:szCs w:val="24"/>
          <w:lang w:val="en-GB"/>
        </w:rPr>
        <w:t>A.,(</w:t>
      </w:r>
      <w:proofErr w:type="gramEnd"/>
      <w:r w:rsidRPr="00E300D7">
        <w:rPr>
          <w:rFonts w:ascii="Times New Roman" w:hAnsi="Times New Roman" w:cs="Times New Roman"/>
          <w:sz w:val="24"/>
          <w:szCs w:val="24"/>
          <w:lang w:val="en-GB"/>
        </w:rPr>
        <w:t xml:space="preserve">2019). Research Methods for Business Students Eight Edition. Qualitative Market Research: </w:t>
      </w:r>
      <w:proofErr w:type="spellStart"/>
      <w:r w:rsidRPr="00E300D7">
        <w:rPr>
          <w:rFonts w:ascii="Times New Roman" w:hAnsi="Times New Roman" w:cs="Times New Roman"/>
          <w:sz w:val="24"/>
          <w:szCs w:val="24"/>
          <w:lang w:val="en-GB"/>
        </w:rPr>
        <w:t>AnInternational</w:t>
      </w:r>
      <w:proofErr w:type="spellEnd"/>
      <w:r w:rsidRPr="00E300D7">
        <w:rPr>
          <w:rFonts w:ascii="Times New Roman" w:hAnsi="Times New Roman" w:cs="Times New Roman"/>
          <w:sz w:val="24"/>
          <w:szCs w:val="24"/>
          <w:lang w:val="en-GB"/>
        </w:rPr>
        <w:t xml:space="preserve"> Journal.</w:t>
      </w:r>
    </w:p>
    <w:p w:rsidR="008A4E78" w:rsidRPr="00E300D7" w:rsidRDefault="008A4E78" w:rsidP="00AA487C">
      <w:pPr>
        <w:spacing w:after="240"/>
        <w:rPr>
          <w:b/>
          <w:shd w:val="clear" w:color="auto" w:fill="FFFFFF"/>
          <w:lang w:val="en-GB"/>
        </w:rPr>
      </w:pPr>
      <w:bookmarkStart w:id="223" w:name="_Toc135334452"/>
      <w:bookmarkStart w:id="224" w:name="_Toc135417691"/>
      <w:bookmarkStart w:id="225" w:name="_Toc135418953"/>
      <w:r w:rsidRPr="00E300D7">
        <w:rPr>
          <w:shd w:val="clear" w:color="auto" w:fill="FFFFFF"/>
          <w:lang w:val="en-GB"/>
        </w:rPr>
        <w:t>Singhal, S., Choudhary, S. and Biswal, P.C., (2019). Return and volatility linkages among international crude oil price, gold price, exchange rate and stock markets: Evidence from Mexico. </w:t>
      </w:r>
      <w:r w:rsidRPr="00E300D7">
        <w:rPr>
          <w:i/>
          <w:iCs/>
          <w:shd w:val="clear" w:color="auto" w:fill="FFFFFF"/>
          <w:lang w:val="en-GB"/>
        </w:rPr>
        <w:t>Resources Policy</w:t>
      </w:r>
      <w:r w:rsidRPr="00E300D7">
        <w:rPr>
          <w:shd w:val="clear" w:color="auto" w:fill="FFFFFF"/>
          <w:lang w:val="en-GB"/>
        </w:rPr>
        <w:t>, </w:t>
      </w:r>
      <w:r w:rsidRPr="00E300D7">
        <w:rPr>
          <w:i/>
          <w:iCs/>
          <w:shd w:val="clear" w:color="auto" w:fill="FFFFFF"/>
          <w:lang w:val="en-GB"/>
        </w:rPr>
        <w:t>60</w:t>
      </w:r>
      <w:r w:rsidRPr="00E300D7">
        <w:rPr>
          <w:shd w:val="clear" w:color="auto" w:fill="FFFFFF"/>
          <w:lang w:val="en-GB"/>
        </w:rPr>
        <w:t>, pp.255-261.</w:t>
      </w:r>
      <w:bookmarkEnd w:id="223"/>
      <w:bookmarkEnd w:id="224"/>
      <w:bookmarkEnd w:id="225"/>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 xml:space="preserve">Song, Y., Chen, B., Tao, R., </w:t>
      </w:r>
      <w:proofErr w:type="spellStart"/>
      <w:r w:rsidRPr="00E300D7">
        <w:rPr>
          <w:color w:val="000000"/>
          <w:lang w:val="en-GB"/>
        </w:rPr>
        <w:t>Su</w:t>
      </w:r>
      <w:proofErr w:type="spellEnd"/>
      <w:r w:rsidRPr="00E300D7">
        <w:rPr>
          <w:color w:val="000000"/>
          <w:lang w:val="en-GB"/>
        </w:rPr>
        <w:t xml:space="preserve">, C.W. and </w:t>
      </w:r>
      <w:proofErr w:type="spellStart"/>
      <w:r w:rsidRPr="00E300D7">
        <w:rPr>
          <w:color w:val="000000"/>
          <w:lang w:val="en-GB"/>
        </w:rPr>
        <w:t>Peculea</w:t>
      </w:r>
      <w:proofErr w:type="spellEnd"/>
      <w:r w:rsidRPr="00E300D7">
        <w:rPr>
          <w:color w:val="000000"/>
          <w:lang w:val="en-GB"/>
        </w:rPr>
        <w:t xml:space="preserve">, A.D., (2020). Does bilateral political relations affect foreign direct </w:t>
      </w:r>
      <w:proofErr w:type="gramStart"/>
      <w:r w:rsidRPr="00E300D7">
        <w:rPr>
          <w:color w:val="000000"/>
          <w:lang w:val="en-GB"/>
        </w:rPr>
        <w:t>investment?.</w:t>
      </w:r>
      <w:proofErr w:type="gramEnd"/>
      <w:r w:rsidRPr="00E300D7">
        <w:rPr>
          <w:color w:val="000000"/>
          <w:lang w:val="en-GB"/>
        </w:rPr>
        <w:t xml:space="preserve"> </w:t>
      </w:r>
      <w:r w:rsidRPr="00E300D7">
        <w:rPr>
          <w:i/>
          <w:iCs/>
          <w:color w:val="000000"/>
          <w:lang w:val="en-GB"/>
        </w:rPr>
        <w:t>Economic research-</w:t>
      </w:r>
      <w:proofErr w:type="spellStart"/>
      <w:r w:rsidRPr="00E300D7">
        <w:rPr>
          <w:i/>
          <w:iCs/>
          <w:color w:val="000000"/>
          <w:lang w:val="en-GB"/>
        </w:rPr>
        <w:t>Ekonomska</w:t>
      </w:r>
      <w:proofErr w:type="spellEnd"/>
      <w:r w:rsidRPr="00E300D7">
        <w:rPr>
          <w:i/>
          <w:iCs/>
          <w:color w:val="000000"/>
          <w:lang w:val="en-GB"/>
        </w:rPr>
        <w:t xml:space="preserve"> </w:t>
      </w:r>
      <w:proofErr w:type="spellStart"/>
      <w:r w:rsidRPr="00E300D7">
        <w:rPr>
          <w:i/>
          <w:iCs/>
          <w:color w:val="000000"/>
          <w:lang w:val="en-GB"/>
        </w:rPr>
        <w:t>istraživanja</w:t>
      </w:r>
      <w:proofErr w:type="spellEnd"/>
      <w:r w:rsidRPr="00E300D7">
        <w:rPr>
          <w:i/>
          <w:iCs/>
          <w:color w:val="000000"/>
          <w:lang w:val="en-GB"/>
        </w:rPr>
        <w:t xml:space="preserve">, </w:t>
      </w:r>
      <w:r w:rsidRPr="00E300D7">
        <w:rPr>
          <w:color w:val="000000"/>
          <w:lang w:val="en-GB"/>
        </w:rPr>
        <w:t>33(1), pp.1485-1509.</w:t>
      </w:r>
    </w:p>
    <w:p w:rsidR="008A4E78" w:rsidRPr="00E300D7" w:rsidRDefault="008A4E78" w:rsidP="00AA487C">
      <w:pPr>
        <w:pStyle w:val="Normal3"/>
        <w:spacing w:after="240" w:line="360" w:lineRule="auto"/>
        <w:jc w:val="both"/>
        <w:rPr>
          <w:rFonts w:ascii="Times New Roman" w:eastAsia="Times New Roman" w:hAnsi="Times New Roman" w:cs="Times New Roman"/>
          <w:sz w:val="24"/>
          <w:szCs w:val="24"/>
          <w:lang w:val="en-GB"/>
        </w:rPr>
      </w:pPr>
      <w:r w:rsidRPr="00E300D7">
        <w:rPr>
          <w:rFonts w:ascii="Times New Roman" w:eastAsia="Times New Roman" w:hAnsi="Times New Roman" w:cs="Times New Roman"/>
          <w:sz w:val="24"/>
          <w:szCs w:val="24"/>
          <w:lang w:val="en-GB"/>
        </w:rPr>
        <w:t xml:space="preserve">Spadoni, P., (2021). </w:t>
      </w:r>
      <w:r w:rsidRPr="00E300D7">
        <w:rPr>
          <w:rFonts w:ascii="Times New Roman" w:eastAsia="Times New Roman" w:hAnsi="Times New Roman" w:cs="Times New Roman"/>
          <w:i/>
          <w:sz w:val="24"/>
          <w:szCs w:val="24"/>
          <w:lang w:val="en-GB"/>
        </w:rPr>
        <w:t>Cuba’s Struggling External Sector</w:t>
      </w:r>
      <w:r w:rsidRPr="00E300D7">
        <w:rPr>
          <w:rFonts w:ascii="Times New Roman" w:eastAsia="Times New Roman" w:hAnsi="Times New Roman" w:cs="Times New Roman"/>
          <w:sz w:val="24"/>
          <w:szCs w:val="24"/>
          <w:lang w:val="en-GB"/>
        </w:rPr>
        <w:t>. Cuban International Relations at 60: Reflections on Global Connections, p.223.</w:t>
      </w:r>
    </w:p>
    <w:p w:rsidR="008A4E78" w:rsidRPr="00E300D7" w:rsidRDefault="008A4E78" w:rsidP="00AA487C">
      <w:pPr>
        <w:spacing w:after="240"/>
        <w:rPr>
          <w:b/>
          <w:shd w:val="clear" w:color="auto" w:fill="FFFFFF"/>
          <w:lang w:val="en-GB"/>
        </w:rPr>
      </w:pPr>
      <w:bookmarkStart w:id="226" w:name="_Toc135334453"/>
      <w:bookmarkStart w:id="227" w:name="_Toc135417692"/>
      <w:bookmarkStart w:id="228" w:name="_Toc135418954"/>
      <w:r w:rsidRPr="00E300D7">
        <w:rPr>
          <w:shd w:val="clear" w:color="auto" w:fill="FFFFFF"/>
          <w:lang w:val="en-GB"/>
        </w:rPr>
        <w:t>Sultan, N. and Mohamed, N., (2023). Challenges faced by financial institutes before onboarding politically exposed persons in undocumented Eastern economies: a case study of Pakistan. </w:t>
      </w:r>
      <w:r w:rsidRPr="00E300D7">
        <w:rPr>
          <w:i/>
          <w:iCs/>
          <w:shd w:val="clear" w:color="auto" w:fill="FFFFFF"/>
          <w:lang w:val="en-GB"/>
        </w:rPr>
        <w:t>Journal of Money Laundering Control</w:t>
      </w:r>
      <w:r w:rsidRPr="00E300D7">
        <w:rPr>
          <w:shd w:val="clear" w:color="auto" w:fill="FFFFFF"/>
          <w:lang w:val="en-GB"/>
        </w:rPr>
        <w:t>, </w:t>
      </w:r>
      <w:r w:rsidRPr="00E300D7">
        <w:rPr>
          <w:i/>
          <w:iCs/>
          <w:shd w:val="clear" w:color="auto" w:fill="FFFFFF"/>
          <w:lang w:val="en-GB"/>
        </w:rPr>
        <w:t>26</w:t>
      </w:r>
      <w:r w:rsidRPr="00E300D7">
        <w:rPr>
          <w:shd w:val="clear" w:color="auto" w:fill="FFFFFF"/>
          <w:lang w:val="en-GB"/>
        </w:rPr>
        <w:t>(3), pp.488-508.</w:t>
      </w:r>
      <w:bookmarkEnd w:id="226"/>
      <w:bookmarkEnd w:id="227"/>
      <w:bookmarkEnd w:id="228"/>
    </w:p>
    <w:p w:rsidR="008A4E78" w:rsidRPr="00E300D7" w:rsidRDefault="008A4E78" w:rsidP="00AA487C">
      <w:pPr>
        <w:pStyle w:val="Normal3"/>
        <w:spacing w:before="200" w:after="240" w:line="360" w:lineRule="auto"/>
        <w:jc w:val="both"/>
        <w:rPr>
          <w:rFonts w:ascii="Times New Roman" w:eastAsia="Times New Roman" w:hAnsi="Times New Roman" w:cs="Times New Roman"/>
          <w:sz w:val="24"/>
          <w:szCs w:val="24"/>
          <w:lang w:val="en-GB"/>
        </w:rPr>
      </w:pPr>
      <w:proofErr w:type="spellStart"/>
      <w:r w:rsidRPr="00E300D7">
        <w:rPr>
          <w:rFonts w:ascii="Times New Roman" w:eastAsia="Times New Roman" w:hAnsi="Times New Roman" w:cs="Times New Roman"/>
          <w:sz w:val="24"/>
          <w:szCs w:val="24"/>
          <w:lang w:val="en-GB"/>
        </w:rPr>
        <w:lastRenderedPageBreak/>
        <w:t>Taherdoost</w:t>
      </w:r>
      <w:proofErr w:type="spellEnd"/>
      <w:r w:rsidRPr="00E300D7">
        <w:rPr>
          <w:rFonts w:ascii="Times New Roman" w:eastAsia="Times New Roman" w:hAnsi="Times New Roman" w:cs="Times New Roman"/>
          <w:sz w:val="24"/>
          <w:szCs w:val="24"/>
          <w:lang w:val="en-GB"/>
        </w:rPr>
        <w:t xml:space="preserve">, H., (2021). Data Collection Methods and Tools for Research; A Step-by-Step Guide to Choose Data Collection Technique for Academic and Business Research Projects. </w:t>
      </w:r>
      <w:r w:rsidRPr="00E300D7">
        <w:rPr>
          <w:rFonts w:ascii="Times New Roman" w:eastAsia="Times New Roman" w:hAnsi="Times New Roman" w:cs="Times New Roman"/>
          <w:i/>
          <w:sz w:val="24"/>
          <w:szCs w:val="24"/>
          <w:lang w:val="en-GB"/>
        </w:rPr>
        <w:t>International Journal of Academic Research in Management (IJARM),</w:t>
      </w:r>
      <w:r w:rsidRPr="00E300D7">
        <w:rPr>
          <w:rFonts w:ascii="Times New Roman" w:eastAsia="Times New Roman" w:hAnsi="Times New Roman" w:cs="Times New Roman"/>
          <w:sz w:val="24"/>
          <w:szCs w:val="24"/>
          <w:lang w:val="en-GB"/>
        </w:rPr>
        <w:t xml:space="preserve"> 10(1), pp.10-38.</w:t>
      </w:r>
    </w:p>
    <w:p w:rsidR="008A4E78" w:rsidRPr="00E300D7" w:rsidRDefault="008A4E78" w:rsidP="00AA487C">
      <w:pPr>
        <w:spacing w:after="240"/>
        <w:rPr>
          <w:b/>
          <w:shd w:val="clear" w:color="auto" w:fill="FFFFFF"/>
          <w:lang w:val="en-GB"/>
        </w:rPr>
      </w:pPr>
      <w:bookmarkStart w:id="229" w:name="_Toc135334454"/>
      <w:bookmarkStart w:id="230" w:name="_Toc135417693"/>
      <w:bookmarkStart w:id="231" w:name="_Toc135418955"/>
      <w:r w:rsidRPr="00E300D7">
        <w:rPr>
          <w:shd w:val="clear" w:color="auto" w:fill="FFFFFF"/>
          <w:lang w:val="en-GB"/>
        </w:rPr>
        <w:t xml:space="preserve">Tasnia, M., Syed Jaafar </w:t>
      </w:r>
      <w:proofErr w:type="spellStart"/>
      <w:r w:rsidRPr="00E300D7">
        <w:rPr>
          <w:shd w:val="clear" w:color="auto" w:fill="FFFFFF"/>
          <w:lang w:val="en-GB"/>
        </w:rPr>
        <w:t>AlHabshi</w:t>
      </w:r>
      <w:proofErr w:type="spellEnd"/>
      <w:r w:rsidRPr="00E300D7">
        <w:rPr>
          <w:shd w:val="clear" w:color="auto" w:fill="FFFFFF"/>
          <w:lang w:val="en-GB"/>
        </w:rPr>
        <w:t>, S.M. and Rosman, R., (2021). The impact of corporate social responsibility on stock price volatility of the US banks: A moderating role of tax. </w:t>
      </w:r>
      <w:r w:rsidRPr="00E300D7">
        <w:rPr>
          <w:i/>
          <w:iCs/>
          <w:shd w:val="clear" w:color="auto" w:fill="FFFFFF"/>
          <w:lang w:val="en-GB"/>
        </w:rPr>
        <w:t>Journal of Financial Reporting and Accounting</w:t>
      </w:r>
      <w:r w:rsidRPr="00E300D7">
        <w:rPr>
          <w:shd w:val="clear" w:color="auto" w:fill="FFFFFF"/>
          <w:lang w:val="en-GB"/>
        </w:rPr>
        <w:t>, </w:t>
      </w:r>
      <w:r w:rsidRPr="00E300D7">
        <w:rPr>
          <w:i/>
          <w:iCs/>
          <w:shd w:val="clear" w:color="auto" w:fill="FFFFFF"/>
          <w:lang w:val="en-GB"/>
        </w:rPr>
        <w:t>19</w:t>
      </w:r>
      <w:r w:rsidRPr="00E300D7">
        <w:rPr>
          <w:shd w:val="clear" w:color="auto" w:fill="FFFFFF"/>
          <w:lang w:val="en-GB"/>
        </w:rPr>
        <w:t>(1), pp.77-91.</w:t>
      </w:r>
      <w:bookmarkEnd w:id="229"/>
      <w:bookmarkEnd w:id="230"/>
      <w:bookmarkEnd w:id="231"/>
    </w:p>
    <w:p w:rsidR="008A4E78" w:rsidRPr="00E300D7" w:rsidRDefault="008A4E78" w:rsidP="00AA487C">
      <w:pPr>
        <w:spacing w:after="240"/>
        <w:rPr>
          <w:b/>
          <w:shd w:val="clear" w:color="auto" w:fill="FFFFFF"/>
          <w:lang w:val="en-GB"/>
        </w:rPr>
      </w:pPr>
      <w:bookmarkStart w:id="232" w:name="_Toc135334455"/>
      <w:bookmarkStart w:id="233" w:name="_Toc135417694"/>
      <w:bookmarkStart w:id="234" w:name="_Toc135418956"/>
      <w:proofErr w:type="spellStart"/>
      <w:r w:rsidRPr="00E300D7">
        <w:rPr>
          <w:shd w:val="clear" w:color="auto" w:fill="FFFFFF"/>
          <w:lang w:val="en-GB"/>
        </w:rPr>
        <w:t>Thampanya</w:t>
      </w:r>
      <w:proofErr w:type="spellEnd"/>
      <w:r w:rsidRPr="00E300D7">
        <w:rPr>
          <w:shd w:val="clear" w:color="auto" w:fill="FFFFFF"/>
          <w:lang w:val="en-GB"/>
        </w:rPr>
        <w:t>, N., Wu, J., Nasir, M.A. and Liu, J., (2020). Fundamental and behavioural determinants of stock return volatility in ASEAN-5 countries. </w:t>
      </w:r>
      <w:r w:rsidRPr="00E300D7">
        <w:rPr>
          <w:i/>
          <w:iCs/>
          <w:shd w:val="clear" w:color="auto" w:fill="FFFFFF"/>
          <w:lang w:val="en-GB"/>
        </w:rPr>
        <w:t>Journal of International Financial Markets, Institutions and Money</w:t>
      </w:r>
      <w:r w:rsidRPr="00E300D7">
        <w:rPr>
          <w:shd w:val="clear" w:color="auto" w:fill="FFFFFF"/>
          <w:lang w:val="en-GB"/>
        </w:rPr>
        <w:t>, </w:t>
      </w:r>
      <w:r w:rsidRPr="00E300D7">
        <w:rPr>
          <w:i/>
          <w:iCs/>
          <w:shd w:val="clear" w:color="auto" w:fill="FFFFFF"/>
          <w:lang w:val="en-GB"/>
        </w:rPr>
        <w:t>65</w:t>
      </w:r>
      <w:r w:rsidRPr="00E300D7">
        <w:rPr>
          <w:shd w:val="clear" w:color="auto" w:fill="FFFFFF"/>
          <w:lang w:val="en-GB"/>
        </w:rPr>
        <w:t>, p.101193.</w:t>
      </w:r>
      <w:bookmarkEnd w:id="232"/>
      <w:bookmarkEnd w:id="233"/>
      <w:bookmarkEnd w:id="234"/>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Thomas, O.O. and Lawal, O.R., (2020). </w:t>
      </w:r>
      <w:r w:rsidRPr="00E300D7">
        <w:rPr>
          <w:rFonts w:ascii="Times New Roman" w:hAnsi="Times New Roman" w:cs="Times New Roman"/>
          <w:i/>
          <w:sz w:val="24"/>
          <w:szCs w:val="24"/>
          <w:lang w:val="en-GB"/>
        </w:rPr>
        <w:t xml:space="preserve">Exploratory Research Design in Management Sciences: An X-Ray of Literature. Annals of the University </w:t>
      </w:r>
      <w:proofErr w:type="spellStart"/>
      <w:r w:rsidRPr="00E300D7">
        <w:rPr>
          <w:rFonts w:ascii="Times New Roman" w:hAnsi="Times New Roman" w:cs="Times New Roman"/>
          <w:i/>
          <w:sz w:val="24"/>
          <w:szCs w:val="24"/>
          <w:lang w:val="en-GB"/>
        </w:rPr>
        <w:t>Dunarea</w:t>
      </w:r>
      <w:proofErr w:type="spellEnd"/>
      <w:r w:rsidRPr="00E300D7">
        <w:rPr>
          <w:rFonts w:ascii="Times New Roman" w:hAnsi="Times New Roman" w:cs="Times New Roman"/>
          <w:i/>
          <w:sz w:val="24"/>
          <w:szCs w:val="24"/>
          <w:lang w:val="en-GB"/>
        </w:rPr>
        <w:t xml:space="preserve"> de Jos of Galati: Fascicle</w:t>
      </w:r>
      <w:r w:rsidRPr="00E300D7">
        <w:rPr>
          <w:rFonts w:ascii="Times New Roman" w:hAnsi="Times New Roman" w:cs="Times New Roman"/>
          <w:sz w:val="24"/>
          <w:szCs w:val="24"/>
          <w:lang w:val="en-GB"/>
        </w:rPr>
        <w:t>: I, Economics &amp; Applied Informatics, 26(2).</w:t>
      </w:r>
    </w:p>
    <w:p w:rsidR="008A4E78" w:rsidRPr="00E300D7" w:rsidRDefault="008A4E78" w:rsidP="00AA487C">
      <w:pPr>
        <w:spacing w:after="240"/>
        <w:rPr>
          <w:b/>
          <w:shd w:val="clear" w:color="auto" w:fill="FFFFFF"/>
          <w:lang w:val="en-GB"/>
        </w:rPr>
      </w:pPr>
      <w:bookmarkStart w:id="235" w:name="_Toc135334456"/>
      <w:bookmarkStart w:id="236" w:name="_Toc135417695"/>
      <w:bookmarkStart w:id="237" w:name="_Toc135418957"/>
      <w:r w:rsidRPr="00E300D7">
        <w:rPr>
          <w:shd w:val="clear" w:color="auto" w:fill="FFFFFF"/>
          <w:lang w:val="en-GB"/>
        </w:rPr>
        <w:t>Thuy, V.N.T. and Thuy, D.T.T., (2019). The impact of exchange rate volatility on exports in Vietnam: A bounds testing approach. </w:t>
      </w:r>
      <w:r w:rsidRPr="00E300D7">
        <w:rPr>
          <w:i/>
          <w:iCs/>
          <w:shd w:val="clear" w:color="auto" w:fill="FFFFFF"/>
          <w:lang w:val="en-GB"/>
        </w:rPr>
        <w:t>Journal of Risk and Financial Management</w:t>
      </w:r>
      <w:r w:rsidRPr="00E300D7">
        <w:rPr>
          <w:shd w:val="clear" w:color="auto" w:fill="FFFFFF"/>
          <w:lang w:val="en-GB"/>
        </w:rPr>
        <w:t>, </w:t>
      </w:r>
      <w:r w:rsidRPr="00E300D7">
        <w:rPr>
          <w:i/>
          <w:iCs/>
          <w:shd w:val="clear" w:color="auto" w:fill="FFFFFF"/>
          <w:lang w:val="en-GB"/>
        </w:rPr>
        <w:t>12</w:t>
      </w:r>
      <w:r w:rsidRPr="00E300D7">
        <w:rPr>
          <w:shd w:val="clear" w:color="auto" w:fill="FFFFFF"/>
          <w:lang w:val="en-GB"/>
        </w:rPr>
        <w:t>(1), p.6.</w:t>
      </w:r>
      <w:bookmarkEnd w:id="235"/>
      <w:bookmarkEnd w:id="236"/>
      <w:bookmarkEnd w:id="237"/>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Toptal.com, (2023),</w:t>
      </w:r>
      <w:r w:rsidRPr="00E300D7">
        <w:rPr>
          <w:i/>
          <w:iCs/>
          <w:color w:val="000000"/>
          <w:lang w:val="en-GB"/>
        </w:rPr>
        <w:t xml:space="preserve"> A Guide to Managing Foreign Exchange Risk</w:t>
      </w:r>
      <w:r w:rsidRPr="00E300D7">
        <w:rPr>
          <w:color w:val="000000"/>
          <w:lang w:val="en-GB"/>
        </w:rPr>
        <w:t xml:space="preserve">, Available at: </w:t>
      </w:r>
      <w:proofErr w:type="gramStart"/>
      <w:r w:rsidRPr="00E300D7">
        <w:rPr>
          <w:color w:val="000000"/>
          <w:lang w:val="en-GB"/>
        </w:rPr>
        <w:t>https://www.toptal.com/finance/interim-cfos/foreign-exchange-risk,  [</w:t>
      </w:r>
      <w:proofErr w:type="gramEnd"/>
      <w:r w:rsidRPr="00E300D7">
        <w:rPr>
          <w:color w:val="000000"/>
          <w:lang w:val="en-GB"/>
        </w:rPr>
        <w:t>Accessed on: 19.05.2023]</w:t>
      </w:r>
    </w:p>
    <w:p w:rsidR="008A4E78" w:rsidRPr="00E300D7" w:rsidRDefault="008A4E78" w:rsidP="00AA487C">
      <w:pPr>
        <w:spacing w:after="240"/>
        <w:rPr>
          <w:b/>
          <w:lang w:val="en-GB"/>
        </w:rPr>
      </w:pPr>
      <w:bookmarkStart w:id="238" w:name="_Toc135334457"/>
      <w:bookmarkStart w:id="239" w:name="_Toc135417696"/>
      <w:bookmarkStart w:id="240" w:name="_Toc135418958"/>
      <w:r w:rsidRPr="00E300D7">
        <w:rPr>
          <w:lang w:val="en-GB"/>
        </w:rPr>
        <w:t xml:space="preserve">tradingeconomics.com (2023) </w:t>
      </w:r>
      <w:r w:rsidRPr="00E300D7">
        <w:rPr>
          <w:i/>
          <w:lang w:val="en-GB"/>
        </w:rPr>
        <w:t>UK Currency</w:t>
      </w:r>
      <w:r w:rsidRPr="00E300D7">
        <w:rPr>
          <w:lang w:val="en-GB"/>
        </w:rPr>
        <w:t xml:space="preserve">, Available at: </w:t>
      </w:r>
      <w:hyperlink r:id="rId19" w:history="1">
        <w:r w:rsidRPr="00E300D7">
          <w:rPr>
            <w:rStyle w:val="Hyperlink"/>
            <w:color w:val="auto"/>
            <w:u w:val="none"/>
            <w:lang w:val="en-GB"/>
          </w:rPr>
          <w:t>https://tradingeconomics.com/united-kingdom/currency</w:t>
        </w:r>
      </w:hyperlink>
      <w:r w:rsidRPr="00E300D7">
        <w:rPr>
          <w:lang w:val="en-GB"/>
        </w:rPr>
        <w:t xml:space="preserve"> (Accessed on: 4th April, 2023)</w:t>
      </w:r>
      <w:bookmarkEnd w:id="238"/>
      <w:bookmarkEnd w:id="239"/>
      <w:bookmarkEnd w:id="240"/>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Turner, H.C., Lauer, J.A., Tran, B.X., </w:t>
      </w:r>
      <w:proofErr w:type="spellStart"/>
      <w:r w:rsidRPr="00E300D7">
        <w:rPr>
          <w:rFonts w:ascii="Times New Roman" w:hAnsi="Times New Roman" w:cs="Times New Roman"/>
          <w:sz w:val="24"/>
          <w:szCs w:val="24"/>
          <w:lang w:val="en-GB"/>
        </w:rPr>
        <w:t>Teerawattananon</w:t>
      </w:r>
      <w:proofErr w:type="spellEnd"/>
      <w:r w:rsidRPr="00E300D7">
        <w:rPr>
          <w:rFonts w:ascii="Times New Roman" w:hAnsi="Times New Roman" w:cs="Times New Roman"/>
          <w:sz w:val="24"/>
          <w:szCs w:val="24"/>
          <w:lang w:val="en-GB"/>
        </w:rPr>
        <w:t xml:space="preserve">, Y. and Jit, M., (2019). </w:t>
      </w:r>
      <w:r w:rsidRPr="00E300D7">
        <w:rPr>
          <w:rFonts w:ascii="Times New Roman" w:hAnsi="Times New Roman" w:cs="Times New Roman"/>
          <w:i/>
          <w:sz w:val="24"/>
          <w:szCs w:val="24"/>
          <w:lang w:val="en-GB"/>
        </w:rPr>
        <w:t>Adjusting for inflation and currency changes within health economic studies</w:t>
      </w:r>
      <w:r w:rsidRPr="00E300D7">
        <w:rPr>
          <w:rFonts w:ascii="Times New Roman" w:hAnsi="Times New Roman" w:cs="Times New Roman"/>
          <w:sz w:val="24"/>
          <w:szCs w:val="24"/>
          <w:lang w:val="en-GB"/>
        </w:rPr>
        <w:t>. Value in Health, 22(9), pp.1026-1032.</w:t>
      </w:r>
    </w:p>
    <w:p w:rsidR="008A4E78" w:rsidRPr="00E300D7" w:rsidRDefault="008A4E78" w:rsidP="00AA487C">
      <w:pPr>
        <w:spacing w:after="240"/>
        <w:rPr>
          <w:b/>
          <w:shd w:val="clear" w:color="auto" w:fill="FFFFFF"/>
          <w:lang w:val="en-GB"/>
        </w:rPr>
      </w:pPr>
      <w:bookmarkStart w:id="241" w:name="_Toc135334458"/>
      <w:bookmarkStart w:id="242" w:name="_Toc135417697"/>
      <w:bookmarkStart w:id="243" w:name="_Toc135418959"/>
      <w:r w:rsidRPr="00E300D7">
        <w:rPr>
          <w:shd w:val="clear" w:color="auto" w:fill="FFFFFF"/>
          <w:lang w:val="en-GB"/>
        </w:rPr>
        <w:t xml:space="preserve">Van Eyden, R., </w:t>
      </w:r>
      <w:proofErr w:type="spellStart"/>
      <w:r w:rsidRPr="00E300D7">
        <w:rPr>
          <w:shd w:val="clear" w:color="auto" w:fill="FFFFFF"/>
          <w:lang w:val="en-GB"/>
        </w:rPr>
        <w:t>Difeto</w:t>
      </w:r>
      <w:proofErr w:type="spellEnd"/>
      <w:r w:rsidRPr="00E300D7">
        <w:rPr>
          <w:shd w:val="clear" w:color="auto" w:fill="FFFFFF"/>
          <w:lang w:val="en-GB"/>
        </w:rPr>
        <w:t xml:space="preserve">, M., Gupta, R. and </w:t>
      </w:r>
      <w:proofErr w:type="spellStart"/>
      <w:r w:rsidRPr="00E300D7">
        <w:rPr>
          <w:shd w:val="clear" w:color="auto" w:fill="FFFFFF"/>
          <w:lang w:val="en-GB"/>
        </w:rPr>
        <w:t>Wohar</w:t>
      </w:r>
      <w:proofErr w:type="spellEnd"/>
      <w:r w:rsidRPr="00E300D7">
        <w:rPr>
          <w:shd w:val="clear" w:color="auto" w:fill="FFFFFF"/>
          <w:lang w:val="en-GB"/>
        </w:rPr>
        <w:t>, M.E., (2019). Oil price volatility and economic growth: Evidence from advanced economies using more than a century’s data. </w:t>
      </w:r>
      <w:r w:rsidRPr="00E300D7">
        <w:rPr>
          <w:i/>
          <w:iCs/>
          <w:shd w:val="clear" w:color="auto" w:fill="FFFFFF"/>
          <w:lang w:val="en-GB"/>
        </w:rPr>
        <w:t>Applied energy</w:t>
      </w:r>
      <w:r w:rsidRPr="00E300D7">
        <w:rPr>
          <w:shd w:val="clear" w:color="auto" w:fill="FFFFFF"/>
          <w:lang w:val="en-GB"/>
        </w:rPr>
        <w:t>, </w:t>
      </w:r>
      <w:r w:rsidRPr="00E300D7">
        <w:rPr>
          <w:i/>
          <w:iCs/>
          <w:shd w:val="clear" w:color="auto" w:fill="FFFFFF"/>
          <w:lang w:val="en-GB"/>
        </w:rPr>
        <w:t>233</w:t>
      </w:r>
      <w:r w:rsidRPr="00E300D7">
        <w:rPr>
          <w:shd w:val="clear" w:color="auto" w:fill="FFFFFF"/>
          <w:lang w:val="en-GB"/>
        </w:rPr>
        <w:t>, pp.612-621.</w:t>
      </w:r>
      <w:bookmarkEnd w:id="241"/>
      <w:bookmarkEnd w:id="242"/>
      <w:bookmarkEnd w:id="243"/>
    </w:p>
    <w:p w:rsidR="008A4E78" w:rsidRPr="00E300D7" w:rsidRDefault="008A4E78" w:rsidP="00AA487C">
      <w:pPr>
        <w:spacing w:after="240"/>
        <w:rPr>
          <w:b/>
          <w:shd w:val="clear" w:color="auto" w:fill="FFFFFF"/>
          <w:lang w:val="en-GB"/>
        </w:rPr>
      </w:pPr>
      <w:bookmarkStart w:id="244" w:name="_Toc135334459"/>
      <w:bookmarkStart w:id="245" w:name="_Toc135417698"/>
      <w:bookmarkStart w:id="246" w:name="_Toc135418960"/>
      <w:r w:rsidRPr="00E300D7">
        <w:rPr>
          <w:shd w:val="clear" w:color="auto" w:fill="FFFFFF"/>
          <w:lang w:val="en-GB"/>
        </w:rPr>
        <w:t>Vo, H.L. and Vo, D.H., (2023). The purchasing power parity and exchange</w:t>
      </w:r>
      <w:r w:rsidRPr="00E300D7">
        <w:rPr>
          <w:rFonts w:ascii="Cambria Math" w:hAnsi="Cambria Math"/>
          <w:shd w:val="clear" w:color="auto" w:fill="FFFFFF"/>
          <w:lang w:val="en-GB"/>
        </w:rPr>
        <w:t>‐</w:t>
      </w:r>
      <w:r w:rsidRPr="00E300D7">
        <w:rPr>
          <w:shd w:val="clear" w:color="auto" w:fill="FFFFFF"/>
          <w:lang w:val="en-GB"/>
        </w:rPr>
        <w:t>rate economics half a century on. </w:t>
      </w:r>
      <w:r w:rsidRPr="00E300D7">
        <w:rPr>
          <w:i/>
          <w:iCs/>
          <w:shd w:val="clear" w:color="auto" w:fill="FFFFFF"/>
          <w:lang w:val="en-GB"/>
        </w:rPr>
        <w:t>Journal of Economic Surveys</w:t>
      </w:r>
      <w:r w:rsidRPr="00E300D7">
        <w:rPr>
          <w:shd w:val="clear" w:color="auto" w:fill="FFFFFF"/>
          <w:lang w:val="en-GB"/>
        </w:rPr>
        <w:t>, </w:t>
      </w:r>
      <w:r w:rsidRPr="00E300D7">
        <w:rPr>
          <w:i/>
          <w:iCs/>
          <w:shd w:val="clear" w:color="auto" w:fill="FFFFFF"/>
          <w:lang w:val="en-GB"/>
        </w:rPr>
        <w:t>37</w:t>
      </w:r>
      <w:r w:rsidRPr="00E300D7">
        <w:rPr>
          <w:shd w:val="clear" w:color="auto" w:fill="FFFFFF"/>
          <w:lang w:val="en-GB"/>
        </w:rPr>
        <w:t>(2), pp.446-479.</w:t>
      </w:r>
      <w:bookmarkEnd w:id="244"/>
      <w:bookmarkEnd w:id="245"/>
      <w:bookmarkEnd w:id="246"/>
    </w:p>
    <w:p w:rsidR="008A4E78" w:rsidRPr="00E300D7" w:rsidRDefault="008A4E78" w:rsidP="00AA487C">
      <w:pPr>
        <w:spacing w:after="240"/>
        <w:rPr>
          <w:b/>
          <w:shd w:val="clear" w:color="auto" w:fill="FFFFFF"/>
          <w:lang w:val="en-GB"/>
        </w:rPr>
      </w:pPr>
      <w:bookmarkStart w:id="247" w:name="_Toc135334460"/>
      <w:bookmarkStart w:id="248" w:name="_Toc135417699"/>
      <w:bookmarkStart w:id="249" w:name="_Toc135418961"/>
      <w:proofErr w:type="spellStart"/>
      <w:r w:rsidRPr="00E300D7">
        <w:rPr>
          <w:shd w:val="clear" w:color="auto" w:fill="FFFFFF"/>
          <w:lang w:val="en-GB"/>
        </w:rPr>
        <w:lastRenderedPageBreak/>
        <w:t>Vochozka</w:t>
      </w:r>
      <w:proofErr w:type="spellEnd"/>
      <w:r w:rsidRPr="00E300D7">
        <w:rPr>
          <w:shd w:val="clear" w:color="auto" w:fill="FFFFFF"/>
          <w:lang w:val="en-GB"/>
        </w:rPr>
        <w:t>, M., Rowland, Z., Suler, P. and Marousek, J., (2020). The influence of the international price of oil on the value of the EUR/USD exchange rate. </w:t>
      </w:r>
      <w:r w:rsidRPr="00E300D7">
        <w:rPr>
          <w:i/>
          <w:iCs/>
          <w:shd w:val="clear" w:color="auto" w:fill="FFFFFF"/>
          <w:lang w:val="en-GB"/>
        </w:rPr>
        <w:t>Journal of Competitiveness</w:t>
      </w:r>
      <w:r w:rsidRPr="00E300D7">
        <w:rPr>
          <w:shd w:val="clear" w:color="auto" w:fill="FFFFFF"/>
          <w:lang w:val="en-GB"/>
        </w:rPr>
        <w:t>, </w:t>
      </w:r>
      <w:r w:rsidRPr="00E300D7">
        <w:rPr>
          <w:i/>
          <w:iCs/>
          <w:shd w:val="clear" w:color="auto" w:fill="FFFFFF"/>
          <w:lang w:val="en-GB"/>
        </w:rPr>
        <w:t>12</w:t>
      </w:r>
      <w:r w:rsidRPr="00E300D7">
        <w:rPr>
          <w:shd w:val="clear" w:color="auto" w:fill="FFFFFF"/>
          <w:lang w:val="en-GB"/>
        </w:rPr>
        <w:t>(2), p.167.</w:t>
      </w:r>
      <w:bookmarkEnd w:id="247"/>
      <w:bookmarkEnd w:id="248"/>
      <w:bookmarkEnd w:id="249"/>
    </w:p>
    <w:p w:rsidR="008A4E78" w:rsidRPr="00E300D7" w:rsidRDefault="008A4E78" w:rsidP="008A4E78">
      <w:pPr>
        <w:pStyle w:val="NormalWeb"/>
        <w:spacing w:before="200" w:beforeAutospacing="0" w:after="0" w:afterAutospacing="0" w:line="360" w:lineRule="auto"/>
        <w:jc w:val="both"/>
        <w:rPr>
          <w:lang w:val="en-GB"/>
        </w:rPr>
      </w:pPr>
      <w:r w:rsidRPr="00E300D7">
        <w:rPr>
          <w:color w:val="000000"/>
          <w:lang w:val="en-GB"/>
        </w:rPr>
        <w:t>Vučinić, M., (2020). Fintech and financial stability potential influence of FinTech on financial stability, risks and benefits</w:t>
      </w:r>
      <w:r w:rsidRPr="00E300D7">
        <w:rPr>
          <w:i/>
          <w:iCs/>
          <w:color w:val="000000"/>
          <w:lang w:val="en-GB"/>
        </w:rPr>
        <w:t>. Journal of Central Banking Theory and Practice,</w:t>
      </w:r>
      <w:r w:rsidRPr="00E300D7">
        <w:rPr>
          <w:color w:val="000000"/>
          <w:lang w:val="en-GB"/>
        </w:rPr>
        <w:t xml:space="preserve"> 9(2), pp.43-66.</w:t>
      </w:r>
    </w:p>
    <w:p w:rsidR="008A4E78" w:rsidRPr="00E300D7" w:rsidRDefault="008A4E78" w:rsidP="00AA487C">
      <w:pPr>
        <w:pStyle w:val="Normal3"/>
        <w:spacing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Wang, P. and Wang, P., (2020). </w:t>
      </w:r>
      <w:r w:rsidRPr="00E300D7">
        <w:rPr>
          <w:rFonts w:ascii="Times New Roman" w:hAnsi="Times New Roman" w:cs="Times New Roman"/>
          <w:i/>
          <w:sz w:val="24"/>
          <w:szCs w:val="24"/>
          <w:lang w:val="en-GB"/>
        </w:rPr>
        <w:t>Exchange Rate Arrangements and International Monetary Systems. The Economics of Foreign Exchange and Global Finance</w:t>
      </w:r>
      <w:r w:rsidRPr="00E300D7">
        <w:rPr>
          <w:rFonts w:ascii="Times New Roman" w:hAnsi="Times New Roman" w:cs="Times New Roman"/>
          <w:sz w:val="24"/>
          <w:szCs w:val="24"/>
          <w:lang w:val="en-GB"/>
        </w:rPr>
        <w:t>, pp.19-34.</w:t>
      </w:r>
    </w:p>
    <w:p w:rsidR="008A4E78" w:rsidRPr="00E300D7" w:rsidRDefault="008A4E78" w:rsidP="008A4E78">
      <w:pPr>
        <w:pStyle w:val="NormalWeb"/>
        <w:spacing w:before="200" w:beforeAutospacing="0" w:after="0" w:afterAutospacing="0" w:line="360" w:lineRule="auto"/>
        <w:jc w:val="both"/>
        <w:rPr>
          <w:lang w:val="en-GB"/>
        </w:rPr>
      </w:pPr>
      <w:proofErr w:type="spellStart"/>
      <w:r w:rsidRPr="00E300D7">
        <w:rPr>
          <w:color w:val="000000"/>
          <w:lang w:val="en-GB"/>
        </w:rPr>
        <w:t>Welfens</w:t>
      </w:r>
      <w:proofErr w:type="spellEnd"/>
      <w:r w:rsidRPr="00E300D7">
        <w:rPr>
          <w:color w:val="000000"/>
          <w:lang w:val="en-GB"/>
        </w:rPr>
        <w:t>, P.J., (2020). Macroeconomic and health care aspects of the coronavirus epidemic: EU, US and global perspectives.</w:t>
      </w:r>
      <w:r w:rsidRPr="00E300D7">
        <w:rPr>
          <w:i/>
          <w:iCs/>
          <w:color w:val="000000"/>
          <w:lang w:val="en-GB"/>
        </w:rPr>
        <w:t xml:space="preserve"> International Economics and Economic Policy,</w:t>
      </w:r>
      <w:r w:rsidRPr="00E300D7">
        <w:rPr>
          <w:color w:val="000000"/>
          <w:lang w:val="en-GB"/>
        </w:rPr>
        <w:t xml:space="preserve"> 17, pp.295-362.</w:t>
      </w:r>
    </w:p>
    <w:p w:rsidR="008A4E78" w:rsidRPr="00E300D7" w:rsidRDefault="008A4E78" w:rsidP="00AA487C">
      <w:pPr>
        <w:spacing w:after="240"/>
        <w:rPr>
          <w:b/>
          <w:shd w:val="clear" w:color="auto" w:fill="FFFFFF"/>
          <w:lang w:val="en-GB"/>
        </w:rPr>
      </w:pPr>
      <w:bookmarkStart w:id="250" w:name="_Toc135334461"/>
      <w:bookmarkStart w:id="251" w:name="_Toc135417700"/>
      <w:bookmarkStart w:id="252" w:name="_Toc135418962"/>
      <w:r w:rsidRPr="00E300D7">
        <w:rPr>
          <w:shd w:val="clear" w:color="auto" w:fill="FFFFFF"/>
          <w:lang w:val="en-GB"/>
        </w:rPr>
        <w:t>Wen, T. and Wang, G.J., (2020). Volatility connectedness in global foreign exchange markets. </w:t>
      </w:r>
      <w:r w:rsidRPr="00E300D7">
        <w:rPr>
          <w:i/>
          <w:iCs/>
          <w:shd w:val="clear" w:color="auto" w:fill="FFFFFF"/>
          <w:lang w:val="en-GB"/>
        </w:rPr>
        <w:t>Journal of Multinational Financial Management</w:t>
      </w:r>
      <w:r w:rsidRPr="00E300D7">
        <w:rPr>
          <w:shd w:val="clear" w:color="auto" w:fill="FFFFFF"/>
          <w:lang w:val="en-GB"/>
        </w:rPr>
        <w:t>, </w:t>
      </w:r>
      <w:r w:rsidRPr="00E300D7">
        <w:rPr>
          <w:i/>
          <w:iCs/>
          <w:shd w:val="clear" w:color="auto" w:fill="FFFFFF"/>
          <w:lang w:val="en-GB"/>
        </w:rPr>
        <w:t>54</w:t>
      </w:r>
      <w:r w:rsidRPr="00E300D7">
        <w:rPr>
          <w:shd w:val="clear" w:color="auto" w:fill="FFFFFF"/>
          <w:lang w:val="en-GB"/>
        </w:rPr>
        <w:t>, p.100617.</w:t>
      </w:r>
      <w:bookmarkEnd w:id="250"/>
      <w:bookmarkEnd w:id="251"/>
      <w:bookmarkEnd w:id="252"/>
    </w:p>
    <w:p w:rsidR="008A4E78" w:rsidRPr="00E300D7" w:rsidRDefault="008A4E78" w:rsidP="008A4E78">
      <w:pPr>
        <w:spacing w:after="240"/>
        <w:rPr>
          <w:b/>
          <w:shd w:val="clear" w:color="auto" w:fill="FFFFFF"/>
          <w:lang w:val="en-GB"/>
        </w:rPr>
      </w:pPr>
      <w:bookmarkStart w:id="253" w:name="_Toc135418963"/>
      <w:proofErr w:type="spellStart"/>
      <w:r w:rsidRPr="00E300D7">
        <w:rPr>
          <w:color w:val="000000"/>
          <w:lang w:val="en-GB"/>
        </w:rPr>
        <w:t>Wewege</w:t>
      </w:r>
      <w:proofErr w:type="spellEnd"/>
      <w:r w:rsidRPr="00E300D7">
        <w:rPr>
          <w:color w:val="000000"/>
          <w:lang w:val="en-GB"/>
        </w:rPr>
        <w:t xml:space="preserve">, L., Lee, J. and </w:t>
      </w:r>
      <w:proofErr w:type="spellStart"/>
      <w:r w:rsidRPr="00E300D7">
        <w:rPr>
          <w:color w:val="000000"/>
          <w:lang w:val="en-GB"/>
        </w:rPr>
        <w:t>Thomsett</w:t>
      </w:r>
      <w:proofErr w:type="spellEnd"/>
      <w:r w:rsidRPr="00E300D7">
        <w:rPr>
          <w:color w:val="000000"/>
          <w:lang w:val="en-GB"/>
        </w:rPr>
        <w:t xml:space="preserve">, M.C., (2020). Disruptions and digital banking trends. </w:t>
      </w:r>
      <w:r w:rsidRPr="00E300D7">
        <w:rPr>
          <w:i/>
          <w:iCs/>
          <w:color w:val="000000"/>
          <w:lang w:val="en-GB"/>
        </w:rPr>
        <w:t xml:space="preserve">Journal of Applied Finance and Banking, </w:t>
      </w:r>
      <w:r w:rsidRPr="00E300D7">
        <w:rPr>
          <w:color w:val="000000"/>
          <w:lang w:val="en-GB"/>
        </w:rPr>
        <w:t>10(6), pp.15-56.</w:t>
      </w:r>
      <w:bookmarkEnd w:id="253"/>
    </w:p>
    <w:p w:rsidR="008A4E78" w:rsidRPr="00E300D7" w:rsidRDefault="008A4E78" w:rsidP="00AA487C">
      <w:pPr>
        <w:spacing w:after="240"/>
        <w:rPr>
          <w:b/>
          <w:shd w:val="clear" w:color="auto" w:fill="FFFFFF"/>
          <w:lang w:val="en-GB"/>
        </w:rPr>
      </w:pPr>
      <w:bookmarkStart w:id="254" w:name="_Toc135334462"/>
      <w:bookmarkStart w:id="255" w:name="_Toc135417701"/>
      <w:bookmarkStart w:id="256" w:name="_Toc135418964"/>
      <w:r w:rsidRPr="00E300D7">
        <w:rPr>
          <w:shd w:val="clear" w:color="auto" w:fill="FFFFFF"/>
          <w:lang w:val="en-GB"/>
        </w:rPr>
        <w:t xml:space="preserve">Yang, J., Yu, Z. and Ma, J., (2019). China's financial network with international </w:t>
      </w:r>
      <w:proofErr w:type="spellStart"/>
      <w:r w:rsidRPr="00E300D7">
        <w:rPr>
          <w:shd w:val="clear" w:color="auto" w:fill="FFFFFF"/>
          <w:lang w:val="en-GB"/>
        </w:rPr>
        <w:t>spillovers</w:t>
      </w:r>
      <w:proofErr w:type="spellEnd"/>
      <w:r w:rsidRPr="00E300D7">
        <w:rPr>
          <w:shd w:val="clear" w:color="auto" w:fill="FFFFFF"/>
          <w:lang w:val="en-GB"/>
        </w:rPr>
        <w:t>: A first look. </w:t>
      </w:r>
      <w:r w:rsidRPr="00E300D7">
        <w:rPr>
          <w:i/>
          <w:iCs/>
          <w:shd w:val="clear" w:color="auto" w:fill="FFFFFF"/>
          <w:lang w:val="en-GB"/>
        </w:rPr>
        <w:t>Pacific-Basin Finance Journal</w:t>
      </w:r>
      <w:r w:rsidRPr="00E300D7">
        <w:rPr>
          <w:shd w:val="clear" w:color="auto" w:fill="FFFFFF"/>
          <w:lang w:val="en-GB"/>
        </w:rPr>
        <w:t>, </w:t>
      </w:r>
      <w:r w:rsidRPr="00E300D7">
        <w:rPr>
          <w:i/>
          <w:iCs/>
          <w:shd w:val="clear" w:color="auto" w:fill="FFFFFF"/>
          <w:lang w:val="en-GB"/>
        </w:rPr>
        <w:t>58</w:t>
      </w:r>
      <w:r w:rsidRPr="00E300D7">
        <w:rPr>
          <w:shd w:val="clear" w:color="auto" w:fill="FFFFFF"/>
          <w:lang w:val="en-GB"/>
        </w:rPr>
        <w:t>, p.101222.</w:t>
      </w:r>
      <w:bookmarkEnd w:id="254"/>
      <w:bookmarkEnd w:id="255"/>
      <w:bookmarkEnd w:id="256"/>
    </w:p>
    <w:p w:rsidR="008A4E78" w:rsidRPr="00E300D7" w:rsidRDefault="008A4E78" w:rsidP="00AA487C">
      <w:pPr>
        <w:spacing w:after="240"/>
        <w:rPr>
          <w:b/>
          <w:shd w:val="clear" w:color="auto" w:fill="FFFFFF"/>
          <w:lang w:val="en-GB"/>
        </w:rPr>
      </w:pPr>
      <w:bookmarkStart w:id="257" w:name="_Toc135334463"/>
      <w:bookmarkStart w:id="258" w:name="_Toc135417702"/>
      <w:bookmarkStart w:id="259" w:name="_Toc135418965"/>
      <w:r w:rsidRPr="00E300D7">
        <w:rPr>
          <w:shd w:val="clear" w:color="auto" w:fill="FFFFFF"/>
          <w:lang w:val="en-GB"/>
        </w:rPr>
        <w:t xml:space="preserve">Zhang, Y., Wei, Y., Zhang, Y. and </w:t>
      </w:r>
      <w:proofErr w:type="spellStart"/>
      <w:r w:rsidRPr="00E300D7">
        <w:rPr>
          <w:shd w:val="clear" w:color="auto" w:fill="FFFFFF"/>
          <w:lang w:val="en-GB"/>
        </w:rPr>
        <w:t>Jin</w:t>
      </w:r>
      <w:proofErr w:type="spellEnd"/>
      <w:r w:rsidRPr="00E300D7">
        <w:rPr>
          <w:shd w:val="clear" w:color="auto" w:fill="FFFFFF"/>
          <w:lang w:val="en-GB"/>
        </w:rPr>
        <w:t>, D., (2019). Forecasting oil price volatility: Forecast combination versus shrinkage method. </w:t>
      </w:r>
      <w:r w:rsidRPr="00E300D7">
        <w:rPr>
          <w:i/>
          <w:iCs/>
          <w:shd w:val="clear" w:color="auto" w:fill="FFFFFF"/>
          <w:lang w:val="en-GB"/>
        </w:rPr>
        <w:t>Energy Economics</w:t>
      </w:r>
      <w:r w:rsidRPr="00E300D7">
        <w:rPr>
          <w:shd w:val="clear" w:color="auto" w:fill="FFFFFF"/>
          <w:lang w:val="en-GB"/>
        </w:rPr>
        <w:t>, </w:t>
      </w:r>
      <w:r w:rsidRPr="00E300D7">
        <w:rPr>
          <w:i/>
          <w:iCs/>
          <w:shd w:val="clear" w:color="auto" w:fill="FFFFFF"/>
          <w:lang w:val="en-GB"/>
        </w:rPr>
        <w:t>80</w:t>
      </w:r>
      <w:r w:rsidRPr="00E300D7">
        <w:rPr>
          <w:shd w:val="clear" w:color="auto" w:fill="FFFFFF"/>
          <w:lang w:val="en-GB"/>
        </w:rPr>
        <w:t>, pp.423-433.</w:t>
      </w:r>
      <w:bookmarkEnd w:id="257"/>
      <w:bookmarkEnd w:id="258"/>
      <w:bookmarkEnd w:id="259"/>
    </w:p>
    <w:p w:rsidR="008A4E78" w:rsidRPr="00E300D7" w:rsidRDefault="008A4E78" w:rsidP="00AA487C">
      <w:pPr>
        <w:pStyle w:val="Normal3"/>
        <w:spacing w:before="240" w:after="240" w:line="360" w:lineRule="auto"/>
        <w:jc w:val="both"/>
        <w:rPr>
          <w:rFonts w:ascii="Times New Roman" w:hAnsi="Times New Roman" w:cs="Times New Roman"/>
          <w:sz w:val="24"/>
          <w:szCs w:val="24"/>
          <w:lang w:val="en-GB"/>
        </w:rPr>
      </w:pPr>
      <w:r w:rsidRPr="00E300D7">
        <w:rPr>
          <w:rFonts w:ascii="Times New Roman" w:hAnsi="Times New Roman" w:cs="Times New Roman"/>
          <w:sz w:val="24"/>
          <w:szCs w:val="24"/>
          <w:lang w:val="en-GB"/>
        </w:rPr>
        <w:t xml:space="preserve">Zhou, Y., Li, H. and Sun, H., (2022). </w:t>
      </w:r>
      <w:proofErr w:type="spellStart"/>
      <w:r w:rsidRPr="00E300D7">
        <w:rPr>
          <w:rFonts w:ascii="Times New Roman" w:hAnsi="Times New Roman" w:cs="Times New Roman"/>
          <w:sz w:val="24"/>
          <w:szCs w:val="24"/>
          <w:lang w:val="en-GB"/>
        </w:rPr>
        <w:t>Metalloproteomics</w:t>
      </w:r>
      <w:proofErr w:type="spellEnd"/>
      <w:r w:rsidRPr="00E300D7">
        <w:rPr>
          <w:rFonts w:ascii="Times New Roman" w:hAnsi="Times New Roman" w:cs="Times New Roman"/>
          <w:sz w:val="24"/>
          <w:szCs w:val="24"/>
          <w:lang w:val="en-GB"/>
        </w:rPr>
        <w:t xml:space="preserve"> for biomedical Research: methodology and applications. </w:t>
      </w:r>
      <w:r w:rsidRPr="00E300D7">
        <w:rPr>
          <w:rFonts w:ascii="Times New Roman" w:hAnsi="Times New Roman" w:cs="Times New Roman"/>
          <w:i/>
          <w:sz w:val="24"/>
          <w:szCs w:val="24"/>
          <w:lang w:val="en-GB"/>
        </w:rPr>
        <w:t>Annual Review of Biochemistry</w:t>
      </w:r>
      <w:r w:rsidRPr="00E300D7">
        <w:rPr>
          <w:rFonts w:ascii="Times New Roman" w:hAnsi="Times New Roman" w:cs="Times New Roman"/>
          <w:sz w:val="24"/>
          <w:szCs w:val="24"/>
          <w:lang w:val="en-GB"/>
        </w:rPr>
        <w:t xml:space="preserve">, </w:t>
      </w:r>
      <w:r w:rsidRPr="00E300D7">
        <w:rPr>
          <w:rFonts w:ascii="Times New Roman" w:hAnsi="Times New Roman" w:cs="Times New Roman"/>
          <w:i/>
          <w:sz w:val="24"/>
          <w:szCs w:val="24"/>
          <w:lang w:val="en-GB"/>
        </w:rPr>
        <w:t>91</w:t>
      </w:r>
      <w:r w:rsidRPr="00E300D7">
        <w:rPr>
          <w:rFonts w:ascii="Times New Roman" w:hAnsi="Times New Roman" w:cs="Times New Roman"/>
          <w:sz w:val="24"/>
          <w:szCs w:val="24"/>
          <w:lang w:val="en-GB"/>
        </w:rPr>
        <w:t>, pp.449-473.</w:t>
      </w:r>
    </w:p>
    <w:p w:rsidR="00AA487C" w:rsidRPr="00E300D7" w:rsidRDefault="00AA487C">
      <w:pPr>
        <w:spacing w:before="0" w:line="276" w:lineRule="auto"/>
        <w:jc w:val="left"/>
        <w:outlineLvl w:val="9"/>
        <w:rPr>
          <w:szCs w:val="40"/>
          <w:lang w:val="en-GB"/>
        </w:rPr>
      </w:pPr>
      <w:r w:rsidRPr="00E300D7">
        <w:rPr>
          <w:lang w:val="en-GB"/>
        </w:rPr>
        <w:br w:type="page"/>
      </w:r>
    </w:p>
    <w:p w:rsidR="00AD15EA" w:rsidRPr="00E300D7" w:rsidRDefault="00AD15EA">
      <w:pPr>
        <w:pStyle w:val="Normal3"/>
        <w:spacing w:before="240" w:after="240" w:line="360" w:lineRule="auto"/>
        <w:jc w:val="both"/>
        <w:rPr>
          <w:rFonts w:ascii="Times New Roman" w:hAnsi="Times New Roman" w:cs="Times New Roman"/>
          <w:sz w:val="24"/>
          <w:szCs w:val="24"/>
          <w:lang w:val="en-GB"/>
        </w:rPr>
      </w:pPr>
    </w:p>
    <w:p w:rsidR="00AD15EA" w:rsidRPr="00E300D7" w:rsidRDefault="00AD15EA">
      <w:pPr>
        <w:pStyle w:val="Normal3"/>
        <w:spacing w:before="240" w:after="240" w:line="360" w:lineRule="auto"/>
        <w:jc w:val="both"/>
        <w:rPr>
          <w:rFonts w:ascii="Times New Roman" w:hAnsi="Times New Roman" w:cs="Times New Roman"/>
          <w:sz w:val="24"/>
          <w:szCs w:val="24"/>
          <w:lang w:val="en-GB"/>
        </w:rPr>
      </w:pPr>
    </w:p>
    <w:p w:rsidR="00AD15EA" w:rsidRPr="00E300D7" w:rsidRDefault="00AD15EA" w:rsidP="006C5310">
      <w:pPr>
        <w:rPr>
          <w:shd w:val="clear" w:color="auto" w:fill="FFFFFF"/>
          <w:lang w:val="en-GB"/>
        </w:rPr>
      </w:pPr>
    </w:p>
    <w:p w:rsidR="00AD15EA" w:rsidRPr="00E300D7" w:rsidRDefault="00AD15EA" w:rsidP="006C5310">
      <w:pPr>
        <w:pStyle w:val="Normal1"/>
        <w:rPr>
          <w:lang w:val="en-GB"/>
        </w:rPr>
      </w:pPr>
    </w:p>
    <w:p w:rsidR="00AD15EA" w:rsidRPr="00E300D7" w:rsidRDefault="00AD15EA" w:rsidP="006C5310">
      <w:pPr>
        <w:pStyle w:val="Normal1"/>
        <w:rPr>
          <w:lang w:val="en-GB"/>
        </w:rPr>
      </w:pPr>
    </w:p>
    <w:sectPr w:rsidR="00AD15EA" w:rsidRPr="00E300D7" w:rsidSect="00AD15EA">
      <w:footerReference w:type="default" r:id="rId20"/>
      <w:pgSz w:w="11909" w:h="16834"/>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43A4A" w:rsidRDefault="00443A4A" w:rsidP="006C5310">
      <w:r>
        <w:separator/>
      </w:r>
    </w:p>
  </w:endnote>
  <w:endnote w:type="continuationSeparator" w:id="0">
    <w:p w:rsidR="00443A4A" w:rsidRDefault="00443A4A" w:rsidP="006C53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1"/>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322513"/>
      <w:docPartObj>
        <w:docPartGallery w:val="Page Numbers (Bottom of Page)"/>
        <w:docPartUnique/>
      </w:docPartObj>
    </w:sdtPr>
    <w:sdtEndPr>
      <w:rPr>
        <w:noProof/>
      </w:rPr>
    </w:sdtEndPr>
    <w:sdtContent>
      <w:p w:rsidR="00E300D7" w:rsidRDefault="00E300D7">
        <w:pPr>
          <w:pStyle w:val="Footer"/>
          <w:jc w:val="right"/>
        </w:pPr>
        <w:r>
          <w:fldChar w:fldCharType="begin"/>
        </w:r>
        <w:r>
          <w:instrText xml:space="preserve"> PAGE   \* MERGEFORMAT </w:instrText>
        </w:r>
        <w:r>
          <w:fldChar w:fldCharType="separate"/>
        </w:r>
        <w:r w:rsidR="000534D5">
          <w:rPr>
            <w:noProof/>
          </w:rPr>
          <w:t>48</w:t>
        </w:r>
        <w:r>
          <w:rPr>
            <w:noProof/>
          </w:rPr>
          <w:fldChar w:fldCharType="end"/>
        </w:r>
      </w:p>
    </w:sdtContent>
  </w:sdt>
  <w:p w:rsidR="00E300D7" w:rsidRDefault="00E300D7" w:rsidP="006C53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43A4A" w:rsidRDefault="00443A4A" w:rsidP="006C5310">
      <w:r>
        <w:separator/>
      </w:r>
    </w:p>
  </w:footnote>
  <w:footnote w:type="continuationSeparator" w:id="0">
    <w:p w:rsidR="00443A4A" w:rsidRDefault="00443A4A" w:rsidP="006C53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CA1012"/>
    <w:multiLevelType w:val="hybridMultilevel"/>
    <w:tmpl w:val="00000000"/>
    <w:lvl w:ilvl="0" w:tplc="2D1A95B0">
      <w:start w:val="1"/>
      <w:numFmt w:val="bullet"/>
      <w:lvlText w:val="●"/>
      <w:lvlJc w:val="left"/>
      <w:pPr>
        <w:ind w:left="720" w:hanging="360"/>
      </w:pPr>
      <w:rPr>
        <w:u w:val="none"/>
      </w:rPr>
    </w:lvl>
    <w:lvl w:ilvl="1" w:tplc="0ED2E1FE">
      <w:start w:val="1"/>
      <w:numFmt w:val="bullet"/>
      <w:lvlText w:val="○"/>
      <w:lvlJc w:val="left"/>
      <w:pPr>
        <w:ind w:left="1440" w:hanging="360"/>
      </w:pPr>
      <w:rPr>
        <w:u w:val="none"/>
      </w:rPr>
    </w:lvl>
    <w:lvl w:ilvl="2" w:tplc="749E4C18">
      <w:start w:val="1"/>
      <w:numFmt w:val="bullet"/>
      <w:lvlText w:val="■"/>
      <w:lvlJc w:val="left"/>
      <w:pPr>
        <w:ind w:left="2160" w:hanging="360"/>
      </w:pPr>
      <w:rPr>
        <w:u w:val="none"/>
      </w:rPr>
    </w:lvl>
    <w:lvl w:ilvl="3" w:tplc="928EBFB2">
      <w:start w:val="1"/>
      <w:numFmt w:val="bullet"/>
      <w:lvlText w:val="●"/>
      <w:lvlJc w:val="left"/>
      <w:pPr>
        <w:ind w:left="2880" w:hanging="360"/>
      </w:pPr>
      <w:rPr>
        <w:u w:val="none"/>
      </w:rPr>
    </w:lvl>
    <w:lvl w:ilvl="4" w:tplc="845883DA">
      <w:start w:val="1"/>
      <w:numFmt w:val="bullet"/>
      <w:lvlText w:val="○"/>
      <w:lvlJc w:val="left"/>
      <w:pPr>
        <w:ind w:left="3600" w:hanging="360"/>
      </w:pPr>
      <w:rPr>
        <w:u w:val="none"/>
      </w:rPr>
    </w:lvl>
    <w:lvl w:ilvl="5" w:tplc="CACC6E06">
      <w:start w:val="1"/>
      <w:numFmt w:val="bullet"/>
      <w:lvlText w:val="■"/>
      <w:lvlJc w:val="left"/>
      <w:pPr>
        <w:ind w:left="4320" w:hanging="360"/>
      </w:pPr>
      <w:rPr>
        <w:u w:val="none"/>
      </w:rPr>
    </w:lvl>
    <w:lvl w:ilvl="6" w:tplc="5B4CE874">
      <w:start w:val="1"/>
      <w:numFmt w:val="bullet"/>
      <w:lvlText w:val="●"/>
      <w:lvlJc w:val="left"/>
      <w:pPr>
        <w:ind w:left="5040" w:hanging="360"/>
      </w:pPr>
      <w:rPr>
        <w:u w:val="none"/>
      </w:rPr>
    </w:lvl>
    <w:lvl w:ilvl="7" w:tplc="38987A1A">
      <w:start w:val="1"/>
      <w:numFmt w:val="bullet"/>
      <w:lvlText w:val="○"/>
      <w:lvlJc w:val="left"/>
      <w:pPr>
        <w:ind w:left="5760" w:hanging="360"/>
      </w:pPr>
      <w:rPr>
        <w:u w:val="none"/>
      </w:rPr>
    </w:lvl>
    <w:lvl w:ilvl="8" w:tplc="D75C7A26">
      <w:start w:val="1"/>
      <w:numFmt w:val="bullet"/>
      <w:lvlText w:val="■"/>
      <w:lvlJc w:val="left"/>
      <w:pPr>
        <w:ind w:left="6480" w:hanging="360"/>
      </w:pPr>
      <w:rPr>
        <w:u w:val="none"/>
      </w:rPr>
    </w:lvl>
  </w:abstractNum>
  <w:abstractNum w:abstractNumId="1" w15:restartNumberingAfterBreak="0">
    <w:nsid w:val="4FB10C84"/>
    <w:multiLevelType w:val="hybridMultilevel"/>
    <w:tmpl w:val="ACD84F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B45C54"/>
    <w:multiLevelType w:val="hybridMultilevel"/>
    <w:tmpl w:val="00000000"/>
    <w:lvl w:ilvl="0" w:tplc="2D1A95B0">
      <w:start w:val="1"/>
      <w:numFmt w:val="bullet"/>
      <w:lvlText w:val="●"/>
      <w:lvlJc w:val="left"/>
      <w:pPr>
        <w:ind w:left="720" w:hanging="360"/>
      </w:pPr>
      <w:rPr>
        <w:u w:val="none"/>
      </w:rPr>
    </w:lvl>
    <w:lvl w:ilvl="1" w:tplc="0ED2E1FE">
      <w:start w:val="1"/>
      <w:numFmt w:val="bullet"/>
      <w:lvlText w:val="○"/>
      <w:lvlJc w:val="left"/>
      <w:pPr>
        <w:ind w:left="1440" w:hanging="360"/>
      </w:pPr>
      <w:rPr>
        <w:u w:val="none"/>
      </w:rPr>
    </w:lvl>
    <w:lvl w:ilvl="2" w:tplc="749E4C18">
      <w:start w:val="1"/>
      <w:numFmt w:val="bullet"/>
      <w:lvlText w:val="■"/>
      <w:lvlJc w:val="left"/>
      <w:pPr>
        <w:ind w:left="2160" w:hanging="360"/>
      </w:pPr>
      <w:rPr>
        <w:u w:val="none"/>
      </w:rPr>
    </w:lvl>
    <w:lvl w:ilvl="3" w:tplc="928EBFB2">
      <w:start w:val="1"/>
      <w:numFmt w:val="bullet"/>
      <w:lvlText w:val="●"/>
      <w:lvlJc w:val="left"/>
      <w:pPr>
        <w:ind w:left="2880" w:hanging="360"/>
      </w:pPr>
      <w:rPr>
        <w:u w:val="none"/>
      </w:rPr>
    </w:lvl>
    <w:lvl w:ilvl="4" w:tplc="845883DA">
      <w:start w:val="1"/>
      <w:numFmt w:val="bullet"/>
      <w:lvlText w:val="○"/>
      <w:lvlJc w:val="left"/>
      <w:pPr>
        <w:ind w:left="3600" w:hanging="360"/>
      </w:pPr>
      <w:rPr>
        <w:u w:val="none"/>
      </w:rPr>
    </w:lvl>
    <w:lvl w:ilvl="5" w:tplc="CACC6E06">
      <w:start w:val="1"/>
      <w:numFmt w:val="bullet"/>
      <w:lvlText w:val="■"/>
      <w:lvlJc w:val="left"/>
      <w:pPr>
        <w:ind w:left="4320" w:hanging="360"/>
      </w:pPr>
      <w:rPr>
        <w:u w:val="none"/>
      </w:rPr>
    </w:lvl>
    <w:lvl w:ilvl="6" w:tplc="5B4CE874">
      <w:start w:val="1"/>
      <w:numFmt w:val="bullet"/>
      <w:lvlText w:val="●"/>
      <w:lvlJc w:val="left"/>
      <w:pPr>
        <w:ind w:left="5040" w:hanging="360"/>
      </w:pPr>
      <w:rPr>
        <w:u w:val="none"/>
      </w:rPr>
    </w:lvl>
    <w:lvl w:ilvl="7" w:tplc="38987A1A">
      <w:start w:val="1"/>
      <w:numFmt w:val="bullet"/>
      <w:lvlText w:val="○"/>
      <w:lvlJc w:val="left"/>
      <w:pPr>
        <w:ind w:left="5760" w:hanging="360"/>
      </w:pPr>
      <w:rPr>
        <w:u w:val="none"/>
      </w:rPr>
    </w:lvl>
    <w:lvl w:ilvl="8" w:tplc="D75C7A26">
      <w:start w:val="1"/>
      <w:numFmt w:val="bullet"/>
      <w:lvlText w:val="■"/>
      <w:lvlJc w:val="left"/>
      <w:pPr>
        <w:ind w:left="6480" w:hanging="360"/>
      </w:pPr>
      <w:rPr>
        <w:u w:val="none"/>
      </w:rPr>
    </w:lvl>
  </w:abstractNum>
  <w:num w:numId="1" w16cid:durableId="20782802">
    <w:abstractNumId w:val="2"/>
  </w:num>
  <w:num w:numId="2" w16cid:durableId="1891501036">
    <w:abstractNumId w:val="1"/>
  </w:num>
  <w:num w:numId="3" w16cid:durableId="454371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removePersonalInformation/>
  <w:removeDateAndTim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15EA"/>
    <w:rsid w:val="00045221"/>
    <w:rsid w:val="000534D5"/>
    <w:rsid w:val="000736C2"/>
    <w:rsid w:val="0009312A"/>
    <w:rsid w:val="000A7932"/>
    <w:rsid w:val="000F6360"/>
    <w:rsid w:val="00102992"/>
    <w:rsid w:val="0018503F"/>
    <w:rsid w:val="00193B91"/>
    <w:rsid w:val="001C594A"/>
    <w:rsid w:val="0021696C"/>
    <w:rsid w:val="002D0A23"/>
    <w:rsid w:val="002E746E"/>
    <w:rsid w:val="00323924"/>
    <w:rsid w:val="003351CB"/>
    <w:rsid w:val="00387B0E"/>
    <w:rsid w:val="003B4456"/>
    <w:rsid w:val="003F3AF7"/>
    <w:rsid w:val="00443A4A"/>
    <w:rsid w:val="00471396"/>
    <w:rsid w:val="00472E22"/>
    <w:rsid w:val="00475DF0"/>
    <w:rsid w:val="004D522C"/>
    <w:rsid w:val="00545AA1"/>
    <w:rsid w:val="005B5C54"/>
    <w:rsid w:val="005D404F"/>
    <w:rsid w:val="005E765E"/>
    <w:rsid w:val="006078D9"/>
    <w:rsid w:val="00624249"/>
    <w:rsid w:val="00651757"/>
    <w:rsid w:val="00665B00"/>
    <w:rsid w:val="006B0006"/>
    <w:rsid w:val="006C1F8C"/>
    <w:rsid w:val="006C5310"/>
    <w:rsid w:val="006D71CB"/>
    <w:rsid w:val="006E5C05"/>
    <w:rsid w:val="007008CE"/>
    <w:rsid w:val="00703621"/>
    <w:rsid w:val="00713DAE"/>
    <w:rsid w:val="00786645"/>
    <w:rsid w:val="007C49ED"/>
    <w:rsid w:val="00821E5A"/>
    <w:rsid w:val="008A4E78"/>
    <w:rsid w:val="009018AE"/>
    <w:rsid w:val="0092113F"/>
    <w:rsid w:val="0093052D"/>
    <w:rsid w:val="009331F5"/>
    <w:rsid w:val="00996BEE"/>
    <w:rsid w:val="00A1360F"/>
    <w:rsid w:val="00A21CB4"/>
    <w:rsid w:val="00A92676"/>
    <w:rsid w:val="00AA487C"/>
    <w:rsid w:val="00AD15EA"/>
    <w:rsid w:val="00B16509"/>
    <w:rsid w:val="00B20F00"/>
    <w:rsid w:val="00B52DB3"/>
    <w:rsid w:val="00B54F6D"/>
    <w:rsid w:val="00BD03F7"/>
    <w:rsid w:val="00BD394D"/>
    <w:rsid w:val="00C00413"/>
    <w:rsid w:val="00C21218"/>
    <w:rsid w:val="00C40F63"/>
    <w:rsid w:val="00C570A7"/>
    <w:rsid w:val="00CC1FD7"/>
    <w:rsid w:val="00CD1231"/>
    <w:rsid w:val="00CD5E4D"/>
    <w:rsid w:val="00CE620B"/>
    <w:rsid w:val="00CF002A"/>
    <w:rsid w:val="00D25A95"/>
    <w:rsid w:val="00D41D2D"/>
    <w:rsid w:val="00D73616"/>
    <w:rsid w:val="00D853D9"/>
    <w:rsid w:val="00DA58D5"/>
    <w:rsid w:val="00DB0A3E"/>
    <w:rsid w:val="00DE3E81"/>
    <w:rsid w:val="00E04CA2"/>
    <w:rsid w:val="00E201E8"/>
    <w:rsid w:val="00E300D7"/>
    <w:rsid w:val="00E64C7F"/>
    <w:rsid w:val="00EB61DF"/>
    <w:rsid w:val="00F22317"/>
    <w:rsid w:val="00F450AB"/>
    <w:rsid w:val="00F52795"/>
    <w:rsid w:val="00F66B7D"/>
    <w:rsid w:val="00F7580F"/>
    <w:rsid w:val="00FC581E"/>
    <w:rsid w:val="00FE7CEA"/>
    <w:rsid w:val="00FF7BD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0C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CEA"/>
    <w:pPr>
      <w:spacing w:before="200" w:line="360" w:lineRule="auto"/>
      <w:jc w:val="both"/>
      <w:outlineLvl w:val="1"/>
    </w:pPr>
    <w:rPr>
      <w:rFonts w:ascii="Times New Roman" w:eastAsia="Times New Roman" w:hAnsi="Times New Roman" w:cs="Times New Roman"/>
      <w:sz w:val="24"/>
      <w:szCs w:val="24"/>
      <w:lang w:val="en-US"/>
    </w:rPr>
  </w:style>
  <w:style w:type="paragraph" w:styleId="Heading1">
    <w:name w:val="heading 1"/>
    <w:basedOn w:val="Normal1"/>
    <w:next w:val="Normal1"/>
    <w:rsid w:val="00AD15EA"/>
    <w:pPr>
      <w:keepNext/>
      <w:keepLines/>
      <w:spacing w:before="400" w:after="120"/>
      <w:outlineLvl w:val="0"/>
    </w:pPr>
    <w:rPr>
      <w:szCs w:val="40"/>
    </w:rPr>
  </w:style>
  <w:style w:type="paragraph" w:styleId="Heading2">
    <w:name w:val="heading 2"/>
    <w:basedOn w:val="Normal3"/>
    <w:next w:val="Normal1"/>
    <w:rsid w:val="00AD15EA"/>
    <w:pPr>
      <w:spacing w:before="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3"/>
    <w:next w:val="Normal1"/>
    <w:rsid w:val="00AD15EA"/>
    <w:pPr>
      <w:spacing w:before="200" w:line="360" w:lineRule="auto"/>
      <w:jc w:val="both"/>
      <w:outlineLvl w:val="2"/>
    </w:pPr>
    <w:rPr>
      <w:rFonts w:ascii="Times New Roman" w:eastAsia="Times New Roman" w:hAnsi="Times New Roman" w:cs="Times New Roman"/>
      <w:b/>
      <w:sz w:val="24"/>
      <w:szCs w:val="24"/>
    </w:rPr>
  </w:style>
  <w:style w:type="paragraph" w:styleId="Heading4">
    <w:name w:val="heading 4"/>
    <w:basedOn w:val="Normal3"/>
    <w:next w:val="Normal1"/>
    <w:rsid w:val="00703621"/>
    <w:pPr>
      <w:spacing w:after="200" w:line="360" w:lineRule="auto"/>
      <w:jc w:val="center"/>
      <w:outlineLvl w:val="3"/>
    </w:pPr>
    <w:rPr>
      <w:rFonts w:ascii="Times New Roman" w:eastAsia="Times New Roman" w:hAnsi="Times New Roman" w:cs="Times New Roman"/>
      <w:b/>
      <w:sz w:val="24"/>
      <w:szCs w:val="24"/>
      <w:lang w:val="en-GB"/>
    </w:rPr>
  </w:style>
  <w:style w:type="paragraph" w:styleId="Heading5">
    <w:name w:val="heading 5"/>
    <w:basedOn w:val="Normal1"/>
    <w:next w:val="Normal1"/>
    <w:rsid w:val="00AD15EA"/>
    <w:pPr>
      <w:keepNext/>
      <w:keepLines/>
      <w:spacing w:before="240" w:after="80"/>
      <w:outlineLvl w:val="4"/>
    </w:pPr>
    <w:rPr>
      <w:color w:val="666666"/>
    </w:rPr>
  </w:style>
  <w:style w:type="paragraph" w:styleId="Heading6">
    <w:name w:val="heading 6"/>
    <w:basedOn w:val="Normal1"/>
    <w:next w:val="Normal1"/>
    <w:rsid w:val="00AD15E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rsid w:val="006C5310"/>
  </w:style>
  <w:style w:type="table" w:customStyle="1" w:styleId="TableNormal1">
    <w:name w:val="Table Normal1"/>
    <w:rsid w:val="00AD15EA"/>
    <w:tblPr>
      <w:tblCellMar>
        <w:top w:w="0" w:type="dxa"/>
        <w:left w:w="0" w:type="dxa"/>
        <w:bottom w:w="0" w:type="dxa"/>
        <w:right w:w="0" w:type="dxa"/>
      </w:tblCellMar>
    </w:tblPr>
  </w:style>
  <w:style w:type="paragraph" w:styleId="Title">
    <w:name w:val="Title"/>
    <w:basedOn w:val="Normal1"/>
    <w:next w:val="Normal1"/>
    <w:rsid w:val="00AD15EA"/>
    <w:pPr>
      <w:keepNext/>
      <w:keepLines/>
      <w:spacing w:after="60"/>
    </w:pPr>
    <w:rPr>
      <w:sz w:val="52"/>
      <w:szCs w:val="52"/>
    </w:rPr>
  </w:style>
  <w:style w:type="paragraph" w:styleId="Subtitle">
    <w:name w:val="Subtitle"/>
    <w:basedOn w:val="Normal1"/>
    <w:next w:val="Normal1"/>
    <w:rsid w:val="00AD15EA"/>
    <w:pPr>
      <w:keepNext/>
      <w:keepLines/>
      <w:spacing w:after="320"/>
    </w:pPr>
    <w:rPr>
      <w:color w:val="666666"/>
      <w:sz w:val="30"/>
      <w:szCs w:val="30"/>
    </w:rPr>
  </w:style>
  <w:style w:type="paragraph" w:styleId="Header">
    <w:name w:val="header"/>
    <w:basedOn w:val="Normal"/>
    <w:link w:val="HeaderChar"/>
    <w:uiPriority w:val="99"/>
    <w:rsid w:val="00AD15EA"/>
    <w:pPr>
      <w:tabs>
        <w:tab w:val="center" w:pos="4513"/>
        <w:tab w:val="right" w:pos="9026"/>
      </w:tabs>
      <w:spacing w:line="240" w:lineRule="auto"/>
    </w:pPr>
  </w:style>
  <w:style w:type="character" w:customStyle="1" w:styleId="HeaderChar">
    <w:name w:val="Header Char"/>
    <w:basedOn w:val="DefaultParagraphFont"/>
    <w:link w:val="Header"/>
    <w:uiPriority w:val="99"/>
    <w:rsid w:val="00AD15EA"/>
  </w:style>
  <w:style w:type="paragraph" w:styleId="Footer">
    <w:name w:val="footer"/>
    <w:basedOn w:val="Normal"/>
    <w:link w:val="FooterChar"/>
    <w:uiPriority w:val="99"/>
    <w:rsid w:val="00AD15EA"/>
    <w:pPr>
      <w:tabs>
        <w:tab w:val="center" w:pos="4513"/>
        <w:tab w:val="right" w:pos="9026"/>
      </w:tabs>
      <w:spacing w:line="240" w:lineRule="auto"/>
    </w:pPr>
  </w:style>
  <w:style w:type="character" w:customStyle="1" w:styleId="FooterChar">
    <w:name w:val="Footer Char"/>
    <w:basedOn w:val="DefaultParagraphFont"/>
    <w:link w:val="Footer"/>
    <w:uiPriority w:val="99"/>
    <w:rsid w:val="00AD15EA"/>
  </w:style>
  <w:style w:type="paragraph" w:styleId="BalloonText">
    <w:name w:val="Balloon Text"/>
    <w:basedOn w:val="Normal"/>
    <w:link w:val="BalloonTextChar"/>
    <w:uiPriority w:val="99"/>
    <w:rsid w:val="00AD15E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sid w:val="00AD15EA"/>
    <w:rPr>
      <w:rFonts w:ascii="Tahoma" w:hAnsi="Tahoma" w:cs="Tahoma"/>
      <w:sz w:val="16"/>
      <w:szCs w:val="16"/>
    </w:rPr>
  </w:style>
  <w:style w:type="character" w:styleId="Hyperlink">
    <w:name w:val="Hyperlink"/>
    <w:basedOn w:val="DefaultParagraphFont"/>
    <w:uiPriority w:val="99"/>
    <w:rsid w:val="00AD15EA"/>
    <w:rPr>
      <w:color w:val="0000FF"/>
      <w:u w:val="single"/>
    </w:rPr>
  </w:style>
  <w:style w:type="paragraph" w:styleId="TOC1">
    <w:name w:val="toc 1"/>
    <w:basedOn w:val="Normal"/>
    <w:next w:val="Normal"/>
    <w:uiPriority w:val="39"/>
    <w:rsid w:val="00AD15EA"/>
    <w:pPr>
      <w:spacing w:after="100"/>
    </w:pPr>
  </w:style>
  <w:style w:type="paragraph" w:styleId="TOC2">
    <w:name w:val="toc 2"/>
    <w:basedOn w:val="Normal"/>
    <w:next w:val="Normal"/>
    <w:uiPriority w:val="39"/>
    <w:rsid w:val="00AD15EA"/>
    <w:pPr>
      <w:spacing w:after="100"/>
      <w:ind w:left="220"/>
    </w:pPr>
  </w:style>
  <w:style w:type="paragraph" w:customStyle="1" w:styleId="Normal2">
    <w:name w:val="Normal2"/>
    <w:rsid w:val="00AD15EA"/>
  </w:style>
  <w:style w:type="paragraph" w:styleId="TOCHeading">
    <w:name w:val="TOC Heading"/>
    <w:basedOn w:val="Heading1"/>
    <w:next w:val="Normal"/>
    <w:uiPriority w:val="39"/>
    <w:qFormat/>
    <w:rsid w:val="00AD15EA"/>
    <w:pPr>
      <w:spacing w:before="240" w:after="0" w:line="259" w:lineRule="auto"/>
      <w:jc w:val="left"/>
      <w:outlineLvl w:val="9"/>
    </w:pPr>
    <w:rPr>
      <w:rFonts w:ascii="Calibri" w:eastAsia="SimSun" w:hAnsi="Calibri" w:cs="SimSun"/>
      <w:b/>
      <w:color w:val="365F91"/>
      <w:sz w:val="32"/>
      <w:szCs w:val="32"/>
    </w:rPr>
  </w:style>
  <w:style w:type="paragraph" w:customStyle="1" w:styleId="Normal3">
    <w:name w:val="Normal3"/>
    <w:rsid w:val="00AD15EA"/>
    <w:rPr>
      <w:lang w:val="en-US"/>
    </w:rPr>
  </w:style>
  <w:style w:type="paragraph" w:styleId="TOC3">
    <w:name w:val="toc 3"/>
    <w:basedOn w:val="Normal"/>
    <w:next w:val="Normal"/>
    <w:uiPriority w:val="39"/>
    <w:rsid w:val="00AD15EA"/>
    <w:pPr>
      <w:spacing w:after="100"/>
      <w:ind w:left="480"/>
    </w:pPr>
  </w:style>
  <w:style w:type="paragraph" w:styleId="TOC4">
    <w:name w:val="toc 4"/>
    <w:basedOn w:val="Normal"/>
    <w:next w:val="Normal"/>
    <w:autoRedefine/>
    <w:uiPriority w:val="39"/>
    <w:unhideWhenUsed/>
    <w:rsid w:val="00F450AB"/>
    <w:pPr>
      <w:spacing w:before="0" w:after="100" w:line="276" w:lineRule="auto"/>
      <w:ind w:left="660"/>
      <w:jc w:val="left"/>
      <w:outlineLvl w:val="9"/>
    </w:pPr>
    <w:rPr>
      <w:rFonts w:asciiTheme="minorHAnsi" w:eastAsiaTheme="minorEastAsia" w:hAnsiTheme="minorHAnsi" w:cstheme="minorBidi"/>
      <w:b/>
      <w:sz w:val="22"/>
      <w:szCs w:val="22"/>
    </w:rPr>
  </w:style>
  <w:style w:type="paragraph" w:styleId="TOC5">
    <w:name w:val="toc 5"/>
    <w:basedOn w:val="Normal"/>
    <w:next w:val="Normal"/>
    <w:autoRedefine/>
    <w:uiPriority w:val="39"/>
    <w:unhideWhenUsed/>
    <w:rsid w:val="00F450AB"/>
    <w:pPr>
      <w:spacing w:before="0" w:after="100" w:line="276" w:lineRule="auto"/>
      <w:ind w:left="880"/>
      <w:jc w:val="left"/>
      <w:outlineLvl w:val="9"/>
    </w:pPr>
    <w:rPr>
      <w:rFonts w:asciiTheme="minorHAnsi" w:eastAsiaTheme="minorEastAsia" w:hAnsiTheme="minorHAnsi" w:cstheme="minorBidi"/>
      <w:b/>
      <w:sz w:val="22"/>
      <w:szCs w:val="22"/>
    </w:rPr>
  </w:style>
  <w:style w:type="paragraph" w:styleId="TOC6">
    <w:name w:val="toc 6"/>
    <w:basedOn w:val="Normal"/>
    <w:next w:val="Normal"/>
    <w:autoRedefine/>
    <w:uiPriority w:val="39"/>
    <w:unhideWhenUsed/>
    <w:rsid w:val="00F450AB"/>
    <w:pPr>
      <w:spacing w:before="0" w:after="100" w:line="276" w:lineRule="auto"/>
      <w:ind w:left="1100"/>
      <w:jc w:val="left"/>
      <w:outlineLvl w:val="9"/>
    </w:pPr>
    <w:rPr>
      <w:rFonts w:asciiTheme="minorHAnsi" w:eastAsiaTheme="minorEastAsia" w:hAnsiTheme="minorHAnsi" w:cstheme="minorBidi"/>
      <w:b/>
      <w:sz w:val="22"/>
      <w:szCs w:val="22"/>
    </w:rPr>
  </w:style>
  <w:style w:type="paragraph" w:styleId="TOC7">
    <w:name w:val="toc 7"/>
    <w:basedOn w:val="Normal"/>
    <w:next w:val="Normal"/>
    <w:autoRedefine/>
    <w:uiPriority w:val="39"/>
    <w:unhideWhenUsed/>
    <w:rsid w:val="00F450AB"/>
    <w:pPr>
      <w:spacing w:before="0" w:after="100" w:line="276" w:lineRule="auto"/>
      <w:ind w:left="1320"/>
      <w:jc w:val="left"/>
      <w:outlineLvl w:val="9"/>
    </w:pPr>
    <w:rPr>
      <w:rFonts w:asciiTheme="minorHAnsi" w:eastAsiaTheme="minorEastAsia" w:hAnsiTheme="minorHAnsi" w:cstheme="minorBidi"/>
      <w:b/>
      <w:sz w:val="22"/>
      <w:szCs w:val="22"/>
    </w:rPr>
  </w:style>
  <w:style w:type="paragraph" w:styleId="TOC8">
    <w:name w:val="toc 8"/>
    <w:basedOn w:val="Normal"/>
    <w:next w:val="Normal"/>
    <w:autoRedefine/>
    <w:uiPriority w:val="39"/>
    <w:unhideWhenUsed/>
    <w:rsid w:val="00F450AB"/>
    <w:pPr>
      <w:spacing w:before="0" w:after="100" w:line="276" w:lineRule="auto"/>
      <w:ind w:left="1540"/>
      <w:jc w:val="left"/>
      <w:outlineLvl w:val="9"/>
    </w:pPr>
    <w:rPr>
      <w:rFonts w:asciiTheme="minorHAnsi" w:eastAsiaTheme="minorEastAsia" w:hAnsiTheme="minorHAnsi" w:cstheme="minorBidi"/>
      <w:b/>
      <w:sz w:val="22"/>
      <w:szCs w:val="22"/>
    </w:rPr>
  </w:style>
  <w:style w:type="paragraph" w:styleId="TOC9">
    <w:name w:val="toc 9"/>
    <w:basedOn w:val="Normal"/>
    <w:next w:val="Normal"/>
    <w:autoRedefine/>
    <w:uiPriority w:val="39"/>
    <w:unhideWhenUsed/>
    <w:rsid w:val="00F450AB"/>
    <w:pPr>
      <w:spacing w:before="0" w:after="100" w:line="276" w:lineRule="auto"/>
      <w:ind w:left="1760"/>
      <w:jc w:val="left"/>
      <w:outlineLvl w:val="9"/>
    </w:pPr>
    <w:rPr>
      <w:rFonts w:asciiTheme="minorHAnsi" w:eastAsiaTheme="minorEastAsia" w:hAnsiTheme="minorHAnsi" w:cstheme="minorBidi"/>
      <w:b/>
      <w:sz w:val="22"/>
      <w:szCs w:val="22"/>
    </w:rPr>
  </w:style>
  <w:style w:type="paragraph" w:styleId="NormalWeb">
    <w:name w:val="Normal (Web)"/>
    <w:basedOn w:val="Normal"/>
    <w:uiPriority w:val="99"/>
    <w:semiHidden/>
    <w:unhideWhenUsed/>
    <w:rsid w:val="008A4E78"/>
    <w:pPr>
      <w:spacing w:before="100" w:beforeAutospacing="1" w:after="100" w:afterAutospacing="1" w:line="240" w:lineRule="auto"/>
      <w:jc w:val="left"/>
      <w:outlineLvl w:val="9"/>
    </w:pPr>
    <w:rPr>
      <w:b/>
    </w:rPr>
  </w:style>
  <w:style w:type="character" w:styleId="UnresolvedMention">
    <w:name w:val="Unresolved Mention"/>
    <w:basedOn w:val="DefaultParagraphFont"/>
    <w:uiPriority w:val="99"/>
    <w:semiHidden/>
    <w:unhideWhenUsed/>
    <w:rsid w:val="00FE7C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bis.org/statistics/rpfx22_fx.ht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tradingeconomics.com/united-kingdom/currenc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14EFAC-45C2-4EF5-A0C7-AC60F228CC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60</Pages>
  <Words>17898</Words>
  <Characters>102020</Characters>
  <Application>Microsoft Office Word</Application>
  <DocSecurity>0</DocSecurity>
  <Lines>850</Lines>
  <Paragraphs>239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119679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2023-05-27T13:28:00Z</dcterms:created>
  <dcterms:modified xsi:type="dcterms:W3CDTF">2023-05-27T13:28:00Z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baa9aa79ad7d473caf144b694803464e</vt:lpwstr>
  </property>
</Properties>
</file>