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DDEB6" w14:textId="77777777" w:rsidR="00FE5A1B" w:rsidRDefault="00FE5A1B" w:rsidP="00FE5A1B">
      <w:pPr>
        <w:jc w:val="center"/>
      </w:pPr>
      <w:r w:rsidRPr="5F883017">
        <w:rPr>
          <w:rFonts w:ascii="Arial" w:eastAsia="Arial" w:hAnsi="Arial" w:cs="Arial"/>
          <w:b/>
          <w:bCs/>
          <w:color w:val="000000" w:themeColor="text1"/>
          <w:sz w:val="28"/>
          <w:szCs w:val="28"/>
        </w:rPr>
        <w:t xml:space="preserve">Postgraduate/Distance Learning </w:t>
      </w:r>
    </w:p>
    <w:p w14:paraId="60A5E0B4" w14:textId="77777777" w:rsidR="00FE5A1B" w:rsidRDefault="00FE5A1B" w:rsidP="00FE5A1B">
      <w:pPr>
        <w:jc w:val="center"/>
      </w:pPr>
      <w:r w:rsidRPr="5F883017">
        <w:rPr>
          <w:rFonts w:ascii="Arial" w:eastAsia="Arial" w:hAnsi="Arial" w:cs="Arial"/>
          <w:b/>
          <w:bCs/>
          <w:color w:val="000000" w:themeColor="text1"/>
          <w:sz w:val="28"/>
          <w:szCs w:val="28"/>
        </w:rPr>
        <w:t>Assignment coversheet &amp; feedback form</w:t>
      </w:r>
    </w:p>
    <w:p w14:paraId="56AA4B81" w14:textId="77777777" w:rsidR="00FE5A1B" w:rsidRDefault="00FE5A1B" w:rsidP="00FE5A1B"/>
    <w:p w14:paraId="5E1F8634" w14:textId="77777777" w:rsidR="00FE5A1B" w:rsidRDefault="00FE5A1B" w:rsidP="00FE5A1B">
      <w:r w:rsidRPr="5F883017">
        <w:rPr>
          <w:rFonts w:ascii="Tahoma" w:eastAsia="Tahoma" w:hAnsi="Tahoma" w:cs="Tahoma"/>
          <w:b/>
          <w:bCs/>
          <w:color w:val="1F3763"/>
          <w:sz w:val="20"/>
          <w:szCs w:val="20"/>
        </w:rPr>
        <w:t xml:space="preserve">THIS SHEET MUST BE THE FIRST PAGE OF THE ASSIGNMENT YOU ARE </w:t>
      </w:r>
      <w:proofErr w:type="gramStart"/>
      <w:r w:rsidRPr="5F883017">
        <w:rPr>
          <w:rFonts w:ascii="Tahoma" w:eastAsia="Tahoma" w:hAnsi="Tahoma" w:cs="Tahoma"/>
          <w:b/>
          <w:bCs/>
          <w:color w:val="1F3763"/>
          <w:sz w:val="20"/>
          <w:szCs w:val="20"/>
        </w:rPr>
        <w:t>SUBMITTING  (</w:t>
      </w:r>
      <w:proofErr w:type="gramEnd"/>
      <w:r w:rsidRPr="5F883017">
        <w:rPr>
          <w:rFonts w:ascii="Tahoma" w:eastAsia="Tahoma" w:hAnsi="Tahoma" w:cs="Tahoma"/>
          <w:b/>
          <w:bCs/>
          <w:color w:val="1F3763"/>
          <w:sz w:val="20"/>
          <w:szCs w:val="20"/>
        </w:rPr>
        <w:t>DO NOT SEND AS A SEPARATE FILE)</w:t>
      </w:r>
    </w:p>
    <w:p w14:paraId="7A6C59C5" w14:textId="77777777" w:rsidR="00FE5A1B" w:rsidRDefault="00FE5A1B" w:rsidP="00FE5A1B"/>
    <w:tbl>
      <w:tblPr>
        <w:tblStyle w:val="TableGrid"/>
        <w:tblW w:w="0" w:type="auto"/>
        <w:tblInd w:w="105" w:type="dxa"/>
        <w:tblLayout w:type="fixed"/>
        <w:tblLook w:val="06A0" w:firstRow="1" w:lastRow="0" w:firstColumn="1" w:lastColumn="0" w:noHBand="1" w:noVBand="1"/>
      </w:tblPr>
      <w:tblGrid>
        <w:gridCol w:w="4869"/>
        <w:gridCol w:w="425"/>
        <w:gridCol w:w="1596"/>
        <w:gridCol w:w="287"/>
        <w:gridCol w:w="1837"/>
      </w:tblGrid>
      <w:tr w:rsidR="00FE5A1B" w14:paraId="4C55726C" w14:textId="77777777" w:rsidTr="00ED6CE3">
        <w:trPr>
          <w:trHeight w:val="82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BCD573" w14:textId="77777777" w:rsidR="00FE5A1B" w:rsidRDefault="00FE5A1B" w:rsidP="00ED6CE3">
            <w:r w:rsidRPr="5F883017">
              <w:rPr>
                <w:rFonts w:ascii="Arial" w:eastAsia="Arial" w:hAnsi="Arial" w:cs="Arial"/>
                <w:b/>
                <w:bCs/>
                <w:color w:val="000000" w:themeColor="text1"/>
              </w:rPr>
              <w:t>For completion by the student</w:t>
            </w:r>
            <w:r w:rsidRPr="5F883017">
              <w:rPr>
                <w:rFonts w:ascii="Arial" w:eastAsia="Arial" w:hAnsi="Arial" w:cs="Arial"/>
                <w:color w:val="000000" w:themeColor="text1"/>
              </w:rPr>
              <w:t xml:space="preserve">: </w:t>
            </w:r>
          </w:p>
        </w:tc>
      </w:tr>
      <w:tr w:rsidR="00FE5A1B" w14:paraId="0C0C7156" w14:textId="77777777" w:rsidTr="00ED6CE3">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5136451" w14:textId="77777777" w:rsidR="00FE5A1B" w:rsidRDefault="00FE5A1B" w:rsidP="00ED6CE3">
            <w:r w:rsidRPr="5F883017">
              <w:rPr>
                <w:rFonts w:ascii="Arial" w:eastAsia="Arial" w:hAnsi="Arial" w:cs="Arial"/>
                <w:color w:val="000000" w:themeColor="text1"/>
              </w:rPr>
              <w:t xml:space="preserve">Student Name: Cara Louise </w:t>
            </w:r>
            <w:proofErr w:type="spellStart"/>
            <w:r w:rsidRPr="5F883017">
              <w:rPr>
                <w:rFonts w:ascii="Arial" w:eastAsia="Arial" w:hAnsi="Arial" w:cs="Arial"/>
                <w:color w:val="000000" w:themeColor="text1"/>
              </w:rPr>
              <w:t>Braia</w:t>
            </w:r>
            <w:proofErr w:type="spellEnd"/>
            <w:r w:rsidRPr="5F883017">
              <w:rPr>
                <w:rFonts w:ascii="Arial" w:eastAsia="Arial" w:hAnsi="Arial" w:cs="Arial"/>
                <w:color w:val="000000" w:themeColor="text1"/>
              </w:rPr>
              <w:t xml:space="preserve"> </w:t>
            </w:r>
          </w:p>
          <w:p w14:paraId="53FC2B0D" w14:textId="77777777" w:rsidR="00FE5A1B" w:rsidRDefault="00FE5A1B" w:rsidP="00ED6CE3"/>
        </w:tc>
      </w:tr>
      <w:tr w:rsidR="00FE5A1B" w14:paraId="717BCC23" w14:textId="77777777" w:rsidTr="00ED6CE3">
        <w:trPr>
          <w:trHeight w:val="1140"/>
        </w:trPr>
        <w:tc>
          <w:tcPr>
            <w:tcW w:w="48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649B06" w14:textId="77777777" w:rsidR="00FE5A1B" w:rsidRDefault="00FE5A1B" w:rsidP="00ED6CE3">
            <w:r w:rsidRPr="5F883017">
              <w:rPr>
                <w:rFonts w:ascii="Arial" w:eastAsia="Arial" w:hAnsi="Arial" w:cs="Arial"/>
                <w:color w:val="000000" w:themeColor="text1"/>
              </w:rPr>
              <w:t xml:space="preserve">Module code: </w:t>
            </w:r>
            <w:r w:rsidRPr="5F883017">
              <w:rPr>
                <w:rFonts w:ascii="Arial" w:eastAsia="Arial" w:hAnsi="Arial" w:cs="Arial"/>
                <w:color w:val="373A3C"/>
              </w:rPr>
              <w:t xml:space="preserve">HPCA7027 </w:t>
            </w:r>
          </w:p>
          <w:p w14:paraId="329C2A85" w14:textId="77777777" w:rsidR="00FE5A1B" w:rsidRDefault="00FE5A1B" w:rsidP="00ED6CE3"/>
          <w:p w14:paraId="2C17F507" w14:textId="77777777" w:rsidR="00FE5A1B" w:rsidRDefault="00FE5A1B" w:rsidP="00ED6CE3"/>
          <w:p w14:paraId="2E1FD6AD" w14:textId="77777777" w:rsidR="00FE5A1B" w:rsidRDefault="00FE5A1B" w:rsidP="00ED6CE3">
            <w:r w:rsidRPr="5F883017">
              <w:rPr>
                <w:rFonts w:ascii="Arial" w:eastAsia="Arial" w:hAnsi="Arial" w:cs="Arial"/>
                <w:color w:val="000000" w:themeColor="text1"/>
              </w:rPr>
              <w:t xml:space="preserve">Module title: </w:t>
            </w:r>
          </w:p>
          <w:p w14:paraId="167B691E" w14:textId="77777777" w:rsidR="00FE5A1B" w:rsidRDefault="00FE5A1B" w:rsidP="00ED6CE3">
            <w:r w:rsidRPr="5F883017">
              <w:rPr>
                <w:rFonts w:ascii="Arial" w:eastAsia="Arial" w:hAnsi="Arial" w:cs="Arial"/>
                <w:color w:val="373A3C"/>
              </w:rPr>
              <w:t xml:space="preserve">Cosmology, Magic and Divination </w:t>
            </w:r>
          </w:p>
          <w:p w14:paraId="177C5534" w14:textId="77777777" w:rsidR="00FE5A1B" w:rsidRDefault="00FE5A1B" w:rsidP="00ED6CE3"/>
          <w:p w14:paraId="17DD734D" w14:textId="77777777" w:rsidR="00FE5A1B" w:rsidRDefault="00FE5A1B" w:rsidP="00ED6CE3"/>
        </w:tc>
        <w:tc>
          <w:tcPr>
            <w:tcW w:w="230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9D086C" w14:textId="77777777" w:rsidR="00FE5A1B" w:rsidRDefault="00FE5A1B" w:rsidP="00ED6CE3">
            <w:r w:rsidRPr="5F883017">
              <w:rPr>
                <w:rFonts w:ascii="Arial" w:eastAsia="Arial" w:hAnsi="Arial" w:cs="Arial"/>
                <w:color w:val="000000" w:themeColor="text1"/>
              </w:rPr>
              <w:t xml:space="preserve">Student ID number: </w:t>
            </w:r>
          </w:p>
          <w:p w14:paraId="1458DA99" w14:textId="77777777" w:rsidR="00FE5A1B" w:rsidRDefault="00FE5A1B" w:rsidP="00ED6CE3">
            <w:hyperlink r:id="rId7">
              <w:r w:rsidRPr="5F883017">
                <w:rPr>
                  <w:rStyle w:val="Hyperlink"/>
                  <w:rFonts w:ascii="Calibri" w:eastAsia="Calibri" w:hAnsi="Calibri" w:cs="Calibri"/>
                </w:rPr>
                <w:t>2116365</w:t>
              </w:r>
            </w:hyperlink>
          </w:p>
        </w:tc>
        <w:tc>
          <w:tcPr>
            <w:tcW w:w="1837" w:type="dxa"/>
            <w:tcBorders>
              <w:top w:val="single" w:sz="8" w:space="0" w:color="000000" w:themeColor="text1"/>
              <w:left w:val="nil"/>
              <w:bottom w:val="single" w:sz="8" w:space="0" w:color="000000" w:themeColor="text1"/>
              <w:right w:val="single" w:sz="8" w:space="0" w:color="000000" w:themeColor="text1"/>
            </w:tcBorders>
          </w:tcPr>
          <w:p w14:paraId="2FC6DE60" w14:textId="77777777" w:rsidR="00FE5A1B" w:rsidRDefault="00FE5A1B" w:rsidP="00ED6CE3">
            <w:r w:rsidRPr="5F883017">
              <w:rPr>
                <w:rFonts w:ascii="Arial" w:eastAsia="Arial" w:hAnsi="Arial" w:cs="Arial"/>
                <w:color w:val="000000" w:themeColor="text1"/>
              </w:rPr>
              <w:t xml:space="preserve">Educational support needs: </w:t>
            </w:r>
          </w:p>
          <w:p w14:paraId="7B4DC497" w14:textId="77777777" w:rsidR="00FE5A1B" w:rsidRDefault="00FE5A1B" w:rsidP="00ED6CE3">
            <w:r w:rsidRPr="5F883017">
              <w:rPr>
                <w:rFonts w:ascii="Arial" w:eastAsia="Arial" w:hAnsi="Arial" w:cs="Arial"/>
                <w:color w:val="000000" w:themeColor="text1"/>
              </w:rPr>
              <w:t xml:space="preserve">No </w:t>
            </w:r>
          </w:p>
        </w:tc>
      </w:tr>
      <w:tr w:rsidR="00FE5A1B" w14:paraId="327529B2" w14:textId="77777777" w:rsidTr="00ED6CE3">
        <w:trPr>
          <w:trHeight w:val="150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536183" w14:textId="77777777" w:rsidR="00FE5A1B" w:rsidRDefault="00FE5A1B" w:rsidP="00ED6CE3">
            <w:r w:rsidRPr="5F883017">
              <w:rPr>
                <w:rFonts w:ascii="Arial" w:eastAsia="Arial" w:hAnsi="Arial" w:cs="Arial"/>
                <w:color w:val="000000" w:themeColor="text1"/>
              </w:rPr>
              <w:t xml:space="preserve">Module tutor: </w:t>
            </w:r>
          </w:p>
          <w:p w14:paraId="5AD0AFBC" w14:textId="77777777" w:rsidR="00FE5A1B" w:rsidRDefault="00FE5A1B" w:rsidP="00ED6CE3">
            <w:r w:rsidRPr="5F883017">
              <w:rPr>
                <w:rFonts w:ascii="Arial" w:eastAsia="Arial" w:hAnsi="Arial" w:cs="Arial"/>
                <w:b/>
                <w:bCs/>
              </w:rPr>
              <w:t xml:space="preserve">Dr Dorian Greenbaum </w:t>
            </w:r>
            <w:hyperlink r:id="rId8">
              <w:r w:rsidRPr="5F883017">
                <w:rPr>
                  <w:rStyle w:val="Hyperlink"/>
                  <w:rFonts w:ascii="Calibri" w:eastAsia="Calibri" w:hAnsi="Calibri" w:cs="Calibri"/>
                </w:rPr>
                <w:t>d.greenbaum@uwtsd.ac.uk</w:t>
              </w:r>
            </w:hyperlink>
          </w:p>
          <w:p w14:paraId="12F2B4A3" w14:textId="77777777" w:rsidR="00FE5A1B" w:rsidRDefault="00FE5A1B" w:rsidP="00ED6CE3">
            <w:r w:rsidRPr="5F883017">
              <w:rPr>
                <w:rFonts w:ascii="Arial" w:eastAsia="Arial" w:hAnsi="Arial" w:cs="Arial"/>
                <w:b/>
                <w:bCs/>
              </w:rPr>
              <w:t xml:space="preserve">Dr Crystal </w:t>
            </w:r>
            <w:proofErr w:type="spellStart"/>
            <w:r w:rsidRPr="5F883017">
              <w:rPr>
                <w:rFonts w:ascii="Arial" w:eastAsia="Arial" w:hAnsi="Arial" w:cs="Arial"/>
                <w:b/>
                <w:bCs/>
              </w:rPr>
              <w:t>Addey</w:t>
            </w:r>
            <w:proofErr w:type="spellEnd"/>
            <w:r w:rsidRPr="5F883017">
              <w:rPr>
                <w:rFonts w:ascii="Arial" w:eastAsia="Arial" w:hAnsi="Arial" w:cs="Arial"/>
                <w:b/>
                <w:bCs/>
              </w:rPr>
              <w:t xml:space="preserve"> </w:t>
            </w:r>
            <w:hyperlink r:id="rId9">
              <w:r w:rsidRPr="5F883017">
                <w:rPr>
                  <w:rStyle w:val="Hyperlink"/>
                  <w:rFonts w:ascii="Calibri" w:eastAsia="Calibri" w:hAnsi="Calibri" w:cs="Calibri"/>
                </w:rPr>
                <w:t>crystal.addey@ucc.ie</w:t>
              </w:r>
            </w:hyperlink>
          </w:p>
          <w:p w14:paraId="040895EE" w14:textId="77777777" w:rsidR="00FE5A1B" w:rsidRDefault="00FE5A1B" w:rsidP="00ED6CE3">
            <w:r w:rsidRPr="5F883017">
              <w:rPr>
                <w:rFonts w:ascii="Arial" w:eastAsia="Arial" w:hAnsi="Arial" w:cs="Arial"/>
                <w:b/>
                <w:bCs/>
              </w:rPr>
              <w:t xml:space="preserve">Dr Dawn Collins  </w:t>
            </w:r>
            <w:hyperlink r:id="rId10">
              <w:r w:rsidRPr="5F883017">
                <w:rPr>
                  <w:rStyle w:val="Hyperlink"/>
                  <w:rFonts w:ascii="Calibri" w:eastAsia="Calibri" w:hAnsi="Calibri" w:cs="Calibri"/>
                </w:rPr>
                <w:t>d.collins@uwtsd.ac.uk</w:t>
              </w:r>
            </w:hyperlink>
          </w:p>
          <w:p w14:paraId="586C6E3A" w14:textId="77777777" w:rsidR="00FE5A1B" w:rsidRDefault="00FE5A1B" w:rsidP="00ED6CE3"/>
          <w:p w14:paraId="52CD8BB3" w14:textId="77777777" w:rsidR="00FE5A1B" w:rsidRDefault="00FE5A1B" w:rsidP="00ED6CE3">
            <w:r w:rsidRPr="5F883017">
              <w:rPr>
                <w:rFonts w:ascii="Arial" w:eastAsia="Arial" w:hAnsi="Arial" w:cs="Arial"/>
                <w:color w:val="000000" w:themeColor="text1"/>
              </w:rPr>
              <w:t xml:space="preserve">Assignment due date: </w:t>
            </w:r>
            <w:r>
              <w:rPr>
                <w:rFonts w:ascii="Arial" w:eastAsia="Arial" w:hAnsi="Arial" w:cs="Arial"/>
                <w:color w:val="000000" w:themeColor="text1"/>
              </w:rPr>
              <w:t>31 July</w:t>
            </w:r>
            <w:r w:rsidRPr="5F883017">
              <w:rPr>
                <w:rFonts w:ascii="Arial" w:eastAsia="Arial" w:hAnsi="Arial" w:cs="Arial"/>
                <w:color w:val="000000" w:themeColor="text1"/>
              </w:rPr>
              <w:t xml:space="preserve"> 2022 </w:t>
            </w:r>
          </w:p>
        </w:tc>
      </w:tr>
      <w:tr w:rsidR="00FE5A1B" w14:paraId="712B0B3D" w14:textId="77777777" w:rsidTr="00ED6CE3">
        <w:trPr>
          <w:trHeight w:val="130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CD5912" w14:textId="77777777" w:rsidR="00FE5A1B" w:rsidRDefault="00FE5A1B" w:rsidP="00ED6CE3">
            <w:r w:rsidRPr="5F883017">
              <w:rPr>
                <w:rFonts w:ascii="Arial" w:eastAsia="Arial" w:hAnsi="Arial" w:cs="Arial"/>
              </w:rPr>
              <w:t xml:space="preserve">If your module has multiple </w:t>
            </w:r>
            <w:proofErr w:type="gramStart"/>
            <w:r w:rsidRPr="5F883017">
              <w:rPr>
                <w:rFonts w:ascii="Arial" w:eastAsia="Arial" w:hAnsi="Arial" w:cs="Arial"/>
              </w:rPr>
              <w:t>submissions</w:t>
            </w:r>
            <w:proofErr w:type="gramEnd"/>
            <w:r w:rsidRPr="5F883017">
              <w:rPr>
                <w:rFonts w:ascii="Arial" w:eastAsia="Arial" w:hAnsi="Arial" w:cs="Arial"/>
              </w:rPr>
              <w:t xml:space="preserve"> please indicate which piece of work this is. </w:t>
            </w:r>
          </w:p>
          <w:p w14:paraId="07DEE55A" w14:textId="77777777" w:rsidR="00FE5A1B" w:rsidRDefault="00FE5A1B" w:rsidP="00ED6CE3"/>
          <w:p w14:paraId="0D11710F" w14:textId="77777777" w:rsidR="00FE5A1B" w:rsidRDefault="00FE5A1B" w:rsidP="00ED6CE3">
            <w:r w:rsidRPr="5F883017">
              <w:rPr>
                <w:rFonts w:ascii="Arial" w:eastAsia="Arial" w:hAnsi="Arial" w:cs="Arial"/>
              </w:rPr>
              <w:t>1</w:t>
            </w:r>
            <w:r w:rsidRPr="5F883017">
              <w:rPr>
                <w:rFonts w:ascii="Arial" w:eastAsia="Arial" w:hAnsi="Arial" w:cs="Arial"/>
                <w:sz w:val="17"/>
                <w:szCs w:val="17"/>
                <w:vertAlign w:val="superscript"/>
              </w:rPr>
              <w:t xml:space="preserve">st </w:t>
            </w:r>
          </w:p>
        </w:tc>
      </w:tr>
      <w:tr w:rsidR="00FE5A1B" w14:paraId="0DD0B67E" w14:textId="77777777" w:rsidTr="00ED6CE3">
        <w:trPr>
          <w:trHeight w:val="130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Pr>
          <w:p w14:paraId="1B5B053E" w14:textId="77777777" w:rsidR="00FE5A1B" w:rsidRDefault="00FE5A1B" w:rsidP="00ED6CE3">
            <w:r w:rsidRPr="5F883017">
              <w:rPr>
                <w:rFonts w:ascii="Arial" w:eastAsia="Arial" w:hAnsi="Arial" w:cs="Arial"/>
                <w:color w:val="000000" w:themeColor="text1"/>
              </w:rPr>
              <w:t xml:space="preserve">I confirm that this is my original work and that I have adhered to the University policy on plagiarism. </w:t>
            </w:r>
          </w:p>
          <w:p w14:paraId="0DE4EC86" w14:textId="77777777" w:rsidR="00FE5A1B" w:rsidRDefault="00FE5A1B" w:rsidP="00ED6CE3">
            <w:r w:rsidRPr="5F883017">
              <w:rPr>
                <w:rFonts w:ascii="Arial" w:eastAsia="Arial" w:hAnsi="Arial" w:cs="Arial"/>
                <w:color w:val="000000" w:themeColor="text1"/>
              </w:rPr>
              <w:t xml:space="preserve">Signed ……Cara Louise </w:t>
            </w:r>
            <w:proofErr w:type="spellStart"/>
            <w:r w:rsidRPr="5F883017">
              <w:rPr>
                <w:rFonts w:ascii="Arial" w:eastAsia="Arial" w:hAnsi="Arial" w:cs="Arial"/>
                <w:color w:val="000000" w:themeColor="text1"/>
              </w:rPr>
              <w:t>Braia</w:t>
            </w:r>
            <w:proofErr w:type="spellEnd"/>
            <w:r w:rsidRPr="5F883017">
              <w:rPr>
                <w:rFonts w:ascii="Arial" w:eastAsia="Arial" w:hAnsi="Arial" w:cs="Arial"/>
                <w:color w:val="000000" w:themeColor="text1"/>
              </w:rPr>
              <w:t xml:space="preserve">…………………………… </w:t>
            </w:r>
          </w:p>
          <w:p w14:paraId="225291B8" w14:textId="77777777" w:rsidR="00FE5A1B" w:rsidRDefault="00FE5A1B" w:rsidP="00ED6CE3">
            <w:r w:rsidRPr="5F883017">
              <w:rPr>
                <w:rFonts w:ascii="Calibri" w:eastAsia="Calibri" w:hAnsi="Calibri" w:cs="Calibri"/>
                <w:b/>
                <w:bCs/>
                <w:color w:val="000000" w:themeColor="text1"/>
              </w:rPr>
              <w:t xml:space="preserve">Email submission: if you are submitting this form via email, please tick this box </w:t>
            </w:r>
            <w:r w:rsidRPr="5F883017">
              <w:rPr>
                <w:rFonts w:ascii="Calibri" w:eastAsia="Calibri" w:hAnsi="Calibri" w:cs="Calibri"/>
                <w:b/>
                <w:bCs/>
                <w:color w:val="000000" w:themeColor="text1"/>
                <w:sz w:val="44"/>
                <w:szCs w:val="44"/>
              </w:rPr>
              <w:t>□</w:t>
            </w:r>
          </w:p>
          <w:p w14:paraId="54AD0CCB" w14:textId="77777777" w:rsidR="00FE5A1B" w:rsidRDefault="00FE5A1B" w:rsidP="00ED6CE3">
            <w:r w:rsidRPr="5F883017">
              <w:rPr>
                <w:rFonts w:ascii="Calibri" w:eastAsia="Calibri" w:hAnsi="Calibri" w:cs="Calibri"/>
                <w:b/>
                <w:bCs/>
                <w:color w:val="000000" w:themeColor="text1"/>
              </w:rPr>
              <w:t>(</w:t>
            </w:r>
            <w:proofErr w:type="gramStart"/>
            <w:r w:rsidRPr="5F883017">
              <w:rPr>
                <w:rFonts w:ascii="Calibri" w:eastAsia="Calibri" w:hAnsi="Calibri" w:cs="Calibri"/>
                <w:b/>
                <w:bCs/>
                <w:color w:val="000000" w:themeColor="text1"/>
              </w:rPr>
              <w:t>as</w:t>
            </w:r>
            <w:proofErr w:type="gramEnd"/>
            <w:r w:rsidRPr="5F883017">
              <w:rPr>
                <w:rFonts w:ascii="Calibri" w:eastAsia="Calibri" w:hAnsi="Calibri" w:cs="Calibri"/>
                <w:b/>
                <w:bCs/>
                <w:color w:val="000000" w:themeColor="text1"/>
              </w:rPr>
              <w:t xml:space="preserve"> a substitute for your signature) to confirm that you agree to the above declaration.</w:t>
            </w:r>
          </w:p>
        </w:tc>
      </w:tr>
      <w:tr w:rsidR="00FE5A1B" w14:paraId="23A40B04" w14:textId="77777777" w:rsidTr="00ED6CE3">
        <w:trPr>
          <w:trHeight w:val="528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F5C516" w14:textId="77777777" w:rsidR="00FE5A1B" w:rsidRDefault="00FE5A1B" w:rsidP="00ED6CE3"/>
          <w:p w14:paraId="61969124" w14:textId="77777777" w:rsidR="00FE5A1B" w:rsidRDefault="00FE5A1B" w:rsidP="00ED6CE3">
            <w:r w:rsidRPr="5F883017">
              <w:rPr>
                <w:rFonts w:ascii="Arial" w:eastAsia="Arial" w:hAnsi="Arial" w:cs="Arial"/>
                <w:b/>
                <w:bCs/>
              </w:rPr>
              <w:t>Assignment Mark</w:t>
            </w:r>
          </w:p>
          <w:tbl>
            <w:tblPr>
              <w:tblStyle w:val="TableGrid"/>
              <w:tblW w:w="0" w:type="auto"/>
              <w:tblLayout w:type="fixed"/>
              <w:tblLook w:val="06A0" w:firstRow="1" w:lastRow="0" w:firstColumn="1" w:lastColumn="0" w:noHBand="1" w:noVBand="1"/>
            </w:tblPr>
            <w:tblGrid>
              <w:gridCol w:w="7181"/>
              <w:gridCol w:w="1714"/>
            </w:tblGrid>
            <w:tr w:rsidR="00FE5A1B" w14:paraId="27081AFD" w14:textId="77777777" w:rsidTr="00ED6CE3">
              <w:tc>
                <w:tcPr>
                  <w:tcW w:w="7181" w:type="dxa"/>
                  <w:tcBorders>
                    <w:top w:val="single" w:sz="8" w:space="0" w:color="auto"/>
                    <w:left w:val="single" w:sz="8" w:space="0" w:color="auto"/>
                    <w:bottom w:val="single" w:sz="8" w:space="0" w:color="auto"/>
                    <w:right w:val="single" w:sz="8" w:space="0" w:color="auto"/>
                  </w:tcBorders>
                </w:tcPr>
                <w:p w14:paraId="684AFC19" w14:textId="77777777" w:rsidR="00FE5A1B" w:rsidRDefault="00FE5A1B" w:rsidP="00ED6CE3"/>
                <w:p w14:paraId="1FB64C1C" w14:textId="77777777" w:rsidR="00FE5A1B" w:rsidRDefault="00FE5A1B" w:rsidP="00ED6CE3">
                  <w:r w:rsidRPr="5F883017">
                    <w:rPr>
                      <w:rFonts w:ascii="Arial" w:eastAsia="Arial" w:hAnsi="Arial" w:cs="Arial"/>
                      <w:sz w:val="20"/>
                      <w:szCs w:val="20"/>
                    </w:rPr>
                    <w:t>1</w:t>
                  </w:r>
                  <w:r w:rsidRPr="5F883017">
                    <w:rPr>
                      <w:rFonts w:ascii="Arial" w:eastAsia="Arial" w:hAnsi="Arial" w:cs="Arial"/>
                      <w:sz w:val="16"/>
                      <w:szCs w:val="16"/>
                      <w:vertAlign w:val="superscript"/>
                    </w:rPr>
                    <w:t>st</w:t>
                  </w:r>
                  <w:r w:rsidRPr="5F883017">
                    <w:rPr>
                      <w:rFonts w:ascii="Arial" w:eastAsia="Arial" w:hAnsi="Arial" w:cs="Arial"/>
                      <w:sz w:val="20"/>
                      <w:szCs w:val="20"/>
                    </w:rPr>
                    <w:t xml:space="preserve"> Marker’s Provisional mark </w:t>
                  </w:r>
                </w:p>
              </w:tc>
              <w:tc>
                <w:tcPr>
                  <w:tcW w:w="1714" w:type="dxa"/>
                  <w:tcBorders>
                    <w:top w:val="single" w:sz="8" w:space="0" w:color="auto"/>
                    <w:left w:val="single" w:sz="8" w:space="0" w:color="auto"/>
                    <w:bottom w:val="single" w:sz="8" w:space="0" w:color="auto"/>
                    <w:right w:val="single" w:sz="8" w:space="0" w:color="auto"/>
                  </w:tcBorders>
                </w:tcPr>
                <w:p w14:paraId="2F929FC5" w14:textId="77777777" w:rsidR="00FE5A1B" w:rsidRDefault="00FE5A1B" w:rsidP="00ED6CE3"/>
              </w:tc>
            </w:tr>
            <w:tr w:rsidR="00FE5A1B" w14:paraId="74A2B3D0" w14:textId="77777777" w:rsidTr="00ED6CE3">
              <w:tc>
                <w:tcPr>
                  <w:tcW w:w="7181" w:type="dxa"/>
                  <w:tcBorders>
                    <w:top w:val="single" w:sz="8" w:space="0" w:color="auto"/>
                    <w:left w:val="single" w:sz="8" w:space="0" w:color="auto"/>
                    <w:bottom w:val="single" w:sz="8" w:space="0" w:color="auto"/>
                    <w:right w:val="single" w:sz="8" w:space="0" w:color="auto"/>
                  </w:tcBorders>
                </w:tcPr>
                <w:p w14:paraId="7D002E41" w14:textId="77777777" w:rsidR="00FE5A1B" w:rsidRDefault="00FE5A1B" w:rsidP="00ED6CE3"/>
                <w:p w14:paraId="0AFB655C" w14:textId="77777777" w:rsidR="00FE5A1B" w:rsidRDefault="00FE5A1B" w:rsidP="00ED6CE3">
                  <w:r w:rsidRPr="5F883017">
                    <w:rPr>
                      <w:rFonts w:ascii="Arial" w:eastAsia="Arial" w:hAnsi="Arial" w:cs="Arial"/>
                      <w:sz w:val="20"/>
                      <w:szCs w:val="20"/>
                    </w:rPr>
                    <w:t>2</w:t>
                  </w:r>
                  <w:r w:rsidRPr="5F883017">
                    <w:rPr>
                      <w:rFonts w:ascii="Arial" w:eastAsia="Arial" w:hAnsi="Arial" w:cs="Arial"/>
                      <w:sz w:val="16"/>
                      <w:szCs w:val="16"/>
                      <w:vertAlign w:val="superscript"/>
                    </w:rPr>
                    <w:t>nd</w:t>
                  </w:r>
                  <w:r w:rsidRPr="5F883017">
                    <w:rPr>
                      <w:rFonts w:ascii="Arial" w:eastAsia="Arial" w:hAnsi="Arial" w:cs="Arial"/>
                      <w:sz w:val="20"/>
                      <w:szCs w:val="20"/>
                    </w:rPr>
                    <w:t xml:space="preserve"> Marker’s/Moderator’s provisional mark </w:t>
                  </w:r>
                </w:p>
              </w:tc>
              <w:tc>
                <w:tcPr>
                  <w:tcW w:w="1714" w:type="dxa"/>
                  <w:tcBorders>
                    <w:top w:val="single" w:sz="8" w:space="0" w:color="auto"/>
                    <w:left w:val="single" w:sz="8" w:space="0" w:color="auto"/>
                    <w:bottom w:val="single" w:sz="8" w:space="0" w:color="auto"/>
                    <w:right w:val="single" w:sz="8" w:space="0" w:color="auto"/>
                  </w:tcBorders>
                </w:tcPr>
                <w:p w14:paraId="696C23B5" w14:textId="77777777" w:rsidR="00FE5A1B" w:rsidRDefault="00FE5A1B" w:rsidP="00ED6CE3"/>
              </w:tc>
            </w:tr>
            <w:tr w:rsidR="00FE5A1B" w14:paraId="787E398C" w14:textId="77777777" w:rsidTr="00ED6CE3">
              <w:tc>
                <w:tcPr>
                  <w:tcW w:w="7181" w:type="dxa"/>
                  <w:tcBorders>
                    <w:top w:val="single" w:sz="8" w:space="0" w:color="auto"/>
                    <w:left w:val="single" w:sz="8" w:space="0" w:color="auto"/>
                    <w:bottom w:val="single" w:sz="8" w:space="0" w:color="auto"/>
                    <w:right w:val="single" w:sz="8" w:space="0" w:color="auto"/>
                  </w:tcBorders>
                </w:tcPr>
                <w:p w14:paraId="20D92355" w14:textId="77777777" w:rsidR="00FE5A1B" w:rsidRDefault="00FE5A1B" w:rsidP="00ED6CE3">
                  <w:r w:rsidRPr="5F883017">
                    <w:rPr>
                      <w:rFonts w:ascii="Arial" w:eastAsia="Arial" w:hAnsi="Arial" w:cs="Arial"/>
                      <w:color w:val="000000" w:themeColor="text1"/>
                      <w:sz w:val="20"/>
                      <w:szCs w:val="20"/>
                    </w:rPr>
                    <w:t xml:space="preserve">Agreed Internal Mark:  </w:t>
                  </w:r>
                </w:p>
                <w:p w14:paraId="452D3597" w14:textId="77777777" w:rsidR="00FE5A1B" w:rsidRDefault="00FE5A1B" w:rsidP="00ED6CE3"/>
              </w:tc>
              <w:tc>
                <w:tcPr>
                  <w:tcW w:w="1714" w:type="dxa"/>
                  <w:tcBorders>
                    <w:top w:val="single" w:sz="8" w:space="0" w:color="auto"/>
                    <w:left w:val="single" w:sz="8" w:space="0" w:color="auto"/>
                    <w:bottom w:val="single" w:sz="8" w:space="0" w:color="auto"/>
                    <w:right w:val="single" w:sz="8" w:space="0" w:color="auto"/>
                  </w:tcBorders>
                </w:tcPr>
                <w:p w14:paraId="726DC728" w14:textId="77777777" w:rsidR="00FE5A1B" w:rsidRDefault="00FE5A1B" w:rsidP="00ED6CE3"/>
              </w:tc>
            </w:tr>
            <w:tr w:rsidR="00FE5A1B" w14:paraId="5E762792" w14:textId="77777777" w:rsidTr="00ED6CE3">
              <w:tc>
                <w:tcPr>
                  <w:tcW w:w="7181" w:type="dxa"/>
                  <w:tcBorders>
                    <w:top w:val="single" w:sz="8" w:space="0" w:color="auto"/>
                    <w:left w:val="single" w:sz="8" w:space="0" w:color="auto"/>
                    <w:bottom w:val="single" w:sz="8" w:space="0" w:color="auto"/>
                    <w:right w:val="single" w:sz="8" w:space="0" w:color="auto"/>
                  </w:tcBorders>
                </w:tcPr>
                <w:p w14:paraId="1D729EFB" w14:textId="77777777" w:rsidR="00FE5A1B" w:rsidRDefault="00FE5A1B" w:rsidP="00ED6CE3"/>
                <w:p w14:paraId="5149C50B" w14:textId="77777777" w:rsidR="00FE5A1B" w:rsidRDefault="00FE5A1B" w:rsidP="00ED6CE3">
                  <w:r w:rsidRPr="5F883017">
                    <w:rPr>
                      <w:rFonts w:ascii="Arial" w:eastAsia="Arial" w:hAnsi="Arial" w:cs="Arial"/>
                      <w:sz w:val="20"/>
                      <w:szCs w:val="20"/>
                    </w:rPr>
                    <w:t xml:space="preserve">External Examiner’s mark (if relevant) </w:t>
                  </w:r>
                </w:p>
              </w:tc>
              <w:tc>
                <w:tcPr>
                  <w:tcW w:w="1714" w:type="dxa"/>
                  <w:tcBorders>
                    <w:top w:val="single" w:sz="8" w:space="0" w:color="auto"/>
                    <w:left w:val="single" w:sz="8" w:space="0" w:color="auto"/>
                    <w:bottom w:val="single" w:sz="8" w:space="0" w:color="auto"/>
                    <w:right w:val="single" w:sz="8" w:space="0" w:color="auto"/>
                  </w:tcBorders>
                </w:tcPr>
                <w:p w14:paraId="16192A3D" w14:textId="77777777" w:rsidR="00FE5A1B" w:rsidRDefault="00FE5A1B" w:rsidP="00ED6CE3"/>
              </w:tc>
            </w:tr>
            <w:tr w:rsidR="00FE5A1B" w14:paraId="63E26B65" w14:textId="77777777" w:rsidTr="00ED6CE3">
              <w:tc>
                <w:tcPr>
                  <w:tcW w:w="7181" w:type="dxa"/>
                  <w:tcBorders>
                    <w:top w:val="single" w:sz="8" w:space="0" w:color="auto"/>
                    <w:left w:val="single" w:sz="8" w:space="0" w:color="auto"/>
                    <w:bottom w:val="single" w:sz="8" w:space="0" w:color="auto"/>
                    <w:right w:val="single" w:sz="8" w:space="0" w:color="auto"/>
                  </w:tcBorders>
                </w:tcPr>
                <w:p w14:paraId="75D8FBD4" w14:textId="77777777" w:rsidR="00FE5A1B" w:rsidRDefault="00FE5A1B" w:rsidP="00ED6CE3"/>
                <w:p w14:paraId="2041F485" w14:textId="77777777" w:rsidR="00FE5A1B" w:rsidRDefault="00FE5A1B" w:rsidP="00ED6CE3">
                  <w:r w:rsidRPr="5F883017">
                    <w:rPr>
                      <w:rFonts w:ascii="Arial" w:eastAsia="Arial" w:hAnsi="Arial" w:cs="Arial"/>
                      <w:b/>
                      <w:bCs/>
                      <w:sz w:val="20"/>
                      <w:szCs w:val="20"/>
                    </w:rPr>
                    <w:t>Final Mark</w:t>
                  </w:r>
                </w:p>
                <w:p w14:paraId="1D4E5993" w14:textId="77777777" w:rsidR="00FE5A1B" w:rsidRDefault="00FE5A1B" w:rsidP="00ED6CE3"/>
              </w:tc>
              <w:tc>
                <w:tcPr>
                  <w:tcW w:w="1714" w:type="dxa"/>
                  <w:tcBorders>
                    <w:top w:val="single" w:sz="8" w:space="0" w:color="auto"/>
                    <w:left w:val="single" w:sz="8" w:space="0" w:color="auto"/>
                    <w:bottom w:val="single" w:sz="8" w:space="0" w:color="auto"/>
                    <w:right w:val="single" w:sz="8" w:space="0" w:color="auto"/>
                  </w:tcBorders>
                </w:tcPr>
                <w:p w14:paraId="61CF2C46" w14:textId="77777777" w:rsidR="00FE5A1B" w:rsidRDefault="00FE5A1B" w:rsidP="00ED6CE3"/>
              </w:tc>
            </w:tr>
          </w:tbl>
          <w:p w14:paraId="003EE619" w14:textId="77777777" w:rsidR="00FE5A1B" w:rsidRDefault="00FE5A1B" w:rsidP="00ED6CE3"/>
          <w:p w14:paraId="080E0FD9" w14:textId="77777777" w:rsidR="00FE5A1B" w:rsidRDefault="00FE5A1B" w:rsidP="00ED6CE3">
            <w:r w:rsidRPr="5F883017">
              <w:rPr>
                <w:rFonts w:ascii="Arial" w:eastAsia="Arial" w:hAnsi="Arial" w:cs="Arial"/>
                <w:b/>
                <w:bCs/>
                <w:color w:val="000000" w:themeColor="text1"/>
              </w:rPr>
              <w:t>NB.</w:t>
            </w:r>
            <w:r w:rsidRPr="5F883017">
              <w:rPr>
                <w:rFonts w:ascii="Arial" w:eastAsia="Arial" w:hAnsi="Arial" w:cs="Arial"/>
                <w:color w:val="000000" w:themeColor="text1"/>
              </w:rPr>
              <w:t xml:space="preserve">  All marks are provisional until confirmed by the Final Examination Board. </w:t>
            </w:r>
          </w:p>
          <w:p w14:paraId="1E82A53E" w14:textId="77777777" w:rsidR="00FE5A1B" w:rsidRDefault="00FE5A1B" w:rsidP="00ED6CE3"/>
          <w:p w14:paraId="150A003A" w14:textId="77777777" w:rsidR="00FE5A1B" w:rsidRDefault="00FE5A1B" w:rsidP="00ED6CE3"/>
          <w:p w14:paraId="3BB76AF4" w14:textId="77777777" w:rsidR="00FE5A1B" w:rsidRDefault="00FE5A1B" w:rsidP="00ED6CE3"/>
          <w:p w14:paraId="068EE57A" w14:textId="77777777" w:rsidR="00FE5A1B" w:rsidRDefault="00FE5A1B" w:rsidP="00ED6CE3"/>
          <w:p w14:paraId="33063869" w14:textId="77777777" w:rsidR="00FE5A1B" w:rsidRDefault="00FE5A1B" w:rsidP="00ED6CE3">
            <w:r w:rsidRPr="5F883017">
              <w:rPr>
                <w:rFonts w:ascii="Arial" w:eastAsia="Arial" w:hAnsi="Arial" w:cs="Arial"/>
                <w:b/>
                <w:bCs/>
                <w:color w:val="000000" w:themeColor="text1"/>
              </w:rPr>
              <w:t xml:space="preserve">For completion by Marker </w:t>
            </w:r>
            <w:proofErr w:type="gramStart"/>
            <w:r w:rsidRPr="5F883017">
              <w:rPr>
                <w:rFonts w:ascii="Arial" w:eastAsia="Arial" w:hAnsi="Arial" w:cs="Arial"/>
                <w:b/>
                <w:bCs/>
                <w:color w:val="000000" w:themeColor="text1"/>
              </w:rPr>
              <w:t>1 :</w:t>
            </w:r>
            <w:proofErr w:type="gramEnd"/>
          </w:p>
          <w:p w14:paraId="10AEEBBD" w14:textId="77777777" w:rsidR="00FE5A1B" w:rsidRDefault="00FE5A1B" w:rsidP="00ED6CE3">
            <w:r w:rsidRPr="5F883017">
              <w:rPr>
                <w:rFonts w:ascii="Arial" w:eastAsia="Arial" w:hAnsi="Arial" w:cs="Arial"/>
                <w:color w:val="000000" w:themeColor="text1"/>
              </w:rPr>
              <w:t xml:space="preserve">Comments: </w:t>
            </w:r>
          </w:p>
          <w:p w14:paraId="2196721A" w14:textId="77777777" w:rsidR="00FE5A1B" w:rsidRDefault="00FE5A1B" w:rsidP="00ED6CE3"/>
        </w:tc>
      </w:tr>
      <w:tr w:rsidR="00FE5A1B" w14:paraId="075F801D" w14:textId="77777777" w:rsidTr="00ED6CE3">
        <w:trPr>
          <w:trHeight w:val="660"/>
        </w:trPr>
        <w:tc>
          <w:tcPr>
            <w:tcW w:w="689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475B70" w14:textId="77777777" w:rsidR="00FE5A1B" w:rsidRDefault="00FE5A1B" w:rsidP="00ED6CE3">
            <w:r w:rsidRPr="5F883017">
              <w:rPr>
                <w:rFonts w:ascii="Arial" w:eastAsia="Arial" w:hAnsi="Arial" w:cs="Arial"/>
                <w:color w:val="000000" w:themeColor="text1"/>
              </w:rPr>
              <w:t xml:space="preserve">Marker’s signature: </w:t>
            </w:r>
          </w:p>
        </w:tc>
        <w:tc>
          <w:tcPr>
            <w:tcW w:w="2124" w:type="dxa"/>
            <w:gridSpan w:val="2"/>
            <w:tcBorders>
              <w:top w:val="single" w:sz="8" w:space="0" w:color="000000" w:themeColor="text1"/>
              <w:left w:val="nil"/>
              <w:bottom w:val="single" w:sz="8" w:space="0" w:color="000000" w:themeColor="text1"/>
              <w:right w:val="single" w:sz="8" w:space="0" w:color="000000" w:themeColor="text1"/>
            </w:tcBorders>
          </w:tcPr>
          <w:p w14:paraId="378BC05D" w14:textId="77777777" w:rsidR="00FE5A1B" w:rsidRDefault="00FE5A1B" w:rsidP="00ED6CE3">
            <w:r w:rsidRPr="5F883017">
              <w:rPr>
                <w:rFonts w:ascii="Arial" w:eastAsia="Arial" w:hAnsi="Arial" w:cs="Arial"/>
                <w:color w:val="000000" w:themeColor="text1"/>
              </w:rPr>
              <w:t xml:space="preserve">Date: </w:t>
            </w:r>
          </w:p>
        </w:tc>
      </w:tr>
      <w:tr w:rsidR="00FE5A1B" w14:paraId="6095D79C" w14:textId="77777777" w:rsidTr="00ED6CE3">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C28138" w14:textId="77777777" w:rsidR="00FE5A1B" w:rsidRDefault="00FE5A1B" w:rsidP="00ED6CE3"/>
          <w:p w14:paraId="41E43363" w14:textId="77777777" w:rsidR="00FE5A1B" w:rsidRDefault="00FE5A1B" w:rsidP="00ED6CE3">
            <w:r w:rsidRPr="5F883017">
              <w:rPr>
                <w:rFonts w:ascii="Arial" w:eastAsia="Arial" w:hAnsi="Arial" w:cs="Arial"/>
                <w:b/>
                <w:bCs/>
                <w:color w:val="000000" w:themeColor="text1"/>
              </w:rPr>
              <w:t>For completion by Marker 2/Moderator:</w:t>
            </w:r>
          </w:p>
          <w:p w14:paraId="6A94221F" w14:textId="77777777" w:rsidR="00FE5A1B" w:rsidRDefault="00FE5A1B" w:rsidP="00ED6CE3"/>
          <w:p w14:paraId="4FEDF233" w14:textId="77777777" w:rsidR="00FE5A1B" w:rsidRDefault="00FE5A1B" w:rsidP="00ED6CE3">
            <w:r w:rsidRPr="5F883017">
              <w:rPr>
                <w:rFonts w:ascii="Arial" w:eastAsia="Arial" w:hAnsi="Arial" w:cs="Arial"/>
                <w:color w:val="000000" w:themeColor="text1"/>
              </w:rPr>
              <w:t xml:space="preserve">Comments: </w:t>
            </w:r>
          </w:p>
          <w:p w14:paraId="767180CA" w14:textId="77777777" w:rsidR="00FE5A1B" w:rsidRDefault="00FE5A1B" w:rsidP="00ED6CE3"/>
          <w:p w14:paraId="7B66C5A8" w14:textId="77777777" w:rsidR="00FE5A1B" w:rsidRDefault="00FE5A1B" w:rsidP="00ED6CE3"/>
          <w:p w14:paraId="30B9BD09" w14:textId="77777777" w:rsidR="00FE5A1B" w:rsidRDefault="00FE5A1B" w:rsidP="00ED6CE3"/>
        </w:tc>
      </w:tr>
      <w:tr w:rsidR="00FE5A1B" w14:paraId="42419C0E" w14:textId="77777777" w:rsidTr="00ED6CE3">
        <w:trPr>
          <w:trHeight w:val="960"/>
        </w:trPr>
        <w:tc>
          <w:tcPr>
            <w:tcW w:w="529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7D779A" w14:textId="77777777" w:rsidR="00FE5A1B" w:rsidRDefault="00FE5A1B" w:rsidP="00ED6CE3">
            <w:r w:rsidRPr="5F883017">
              <w:rPr>
                <w:rFonts w:ascii="Arial" w:eastAsia="Arial" w:hAnsi="Arial" w:cs="Arial"/>
                <w:color w:val="000000" w:themeColor="text1"/>
              </w:rPr>
              <w:t xml:space="preserve">Marker’s Signature: </w:t>
            </w:r>
          </w:p>
        </w:tc>
        <w:tc>
          <w:tcPr>
            <w:tcW w:w="3720" w:type="dxa"/>
            <w:gridSpan w:val="3"/>
            <w:tcBorders>
              <w:top w:val="single" w:sz="8" w:space="0" w:color="000000" w:themeColor="text1"/>
              <w:left w:val="nil"/>
              <w:bottom w:val="single" w:sz="8" w:space="0" w:color="000000" w:themeColor="text1"/>
              <w:right w:val="single" w:sz="8" w:space="0" w:color="000000" w:themeColor="text1"/>
            </w:tcBorders>
          </w:tcPr>
          <w:p w14:paraId="3B62396B" w14:textId="77777777" w:rsidR="00FE5A1B" w:rsidRDefault="00FE5A1B" w:rsidP="00ED6CE3">
            <w:r w:rsidRPr="5F883017">
              <w:rPr>
                <w:rFonts w:ascii="Arial" w:eastAsia="Arial" w:hAnsi="Arial" w:cs="Arial"/>
                <w:color w:val="000000" w:themeColor="text1"/>
              </w:rPr>
              <w:t xml:space="preserve">Date: </w:t>
            </w:r>
          </w:p>
        </w:tc>
      </w:tr>
      <w:tr w:rsidR="00FE5A1B" w14:paraId="41A45B80" w14:textId="77777777" w:rsidTr="00ED6CE3">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A0CAB49" w14:textId="77777777" w:rsidR="00FE5A1B" w:rsidRDefault="00FE5A1B" w:rsidP="00ED6CE3">
            <w:r w:rsidRPr="5F883017">
              <w:rPr>
                <w:rFonts w:ascii="Arial" w:eastAsia="Arial" w:hAnsi="Arial" w:cs="Arial"/>
                <w:b/>
                <w:bCs/>
              </w:rPr>
              <w:t>AGREED INTERNAL MARK (where necessary):</w:t>
            </w:r>
          </w:p>
          <w:p w14:paraId="0314066F" w14:textId="77777777" w:rsidR="00FE5A1B" w:rsidRDefault="00FE5A1B" w:rsidP="00ED6CE3"/>
          <w:p w14:paraId="32478DEB" w14:textId="77777777" w:rsidR="00FE5A1B" w:rsidRDefault="00FE5A1B" w:rsidP="00ED6CE3">
            <w:r w:rsidRPr="5F883017">
              <w:rPr>
                <w:rFonts w:ascii="Arial" w:eastAsia="Arial" w:hAnsi="Arial" w:cs="Arial"/>
                <w:b/>
                <w:bCs/>
              </w:rPr>
              <w:t>Comment on process of arriving at agreed mark:</w:t>
            </w:r>
          </w:p>
          <w:p w14:paraId="7E1C2FAF" w14:textId="77777777" w:rsidR="00FE5A1B" w:rsidRDefault="00FE5A1B" w:rsidP="00ED6CE3"/>
          <w:p w14:paraId="1A5E5013" w14:textId="77777777" w:rsidR="00FE5A1B" w:rsidRDefault="00FE5A1B" w:rsidP="00ED6CE3"/>
          <w:p w14:paraId="2F32BA5A" w14:textId="77777777" w:rsidR="00FE5A1B" w:rsidRDefault="00FE5A1B" w:rsidP="00ED6CE3"/>
          <w:p w14:paraId="4823D32E" w14:textId="77777777" w:rsidR="00FE5A1B" w:rsidRDefault="00FE5A1B" w:rsidP="00ED6CE3"/>
          <w:p w14:paraId="2169664D" w14:textId="77777777" w:rsidR="00FE5A1B" w:rsidRDefault="00FE5A1B" w:rsidP="00ED6CE3"/>
          <w:p w14:paraId="63866299" w14:textId="77777777" w:rsidR="00FE5A1B" w:rsidRDefault="00FE5A1B" w:rsidP="00ED6CE3"/>
          <w:p w14:paraId="3581847D" w14:textId="77777777" w:rsidR="00FE5A1B" w:rsidRDefault="00FE5A1B" w:rsidP="00ED6CE3"/>
          <w:p w14:paraId="44C48162" w14:textId="77777777" w:rsidR="00FE5A1B" w:rsidRDefault="00FE5A1B" w:rsidP="00ED6CE3"/>
        </w:tc>
      </w:tr>
      <w:tr w:rsidR="00FE5A1B" w14:paraId="5A445A41" w14:textId="77777777" w:rsidTr="00ED6CE3">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57219A" w14:textId="77777777" w:rsidR="00FE5A1B" w:rsidRDefault="00FE5A1B" w:rsidP="00ED6CE3">
            <w:r w:rsidRPr="5F883017">
              <w:rPr>
                <w:rFonts w:ascii="Arial" w:eastAsia="Arial" w:hAnsi="Arial" w:cs="Arial"/>
                <w:b/>
                <w:bCs/>
              </w:rPr>
              <w:t>External Examiner’s comments (if relevant)</w:t>
            </w:r>
          </w:p>
          <w:p w14:paraId="7EB1048E" w14:textId="77777777" w:rsidR="00FE5A1B" w:rsidRDefault="00FE5A1B" w:rsidP="00ED6CE3"/>
          <w:p w14:paraId="6808C633" w14:textId="77777777" w:rsidR="00FE5A1B" w:rsidRDefault="00FE5A1B" w:rsidP="00ED6CE3"/>
          <w:p w14:paraId="33A8943B" w14:textId="77777777" w:rsidR="00FE5A1B" w:rsidRDefault="00FE5A1B" w:rsidP="00ED6CE3"/>
          <w:p w14:paraId="654B5F04" w14:textId="77777777" w:rsidR="00FE5A1B" w:rsidRDefault="00FE5A1B" w:rsidP="00ED6CE3"/>
          <w:p w14:paraId="17891684" w14:textId="77777777" w:rsidR="00FE5A1B" w:rsidRDefault="00FE5A1B" w:rsidP="00ED6CE3"/>
          <w:p w14:paraId="01317550" w14:textId="77777777" w:rsidR="00FE5A1B" w:rsidRDefault="00FE5A1B" w:rsidP="00ED6CE3"/>
          <w:p w14:paraId="616E29BE" w14:textId="77777777" w:rsidR="00FE5A1B" w:rsidRDefault="00FE5A1B" w:rsidP="00ED6CE3"/>
        </w:tc>
      </w:tr>
      <w:tr w:rsidR="00FE5A1B" w14:paraId="1E371143" w14:textId="77777777" w:rsidTr="00ED6CE3">
        <w:trPr>
          <w:trHeight w:val="960"/>
        </w:trPr>
        <w:tc>
          <w:tcPr>
            <w:tcW w:w="529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475B10" w14:textId="77777777" w:rsidR="00FE5A1B" w:rsidRDefault="00FE5A1B" w:rsidP="00ED6CE3">
            <w:r w:rsidRPr="5F883017">
              <w:rPr>
                <w:rFonts w:ascii="Arial" w:eastAsia="Arial" w:hAnsi="Arial" w:cs="Arial"/>
              </w:rPr>
              <w:lastRenderedPageBreak/>
              <w:t xml:space="preserve">External Examiner’s Signature: </w:t>
            </w:r>
          </w:p>
        </w:tc>
        <w:tc>
          <w:tcPr>
            <w:tcW w:w="3720" w:type="dxa"/>
            <w:gridSpan w:val="3"/>
            <w:tcBorders>
              <w:top w:val="single" w:sz="8" w:space="0" w:color="000000" w:themeColor="text1"/>
              <w:left w:val="nil"/>
              <w:bottom w:val="single" w:sz="8" w:space="0" w:color="000000" w:themeColor="text1"/>
              <w:right w:val="single" w:sz="8" w:space="0" w:color="000000" w:themeColor="text1"/>
            </w:tcBorders>
          </w:tcPr>
          <w:p w14:paraId="4B7D3A6C" w14:textId="77777777" w:rsidR="00FE5A1B" w:rsidRDefault="00FE5A1B" w:rsidP="00ED6CE3">
            <w:r w:rsidRPr="5F883017">
              <w:rPr>
                <w:rFonts w:ascii="Arial" w:eastAsia="Arial" w:hAnsi="Arial" w:cs="Arial"/>
              </w:rPr>
              <w:t xml:space="preserve">Date: </w:t>
            </w:r>
          </w:p>
        </w:tc>
      </w:tr>
    </w:tbl>
    <w:p w14:paraId="419DEA84" w14:textId="77777777" w:rsidR="00FE5A1B" w:rsidRDefault="00FE5A1B" w:rsidP="00FE5A1B"/>
    <w:p w14:paraId="623AA61D" w14:textId="77777777" w:rsidR="00FE5A1B" w:rsidRDefault="00FE5A1B" w:rsidP="00FE5A1B"/>
    <w:p w14:paraId="7F039068" w14:textId="77777777" w:rsidR="00FE5A1B" w:rsidRDefault="00FE5A1B" w:rsidP="00FE5A1B"/>
    <w:p w14:paraId="46C7D8DF" w14:textId="77777777" w:rsidR="00FE5A1B" w:rsidRDefault="00FE5A1B" w:rsidP="00FE5A1B"/>
    <w:p w14:paraId="7BD7BCD9" w14:textId="77777777" w:rsidR="00FE5A1B" w:rsidRDefault="00FE5A1B" w:rsidP="00FE5A1B"/>
    <w:p w14:paraId="1E74C8DF" w14:textId="77777777" w:rsidR="00FE5A1B" w:rsidRDefault="00FE5A1B" w:rsidP="00FE5A1B"/>
    <w:p w14:paraId="014AC631" w14:textId="77777777" w:rsidR="00FE5A1B" w:rsidRDefault="00FE5A1B" w:rsidP="00FE5A1B"/>
    <w:p w14:paraId="2CA1FB9A" w14:textId="77777777" w:rsidR="00FE5A1B" w:rsidRDefault="00FE5A1B" w:rsidP="00FE5A1B"/>
    <w:p w14:paraId="5D3E0675" w14:textId="77777777" w:rsidR="00FE5A1B" w:rsidRDefault="00FE5A1B" w:rsidP="00FE5A1B"/>
    <w:p w14:paraId="2F8A8EBC" w14:textId="77777777" w:rsidR="00FE5A1B" w:rsidRDefault="00FE5A1B" w:rsidP="00FE5A1B"/>
    <w:p w14:paraId="71928462" w14:textId="77777777" w:rsidR="00FE5A1B" w:rsidRDefault="00FE5A1B" w:rsidP="00FE5A1B"/>
    <w:p w14:paraId="1CED8563" w14:textId="77777777" w:rsidR="00FE5A1B" w:rsidRDefault="00FE5A1B" w:rsidP="00FE5A1B"/>
    <w:p w14:paraId="5F22DC16" w14:textId="77777777" w:rsidR="00FE5A1B" w:rsidRDefault="00FE5A1B" w:rsidP="00FE5A1B"/>
    <w:p w14:paraId="57622FE0" w14:textId="77777777" w:rsidR="00FE5A1B" w:rsidRDefault="00FE5A1B" w:rsidP="00FE5A1B">
      <w:pPr>
        <w:rPr>
          <w:rFonts w:ascii="Calibri" w:eastAsia="Calibri" w:hAnsi="Calibri" w:cs="Calibri"/>
        </w:rPr>
      </w:pPr>
    </w:p>
    <w:p w14:paraId="6CD39630" w14:textId="77777777" w:rsidR="00FE5A1B" w:rsidRDefault="00FE5A1B" w:rsidP="00FE5A1B">
      <w:pPr>
        <w:rPr>
          <w:rFonts w:ascii="Calibri" w:eastAsia="Calibri" w:hAnsi="Calibri" w:cs="Calibri"/>
        </w:rPr>
      </w:pPr>
    </w:p>
    <w:p w14:paraId="0C35AC46" w14:textId="77777777" w:rsidR="00FE5A1B" w:rsidRDefault="00FE5A1B" w:rsidP="00FE5A1B">
      <w:pPr>
        <w:rPr>
          <w:rFonts w:ascii="Calibri" w:eastAsia="Calibri" w:hAnsi="Calibri" w:cs="Calibri"/>
        </w:rPr>
      </w:pPr>
    </w:p>
    <w:p w14:paraId="021E9E39" w14:textId="77777777" w:rsidR="00FE5A1B" w:rsidRDefault="00FE5A1B" w:rsidP="00FE5A1B">
      <w:pPr>
        <w:rPr>
          <w:rFonts w:ascii="Calibri" w:eastAsia="Calibri" w:hAnsi="Calibri" w:cs="Calibri"/>
        </w:rPr>
      </w:pPr>
    </w:p>
    <w:p w14:paraId="6BA8AB4C" w14:textId="77777777" w:rsidR="00FE5A1B" w:rsidRDefault="00FE5A1B" w:rsidP="00FE5A1B">
      <w:pPr>
        <w:rPr>
          <w:rFonts w:ascii="Calibri" w:eastAsia="Calibri" w:hAnsi="Calibri" w:cs="Calibri"/>
        </w:rPr>
      </w:pPr>
    </w:p>
    <w:p w14:paraId="40C08476" w14:textId="77777777" w:rsidR="00FE5A1B" w:rsidRDefault="00FE5A1B" w:rsidP="00FE5A1B">
      <w:pPr>
        <w:rPr>
          <w:rFonts w:ascii="Calibri" w:eastAsia="Calibri" w:hAnsi="Calibri" w:cs="Calibri"/>
        </w:rPr>
      </w:pPr>
    </w:p>
    <w:p w14:paraId="34A68B65" w14:textId="77777777" w:rsidR="00FE5A1B" w:rsidRDefault="00FE5A1B" w:rsidP="00FE5A1B">
      <w:pPr>
        <w:rPr>
          <w:rFonts w:ascii="Calibri" w:eastAsia="Calibri" w:hAnsi="Calibri" w:cs="Calibri"/>
        </w:rPr>
      </w:pPr>
    </w:p>
    <w:p w14:paraId="743E6413" w14:textId="77777777" w:rsidR="00FE5A1B" w:rsidRDefault="00FE5A1B" w:rsidP="00FE5A1B">
      <w:pPr>
        <w:rPr>
          <w:rFonts w:ascii="Calibri" w:eastAsia="Calibri" w:hAnsi="Calibri" w:cs="Calibri"/>
        </w:rPr>
      </w:pPr>
    </w:p>
    <w:p w14:paraId="18922A8F" w14:textId="77777777" w:rsidR="00FE5A1B" w:rsidRDefault="00FE5A1B" w:rsidP="00FE5A1B">
      <w:pPr>
        <w:rPr>
          <w:rFonts w:ascii="Calibri" w:eastAsia="Calibri" w:hAnsi="Calibri" w:cs="Calibri"/>
        </w:rPr>
      </w:pPr>
    </w:p>
    <w:p w14:paraId="3A777AF4" w14:textId="77777777" w:rsidR="00FE5A1B" w:rsidRDefault="00FE5A1B" w:rsidP="00FE5A1B">
      <w:pPr>
        <w:rPr>
          <w:rFonts w:ascii="Calibri" w:eastAsia="Calibri" w:hAnsi="Calibri" w:cs="Calibri"/>
        </w:rPr>
      </w:pPr>
    </w:p>
    <w:p w14:paraId="14B4B5AA" w14:textId="77777777" w:rsidR="00FE5A1B" w:rsidRDefault="00FE5A1B" w:rsidP="00FE5A1B">
      <w:pPr>
        <w:rPr>
          <w:rFonts w:ascii="Calibri" w:eastAsia="Calibri" w:hAnsi="Calibri" w:cs="Calibri"/>
        </w:rPr>
      </w:pPr>
    </w:p>
    <w:p w14:paraId="73A9F81F" w14:textId="77777777" w:rsidR="00FE5A1B" w:rsidRDefault="00FE5A1B" w:rsidP="00FE5A1B">
      <w:pPr>
        <w:rPr>
          <w:rFonts w:ascii="Calibri" w:eastAsia="Calibri" w:hAnsi="Calibri" w:cs="Calibri"/>
        </w:rPr>
      </w:pPr>
    </w:p>
    <w:p w14:paraId="5AA0B465" w14:textId="77777777" w:rsidR="00FE5A1B" w:rsidRDefault="00FE5A1B" w:rsidP="00FE5A1B">
      <w:pPr>
        <w:rPr>
          <w:rFonts w:ascii="Calibri" w:eastAsia="Calibri" w:hAnsi="Calibri" w:cs="Calibri"/>
        </w:rPr>
      </w:pPr>
    </w:p>
    <w:p w14:paraId="62357FB3" w14:textId="77777777" w:rsidR="00FE5A1B" w:rsidRDefault="00FE5A1B" w:rsidP="00FE5A1B">
      <w:pPr>
        <w:rPr>
          <w:color w:val="7030A0"/>
        </w:rPr>
      </w:pPr>
    </w:p>
    <w:p w14:paraId="3970DD47" w14:textId="77777777" w:rsidR="00FE5A1B" w:rsidRDefault="00FE5A1B" w:rsidP="00FE5A1B">
      <w:pPr>
        <w:rPr>
          <w:color w:val="7030A0"/>
        </w:rPr>
      </w:pPr>
    </w:p>
    <w:p w14:paraId="39E5D22C" w14:textId="77777777" w:rsidR="00FE5A1B" w:rsidRDefault="00FE5A1B" w:rsidP="00FE5A1B">
      <w:pPr>
        <w:rPr>
          <w:color w:val="7030A0"/>
        </w:rPr>
      </w:pPr>
    </w:p>
    <w:p w14:paraId="40BCB29C" w14:textId="77777777" w:rsidR="00FE5A1B" w:rsidRDefault="00FE5A1B" w:rsidP="00FE5A1B">
      <w:pPr>
        <w:rPr>
          <w:color w:val="7030A0"/>
        </w:rPr>
      </w:pPr>
    </w:p>
    <w:p w14:paraId="221CCF3C" w14:textId="77777777" w:rsidR="00FE5A1B" w:rsidRDefault="00FE5A1B" w:rsidP="00FE5A1B">
      <w:pPr>
        <w:rPr>
          <w:color w:val="7030A0"/>
        </w:rPr>
      </w:pPr>
    </w:p>
    <w:p w14:paraId="4646EBFD" w14:textId="77777777" w:rsidR="00FE5A1B" w:rsidRDefault="00FE5A1B" w:rsidP="00FE5A1B">
      <w:pPr>
        <w:rPr>
          <w:color w:val="7030A0"/>
        </w:rPr>
      </w:pPr>
    </w:p>
    <w:p w14:paraId="29D835C8" w14:textId="77777777" w:rsidR="00FE5A1B" w:rsidRDefault="00FE5A1B" w:rsidP="00FE5A1B">
      <w:pPr>
        <w:rPr>
          <w:color w:val="7030A0"/>
        </w:rPr>
      </w:pPr>
    </w:p>
    <w:p w14:paraId="66941092" w14:textId="77777777" w:rsidR="00FE5A1B" w:rsidRDefault="00FE5A1B" w:rsidP="00FE5A1B">
      <w:pPr>
        <w:rPr>
          <w:color w:val="7030A0"/>
        </w:rPr>
      </w:pPr>
    </w:p>
    <w:p w14:paraId="594CA5DA" w14:textId="77777777" w:rsidR="00FE5A1B" w:rsidRDefault="00FE5A1B" w:rsidP="00FE5A1B">
      <w:pPr>
        <w:rPr>
          <w:color w:val="7030A0"/>
        </w:rPr>
      </w:pPr>
    </w:p>
    <w:p w14:paraId="6C837CDA" w14:textId="77777777" w:rsidR="00FE5A1B" w:rsidRDefault="00FE5A1B" w:rsidP="00FE5A1B">
      <w:pPr>
        <w:rPr>
          <w:color w:val="7030A0"/>
        </w:rPr>
      </w:pPr>
    </w:p>
    <w:p w14:paraId="0B599D2D" w14:textId="77777777" w:rsidR="00FE5A1B" w:rsidRDefault="00FE5A1B" w:rsidP="00FE5A1B">
      <w:pPr>
        <w:rPr>
          <w:color w:val="7030A0"/>
        </w:rPr>
      </w:pPr>
    </w:p>
    <w:p w14:paraId="07EF8312" w14:textId="77777777" w:rsidR="00FE5A1B" w:rsidRDefault="00FE5A1B" w:rsidP="00FE5A1B">
      <w:pPr>
        <w:rPr>
          <w:color w:val="7030A0"/>
        </w:rPr>
      </w:pPr>
    </w:p>
    <w:p w14:paraId="0A83F41A" w14:textId="77777777" w:rsidR="00FE5A1B" w:rsidRDefault="00FE5A1B" w:rsidP="00FE5A1B">
      <w:pPr>
        <w:rPr>
          <w:color w:val="7030A0"/>
        </w:rPr>
      </w:pPr>
    </w:p>
    <w:p w14:paraId="03384385" w14:textId="77777777" w:rsidR="00FE5A1B" w:rsidRDefault="00FE5A1B" w:rsidP="00FE5A1B">
      <w:pPr>
        <w:rPr>
          <w:rFonts w:ascii="Calibri" w:eastAsia="Calibri" w:hAnsi="Calibri" w:cs="Calibri"/>
        </w:rPr>
      </w:pPr>
    </w:p>
    <w:p w14:paraId="2082F007" w14:textId="77777777" w:rsidR="00FE5A1B" w:rsidRPr="00422904" w:rsidRDefault="00FE5A1B" w:rsidP="00FE5A1B">
      <w:pPr>
        <w:rPr>
          <w:rFonts w:eastAsia="Calibri"/>
        </w:rPr>
      </w:pPr>
    </w:p>
    <w:p w14:paraId="5A3F048D" w14:textId="77777777" w:rsidR="00FE5A1B" w:rsidRPr="00422904" w:rsidRDefault="00FE5A1B" w:rsidP="00FE5A1B">
      <w:pPr>
        <w:rPr>
          <w:rFonts w:eastAsia="Calibri"/>
        </w:rPr>
      </w:pPr>
    </w:p>
    <w:p w14:paraId="3E9E750E" w14:textId="77777777" w:rsidR="00FE5A1B" w:rsidRPr="00422904" w:rsidRDefault="00FE5A1B" w:rsidP="00FE5A1B">
      <w:pPr>
        <w:rPr>
          <w:rFonts w:eastAsia="Calibri"/>
        </w:rPr>
      </w:pPr>
    </w:p>
    <w:p w14:paraId="5FFD8023" w14:textId="77777777" w:rsidR="00FE5A1B" w:rsidRPr="00422904" w:rsidRDefault="00FE5A1B" w:rsidP="00FE5A1B">
      <w:pPr>
        <w:rPr>
          <w:rFonts w:eastAsia="Calibri"/>
        </w:rPr>
      </w:pPr>
    </w:p>
    <w:p w14:paraId="1B29A7B1" w14:textId="77777777" w:rsidR="00FE5A1B" w:rsidRPr="00422904" w:rsidRDefault="00FE5A1B" w:rsidP="00FE5A1B">
      <w:pPr>
        <w:jc w:val="center"/>
        <w:rPr>
          <w:rFonts w:eastAsia="Calibri"/>
          <w:color w:val="000000" w:themeColor="text1"/>
        </w:rPr>
      </w:pPr>
    </w:p>
    <w:p w14:paraId="2812F723" w14:textId="77777777" w:rsidR="00FE5A1B" w:rsidRPr="00422904" w:rsidRDefault="00FE5A1B" w:rsidP="00FE5A1B">
      <w:pPr>
        <w:jc w:val="center"/>
        <w:rPr>
          <w:rFonts w:eastAsia="Calibri"/>
          <w:color w:val="000000" w:themeColor="text1"/>
        </w:rPr>
      </w:pPr>
    </w:p>
    <w:p w14:paraId="7A9FB847" w14:textId="77777777" w:rsidR="00FE5A1B" w:rsidRPr="00422904" w:rsidRDefault="00FE5A1B" w:rsidP="00FE5A1B">
      <w:pPr>
        <w:jc w:val="center"/>
        <w:rPr>
          <w:color w:val="000000" w:themeColor="text1"/>
        </w:rPr>
      </w:pPr>
      <w:r w:rsidRPr="00422904">
        <w:rPr>
          <w:rFonts w:eastAsia="Calibri"/>
          <w:color w:val="000000" w:themeColor="text1"/>
        </w:rPr>
        <w:lastRenderedPageBreak/>
        <w:t xml:space="preserve">A Critical Review of Cicero’s Arguments against Divination in De </w:t>
      </w:r>
      <w:proofErr w:type="spellStart"/>
      <w:r w:rsidRPr="00422904">
        <w:rPr>
          <w:rFonts w:eastAsia="Calibri"/>
          <w:color w:val="000000" w:themeColor="text1"/>
        </w:rPr>
        <w:t>Divinatione</w:t>
      </w:r>
      <w:proofErr w:type="spellEnd"/>
    </w:p>
    <w:p w14:paraId="5C6D6F55" w14:textId="77777777" w:rsidR="00FE5A1B" w:rsidRPr="00422904" w:rsidRDefault="00FE5A1B" w:rsidP="00FE5A1B">
      <w:pPr>
        <w:jc w:val="center"/>
        <w:rPr>
          <w:rFonts w:eastAsia="Calibri"/>
          <w:color w:val="000000" w:themeColor="text1"/>
        </w:rPr>
      </w:pPr>
    </w:p>
    <w:p w14:paraId="6D54ED50" w14:textId="77777777" w:rsidR="00FE5A1B" w:rsidRPr="00422904" w:rsidRDefault="00FE5A1B" w:rsidP="00FE5A1B">
      <w:pPr>
        <w:jc w:val="center"/>
        <w:rPr>
          <w:color w:val="000000" w:themeColor="text1"/>
        </w:rPr>
      </w:pPr>
    </w:p>
    <w:p w14:paraId="6E21034E" w14:textId="77777777" w:rsidR="00FE5A1B" w:rsidRPr="00422904" w:rsidRDefault="00FE5A1B" w:rsidP="00FE5A1B">
      <w:pPr>
        <w:rPr>
          <w:rFonts w:eastAsia="Calibri"/>
          <w:color w:val="000000" w:themeColor="text1"/>
        </w:rPr>
      </w:pPr>
      <w:r w:rsidRPr="00422904">
        <w:rPr>
          <w:rFonts w:eastAsia="Calibri"/>
          <w:color w:val="000000" w:themeColor="text1"/>
        </w:rPr>
        <w:t>Word Count: 2937</w:t>
      </w:r>
    </w:p>
    <w:p w14:paraId="0388C140" w14:textId="77777777" w:rsidR="00FE5A1B" w:rsidRPr="00422904" w:rsidRDefault="00FE5A1B" w:rsidP="00FE5A1B">
      <w:pPr>
        <w:rPr>
          <w:b/>
          <w:bCs/>
          <w:color w:val="000000" w:themeColor="text1"/>
        </w:rPr>
      </w:pPr>
    </w:p>
    <w:p w14:paraId="306A55BF" w14:textId="06FA65A3" w:rsidR="00FE5A1B" w:rsidRPr="00422904" w:rsidRDefault="00FE5A1B" w:rsidP="00FE5A1B">
      <w:pPr>
        <w:rPr>
          <w:rFonts w:eastAsia="Calibri"/>
          <w:color w:val="000000" w:themeColor="text1"/>
        </w:rPr>
      </w:pPr>
      <w:r w:rsidRPr="00422904">
        <w:rPr>
          <w:rFonts w:eastAsia="Calibri"/>
          <w:color w:val="000000" w:themeColor="text1"/>
        </w:rPr>
        <w:t xml:space="preserve">This essay is a critical review of Cicero’s arguments against divination in </w:t>
      </w:r>
      <w:r w:rsidRPr="00422904">
        <w:rPr>
          <w:rFonts w:eastAsia="Calibri"/>
          <w:i/>
          <w:iCs/>
          <w:color w:val="000000" w:themeColor="text1"/>
        </w:rPr>
        <w:t xml:space="preserve">De </w:t>
      </w:r>
      <w:proofErr w:type="spellStart"/>
      <w:r w:rsidRPr="00422904">
        <w:rPr>
          <w:rFonts w:eastAsia="Calibri"/>
          <w:i/>
          <w:iCs/>
          <w:color w:val="000000" w:themeColor="text1"/>
        </w:rPr>
        <w:t>Divinatione</w:t>
      </w:r>
      <w:proofErr w:type="spellEnd"/>
      <w:r w:rsidRPr="00422904">
        <w:rPr>
          <w:rFonts w:eastAsia="Calibri"/>
          <w:i/>
          <w:iCs/>
          <w:color w:val="000000" w:themeColor="text1"/>
        </w:rPr>
        <w:t xml:space="preserve">. De </w:t>
      </w:r>
      <w:proofErr w:type="spellStart"/>
      <w:r w:rsidRPr="00422904">
        <w:rPr>
          <w:rFonts w:eastAsia="Calibri"/>
          <w:i/>
          <w:iCs/>
          <w:color w:val="000000" w:themeColor="text1"/>
        </w:rPr>
        <w:t>Divinatione</w:t>
      </w:r>
      <w:proofErr w:type="spellEnd"/>
      <w:r w:rsidR="00A8692A" w:rsidRPr="00422904">
        <w:rPr>
          <w:rFonts w:eastAsia="Calibri"/>
          <w:i/>
          <w:iCs/>
          <w:color w:val="000000" w:themeColor="text1"/>
        </w:rPr>
        <w:t xml:space="preserve"> </w:t>
      </w:r>
      <w:r w:rsidRPr="00422904">
        <w:rPr>
          <w:rFonts w:eastAsia="Calibri"/>
          <w:color w:val="000000" w:themeColor="text1"/>
        </w:rPr>
        <w:t>translated from Latin to English by William Armistead Falconer is a series of two books originally written by Marcus Tullius Cicero</w:t>
      </w:r>
      <w:r w:rsidRPr="00422904">
        <w:rPr>
          <w:rStyle w:val="FootnoteReference"/>
          <w:rFonts w:eastAsia="Calibri"/>
          <w:color w:val="000000" w:themeColor="text1"/>
        </w:rPr>
        <w:footnoteReference w:id="1"/>
      </w:r>
      <w:r w:rsidRPr="00422904">
        <w:rPr>
          <w:rFonts w:eastAsia="Calibri"/>
          <w:color w:val="000000" w:themeColor="text1"/>
        </w:rPr>
        <w:t>. In this treatise, Marcus Cicero is said to be discussing his arguments against</w:t>
      </w:r>
      <w:r w:rsidR="00A8692A" w:rsidRPr="00422904">
        <w:rPr>
          <w:rFonts w:eastAsia="Calibri"/>
          <w:color w:val="000000" w:themeColor="text1"/>
        </w:rPr>
        <w:t xml:space="preserve"> </w:t>
      </w:r>
      <w:r w:rsidRPr="00422904">
        <w:rPr>
          <w:rFonts w:eastAsia="Calibri"/>
          <w:color w:val="000000" w:themeColor="text1"/>
        </w:rPr>
        <w:t>the use of divination with his brother Quintus Cicero. Marcus Cicero who we will be referring to as Cicero throughout this text, discusses opposing views to his</w:t>
      </w:r>
      <w:r w:rsidR="00A8692A" w:rsidRPr="00422904">
        <w:rPr>
          <w:rFonts w:eastAsia="Calibri"/>
          <w:color w:val="000000" w:themeColor="text1"/>
        </w:rPr>
        <w:t xml:space="preserve"> </w:t>
      </w:r>
      <w:r w:rsidRPr="00422904">
        <w:rPr>
          <w:rFonts w:eastAsia="Calibri"/>
          <w:color w:val="000000" w:themeColor="text1"/>
        </w:rPr>
        <w:t>brother Quintus Cicero, who we will only ever refer to as Quintus.</w:t>
      </w:r>
      <w:r w:rsidR="00A8692A" w:rsidRPr="00422904">
        <w:rPr>
          <w:rFonts w:eastAsia="Calibri"/>
          <w:color w:val="000000" w:themeColor="text1"/>
        </w:rPr>
        <w:t xml:space="preserve"> </w:t>
      </w:r>
      <w:r w:rsidRPr="00422904">
        <w:rPr>
          <w:rFonts w:eastAsia="Calibri"/>
          <w:color w:val="000000" w:themeColor="text1"/>
        </w:rPr>
        <w:t>One of the main arguments between the brothers is about dream divination which will be a core subject of discussion in this essay along with augury and astrology. In both books Marcus Cicero uses himself and his brother as characters to narrate the arguments. Book One provides arguments from the lens and defence of Quintus and Book two starting from page 377 provides the argument against divination by Marcus Cicero.</w:t>
      </w:r>
    </w:p>
    <w:p w14:paraId="7A683B47" w14:textId="77777777" w:rsidR="00FE5A1B" w:rsidRPr="00422904" w:rsidRDefault="00FE5A1B" w:rsidP="00FE5A1B">
      <w:pPr>
        <w:rPr>
          <w:rFonts w:eastAsia="Calibri"/>
          <w:color w:val="000000" w:themeColor="text1"/>
        </w:rPr>
      </w:pPr>
    </w:p>
    <w:p w14:paraId="0BB70A28" w14:textId="7A551CA2" w:rsidR="00FE5A1B" w:rsidRPr="00422904" w:rsidRDefault="00FE5A1B" w:rsidP="00FE5A1B">
      <w:r w:rsidRPr="00422904">
        <w:rPr>
          <w:rFonts w:eastAsia="Calibri"/>
          <w:color w:val="000000" w:themeColor="text1"/>
        </w:rPr>
        <w:t xml:space="preserve">Marcus Tullius Cicero (106-43 B.C.), born in </w:t>
      </w:r>
      <w:proofErr w:type="spellStart"/>
      <w:r w:rsidRPr="00422904">
        <w:rPr>
          <w:rFonts w:eastAsia="Calibri"/>
          <w:color w:val="000000" w:themeColor="text1"/>
        </w:rPr>
        <w:t>Arpinum</w:t>
      </w:r>
      <w:proofErr w:type="spellEnd"/>
      <w:r w:rsidRPr="00422904">
        <w:rPr>
          <w:rFonts w:eastAsia="Calibri"/>
          <w:color w:val="000000" w:themeColor="text1"/>
        </w:rPr>
        <w:t>, Southeast of Rome, was an orator, successful lawyer and leading political figure</w:t>
      </w:r>
      <w:r w:rsidR="00A8692A" w:rsidRPr="00422904">
        <w:rPr>
          <w:rFonts w:eastAsia="Calibri"/>
          <w:color w:val="000000" w:themeColor="text1"/>
        </w:rPr>
        <w:t>,</w:t>
      </w:r>
      <w:r w:rsidRPr="00422904">
        <w:rPr>
          <w:rStyle w:val="FootnoteReference"/>
          <w:rFonts w:eastAsia="Calibri"/>
          <w:color w:val="000000" w:themeColor="text1"/>
        </w:rPr>
        <w:footnoteReference w:id="2"/>
      </w:r>
      <w:r w:rsidRPr="00422904">
        <w:rPr>
          <w:rFonts w:eastAsia="Calibri"/>
          <w:color w:val="000000" w:themeColor="text1"/>
        </w:rPr>
        <w:t xml:space="preserve"> this is important to note for critically reviewing both books as we will be discussing in this essay. Cicero</w:t>
      </w:r>
      <w:r w:rsidRPr="00422904">
        <w:rPr>
          <w:color w:val="000000" w:themeColor="text1"/>
        </w:rPr>
        <w:t>’</w:t>
      </w:r>
      <w:r w:rsidRPr="00422904">
        <w:rPr>
          <w:rFonts w:eastAsia="Calibri"/>
          <w:color w:val="000000" w:themeColor="text1"/>
        </w:rPr>
        <w:t xml:space="preserve">s interest in philosophy led him to become one of the most successful Roman orators during his time </w:t>
      </w:r>
      <w:r w:rsidRPr="00422904">
        <w:rPr>
          <w:color w:val="000000" w:themeColor="text1"/>
        </w:rPr>
        <w:t>‘</w:t>
      </w:r>
      <w:r w:rsidRPr="00422904">
        <w:rPr>
          <w:rFonts w:eastAsia="Calibri"/>
          <w:color w:val="000000" w:themeColor="text1"/>
        </w:rPr>
        <w:t>My interest in philosophy is no sudden impulse...I was philosophizing when I least appeared to be doing so</w:t>
      </w:r>
      <w:r w:rsidRPr="00422904">
        <w:rPr>
          <w:color w:val="000000" w:themeColor="text1"/>
        </w:rPr>
        <w:t>’</w:t>
      </w:r>
      <w:r w:rsidRPr="00422904">
        <w:rPr>
          <w:rFonts w:eastAsia="Calibri"/>
          <w:color w:val="000000" w:themeColor="text1"/>
        </w:rPr>
        <w:t>.</w:t>
      </w:r>
      <w:r w:rsidRPr="00422904">
        <w:rPr>
          <w:rStyle w:val="FootnoteReference"/>
          <w:color w:val="000000" w:themeColor="text1"/>
        </w:rPr>
        <w:footnoteReference w:id="3"/>
      </w:r>
      <w:r w:rsidRPr="00422904">
        <w:rPr>
          <w:rFonts w:eastAsia="Calibri"/>
          <w:color w:val="000000" w:themeColor="text1"/>
        </w:rPr>
        <w:t xml:space="preserve"> In Book 2 </w:t>
      </w:r>
      <w:r w:rsidRPr="00422904">
        <w:rPr>
          <w:rStyle w:val="FootnoteReference"/>
          <w:rFonts w:eastAsia="Calibri"/>
          <w:color w:val="000000" w:themeColor="text1"/>
        </w:rPr>
        <w:footnoteReference w:id="4"/>
      </w:r>
      <w:r w:rsidRPr="00422904">
        <w:rPr>
          <w:rFonts w:eastAsia="Calibri"/>
          <w:color w:val="000000" w:themeColor="text1"/>
        </w:rPr>
        <w:t>, Marcus Cicero speaks highly of himself and how impactful he believes his philosophical ideas and works to have been to his ‘</w:t>
      </w:r>
      <w:r w:rsidRPr="00422904">
        <w:rPr>
          <w:color w:val="333333"/>
          <w:spacing w:val="-2"/>
          <w:shd w:val="clear" w:color="auto" w:fill="FFFFFF"/>
        </w:rPr>
        <w:t>fellow-citizens’; by introducing Book 2 in this way he manages to set up a relationship with his reader before they even reach his side of the argument. Marcus Cicero also claims to be a fair writer as not to do injustice to the state, this may have been added into the introduction to create trust within his readers in the hope that he can convince them that his side is going to be more thought out and researched over his brother Quintus’s arguments in Book 1. We will be discussing this in further detail within this essay.</w:t>
      </w:r>
    </w:p>
    <w:p w14:paraId="080D61A6" w14:textId="77777777" w:rsidR="00FE5A1B" w:rsidRPr="00422904" w:rsidRDefault="00FE5A1B" w:rsidP="00FE5A1B">
      <w:pPr>
        <w:rPr>
          <w:rFonts w:eastAsia="Calibri"/>
          <w:color w:val="000000" w:themeColor="text1"/>
        </w:rPr>
      </w:pPr>
    </w:p>
    <w:p w14:paraId="0467CADD" w14:textId="63138575" w:rsidR="00FE5A1B" w:rsidRPr="00422904" w:rsidRDefault="00FE5A1B" w:rsidP="00FE5A1B">
      <w:pPr>
        <w:rPr>
          <w:rFonts w:eastAsia="Calibri"/>
          <w:color w:val="000000" w:themeColor="text1"/>
        </w:rPr>
      </w:pPr>
      <w:r w:rsidRPr="00422904">
        <w:rPr>
          <w:rFonts w:eastAsia="Calibri"/>
          <w:color w:val="000000" w:themeColor="text1"/>
        </w:rPr>
        <w:t xml:space="preserve">    It is interesting to also note that although Cicero argues against divination</w:t>
      </w:r>
      <w:r w:rsidRPr="00422904">
        <w:rPr>
          <w:color w:val="000000" w:themeColor="text1"/>
        </w:rPr>
        <w:t xml:space="preserve"> and therefore denies ‘the validity of augury’</w:t>
      </w:r>
      <w:r w:rsidRPr="00422904">
        <w:rPr>
          <w:rStyle w:val="FootnoteReference"/>
          <w:color w:val="000000" w:themeColor="text1"/>
        </w:rPr>
        <w:footnoteReference w:id="5"/>
      </w:r>
      <w:r w:rsidR="00A8692A" w:rsidRPr="00422904">
        <w:rPr>
          <w:color w:val="000000" w:themeColor="text1"/>
        </w:rPr>
        <w:t xml:space="preserve"> </w:t>
      </w:r>
      <w:r w:rsidRPr="00422904">
        <w:rPr>
          <w:rFonts w:eastAsia="Calibri"/>
          <w:color w:val="000000" w:themeColor="text1"/>
        </w:rPr>
        <w:t>he himself was in fact an augur having been inspired and introduced to this form of divination by his father.</w:t>
      </w:r>
      <w:r w:rsidRPr="00422904">
        <w:rPr>
          <w:rStyle w:val="FootnoteReference"/>
          <w:rFonts w:eastAsia="Calibri"/>
          <w:color w:val="000000" w:themeColor="text1"/>
        </w:rPr>
        <w:footnoteReference w:id="6"/>
      </w:r>
    </w:p>
    <w:p w14:paraId="1CDE448C" w14:textId="77777777" w:rsidR="00FE5A1B" w:rsidRPr="00422904" w:rsidRDefault="00FE5A1B" w:rsidP="00FE5A1B">
      <w:pPr>
        <w:rPr>
          <w:rFonts w:eastAsia="Calibri"/>
          <w:color w:val="000000" w:themeColor="text1"/>
        </w:rPr>
      </w:pPr>
    </w:p>
    <w:p w14:paraId="779BCF7C" w14:textId="68BDAB69" w:rsidR="00FE5A1B" w:rsidRPr="00422904" w:rsidRDefault="00FE5A1B" w:rsidP="00FE5A1B">
      <w:pPr>
        <w:rPr>
          <w:color w:val="000000" w:themeColor="text1"/>
          <w:spacing w:val="-2"/>
          <w:shd w:val="clear" w:color="auto" w:fill="FFFFFF"/>
        </w:rPr>
      </w:pPr>
      <w:r w:rsidRPr="00422904">
        <w:rPr>
          <w:rFonts w:eastAsia="Calibri"/>
          <w:color w:val="000000" w:themeColor="text1"/>
        </w:rPr>
        <w:t xml:space="preserve">   </w:t>
      </w:r>
      <w:r w:rsidRPr="00422904">
        <w:rPr>
          <w:rFonts w:eastAsia="Calibri"/>
          <w:i/>
          <w:iCs/>
          <w:color w:val="000000" w:themeColor="text1"/>
        </w:rPr>
        <w:t xml:space="preserve">In De </w:t>
      </w:r>
      <w:proofErr w:type="spellStart"/>
      <w:r w:rsidRPr="00422904">
        <w:rPr>
          <w:rFonts w:eastAsia="Calibri"/>
          <w:i/>
          <w:iCs/>
          <w:color w:val="000000" w:themeColor="text1"/>
        </w:rPr>
        <w:t>Divinatione</w:t>
      </w:r>
      <w:proofErr w:type="spellEnd"/>
      <w:r w:rsidRPr="00422904">
        <w:rPr>
          <w:rFonts w:eastAsia="Calibri"/>
          <w:color w:val="000000" w:themeColor="text1"/>
        </w:rPr>
        <w:t xml:space="preserve">, divination is defined by Marcus Cicero as being a tool that </w:t>
      </w:r>
      <w:r w:rsidRPr="00422904">
        <w:rPr>
          <w:color w:val="000000" w:themeColor="text1"/>
          <w:spacing w:val="-2"/>
          <w:shd w:val="clear" w:color="auto" w:fill="FFFFFF"/>
        </w:rPr>
        <w:t>‘the Greeks call μα</w:t>
      </w:r>
      <w:proofErr w:type="spellStart"/>
      <w:r w:rsidRPr="00422904">
        <w:rPr>
          <w:color w:val="000000" w:themeColor="text1"/>
          <w:spacing w:val="-2"/>
          <w:shd w:val="clear" w:color="auto" w:fill="FFFFFF"/>
        </w:rPr>
        <w:t>ντική</w:t>
      </w:r>
      <w:proofErr w:type="spellEnd"/>
      <w:r w:rsidRPr="00422904">
        <w:rPr>
          <w:color w:val="000000" w:themeColor="text1"/>
          <w:spacing w:val="-2"/>
          <w:shd w:val="clear" w:color="auto" w:fill="FFFFFF"/>
        </w:rPr>
        <w:t xml:space="preserve"> —that is, the foresight and knowledge of future events’.</w:t>
      </w:r>
      <w:r w:rsidRPr="00422904">
        <w:rPr>
          <w:rStyle w:val="FootnoteReference"/>
          <w:color w:val="000000" w:themeColor="text1"/>
        </w:rPr>
        <w:footnoteReference w:id="7"/>
      </w:r>
      <w:r w:rsidRPr="00422904">
        <w:rPr>
          <w:color w:val="000000" w:themeColor="text1"/>
          <w:spacing w:val="-2"/>
          <w:shd w:val="clear" w:color="auto" w:fill="FFFFFF"/>
        </w:rPr>
        <w:t xml:space="preserve"> In Book 2, Cicero also describes how the philosopher and the brothers</w:t>
      </w:r>
      <w:r w:rsidR="00A8692A" w:rsidRPr="00422904">
        <w:rPr>
          <w:color w:val="000000" w:themeColor="text1"/>
          <w:spacing w:val="-2"/>
          <w:shd w:val="clear" w:color="auto" w:fill="FFFFFF"/>
        </w:rPr>
        <w:t xml:space="preserve"> </w:t>
      </w:r>
      <w:r w:rsidRPr="00422904">
        <w:rPr>
          <w:color w:val="000000" w:themeColor="text1"/>
          <w:spacing w:val="-2"/>
          <w:shd w:val="clear" w:color="auto" w:fill="FFFFFF"/>
        </w:rPr>
        <w:t xml:space="preserve">‘intimate friend… defines divination in these </w:t>
      </w:r>
      <w:r w:rsidRPr="00422904">
        <w:rPr>
          <w:color w:val="000000" w:themeColor="text1"/>
          <w:spacing w:val="-2"/>
          <w:shd w:val="clear" w:color="auto" w:fill="FFFFFF"/>
        </w:rPr>
        <w:lastRenderedPageBreak/>
        <w:t>words: “The power to see, understand, and explain premonitory signs given to men by the gods.”</w:t>
      </w:r>
      <w:r w:rsidRPr="00422904">
        <w:rPr>
          <w:rStyle w:val="FootnoteReference"/>
          <w:color w:val="000000" w:themeColor="text1"/>
          <w:spacing w:val="-2"/>
          <w:shd w:val="clear" w:color="auto" w:fill="FFFFFF"/>
        </w:rPr>
        <w:footnoteReference w:id="8"/>
      </w:r>
      <w:r w:rsidRPr="00422904">
        <w:rPr>
          <w:color w:val="000000" w:themeColor="text1"/>
          <w:spacing w:val="-2"/>
          <w:shd w:val="clear" w:color="auto" w:fill="FFFFFF"/>
        </w:rPr>
        <w:t xml:space="preserve"> Here Cicero tries to use </w:t>
      </w:r>
      <w:proofErr w:type="spellStart"/>
      <w:r w:rsidRPr="00422904">
        <w:rPr>
          <w:color w:val="000000" w:themeColor="text1"/>
          <w:spacing w:val="-2"/>
          <w:shd w:val="clear" w:color="auto" w:fill="FFFFFF"/>
        </w:rPr>
        <w:t>Chrysippus’s</w:t>
      </w:r>
      <w:proofErr w:type="spellEnd"/>
      <w:r w:rsidRPr="00422904">
        <w:rPr>
          <w:color w:val="000000" w:themeColor="text1"/>
          <w:spacing w:val="-2"/>
          <w:shd w:val="clear" w:color="auto" w:fill="FFFFFF"/>
        </w:rPr>
        <w:t xml:space="preserve"> view to support his own argument against divination, however, this actually contradicts his own apparent belief in what divination is as he seems to be unsure as to whether it is connected to the Gods at all.</w:t>
      </w:r>
      <w:r w:rsidRPr="00422904">
        <w:rPr>
          <w:rStyle w:val="FootnoteReference"/>
          <w:color w:val="000000" w:themeColor="text1"/>
        </w:rPr>
        <w:footnoteReference w:id="9"/>
      </w:r>
      <w:r w:rsidRPr="00422904">
        <w:rPr>
          <w:color w:val="000000" w:themeColor="text1"/>
          <w:spacing w:val="-2"/>
          <w:shd w:val="clear" w:color="auto" w:fill="FFFFFF"/>
        </w:rPr>
        <w:t xml:space="preserve"> We will be discussing this and further evidence of hypocrisy within this essay.</w:t>
      </w:r>
    </w:p>
    <w:p w14:paraId="2F73C3D4" w14:textId="77777777" w:rsidR="00FE5A1B" w:rsidRPr="00422904" w:rsidRDefault="00FE5A1B" w:rsidP="00FE5A1B">
      <w:pPr>
        <w:rPr>
          <w:color w:val="000000" w:themeColor="text1"/>
        </w:rPr>
      </w:pPr>
    </w:p>
    <w:p w14:paraId="072C788E" w14:textId="77777777" w:rsidR="00FE5A1B" w:rsidRPr="00422904" w:rsidRDefault="00FE5A1B" w:rsidP="00FE5A1B">
      <w:pPr>
        <w:rPr>
          <w:color w:val="000000" w:themeColor="text1"/>
        </w:rPr>
      </w:pPr>
    </w:p>
    <w:p w14:paraId="50199F93" w14:textId="6FDE9368" w:rsidR="00FE5A1B" w:rsidRPr="00422904" w:rsidRDefault="00A8692A" w:rsidP="00FE5A1B">
      <w:pPr>
        <w:rPr>
          <w:color w:val="000000" w:themeColor="text1"/>
          <w:spacing w:val="-2"/>
          <w:shd w:val="clear" w:color="auto" w:fill="FFFFFF"/>
        </w:rPr>
      </w:pPr>
      <w:r w:rsidRPr="00422904">
        <w:rPr>
          <w:color w:val="000000" w:themeColor="text1"/>
        </w:rPr>
        <w:t xml:space="preserve"> </w:t>
      </w:r>
      <w:r w:rsidR="00FE5A1B" w:rsidRPr="00422904">
        <w:rPr>
          <w:color w:val="000000" w:themeColor="text1"/>
        </w:rPr>
        <w:t xml:space="preserve">According to </w:t>
      </w:r>
      <w:proofErr w:type="spellStart"/>
      <w:r w:rsidR="00FE5A1B" w:rsidRPr="00422904">
        <w:rPr>
          <w:color w:val="000000" w:themeColor="text1"/>
        </w:rPr>
        <w:t>Burriss</w:t>
      </w:r>
      <w:proofErr w:type="spellEnd"/>
      <w:r w:rsidR="00FE5A1B" w:rsidRPr="00422904">
        <w:rPr>
          <w:color w:val="000000" w:themeColor="text1"/>
        </w:rPr>
        <w:t>,</w:t>
      </w:r>
      <w:r w:rsidR="00FE5A1B" w:rsidRPr="00422904">
        <w:rPr>
          <w:rStyle w:val="FootnoteReference"/>
          <w:color w:val="000000" w:themeColor="text1"/>
        </w:rPr>
        <w:footnoteReference w:id="10"/>
      </w:r>
      <w:r w:rsidR="00FE5A1B" w:rsidRPr="00422904">
        <w:rPr>
          <w:color w:val="000000" w:themeColor="text1"/>
        </w:rPr>
        <w:t xml:space="preserve"> Cicero was an augur and used augury as means of divination despite arguing against divination, predictive tools and connection to the Gods. While he argues against divination, he ‘had slender faith in augury’, and even though he has ‘no faith in its divine sanction and direction’ it could be argued that this is a tool for divination. </w:t>
      </w:r>
      <w:proofErr w:type="spellStart"/>
      <w:r w:rsidR="00FE5A1B" w:rsidRPr="00422904">
        <w:rPr>
          <w:color w:val="000000" w:themeColor="text1"/>
        </w:rPr>
        <w:t>Burriss</w:t>
      </w:r>
      <w:proofErr w:type="spellEnd"/>
      <w:r w:rsidR="00FE5A1B" w:rsidRPr="00422904">
        <w:rPr>
          <w:color w:val="000000" w:themeColor="text1"/>
        </w:rPr>
        <w:t xml:space="preserve"> also believes that Cicero’s defence for augury may have been because he believed it would ‘do good to the State’. </w:t>
      </w:r>
      <w:r w:rsidR="00FE5A1B" w:rsidRPr="00422904">
        <w:rPr>
          <w:rFonts w:eastAsia="Calibri"/>
          <w:color w:val="000000" w:themeColor="text1"/>
        </w:rPr>
        <w:t>It may also be important to note that during the time that both books were written ‘the Roman elite in the last century B.C were sceptical about divination, augury, prodigies’ and haruspicy; or at least that has been the view of most modern scholars’,</w:t>
      </w:r>
      <w:r w:rsidR="00FE5A1B" w:rsidRPr="00422904">
        <w:rPr>
          <w:rStyle w:val="FootnoteReference"/>
          <w:rFonts w:eastAsia="Calibri"/>
          <w:color w:val="000000" w:themeColor="text1"/>
        </w:rPr>
        <w:footnoteReference w:id="11"/>
      </w:r>
      <w:r w:rsidR="00FE5A1B" w:rsidRPr="00422904">
        <w:rPr>
          <w:rFonts w:eastAsia="Calibri"/>
          <w:color w:val="000000" w:themeColor="text1"/>
        </w:rPr>
        <w:t xml:space="preserve"> therefore it may have been more fitting for Cicero to argue against divination and predictive tools rather than for it out of fear and perhaps the loss of credibility in his own work if people thought that he believed in divination. This also supports Cicero’s needs to defend the use of augury </w:t>
      </w:r>
      <w:r w:rsidR="00FE5A1B" w:rsidRPr="00422904">
        <w:rPr>
          <w:color w:val="000000" w:themeColor="text1"/>
        </w:rPr>
        <w:t>although being pagan, Cicero could defend his credibility and avoid religious conflicts by arguing that ‘Roman augury involved no predictive element’.</w:t>
      </w:r>
      <w:r w:rsidR="00FE5A1B" w:rsidRPr="00422904">
        <w:rPr>
          <w:rStyle w:val="FootnoteReference"/>
          <w:color w:val="000000" w:themeColor="text1"/>
        </w:rPr>
        <w:footnoteReference w:id="12"/>
      </w:r>
      <w:r w:rsidR="00FE5A1B" w:rsidRPr="00422904">
        <w:rPr>
          <w:color w:val="000000" w:themeColor="text1"/>
          <w:spacing w:val="-2"/>
          <w:shd w:val="clear" w:color="auto" w:fill="FFFFFF"/>
        </w:rPr>
        <w:t xml:space="preserve">It is also argued that Cicero does not believe that augury is necessarily a form of divination but instead a form of art. </w:t>
      </w:r>
      <w:r w:rsidR="00FE5A1B" w:rsidRPr="00422904">
        <w:rPr>
          <w:rStyle w:val="FootnoteReference"/>
          <w:color w:val="000000" w:themeColor="text1"/>
          <w:spacing w:val="-2"/>
          <w:shd w:val="clear" w:color="auto" w:fill="FFFFFF"/>
        </w:rPr>
        <w:footnoteReference w:id="13"/>
      </w:r>
    </w:p>
    <w:p w14:paraId="020BA8E4" w14:textId="77777777" w:rsidR="00FE5A1B" w:rsidRPr="00422904" w:rsidRDefault="00FE5A1B" w:rsidP="00FE5A1B">
      <w:pPr>
        <w:rPr>
          <w:color w:val="000000" w:themeColor="text1"/>
          <w:spacing w:val="-2"/>
          <w:shd w:val="clear" w:color="auto" w:fill="FFFFFF"/>
        </w:rPr>
      </w:pPr>
    </w:p>
    <w:p w14:paraId="145AE82E" w14:textId="183F6272" w:rsidR="00FE5A1B" w:rsidRPr="00422904" w:rsidRDefault="00A8692A" w:rsidP="00FE5A1B">
      <w:r w:rsidRPr="00422904">
        <w:rPr>
          <w:color w:val="000000" w:themeColor="text1"/>
        </w:rPr>
        <w:t xml:space="preserve">          </w:t>
      </w:r>
      <w:r w:rsidR="00FE5A1B" w:rsidRPr="00422904">
        <w:rPr>
          <w:color w:val="000000" w:themeColor="text1"/>
        </w:rPr>
        <w:t>Cicero argues against other methods of divination</w:t>
      </w:r>
      <w:r w:rsidR="00FE5A1B" w:rsidRPr="00422904">
        <w:rPr>
          <w:rFonts w:eastAsia="Calibri"/>
          <w:color w:val="000000" w:themeColor="text1"/>
        </w:rPr>
        <w:t xml:space="preserve"> and </w:t>
      </w:r>
      <w:r w:rsidR="00FE5A1B" w:rsidRPr="00422904">
        <w:rPr>
          <w:color w:val="000000" w:themeColor="text1"/>
          <w:spacing w:val="-2"/>
          <w:shd w:val="clear" w:color="auto" w:fill="FFFFFF"/>
        </w:rPr>
        <w:t>In Book two, Marcus Cicero uses his experience as a lawyer to fight for which methods of divination he feels are correct or useful.</w:t>
      </w:r>
      <w:r w:rsidR="00FE5A1B" w:rsidRPr="00422904">
        <w:rPr>
          <w:rStyle w:val="FootnoteReference"/>
          <w:color w:val="000000" w:themeColor="text1"/>
          <w:spacing w:val="-2"/>
          <w:shd w:val="clear" w:color="auto" w:fill="FFFFFF"/>
        </w:rPr>
        <w:footnoteReference w:id="14"/>
      </w:r>
      <w:r w:rsidRPr="00422904">
        <w:rPr>
          <w:color w:val="000000" w:themeColor="text1"/>
          <w:spacing w:val="-2"/>
          <w:shd w:val="clear" w:color="auto" w:fill="FFFFFF"/>
        </w:rPr>
        <w:t xml:space="preserve"> </w:t>
      </w:r>
      <w:r w:rsidR="00FE5A1B" w:rsidRPr="00422904">
        <w:rPr>
          <w:color w:val="000000" w:themeColor="text1"/>
          <w:spacing w:val="-2"/>
          <w:shd w:val="clear" w:color="auto" w:fill="FFFFFF"/>
        </w:rPr>
        <w:t>For example, while he argues for the use of augury then dismisses the accuracy of prediction via means of a Venus dice throw again calling it a matter of ‘chance’.</w:t>
      </w:r>
      <w:r w:rsidR="00FE5A1B" w:rsidRPr="00422904">
        <w:rPr>
          <w:rStyle w:val="FootnoteReference"/>
          <w:color w:val="000000" w:themeColor="text1"/>
          <w:spacing w:val="-2"/>
          <w:shd w:val="clear" w:color="auto" w:fill="FFFFFF"/>
        </w:rPr>
        <w:footnoteReference w:id="15"/>
      </w:r>
      <w:r w:rsidR="00FE5A1B" w:rsidRPr="00422904">
        <w:rPr>
          <w:color w:val="000000" w:themeColor="text1"/>
          <w:spacing w:val="-2"/>
          <w:shd w:val="clear" w:color="auto" w:fill="FFFFFF"/>
        </w:rPr>
        <w:t xml:space="preserve"> Cicero continues to argue about ‘chance’ and adds to his argument with a condescending approach explaining how it is not possible for people to </w:t>
      </w:r>
      <w:r w:rsidR="00FE5A1B" w:rsidRPr="00422904">
        <w:rPr>
          <w:color w:val="000000" w:themeColor="text1"/>
        </w:rPr>
        <w:t>‘</w:t>
      </w:r>
      <w:r w:rsidR="00FE5A1B" w:rsidRPr="00422904">
        <w:rPr>
          <w:color w:val="000000" w:themeColor="text1"/>
          <w:spacing w:val="-2"/>
          <w:shd w:val="clear" w:color="auto" w:fill="FFFFFF"/>
        </w:rPr>
        <w:t>have the power to prescribe a cure for our bodily ills through the medium of a dream’ adding how ‘Neptune cannot aid pilots through the same means</w:t>
      </w:r>
      <w:r w:rsidR="00FE5A1B" w:rsidRPr="00422904">
        <w:rPr>
          <w:color w:val="000000" w:themeColor="text1"/>
        </w:rPr>
        <w:t>’.</w:t>
      </w:r>
      <w:r w:rsidR="00FE5A1B" w:rsidRPr="00422904">
        <w:rPr>
          <w:rStyle w:val="FootnoteReference"/>
          <w:color w:val="000000" w:themeColor="text1"/>
          <w:spacing w:val="-2"/>
          <w:shd w:val="clear" w:color="auto" w:fill="FFFFFF"/>
        </w:rPr>
        <w:footnoteReference w:id="16"/>
      </w:r>
      <w:r w:rsidR="00FE5A1B" w:rsidRPr="00422904">
        <w:rPr>
          <w:color w:val="000000" w:themeColor="text1"/>
          <w:spacing w:val="-2"/>
          <w:shd w:val="clear" w:color="auto" w:fill="FFFFFF"/>
        </w:rPr>
        <w:t>Here Cicero argues that God is not able to heal, connect or guide any one through dreams  as if he was doing so then he would be wasting his time as most people don’t remember their dreams</w:t>
      </w:r>
      <w:r w:rsidR="00FE5A1B" w:rsidRPr="00422904">
        <w:rPr>
          <w:rStyle w:val="FootnoteReference"/>
          <w:color w:val="000000" w:themeColor="text1"/>
          <w:spacing w:val="-2"/>
          <w:shd w:val="clear" w:color="auto" w:fill="FFFFFF"/>
        </w:rPr>
        <w:footnoteReference w:id="17"/>
      </w:r>
      <w:r w:rsidR="00FE5A1B" w:rsidRPr="00422904">
        <w:rPr>
          <w:color w:val="000000" w:themeColor="text1"/>
          <w:spacing w:val="-2"/>
          <w:shd w:val="clear" w:color="auto" w:fill="FFFFFF"/>
        </w:rPr>
        <w:t xml:space="preserve">.God’s words and work would be in vain if he was trying to contact humans via dreams which would be forgotten or ignored therefore ‘if there is no connexion between them and the laws of nature; and finally, if, by means of observation no art of divining can be found in them, it follows that absolutely no reliance can be placed in dreams’ </w:t>
      </w:r>
      <w:r w:rsidR="00FE5A1B" w:rsidRPr="00422904">
        <w:rPr>
          <w:rStyle w:val="FootnoteReference"/>
          <w:color w:val="000000" w:themeColor="text1"/>
          <w:spacing w:val="-2"/>
          <w:shd w:val="clear" w:color="auto" w:fill="FFFFFF"/>
        </w:rPr>
        <w:footnoteReference w:id="18"/>
      </w:r>
      <w:r w:rsidR="00FE5A1B" w:rsidRPr="00422904">
        <w:rPr>
          <w:color w:val="000000" w:themeColor="text1"/>
        </w:rPr>
        <w:t xml:space="preserve">Cicero also backs up his argument by including the views of philosopher, </w:t>
      </w:r>
      <w:proofErr w:type="spellStart"/>
      <w:r w:rsidR="00FE5A1B" w:rsidRPr="00422904">
        <w:rPr>
          <w:color w:val="000000" w:themeColor="text1"/>
          <w:spacing w:val="-2"/>
          <w:shd w:val="clear" w:color="auto" w:fill="FFFFFF"/>
        </w:rPr>
        <w:t>Chrysippus</w:t>
      </w:r>
      <w:proofErr w:type="spellEnd"/>
      <w:r w:rsidR="00FE5A1B" w:rsidRPr="00422904">
        <w:rPr>
          <w:color w:val="000000" w:themeColor="text1"/>
          <w:spacing w:val="-2"/>
          <w:shd w:val="clear" w:color="auto" w:fill="FFFFFF"/>
        </w:rPr>
        <w:t xml:space="preserve"> who – ‘says in </w:t>
      </w:r>
      <w:r w:rsidR="00FE5A1B" w:rsidRPr="00422904">
        <w:rPr>
          <w:color w:val="000000" w:themeColor="text1"/>
          <w:spacing w:val="-2"/>
          <w:shd w:val="clear" w:color="auto" w:fill="FFFFFF"/>
        </w:rPr>
        <w:lastRenderedPageBreak/>
        <w:t xml:space="preserve">replying to the Academicians, appearances seen when we are awake are much more distinct and trustworthy than those seen in dreams’ writing off the idea of ‘prophetic’ dreams </w:t>
      </w:r>
      <w:r w:rsidR="00FE5A1B" w:rsidRPr="00422904">
        <w:rPr>
          <w:color w:val="000000" w:themeColor="text1"/>
        </w:rPr>
        <w:t>as merely reflections of man's daytime preoccupation’.</w:t>
      </w:r>
      <w:r w:rsidR="00FE5A1B" w:rsidRPr="00422904">
        <w:rPr>
          <w:rStyle w:val="FootnoteReference"/>
          <w:color w:val="000000" w:themeColor="text1"/>
        </w:rPr>
        <w:footnoteReference w:id="19"/>
      </w:r>
      <w:r w:rsidR="00FE5A1B" w:rsidRPr="00422904">
        <w:rPr>
          <w:color w:val="000000" w:themeColor="text1"/>
        </w:rPr>
        <w:t xml:space="preserve">By introducing other characters Cicero is able to use these opinions to support his arguments just as you would use defendants in a court case. Cicero as both a lawyer and the author of these books </w:t>
      </w:r>
      <w:proofErr w:type="gramStart"/>
      <w:r w:rsidR="00FE5A1B" w:rsidRPr="00422904">
        <w:rPr>
          <w:color w:val="000000" w:themeColor="text1"/>
        </w:rPr>
        <w:t>is able to</w:t>
      </w:r>
      <w:proofErr w:type="gramEnd"/>
      <w:r w:rsidR="00FE5A1B" w:rsidRPr="00422904">
        <w:rPr>
          <w:color w:val="000000" w:themeColor="text1"/>
        </w:rPr>
        <w:t xml:space="preserve"> choose whose opinion and what arguments makes the final cut as ‘he puts a great deal of himself into both books’</w:t>
      </w:r>
      <w:r w:rsidR="00FE5A1B" w:rsidRPr="00422904">
        <w:rPr>
          <w:rStyle w:val="FootnoteReference"/>
          <w:color w:val="000000" w:themeColor="text1"/>
        </w:rPr>
        <w:footnoteReference w:id="20"/>
      </w:r>
      <w:r w:rsidR="00FE5A1B" w:rsidRPr="00422904">
        <w:rPr>
          <w:color w:val="000000" w:themeColor="text1"/>
        </w:rPr>
        <w:t>. It is also unclear on whether he and his brother had this discussion in the first place or whether he is just writing a piece using them both as characters to argue for and against a popular subject as Mary Beard suggests that there are ‘real views’ of Cicero and then they views of the ‘Character of Marcus’.</w:t>
      </w:r>
      <w:r w:rsidR="00FE5A1B" w:rsidRPr="00422904">
        <w:rPr>
          <w:rStyle w:val="FootnoteReference"/>
          <w:color w:val="000000" w:themeColor="text1"/>
        </w:rPr>
        <w:footnoteReference w:id="21"/>
      </w:r>
      <w:r w:rsidR="00FE5A1B" w:rsidRPr="00422904">
        <w:rPr>
          <w:color w:val="000000" w:themeColor="text1"/>
        </w:rPr>
        <w:t xml:space="preserve"> As mentioned in the introduction, Cicero has ensured that his reader understand that he comes from a philosophical background and has ‘appealed as earnestly’ as he could for previous arguments</w:t>
      </w:r>
      <w:r w:rsidRPr="00422904">
        <w:rPr>
          <w:color w:val="000000" w:themeColor="text1"/>
        </w:rPr>
        <w:t xml:space="preserve"> on similar subject matters</w:t>
      </w:r>
      <w:r w:rsidR="00FE5A1B" w:rsidRPr="00422904">
        <w:rPr>
          <w:color w:val="000000" w:themeColor="text1"/>
        </w:rPr>
        <w:t xml:space="preserve">, making his reader believe that his arguments will be stronger. </w:t>
      </w:r>
      <w:r w:rsidR="00FE5A1B" w:rsidRPr="00422904">
        <w:rPr>
          <w:rStyle w:val="FootnoteReference"/>
          <w:rFonts w:eastAsia="Calibri"/>
          <w:color w:val="000000" w:themeColor="text1"/>
        </w:rPr>
        <w:footnoteReference w:id="22"/>
      </w:r>
      <w:r w:rsidRPr="00422904">
        <w:rPr>
          <w:color w:val="000000" w:themeColor="text1"/>
        </w:rPr>
        <w:t xml:space="preserve"> This could also demonstrate the relationship between them, as siblings, a child telling their side of their story to the parent before the other, but in this </w:t>
      </w:r>
      <w:proofErr w:type="gramStart"/>
      <w:r w:rsidRPr="00422904">
        <w:rPr>
          <w:color w:val="000000" w:themeColor="text1"/>
        </w:rPr>
        <w:t>case</w:t>
      </w:r>
      <w:proofErr w:type="gramEnd"/>
      <w:r w:rsidRPr="00422904">
        <w:rPr>
          <w:color w:val="000000" w:themeColor="text1"/>
        </w:rPr>
        <w:t xml:space="preserve"> Cicero speaking last trying to justify what he is about to say.</w:t>
      </w:r>
      <w:r w:rsidR="00FE5A1B" w:rsidRPr="00422904">
        <w:rPr>
          <w:color w:val="000000" w:themeColor="text1"/>
        </w:rPr>
        <w:t xml:space="preserve"> As a lawyer Cicero has an answer for all of Quintus’s arguments for divination, and it may even appear that he is being dismissive or condescending of his brothers’ opinions trying to dismiss the defendant to win his case.</w:t>
      </w:r>
      <w:r w:rsidR="00FE5A1B" w:rsidRPr="00422904">
        <w:rPr>
          <w:rStyle w:val="FootnoteReference"/>
          <w:rFonts w:eastAsia="Calibri"/>
          <w:color w:val="000000" w:themeColor="text1"/>
        </w:rPr>
        <w:footnoteReference w:id="23"/>
      </w:r>
      <w:r w:rsidR="00FE5A1B" w:rsidRPr="00422904">
        <w:rPr>
          <w:color w:val="000000" w:themeColor="text1"/>
        </w:rPr>
        <w:t xml:space="preserve"> Considering Cicero claims to be a very fair writer, opening Book 2 by saying ‘a</w:t>
      </w:r>
      <w:r w:rsidR="00FE5A1B" w:rsidRPr="00422904">
        <w:rPr>
          <w:color w:val="333333"/>
          <w:shd w:val="clear" w:color="auto" w:fill="FFFFFF"/>
        </w:rPr>
        <w:t>fter</w:t>
      </w:r>
      <w:r w:rsidR="00FE5A1B" w:rsidRPr="00422904">
        <w:rPr>
          <w:color w:val="333333"/>
          <w:spacing w:val="-2"/>
          <w:shd w:val="clear" w:color="auto" w:fill="FFFFFF"/>
        </w:rPr>
        <w:t> serious and long continued reflection as to how I might do good to as many people as possible and thereby prevent any interruption of my service to the State, no better plan occurred to me than to conduct my fellow-citizens in the ways of the noblest learning</w:t>
      </w:r>
      <w:r w:rsidR="00FE5A1B" w:rsidRPr="00422904">
        <w:t>’, it may be evident that in fact Cicero only wants to win rather than genuinely help the people of the state.</w:t>
      </w:r>
      <w:r w:rsidR="00FE5A1B" w:rsidRPr="00422904">
        <w:rPr>
          <w:rStyle w:val="FootnoteReference"/>
        </w:rPr>
        <w:footnoteReference w:id="24"/>
      </w:r>
    </w:p>
    <w:p w14:paraId="7E89ECC6" w14:textId="22D95CEB" w:rsidR="00FE5A1B" w:rsidRPr="00422904" w:rsidRDefault="00FE5A1B" w:rsidP="00FE5A1B">
      <w:pPr>
        <w:pStyle w:val="NormalWeb"/>
        <w:shd w:val="clear" w:color="auto" w:fill="FFFFFF"/>
        <w:rPr>
          <w:color w:val="000000" w:themeColor="text1"/>
        </w:rPr>
      </w:pPr>
      <w:r w:rsidRPr="00422904">
        <w:rPr>
          <w:color w:val="000000" w:themeColor="text1"/>
        </w:rPr>
        <w:t xml:space="preserve">   </w:t>
      </w:r>
      <w:r w:rsidR="00422904" w:rsidRPr="00422904">
        <w:rPr>
          <w:color w:val="000000" w:themeColor="text1"/>
        </w:rPr>
        <w:t xml:space="preserve">  </w:t>
      </w:r>
      <w:r w:rsidRPr="00422904">
        <w:rPr>
          <w:color w:val="000000" w:themeColor="text1"/>
        </w:rPr>
        <w:t xml:space="preserve">Cicero did not believe in dream divination as he believed that it was the brains way of trying to piece together information during sleep as the body is in a dead like </w:t>
      </w:r>
      <w:proofErr w:type="spellStart"/>
      <w:proofErr w:type="gramStart"/>
      <w:r w:rsidRPr="00422904">
        <w:rPr>
          <w:color w:val="000000" w:themeColor="text1"/>
        </w:rPr>
        <w:t>state.</w:t>
      </w:r>
      <w:r w:rsidRPr="00422904">
        <w:rPr>
          <w:rFonts w:eastAsia="Calibri"/>
          <w:color w:val="000000" w:themeColor="text1"/>
        </w:rPr>
        <w:t>In</w:t>
      </w:r>
      <w:proofErr w:type="spellEnd"/>
      <w:proofErr w:type="gramEnd"/>
      <w:r w:rsidRPr="00422904">
        <w:rPr>
          <w:rFonts w:eastAsia="Calibri"/>
          <w:color w:val="000000" w:themeColor="text1"/>
        </w:rPr>
        <w:t xml:space="preserve"> book 1 of </w:t>
      </w:r>
      <w:r w:rsidRPr="00422904">
        <w:rPr>
          <w:rFonts w:eastAsia="Calibri"/>
          <w:i/>
          <w:iCs/>
          <w:color w:val="000000" w:themeColor="text1"/>
        </w:rPr>
        <w:t>De Divination,</w:t>
      </w:r>
      <w:r w:rsidRPr="00422904">
        <w:rPr>
          <w:rFonts w:eastAsia="Calibri"/>
          <w:color w:val="000000" w:themeColor="text1"/>
        </w:rPr>
        <w:t xml:space="preserve"> Cicero’s brother Quintus discusses precognitive dreams where many have claimed to foresee the future through whilst they’re asleep;</w:t>
      </w:r>
    </w:p>
    <w:p w14:paraId="0C4D6464" w14:textId="77777777" w:rsidR="00FE5A1B" w:rsidRPr="00422904" w:rsidRDefault="00FE5A1B" w:rsidP="00FE5A1B">
      <w:pPr>
        <w:rPr>
          <w:rFonts w:eastAsia="Calibri"/>
          <w:color w:val="000000" w:themeColor="text1"/>
        </w:rPr>
      </w:pPr>
    </w:p>
    <w:p w14:paraId="1010F891" w14:textId="77777777" w:rsidR="00FE5A1B" w:rsidRPr="00422904" w:rsidRDefault="00FE5A1B" w:rsidP="00FE5A1B">
      <w:pPr>
        <w:rPr>
          <w:color w:val="000000" w:themeColor="text1"/>
        </w:rPr>
      </w:pPr>
    </w:p>
    <w:p w14:paraId="761C9AE7" w14:textId="77777777" w:rsidR="00FE5A1B" w:rsidRPr="00422904" w:rsidRDefault="00FE5A1B" w:rsidP="00FE5A1B">
      <w:pPr>
        <w:ind w:left="720"/>
        <w:rPr>
          <w:rFonts w:eastAsia="Calibri"/>
          <w:color w:val="000000" w:themeColor="text1"/>
        </w:rPr>
      </w:pPr>
      <w:r w:rsidRPr="00422904">
        <w:rPr>
          <w:rFonts w:eastAsia="Calibri"/>
          <w:color w:val="000000" w:themeColor="text1"/>
        </w:rPr>
        <w:t xml:space="preserve"> Such is the rationale of prophecy by means of frenzy, and that of dreams is not much unlike it. For the revelations made to seers when awake are made to us in sleep. While we sleep and the body lies as if dead, the soul is at its best, because it is then freed from the influence of the physical senses and from the worldly cares that weigh it down. And since the soul has lived from all eternity and has had converse with numberless other souls, it sees everything that exists in nature, </w:t>
      </w:r>
      <w:proofErr w:type="gramStart"/>
      <w:r w:rsidRPr="00422904">
        <w:rPr>
          <w:rFonts w:eastAsia="Calibri"/>
          <w:color w:val="000000" w:themeColor="text1"/>
        </w:rPr>
        <w:t>provided that</w:t>
      </w:r>
      <w:proofErr w:type="gramEnd"/>
      <w:r w:rsidRPr="00422904">
        <w:rPr>
          <w:rFonts w:eastAsia="Calibri"/>
          <w:color w:val="000000" w:themeColor="text1"/>
        </w:rPr>
        <w:t xml:space="preserve"> moderation and restraint have been used in eating and in drinking, so that the soul is in a condition to watch while the body sleeps. Such is the explanation of divination by dreams. </w:t>
      </w:r>
      <w:r w:rsidRPr="00422904">
        <w:rPr>
          <w:rStyle w:val="FootnoteReference"/>
          <w:rFonts w:eastAsia="Calibri"/>
          <w:color w:val="000000" w:themeColor="text1"/>
        </w:rPr>
        <w:footnoteReference w:id="25"/>
      </w:r>
    </w:p>
    <w:p w14:paraId="426F9404" w14:textId="77777777" w:rsidR="00FE5A1B" w:rsidRPr="00422904" w:rsidRDefault="00FE5A1B" w:rsidP="00FE5A1B">
      <w:pPr>
        <w:ind w:left="720"/>
        <w:rPr>
          <w:rFonts w:eastAsia="Calibri"/>
          <w:color w:val="000000" w:themeColor="text1"/>
        </w:rPr>
      </w:pPr>
    </w:p>
    <w:p w14:paraId="4D8E4048" w14:textId="77777777" w:rsidR="00FE5A1B" w:rsidRPr="00422904" w:rsidRDefault="00FE5A1B" w:rsidP="00FE5A1B">
      <w:pPr>
        <w:rPr>
          <w:color w:val="000000" w:themeColor="text1"/>
        </w:rPr>
      </w:pPr>
      <w:r w:rsidRPr="00422904">
        <w:rPr>
          <w:rFonts w:eastAsia="Calibri"/>
          <w:color w:val="000000" w:themeColor="text1"/>
        </w:rPr>
        <w:lastRenderedPageBreak/>
        <w:t>In a persuasive argument for the accuracy of dream divination, Quintus attempts to explain how he believes that the body is almost in a dead state during sleep therefore allowing the subconscious mind to replay and relive scenarios and events that the physical awakened body does not understand as it is too busy trying to function for itself. Quintus agrees with Cicero in that God would be working in vain had ‘she’ (referring to the feminine ‘</w:t>
      </w:r>
      <w:proofErr w:type="spellStart"/>
      <w:r w:rsidRPr="00422904">
        <w:rPr>
          <w:rFonts w:eastAsia="Calibri"/>
          <w:color w:val="000000" w:themeColor="text1"/>
        </w:rPr>
        <w:t>divina</w:t>
      </w:r>
      <w:proofErr w:type="spellEnd"/>
      <w:r w:rsidRPr="00422904">
        <w:rPr>
          <w:rFonts w:eastAsia="Calibri"/>
          <w:color w:val="000000" w:themeColor="text1"/>
        </w:rPr>
        <w:t xml:space="preserve"> natura’, ‘mother nature’) have allowed humans to create metals and pick crops without knowing how to use them or create foods out of them, but uses </w:t>
      </w:r>
      <w:r w:rsidRPr="00422904">
        <w:rPr>
          <w:color w:val="000000" w:themeColor="text1"/>
          <w:spacing w:val="-2"/>
          <w:shd w:val="clear" w:color="auto" w:fill="FFFFFF"/>
        </w:rPr>
        <w:t>Antiphon</w:t>
      </w:r>
      <w:r w:rsidRPr="00422904">
        <w:rPr>
          <w:color w:val="000000" w:themeColor="text1"/>
        </w:rPr>
        <w:t xml:space="preserve">’s arguments that through dream the Gods must not be working in vain as people do receive important instructions on how we can work with the tools and circumstances and do remember through dreams and divination. </w:t>
      </w:r>
      <w:r w:rsidRPr="00422904">
        <w:rPr>
          <w:rStyle w:val="FootnoteReference"/>
          <w:color w:val="000000" w:themeColor="text1"/>
        </w:rPr>
        <w:footnoteReference w:id="26"/>
      </w:r>
    </w:p>
    <w:p w14:paraId="6544FA66" w14:textId="77777777" w:rsidR="00FE5A1B" w:rsidRPr="00422904" w:rsidRDefault="00FE5A1B" w:rsidP="00FE5A1B">
      <w:pPr>
        <w:rPr>
          <w:color w:val="000000" w:themeColor="text1"/>
        </w:rPr>
      </w:pPr>
    </w:p>
    <w:p w14:paraId="2246F8A4" w14:textId="77777777" w:rsidR="00FE5A1B" w:rsidRPr="00422904" w:rsidRDefault="00FE5A1B" w:rsidP="00FE5A1B">
      <w:pPr>
        <w:rPr>
          <w:color w:val="000000" w:themeColor="text1"/>
        </w:rPr>
      </w:pPr>
    </w:p>
    <w:p w14:paraId="17BD8066" w14:textId="77777777" w:rsidR="00FE5A1B" w:rsidRPr="00422904" w:rsidRDefault="00FE5A1B" w:rsidP="00FE5A1B">
      <w:pPr>
        <w:rPr>
          <w:color w:val="000000" w:themeColor="text1"/>
          <w:shd w:val="clear" w:color="auto" w:fill="FFFFFF"/>
        </w:rPr>
      </w:pPr>
      <w:r w:rsidRPr="00422904">
        <w:rPr>
          <w:color w:val="000000" w:themeColor="text1"/>
          <w:shd w:val="clear" w:color="auto" w:fill="FFFFFF"/>
        </w:rPr>
        <w:t xml:space="preserve">    In one of Cicero’s strongest arguments, he dismisses that there is any necessary use or purpose for astrology as a predictive tool for divination</w:t>
      </w:r>
      <w:r w:rsidRPr="00422904">
        <w:rPr>
          <w:rStyle w:val="FootnoteReference"/>
          <w:color w:val="000000" w:themeColor="text1"/>
          <w:shd w:val="clear" w:color="auto" w:fill="FFFFFF"/>
        </w:rPr>
        <w:footnoteReference w:id="27"/>
      </w:r>
      <w:r w:rsidRPr="00422904">
        <w:rPr>
          <w:color w:val="000000" w:themeColor="text1"/>
          <w:shd w:val="clear" w:color="auto" w:fill="FFFFFF"/>
        </w:rPr>
        <w:t xml:space="preserve">; Cicero states that ‘the fact that men who were born at the very same instant, are unlike in character, career, and in destiny, makes it very clear that the time of birth has nothing to do in determining man's course in life’. </w:t>
      </w:r>
      <w:r w:rsidRPr="00422904">
        <w:rPr>
          <w:rStyle w:val="FootnoteReference"/>
          <w:rFonts w:eastAsia="Calibri"/>
          <w:color w:val="000000" w:themeColor="text1"/>
        </w:rPr>
        <w:footnoteReference w:id="28"/>
      </w:r>
      <w:r w:rsidRPr="00422904">
        <w:rPr>
          <w:rFonts w:eastAsia="Calibri"/>
          <w:color w:val="000000" w:themeColor="text1"/>
        </w:rPr>
        <w:t xml:space="preserve">Cicero argues that twins are proof that astrology isn’t a useful or accurate tool for future telling </w:t>
      </w:r>
      <w:r w:rsidRPr="00422904">
        <w:rPr>
          <w:color w:val="000000" w:themeColor="text1"/>
        </w:rPr>
        <w:t xml:space="preserve">as they do not have the same events happen to them. </w:t>
      </w:r>
      <w:r w:rsidRPr="00422904">
        <w:rPr>
          <w:color w:val="000000" w:themeColor="text1"/>
          <w:shd w:val="clear" w:color="auto" w:fill="FFFFFF"/>
        </w:rPr>
        <w:t xml:space="preserve">Cicero also comments on the fact that acts of war or such times where many people lose their lives, specifically those who lost their lives or loved ones during the battle of Cannae occur to people with completely different birth dates and charts. </w:t>
      </w:r>
      <w:r w:rsidRPr="00422904">
        <w:rPr>
          <w:color w:val="000000" w:themeColor="text1"/>
        </w:rPr>
        <w:t xml:space="preserve">Cicero argues against astrology stating ‘the fact that men who were born at the same very instant, are unlike in character, career, and in destiny, makes it very clear that the time of birth has nothing to do in determining man’s course in life’, </w:t>
      </w:r>
      <w:r w:rsidRPr="00422904">
        <w:rPr>
          <w:color w:val="000000" w:themeColor="text1"/>
          <w:shd w:val="clear" w:color="auto" w:fill="FFFFFF"/>
        </w:rPr>
        <w:t>and therefore astrology could not be accurate.</w:t>
      </w:r>
      <w:r w:rsidRPr="00422904">
        <w:rPr>
          <w:rStyle w:val="FootnoteReference"/>
          <w:color w:val="000000" w:themeColor="text1"/>
          <w:shd w:val="clear" w:color="auto" w:fill="FFFFFF"/>
        </w:rPr>
        <w:footnoteReference w:id="29"/>
      </w:r>
      <w:r w:rsidRPr="00422904">
        <w:rPr>
          <w:color w:val="000000" w:themeColor="text1"/>
          <w:shd w:val="clear" w:color="auto" w:fill="FFFFFF"/>
        </w:rPr>
        <w:t xml:space="preserve">  These arguments are fair if ones course of life should be determined by their date or birth however, twins are never born at the exact same minute. </w:t>
      </w:r>
      <w:r w:rsidRPr="00422904">
        <w:rPr>
          <w:rStyle w:val="FootnoteReference"/>
          <w:color w:val="000000" w:themeColor="text1"/>
          <w:shd w:val="clear" w:color="auto" w:fill="FFFFFF"/>
        </w:rPr>
        <w:footnoteReference w:id="30"/>
      </w:r>
    </w:p>
    <w:p w14:paraId="5BF39435" w14:textId="77777777" w:rsidR="00FE5A1B" w:rsidRPr="00422904" w:rsidRDefault="00FE5A1B" w:rsidP="00FE5A1B">
      <w:pPr>
        <w:rPr>
          <w:color w:val="000000" w:themeColor="text1"/>
        </w:rPr>
      </w:pPr>
    </w:p>
    <w:p w14:paraId="2A899636" w14:textId="77777777" w:rsidR="00FE5A1B" w:rsidRPr="00422904" w:rsidRDefault="00FE5A1B" w:rsidP="00FE5A1B">
      <w:pPr>
        <w:rPr>
          <w:color w:val="000000" w:themeColor="text1"/>
          <w:shd w:val="clear" w:color="auto" w:fill="FFFFFF"/>
        </w:rPr>
      </w:pPr>
    </w:p>
    <w:p w14:paraId="7B54711A" w14:textId="77777777" w:rsidR="00FE5A1B" w:rsidRPr="00422904" w:rsidRDefault="00FE5A1B" w:rsidP="00FE5A1B">
      <w:pPr>
        <w:rPr>
          <w:color w:val="000000" w:themeColor="text1"/>
        </w:rPr>
      </w:pPr>
      <w:r w:rsidRPr="00422904">
        <w:rPr>
          <w:color w:val="000000" w:themeColor="text1"/>
        </w:rPr>
        <w:t xml:space="preserve">    It is argued that people cannot predict the future or if they can then they would be simply ignorant to their own future by not avoiding tragedy and their own death.</w:t>
      </w:r>
      <w:r w:rsidRPr="00422904">
        <w:rPr>
          <w:rStyle w:val="FootnoteReference"/>
          <w:rFonts w:eastAsia="Calibri"/>
          <w:color w:val="000000" w:themeColor="text1"/>
        </w:rPr>
        <w:footnoteReference w:id="31"/>
      </w:r>
      <w:r w:rsidRPr="00422904">
        <w:rPr>
          <w:rFonts w:eastAsia="Calibri"/>
          <w:color w:val="000000" w:themeColor="text1"/>
        </w:rPr>
        <w:t xml:space="preserve"> It has been claimed that Cicero had previously changed his opinions on divination as he spoke about its use and frequently discussed religion.</w:t>
      </w:r>
      <w:r w:rsidRPr="00422904">
        <w:rPr>
          <w:rStyle w:val="FootnoteReference"/>
          <w:rFonts w:eastAsia="Calibri"/>
          <w:color w:val="000000" w:themeColor="text1"/>
        </w:rPr>
        <w:footnoteReference w:id="32"/>
      </w:r>
      <w:r w:rsidRPr="00422904">
        <w:rPr>
          <w:rFonts w:eastAsia="Calibri"/>
          <w:color w:val="000000" w:themeColor="text1"/>
        </w:rPr>
        <w:t xml:space="preserve">In </w:t>
      </w:r>
      <w:r w:rsidRPr="00422904">
        <w:rPr>
          <w:rFonts w:eastAsia="Calibri"/>
          <w:i/>
          <w:iCs/>
          <w:color w:val="000000" w:themeColor="text1"/>
        </w:rPr>
        <w:t xml:space="preserve">Cicero for and against Divination, </w:t>
      </w:r>
      <w:r w:rsidRPr="00422904">
        <w:rPr>
          <w:color w:val="000000" w:themeColor="text1"/>
        </w:rPr>
        <w:t>Schofield states how</w:t>
      </w:r>
      <w:r w:rsidRPr="00422904">
        <w:rPr>
          <w:rFonts w:eastAsia="Calibri"/>
          <w:color w:val="000000" w:themeColor="text1"/>
        </w:rPr>
        <w:t xml:space="preserve"> ‘no area of religion was more written about in late Republican Rome than divination’</w:t>
      </w:r>
      <w:r w:rsidRPr="00422904">
        <w:rPr>
          <w:rStyle w:val="FootnoteReference"/>
          <w:rFonts w:eastAsia="Calibri"/>
          <w:color w:val="000000" w:themeColor="text1"/>
        </w:rPr>
        <w:footnoteReference w:id="33"/>
      </w:r>
      <w:r w:rsidRPr="00422904">
        <w:rPr>
          <w:rFonts w:eastAsia="Calibri"/>
          <w:color w:val="000000" w:themeColor="text1"/>
        </w:rPr>
        <w:t xml:space="preserve"> which could be why Cicero found such success in conjoining his views and opinions on religion and divination with his inner lawyer urges to convince the people and win his case. With divination and religion appearing to be a niche and perhaps popular subject for discussion, Cicero may have found himself being successful and attracting an audience due to people wanting to learn more as they were unsure themselves due to the lack of information at that time. </w:t>
      </w:r>
      <w:r w:rsidRPr="00422904">
        <w:rPr>
          <w:color w:val="000000" w:themeColor="text1"/>
          <w:shd w:val="clear" w:color="auto" w:fill="FFFFFF"/>
        </w:rPr>
        <w:t>Cicero believed that it wasn’t possible to foresee the future and therefore using divination as a means of fortune telling wasn’t necessary arguing ‘</w:t>
      </w:r>
      <w:r w:rsidRPr="00422904">
        <w:rPr>
          <w:color w:val="000000" w:themeColor="text1"/>
          <w:spacing w:val="-2"/>
          <w:shd w:val="clear" w:color="auto" w:fill="FFFFFF"/>
        </w:rPr>
        <w:t xml:space="preserve">if there is no place for divination in things perceived by the senses, or in those included among the arts, or in those discussed by philosophers, or in those which have to do with government, I see absolutely no </w:t>
      </w:r>
      <w:r w:rsidRPr="00422904">
        <w:rPr>
          <w:color w:val="000000" w:themeColor="text1"/>
          <w:spacing w:val="-2"/>
          <w:shd w:val="clear" w:color="auto" w:fill="FFFFFF"/>
        </w:rPr>
        <w:lastRenderedPageBreak/>
        <w:t xml:space="preserve">need for it anywhere’. </w:t>
      </w:r>
      <w:r w:rsidRPr="00422904">
        <w:rPr>
          <w:rStyle w:val="FootnoteReference"/>
          <w:color w:val="000000" w:themeColor="text1"/>
        </w:rPr>
        <w:footnoteReference w:id="34"/>
      </w:r>
      <w:proofErr w:type="gramStart"/>
      <w:r w:rsidRPr="00422904">
        <w:rPr>
          <w:color w:val="000000" w:themeColor="text1"/>
          <w:spacing w:val="-2"/>
          <w:shd w:val="clear" w:color="auto" w:fill="FFFFFF"/>
        </w:rPr>
        <w:t>Of course</w:t>
      </w:r>
      <w:proofErr w:type="gramEnd"/>
      <w:r w:rsidRPr="00422904">
        <w:rPr>
          <w:color w:val="000000" w:themeColor="text1"/>
          <w:spacing w:val="-2"/>
          <w:shd w:val="clear" w:color="auto" w:fill="FFFFFF"/>
        </w:rPr>
        <w:t xml:space="preserve"> it is not clear whether Cicero is writing his views based on his own opinions, or whether he uses himself and his brother Quintus as characters to navigate the argument. </w:t>
      </w:r>
    </w:p>
    <w:p w14:paraId="7183EA54" w14:textId="77777777" w:rsidR="00FE5A1B" w:rsidRPr="00422904" w:rsidRDefault="00FE5A1B" w:rsidP="00FE5A1B">
      <w:pPr>
        <w:rPr>
          <w:rFonts w:eastAsia="Calibri"/>
          <w:color w:val="000000" w:themeColor="text1"/>
        </w:rPr>
      </w:pPr>
    </w:p>
    <w:p w14:paraId="6CC18A54" w14:textId="77777777" w:rsidR="00FE5A1B" w:rsidRPr="00422904" w:rsidRDefault="00FE5A1B" w:rsidP="00FE5A1B">
      <w:pPr>
        <w:rPr>
          <w:rFonts w:eastAsia="Calibri"/>
          <w:b/>
          <w:bCs/>
          <w:color w:val="000000" w:themeColor="text1"/>
        </w:rPr>
      </w:pPr>
    </w:p>
    <w:p w14:paraId="57E4B56C" w14:textId="07CE5786" w:rsidR="00FE5A1B" w:rsidRPr="00422904" w:rsidRDefault="00FE5A1B" w:rsidP="00FE5A1B">
      <w:r w:rsidRPr="00422904">
        <w:rPr>
          <w:color w:val="000000" w:themeColor="text1"/>
        </w:rPr>
        <w:t xml:space="preserve">Cicero is not always clear on whether he believes in connecting to the God’s through means of divination as he regularly uses double negatives to argue his point </w:t>
      </w:r>
      <w:r w:rsidRPr="00422904">
        <w:rPr>
          <w:rStyle w:val="FootnoteReference"/>
          <w:color w:val="000000" w:themeColor="text1"/>
        </w:rPr>
        <w:footnoteReference w:id="35"/>
      </w:r>
      <w:r w:rsidRPr="00422904">
        <w:rPr>
          <w:color w:val="000000" w:themeColor="text1"/>
        </w:rPr>
        <w:t xml:space="preserve">. </w:t>
      </w:r>
      <w:r w:rsidRPr="00422904">
        <w:rPr>
          <w:color w:val="000000" w:themeColor="text1"/>
          <w:spacing w:val="-2"/>
          <w:shd w:val="clear" w:color="auto" w:fill="FFFFFF"/>
        </w:rPr>
        <w:t>According to Cicero, God’s do not necessarily have to be connected to divination</w:t>
      </w:r>
      <w:r w:rsidR="00422904" w:rsidRPr="00422904">
        <w:rPr>
          <w:color w:val="000000" w:themeColor="text1"/>
          <w:spacing w:val="-2"/>
          <w:shd w:val="clear" w:color="auto" w:fill="FFFFFF"/>
        </w:rPr>
        <w:t xml:space="preserve"> </w:t>
      </w:r>
      <w:r w:rsidRPr="00422904">
        <w:rPr>
          <w:color w:val="000000" w:themeColor="text1"/>
        </w:rPr>
        <w:t>but the double negatives that he uses could lead the viewer to believe that he does think that both are connected. This could also be a manipulative way to confuse those who he is arguing against so that they don’t realise that he is in fact neither disagreeing nor agreeing with them.</w:t>
      </w:r>
      <w:r w:rsidRPr="00422904">
        <w:rPr>
          <w:rStyle w:val="FootnoteReference"/>
          <w:color w:val="000000" w:themeColor="text1"/>
        </w:rPr>
        <w:footnoteReference w:id="36"/>
      </w:r>
      <w:r w:rsidRPr="00422904">
        <w:rPr>
          <w:color w:val="000000" w:themeColor="text1"/>
        </w:rPr>
        <w:t xml:space="preserve">This again emphasises his experience as a successful orator and lawyer trying not to commit to a point in-case, he wants to change his opinion again in the future, which he has evidently done before. </w:t>
      </w:r>
      <w:proofErr w:type="spellStart"/>
      <w:r w:rsidRPr="00422904">
        <w:rPr>
          <w:color w:val="000000" w:themeColor="text1"/>
          <w:shd w:val="clear" w:color="auto" w:fill="FFFFFF"/>
        </w:rPr>
        <w:t>Heibges</w:t>
      </w:r>
      <w:proofErr w:type="spellEnd"/>
      <w:r w:rsidRPr="00422904">
        <w:rPr>
          <w:rFonts w:eastAsia="Calibri"/>
          <w:color w:val="000000" w:themeColor="text1"/>
        </w:rPr>
        <w:t xml:space="preserve"> views Cicero’s work as a way of trying to manipulate and control the opinions of others and does not believe</w:t>
      </w:r>
      <w:r w:rsidRPr="00422904">
        <w:rPr>
          <w:color w:val="000000" w:themeColor="text1"/>
        </w:rPr>
        <w:t xml:space="preserve"> in the sincerity of Cicero’s views and arguments on religion and Divination, referring to Cicero as a hypocrite, </w:t>
      </w:r>
      <w:r w:rsidRPr="00422904">
        <w:rPr>
          <w:color w:val="000000" w:themeColor="text1"/>
          <w:shd w:val="clear" w:color="auto" w:fill="FFFFFF"/>
        </w:rPr>
        <w:t>writing ‘</w:t>
      </w:r>
      <w:r w:rsidRPr="00422904">
        <w:rPr>
          <w:i/>
          <w:iCs/>
          <w:color w:val="000000" w:themeColor="text1"/>
          <w:shd w:val="clear" w:color="auto" w:fill="FFFFFF"/>
        </w:rPr>
        <w:t>Cicero, a hypocrite in religion’</w:t>
      </w:r>
      <w:r w:rsidRPr="00422904">
        <w:rPr>
          <w:color w:val="000000" w:themeColor="text1"/>
          <w:shd w:val="clear" w:color="auto" w:fill="FFFFFF"/>
        </w:rPr>
        <w:t xml:space="preserve">. </w:t>
      </w:r>
      <w:r w:rsidRPr="00422904">
        <w:rPr>
          <w:rStyle w:val="FootnoteReference"/>
          <w:color w:val="000000" w:themeColor="text1"/>
        </w:rPr>
        <w:footnoteReference w:id="37"/>
      </w:r>
      <w:r w:rsidRPr="00422904">
        <w:rPr>
          <w:color w:val="000000" w:themeColor="text1"/>
        </w:rPr>
        <w:t xml:space="preserve"> Not only could Cicero be seen as a </w:t>
      </w:r>
      <w:proofErr w:type="gramStart"/>
      <w:r w:rsidRPr="00422904">
        <w:rPr>
          <w:color w:val="000000" w:themeColor="text1"/>
        </w:rPr>
        <w:t>hypocrite</w:t>
      </w:r>
      <w:proofErr w:type="gramEnd"/>
      <w:r w:rsidRPr="00422904">
        <w:rPr>
          <w:color w:val="000000" w:themeColor="text1"/>
        </w:rPr>
        <w:t xml:space="preserve"> but he also could appear slightly narcissistic in trying to make the author believe in his side more than his brothers by writing replies from Quintus such as ‘</w:t>
      </w:r>
      <w:r w:rsidRPr="00422904">
        <w:rPr>
          <w:color w:val="333333"/>
          <w:spacing w:val="-2"/>
          <w:shd w:val="clear" w:color="auto" w:fill="FFFFFF"/>
        </w:rPr>
        <w:t>but what authority or what witness can I better employ than yourself’</w:t>
      </w:r>
      <w:r w:rsidRPr="00422904">
        <w:rPr>
          <w:rStyle w:val="FootnoteReference"/>
          <w:color w:val="333333"/>
          <w:spacing w:val="-2"/>
          <w:shd w:val="clear" w:color="auto" w:fill="FFFFFF"/>
        </w:rPr>
        <w:footnoteReference w:id="38"/>
      </w:r>
      <w:r w:rsidRPr="00422904">
        <w:rPr>
          <w:color w:val="333333"/>
          <w:spacing w:val="-2"/>
          <w:shd w:val="clear" w:color="auto" w:fill="FFFFFF"/>
        </w:rPr>
        <w:t>. Making himself appear more wiser and heroic in the story.</w:t>
      </w:r>
      <w:r w:rsidRPr="00422904">
        <w:rPr>
          <w:color w:val="000000" w:themeColor="text1"/>
        </w:rPr>
        <w:t xml:space="preserve"> Others argue that Cicero spoke like a true lawyer who just wanted to win any discussion up for debate as being an augur it is evident that he himself used divination.</w:t>
      </w:r>
      <w:r w:rsidRPr="00422904">
        <w:rPr>
          <w:rStyle w:val="FootnoteReference"/>
          <w:color w:val="000000" w:themeColor="text1"/>
        </w:rPr>
        <w:footnoteReference w:id="39"/>
      </w:r>
      <w:r w:rsidRPr="00422904">
        <w:rPr>
          <w:color w:val="000000" w:themeColor="text1"/>
        </w:rPr>
        <w:t xml:space="preserve"> ‘he was the first to admit that he was willing to sacrifice the truth in order to achieve a particular goal’</w:t>
      </w:r>
      <w:r w:rsidRPr="00422904">
        <w:rPr>
          <w:rStyle w:val="FootnoteReference"/>
          <w:color w:val="000000" w:themeColor="text1"/>
        </w:rPr>
        <w:footnoteReference w:id="40"/>
      </w:r>
      <w:r w:rsidRPr="00422904">
        <w:rPr>
          <w:color w:val="000000" w:themeColor="text1"/>
        </w:rPr>
        <w:t xml:space="preserve">; this could also be the reason for why there seem to be more arguments against the necessary use for divination in the treatise. Both books are written by Marcus Cicero himself and therefore he </w:t>
      </w:r>
      <w:proofErr w:type="gramStart"/>
      <w:r w:rsidRPr="00422904">
        <w:rPr>
          <w:color w:val="000000" w:themeColor="text1"/>
        </w:rPr>
        <w:t>is able to</w:t>
      </w:r>
      <w:proofErr w:type="gramEnd"/>
      <w:r w:rsidRPr="00422904">
        <w:rPr>
          <w:color w:val="000000" w:themeColor="text1"/>
        </w:rPr>
        <w:t xml:space="preserve"> include only what he wants to include in order to win his side of the arguments</w:t>
      </w:r>
      <w:r w:rsidRPr="00422904">
        <w:rPr>
          <w:rStyle w:val="FootnoteReference"/>
          <w:color w:val="000000" w:themeColor="text1"/>
        </w:rPr>
        <w:footnoteReference w:id="41"/>
      </w:r>
      <w:r w:rsidRPr="00422904">
        <w:rPr>
          <w:color w:val="000000" w:themeColor="text1"/>
        </w:rPr>
        <w:t>. It is also important to note that it is unclear on whether Cicero is using himself and his brother purely as almost fictional characters as a means of arguing for and against divination or whether he has written it directly from a conversation that they had. The evidence suggests that Cicero may have changed his mind over time on how he saw divination used as a tool to foresee the future, however it could be agreed that Cicero was very successful at debates in court, and therefore these books may have nothing to do with his true beliefs on divination at all; they may in actual fact be a sibling discussion where one simply wants to win against his brother regardless of his true beliefs of Divination.</w:t>
      </w:r>
      <w:r w:rsidRPr="00422904">
        <w:rPr>
          <w:rStyle w:val="FootnoteReference"/>
          <w:color w:val="000000" w:themeColor="text1"/>
        </w:rPr>
        <w:footnoteReference w:id="42"/>
      </w:r>
    </w:p>
    <w:p w14:paraId="7C10C247" w14:textId="77777777" w:rsidR="00FE5A1B" w:rsidRPr="00422904" w:rsidRDefault="00FE5A1B" w:rsidP="00FE5A1B">
      <w:pPr>
        <w:rPr>
          <w:color w:val="000000" w:themeColor="text1"/>
        </w:rPr>
      </w:pPr>
    </w:p>
    <w:p w14:paraId="29FA1A07" w14:textId="77777777" w:rsidR="00FE5A1B" w:rsidRPr="00422904" w:rsidRDefault="00FE5A1B" w:rsidP="00FE5A1B">
      <w:r w:rsidRPr="00422904">
        <w:rPr>
          <w:color w:val="000000" w:themeColor="text1"/>
        </w:rPr>
        <w:t xml:space="preserve">     It could appear that by using Quintus’s arguments in Book 1, </w:t>
      </w:r>
      <w:proofErr w:type="spellStart"/>
      <w:r w:rsidRPr="00422904">
        <w:rPr>
          <w:color w:val="000000" w:themeColor="text1"/>
        </w:rPr>
        <w:t>Marucs</w:t>
      </w:r>
      <w:proofErr w:type="spellEnd"/>
      <w:r w:rsidRPr="00422904">
        <w:rPr>
          <w:color w:val="000000" w:themeColor="text1"/>
        </w:rPr>
        <w:t xml:space="preserve"> Cicero’s arguments would fall stronger on the reader being argued lastly in Book 2. The books are written by Cicero himself and so it could be argued that any relevant and strong arguments made by his brother may not have made it into the texts as the books could have been formed around Cicero’s personal beliefs and with the outcome that he desired rather than presenting a fair argument. Marcus Cicero as an Orator has managed to neutralise the arguments between himself and his brother by not making clear statements of fact for example ‘</w:t>
      </w:r>
      <w:r w:rsidRPr="00422904">
        <w:rPr>
          <w:color w:val="333333"/>
          <w:spacing w:val="-2"/>
          <w:shd w:val="clear" w:color="auto" w:fill="FFFFFF"/>
        </w:rPr>
        <w:t xml:space="preserve">If there are gods, </w:t>
      </w:r>
      <w:r w:rsidRPr="00422904">
        <w:rPr>
          <w:color w:val="333333"/>
          <w:spacing w:val="-2"/>
          <w:shd w:val="clear" w:color="auto" w:fill="FFFFFF"/>
        </w:rPr>
        <w:lastRenderedPageBreak/>
        <w:t>there is divination; but there are gods, therefore there is divination</w:t>
      </w:r>
      <w:r w:rsidRPr="00422904">
        <w:t>’ and ‘</w:t>
      </w:r>
      <w:r w:rsidRPr="00422904">
        <w:rPr>
          <w:color w:val="333333"/>
          <w:spacing w:val="-2"/>
          <w:shd w:val="clear" w:color="auto" w:fill="FFFFFF"/>
        </w:rPr>
        <w:t>if there is no divination, there are no gods</w:t>
      </w:r>
      <w:r w:rsidRPr="00422904">
        <w:t>’</w:t>
      </w:r>
      <w:r w:rsidRPr="00422904">
        <w:rPr>
          <w:rStyle w:val="FootnoteReference"/>
          <w:color w:val="000000" w:themeColor="text1"/>
        </w:rPr>
        <w:footnoteReference w:id="43"/>
      </w:r>
      <w:r w:rsidRPr="00422904">
        <w:rPr>
          <w:color w:val="000000" w:themeColor="text1"/>
        </w:rPr>
        <w:t>.</w:t>
      </w:r>
      <w:r w:rsidRPr="00422904">
        <w:rPr>
          <w:color w:val="000000" w:themeColor="text1"/>
          <w:spacing w:val="-2"/>
          <w:shd w:val="clear" w:color="auto" w:fill="FFFFFF"/>
        </w:rPr>
        <w:t xml:space="preserve">By doing this </w:t>
      </w:r>
      <w:r w:rsidRPr="00422904">
        <w:rPr>
          <w:color w:val="000000" w:themeColor="text1"/>
        </w:rPr>
        <w:t xml:space="preserve">he allows Quintus to be manipulated and possibly confused, and then tries to argue around the topics. </w:t>
      </w:r>
    </w:p>
    <w:p w14:paraId="7AC5384F" w14:textId="77777777" w:rsidR="00FE5A1B" w:rsidRPr="00422904" w:rsidRDefault="00FE5A1B" w:rsidP="00FE5A1B">
      <w:pPr>
        <w:ind w:left="60"/>
        <w:rPr>
          <w:color w:val="000000" w:themeColor="text1"/>
          <w:spacing w:val="-2"/>
          <w:shd w:val="clear" w:color="auto" w:fill="FFFFFF"/>
        </w:rPr>
      </w:pPr>
      <w:r w:rsidRPr="00422904">
        <w:rPr>
          <w:color w:val="000000" w:themeColor="text1"/>
        </w:rPr>
        <w:t>Cicero tries to support his arguments against divination throughout by saying that such events that are predicted happen by chance; ‘</w:t>
      </w:r>
      <w:r w:rsidRPr="00422904">
        <w:rPr>
          <w:color w:val="000000" w:themeColor="text1"/>
          <w:spacing w:val="-2"/>
          <w:shd w:val="clear" w:color="auto" w:fill="FFFFFF"/>
        </w:rPr>
        <w:t>chance does exist, therefore there is no foreknowledge of things that happen by chance.’</w:t>
      </w:r>
      <w:r w:rsidRPr="00422904">
        <w:rPr>
          <w:rStyle w:val="FootnoteReference"/>
          <w:color w:val="000000" w:themeColor="text1"/>
        </w:rPr>
        <w:footnoteReference w:id="44"/>
      </w:r>
      <w:r w:rsidRPr="00422904">
        <w:rPr>
          <w:color w:val="000000" w:themeColor="text1"/>
          <w:spacing w:val="-2"/>
          <w:shd w:val="clear" w:color="auto" w:fill="FFFFFF"/>
        </w:rPr>
        <w:t xml:space="preserve"> Marcus Cicero’s views and opinions about what is considered to be divination, and what is not is very fickle; for example he argues that augury it not a form of divination but an art</w:t>
      </w:r>
      <w:r w:rsidRPr="00422904">
        <w:rPr>
          <w:rStyle w:val="FootnoteReference"/>
          <w:color w:val="000000" w:themeColor="text1"/>
          <w:spacing w:val="-2"/>
          <w:shd w:val="clear" w:color="auto" w:fill="FFFFFF"/>
        </w:rPr>
        <w:footnoteReference w:id="45"/>
      </w:r>
      <w:r w:rsidRPr="00422904">
        <w:rPr>
          <w:color w:val="000000" w:themeColor="text1"/>
          <w:spacing w:val="-2"/>
          <w:shd w:val="clear" w:color="auto" w:fill="FFFFFF"/>
        </w:rPr>
        <w:t>, simply because it is a practise that he enjoys, however other forms such as dreams or astrology is considered to be divination therefore unnecessary and inappropriate</w:t>
      </w:r>
      <w:r w:rsidRPr="00422904">
        <w:rPr>
          <w:rStyle w:val="FootnoteReference"/>
          <w:color w:val="000000" w:themeColor="text1"/>
          <w:spacing w:val="-2"/>
          <w:shd w:val="clear" w:color="auto" w:fill="FFFFFF"/>
        </w:rPr>
        <w:footnoteReference w:id="46"/>
      </w:r>
      <w:r w:rsidRPr="00422904">
        <w:rPr>
          <w:color w:val="000000" w:themeColor="text1"/>
          <w:spacing w:val="-2"/>
          <w:shd w:val="clear" w:color="auto" w:fill="FFFFFF"/>
        </w:rPr>
        <w:t xml:space="preserve">. Marcus </w:t>
      </w:r>
      <w:proofErr w:type="gramStart"/>
      <w:r w:rsidRPr="00422904">
        <w:rPr>
          <w:color w:val="000000" w:themeColor="text1"/>
          <w:spacing w:val="-2"/>
          <w:shd w:val="clear" w:color="auto" w:fill="FFFFFF"/>
        </w:rPr>
        <w:t>is able to</w:t>
      </w:r>
      <w:proofErr w:type="gramEnd"/>
      <w:r w:rsidRPr="00422904">
        <w:rPr>
          <w:color w:val="000000" w:themeColor="text1"/>
          <w:spacing w:val="-2"/>
          <w:shd w:val="clear" w:color="auto" w:fill="FFFFFF"/>
        </w:rPr>
        <w:t xml:space="preserve"> always remain right and practise only the forms that he feels are correct rather than being open to the views and opinions of others.</w:t>
      </w:r>
    </w:p>
    <w:p w14:paraId="7B0E309F" w14:textId="77777777" w:rsidR="00FE5A1B" w:rsidRPr="00422904" w:rsidRDefault="00FE5A1B" w:rsidP="00FE5A1B">
      <w:pPr>
        <w:ind w:left="60"/>
        <w:rPr>
          <w:color w:val="000000" w:themeColor="text1"/>
          <w:spacing w:val="-2"/>
          <w:shd w:val="clear" w:color="auto" w:fill="FFFFFF"/>
        </w:rPr>
      </w:pPr>
    </w:p>
    <w:p w14:paraId="6A6C42C3" w14:textId="77777777" w:rsidR="00FE5A1B" w:rsidRPr="00422904" w:rsidRDefault="00FE5A1B" w:rsidP="00FE5A1B">
      <w:pPr>
        <w:rPr>
          <w:color w:val="000000" w:themeColor="text1"/>
        </w:rPr>
      </w:pPr>
      <w:r w:rsidRPr="00422904">
        <w:rPr>
          <w:color w:val="000000" w:themeColor="text1"/>
        </w:rPr>
        <w:t xml:space="preserve">    It would have been important for both brothers to argue their sides and for there to be a neutral grounds or writer between them. This way one would not have more of a persuasive privilege over the reader than the other. With Cicero being the author </w:t>
      </w:r>
      <w:proofErr w:type="gramStart"/>
      <w:r w:rsidRPr="00422904">
        <w:rPr>
          <w:color w:val="000000" w:themeColor="text1"/>
        </w:rPr>
        <w:t>and also</w:t>
      </w:r>
      <w:proofErr w:type="gramEnd"/>
      <w:r w:rsidRPr="00422904">
        <w:rPr>
          <w:color w:val="000000" w:themeColor="text1"/>
        </w:rPr>
        <w:t xml:space="preserve"> using himself as a protagonist, there does not seem to be a fair point of view as a conclusion. Cicero pretends that he has pleasure in listening to his </w:t>
      </w:r>
      <w:proofErr w:type="gramStart"/>
      <w:r w:rsidRPr="00422904">
        <w:rPr>
          <w:color w:val="000000" w:themeColor="text1"/>
        </w:rPr>
        <w:t>brothers</w:t>
      </w:r>
      <w:proofErr w:type="gramEnd"/>
      <w:r w:rsidRPr="00422904">
        <w:rPr>
          <w:color w:val="000000" w:themeColor="text1"/>
        </w:rPr>
        <w:t xml:space="preserve"> opinions on divination </w:t>
      </w:r>
      <w:r w:rsidRPr="00422904">
        <w:rPr>
          <w:rStyle w:val="FootnoteReference"/>
          <w:color w:val="000000" w:themeColor="text1"/>
        </w:rPr>
        <w:footnoteReference w:id="47"/>
      </w:r>
      <w:r w:rsidRPr="00422904">
        <w:rPr>
          <w:color w:val="000000" w:themeColor="text1"/>
        </w:rPr>
        <w:t>but it does not appear to be the case. It is evident that Cicero is writing in favour of his own argument, trying to persuade the viewers that he is wiser than his brother, and even Quintus believes this to be so.</w:t>
      </w:r>
      <w:r w:rsidRPr="00422904">
        <w:rPr>
          <w:rStyle w:val="FootnoteReference"/>
          <w:color w:val="000000" w:themeColor="text1"/>
        </w:rPr>
        <w:footnoteReference w:id="48"/>
      </w:r>
      <w:r w:rsidRPr="00422904">
        <w:rPr>
          <w:color w:val="000000" w:themeColor="text1"/>
        </w:rPr>
        <w:t xml:space="preserve"> </w:t>
      </w:r>
    </w:p>
    <w:p w14:paraId="564A2E8C" w14:textId="77777777" w:rsidR="00FE5A1B" w:rsidRPr="00422904" w:rsidRDefault="00FE5A1B" w:rsidP="00FE5A1B">
      <w:pPr>
        <w:ind w:left="60"/>
        <w:rPr>
          <w:color w:val="000000" w:themeColor="text1"/>
          <w:spacing w:val="-2"/>
          <w:shd w:val="clear" w:color="auto" w:fill="FFFFFF"/>
        </w:rPr>
      </w:pPr>
    </w:p>
    <w:p w14:paraId="76E8866D" w14:textId="77777777" w:rsidR="00FE5A1B" w:rsidRPr="00422904" w:rsidRDefault="00FE5A1B" w:rsidP="00FE5A1B">
      <w:pPr>
        <w:ind w:left="60"/>
        <w:rPr>
          <w:color w:val="000000" w:themeColor="text1"/>
        </w:rPr>
      </w:pPr>
    </w:p>
    <w:p w14:paraId="5179EE12" w14:textId="77777777" w:rsidR="00FE5A1B" w:rsidRPr="00422904" w:rsidRDefault="00FE5A1B" w:rsidP="00FE5A1B">
      <w:pPr>
        <w:rPr>
          <w:color w:val="FF0000"/>
        </w:rPr>
      </w:pPr>
    </w:p>
    <w:p w14:paraId="4DAF06B9" w14:textId="77777777" w:rsidR="00FE5A1B" w:rsidRPr="00422904" w:rsidRDefault="00FE5A1B" w:rsidP="00FE5A1B">
      <w:pPr>
        <w:ind w:left="60"/>
        <w:rPr>
          <w:color w:val="000000" w:themeColor="text1"/>
        </w:rPr>
      </w:pPr>
    </w:p>
    <w:p w14:paraId="4EA1CD69" w14:textId="77777777" w:rsidR="00FE5A1B" w:rsidRPr="00422904" w:rsidRDefault="00FE5A1B" w:rsidP="00FE5A1B">
      <w:pPr>
        <w:ind w:left="60"/>
        <w:rPr>
          <w:color w:val="000000" w:themeColor="text1"/>
        </w:rPr>
      </w:pPr>
    </w:p>
    <w:p w14:paraId="305205B2" w14:textId="77777777" w:rsidR="00FE5A1B" w:rsidRPr="00422904" w:rsidRDefault="00FE5A1B" w:rsidP="00FE5A1B">
      <w:pPr>
        <w:ind w:left="60"/>
        <w:rPr>
          <w:color w:val="000000" w:themeColor="text1"/>
        </w:rPr>
      </w:pPr>
    </w:p>
    <w:p w14:paraId="55B13B41" w14:textId="77777777" w:rsidR="00FE5A1B" w:rsidRPr="00422904" w:rsidRDefault="00FE5A1B" w:rsidP="00FE5A1B">
      <w:pPr>
        <w:ind w:left="60"/>
        <w:rPr>
          <w:color w:val="000000" w:themeColor="text1"/>
        </w:rPr>
      </w:pPr>
    </w:p>
    <w:p w14:paraId="0B3B124B" w14:textId="77777777" w:rsidR="00FE5A1B" w:rsidRPr="00422904" w:rsidRDefault="00FE5A1B" w:rsidP="00FE5A1B">
      <w:pPr>
        <w:ind w:left="60"/>
        <w:rPr>
          <w:color w:val="000000" w:themeColor="text1"/>
        </w:rPr>
      </w:pPr>
    </w:p>
    <w:p w14:paraId="74398D60" w14:textId="77777777" w:rsidR="00FE5A1B" w:rsidRPr="00422904" w:rsidRDefault="00FE5A1B" w:rsidP="00FE5A1B">
      <w:pPr>
        <w:ind w:left="60"/>
        <w:rPr>
          <w:color w:val="000000" w:themeColor="text1"/>
        </w:rPr>
      </w:pPr>
    </w:p>
    <w:p w14:paraId="5EF19CAD" w14:textId="77777777" w:rsidR="00FE5A1B" w:rsidRPr="00422904" w:rsidRDefault="00FE5A1B" w:rsidP="00FE5A1B">
      <w:pPr>
        <w:ind w:left="60"/>
        <w:rPr>
          <w:color w:val="000000" w:themeColor="text1"/>
        </w:rPr>
      </w:pPr>
    </w:p>
    <w:p w14:paraId="76147BFA" w14:textId="77777777" w:rsidR="00FE5A1B" w:rsidRPr="00422904" w:rsidRDefault="00FE5A1B" w:rsidP="00FE5A1B">
      <w:pPr>
        <w:ind w:left="60"/>
        <w:rPr>
          <w:color w:val="000000" w:themeColor="text1"/>
        </w:rPr>
      </w:pPr>
    </w:p>
    <w:p w14:paraId="0AE50B94" w14:textId="77777777" w:rsidR="00FE5A1B" w:rsidRPr="00422904" w:rsidRDefault="00FE5A1B" w:rsidP="00FE5A1B">
      <w:pPr>
        <w:ind w:left="60"/>
        <w:rPr>
          <w:color w:val="000000" w:themeColor="text1"/>
        </w:rPr>
      </w:pPr>
    </w:p>
    <w:p w14:paraId="0FF9D3A8" w14:textId="77777777" w:rsidR="00FE5A1B" w:rsidRPr="00422904" w:rsidRDefault="00FE5A1B" w:rsidP="00FE5A1B">
      <w:pPr>
        <w:ind w:left="60"/>
        <w:rPr>
          <w:color w:val="000000" w:themeColor="text1"/>
        </w:rPr>
      </w:pPr>
    </w:p>
    <w:p w14:paraId="7E3991EB" w14:textId="77777777" w:rsidR="00FE5A1B" w:rsidRPr="00422904" w:rsidRDefault="00FE5A1B" w:rsidP="00FE5A1B">
      <w:pPr>
        <w:ind w:left="60"/>
        <w:rPr>
          <w:color w:val="000000" w:themeColor="text1"/>
        </w:rPr>
      </w:pPr>
    </w:p>
    <w:p w14:paraId="019FE5ED" w14:textId="77777777" w:rsidR="00FE5A1B" w:rsidRPr="00422904" w:rsidRDefault="00FE5A1B" w:rsidP="00FE5A1B">
      <w:pPr>
        <w:ind w:left="60"/>
        <w:rPr>
          <w:color w:val="000000" w:themeColor="text1"/>
        </w:rPr>
      </w:pPr>
    </w:p>
    <w:p w14:paraId="6E446AD2" w14:textId="77777777" w:rsidR="00FE5A1B" w:rsidRPr="00422904" w:rsidRDefault="00FE5A1B" w:rsidP="00FE5A1B">
      <w:pPr>
        <w:ind w:left="60"/>
        <w:rPr>
          <w:color w:val="000000" w:themeColor="text1"/>
        </w:rPr>
      </w:pPr>
    </w:p>
    <w:p w14:paraId="51C2DD32" w14:textId="77777777" w:rsidR="00FE5A1B" w:rsidRPr="00422904" w:rsidRDefault="00FE5A1B" w:rsidP="00FE5A1B">
      <w:pPr>
        <w:ind w:left="60"/>
        <w:rPr>
          <w:color w:val="000000" w:themeColor="text1"/>
        </w:rPr>
      </w:pPr>
    </w:p>
    <w:p w14:paraId="3BACA38D" w14:textId="77777777" w:rsidR="00FE5A1B" w:rsidRPr="00422904" w:rsidRDefault="00FE5A1B" w:rsidP="00FE5A1B">
      <w:pPr>
        <w:ind w:left="60"/>
        <w:rPr>
          <w:color w:val="000000" w:themeColor="text1"/>
        </w:rPr>
      </w:pPr>
    </w:p>
    <w:p w14:paraId="690B30A3" w14:textId="77777777" w:rsidR="00FE5A1B" w:rsidRPr="00422904" w:rsidRDefault="00FE5A1B" w:rsidP="00FE5A1B">
      <w:pPr>
        <w:ind w:left="60"/>
        <w:rPr>
          <w:color w:val="000000" w:themeColor="text1"/>
        </w:rPr>
      </w:pPr>
    </w:p>
    <w:p w14:paraId="6D55C3F0" w14:textId="77777777" w:rsidR="00FE5A1B" w:rsidRPr="00422904" w:rsidRDefault="00FE5A1B" w:rsidP="00FE5A1B">
      <w:pPr>
        <w:ind w:left="60"/>
        <w:rPr>
          <w:color w:val="000000" w:themeColor="text1"/>
        </w:rPr>
      </w:pPr>
    </w:p>
    <w:p w14:paraId="0E4ACF84" w14:textId="77777777" w:rsidR="00FE5A1B" w:rsidRPr="00422904" w:rsidRDefault="00FE5A1B" w:rsidP="00FE5A1B">
      <w:pPr>
        <w:ind w:left="60"/>
        <w:rPr>
          <w:color w:val="000000" w:themeColor="text1"/>
        </w:rPr>
      </w:pPr>
    </w:p>
    <w:p w14:paraId="6707C235" w14:textId="77777777" w:rsidR="00FE5A1B" w:rsidRPr="00422904" w:rsidRDefault="00FE5A1B" w:rsidP="00FE5A1B">
      <w:pPr>
        <w:ind w:left="60"/>
        <w:rPr>
          <w:color w:val="000000" w:themeColor="text1"/>
        </w:rPr>
      </w:pPr>
    </w:p>
    <w:p w14:paraId="2FB2617E" w14:textId="77777777" w:rsidR="00FE5A1B" w:rsidRPr="00422904" w:rsidRDefault="00FE5A1B" w:rsidP="00FE5A1B">
      <w:pPr>
        <w:ind w:left="60"/>
        <w:rPr>
          <w:color w:val="000000" w:themeColor="text1"/>
        </w:rPr>
      </w:pPr>
    </w:p>
    <w:p w14:paraId="6952EA60" w14:textId="77777777" w:rsidR="00FE5A1B" w:rsidRPr="00422904" w:rsidRDefault="00FE5A1B" w:rsidP="00FE5A1B">
      <w:pPr>
        <w:rPr>
          <w:color w:val="000000" w:themeColor="text1"/>
        </w:rPr>
      </w:pPr>
    </w:p>
    <w:p w14:paraId="2CF64948" w14:textId="77777777" w:rsidR="00FE5A1B" w:rsidRPr="00422904" w:rsidRDefault="00FE5A1B" w:rsidP="00FE5A1B">
      <w:pPr>
        <w:rPr>
          <w:color w:val="000000" w:themeColor="text1"/>
        </w:rPr>
      </w:pPr>
    </w:p>
    <w:p w14:paraId="7F6611EA" w14:textId="77777777" w:rsidR="00FE5A1B" w:rsidRPr="00422904" w:rsidRDefault="00FE5A1B" w:rsidP="00FE5A1B">
      <w:pPr>
        <w:ind w:left="360"/>
        <w:rPr>
          <w:rFonts w:eastAsia="Calibri"/>
          <w:color w:val="000000" w:themeColor="text1"/>
        </w:rPr>
      </w:pPr>
      <w:r w:rsidRPr="00422904">
        <w:rPr>
          <w:rFonts w:eastAsia="Calibri"/>
          <w:color w:val="000000" w:themeColor="text1"/>
        </w:rPr>
        <w:t>Bibliography</w:t>
      </w:r>
    </w:p>
    <w:p w14:paraId="09CA3825" w14:textId="77777777" w:rsidR="00FE5A1B" w:rsidRPr="00422904" w:rsidRDefault="00FE5A1B" w:rsidP="00FE5A1B">
      <w:pPr>
        <w:ind w:left="360"/>
        <w:rPr>
          <w:rFonts w:eastAsia="Calibri"/>
          <w:color w:val="000000" w:themeColor="text1"/>
        </w:rPr>
      </w:pPr>
    </w:p>
    <w:p w14:paraId="2DD899EA" w14:textId="7777777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r w:rsidRPr="00422904">
        <w:rPr>
          <w:rFonts w:ascii="Times New Roman" w:hAnsi="Times New Roman" w:cs="Times New Roman"/>
          <w:color w:val="000000" w:themeColor="text1"/>
          <w:sz w:val="24"/>
          <w:szCs w:val="24"/>
        </w:rPr>
        <w:t xml:space="preserve">Beard, Mary. ‘Cicero and Divination: The Formation of a Latin Discourse’. </w:t>
      </w:r>
      <w:r w:rsidRPr="00422904">
        <w:rPr>
          <w:rFonts w:ascii="Times New Roman" w:hAnsi="Times New Roman" w:cs="Times New Roman"/>
          <w:i/>
          <w:iCs/>
          <w:color w:val="000000" w:themeColor="text1"/>
          <w:sz w:val="24"/>
          <w:szCs w:val="24"/>
        </w:rPr>
        <w:t>The Journal of Roman Studies.</w:t>
      </w:r>
      <w:r w:rsidRPr="00422904">
        <w:rPr>
          <w:rFonts w:ascii="Times New Roman" w:hAnsi="Times New Roman" w:cs="Times New Roman"/>
          <w:color w:val="000000" w:themeColor="text1"/>
          <w:sz w:val="24"/>
          <w:szCs w:val="24"/>
        </w:rPr>
        <w:t xml:space="preserve"> 76 (1986): 33–46. https://doi.org/10.2307/300364.) </w:t>
      </w:r>
    </w:p>
    <w:p w14:paraId="699581DE" w14:textId="7777777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proofErr w:type="spellStart"/>
      <w:r w:rsidRPr="00422904">
        <w:rPr>
          <w:rFonts w:ascii="Times New Roman" w:hAnsi="Times New Roman" w:cs="Times New Roman"/>
          <w:color w:val="000000" w:themeColor="text1"/>
          <w:sz w:val="24"/>
          <w:szCs w:val="24"/>
        </w:rPr>
        <w:t>Burriss</w:t>
      </w:r>
      <w:proofErr w:type="spellEnd"/>
      <w:r w:rsidRPr="00422904">
        <w:rPr>
          <w:rFonts w:ascii="Times New Roman" w:hAnsi="Times New Roman" w:cs="Times New Roman"/>
          <w:color w:val="000000" w:themeColor="text1"/>
          <w:sz w:val="24"/>
          <w:szCs w:val="24"/>
        </w:rPr>
        <w:t xml:space="preserve">, Eli, Edward, ‘Cicero's Religious Unbelief’ </w:t>
      </w:r>
      <w:r w:rsidRPr="00422904">
        <w:rPr>
          <w:rFonts w:ascii="Times New Roman" w:hAnsi="Times New Roman" w:cs="Times New Roman"/>
          <w:i/>
          <w:iCs/>
          <w:color w:val="000000" w:themeColor="text1"/>
          <w:sz w:val="24"/>
          <w:szCs w:val="24"/>
        </w:rPr>
        <w:t>The Classical Weekly</w:t>
      </w:r>
      <w:r w:rsidRPr="00422904">
        <w:rPr>
          <w:rFonts w:ascii="Times New Roman" w:hAnsi="Times New Roman" w:cs="Times New Roman"/>
          <w:color w:val="000000" w:themeColor="text1"/>
          <w:sz w:val="24"/>
          <w:szCs w:val="24"/>
        </w:rPr>
        <w:t xml:space="preserve"> ,17.13 (1924). 101-103.</w:t>
      </w:r>
      <w:hyperlink r:id="rId11" w:history="1">
        <w:r w:rsidRPr="00422904">
          <w:rPr>
            <w:rStyle w:val="Hyperlink"/>
            <w:rFonts w:ascii="Times New Roman" w:hAnsi="Times New Roman" w:cs="Times New Roman"/>
            <w:color w:val="000000" w:themeColor="text1"/>
            <w:sz w:val="24"/>
            <w:szCs w:val="24"/>
            <w:u w:val="none"/>
          </w:rPr>
          <w:t>https://www.jstor.org/stable/30107808</w:t>
        </w:r>
      </w:hyperlink>
    </w:p>
    <w:p w14:paraId="27A41604" w14:textId="7777777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r w:rsidRPr="00422904">
        <w:rPr>
          <w:rFonts w:ascii="Times New Roman" w:hAnsi="Times New Roman" w:cs="Times New Roman"/>
          <w:color w:val="000000" w:themeColor="text1"/>
          <w:sz w:val="24"/>
          <w:szCs w:val="24"/>
        </w:rPr>
        <w:t xml:space="preserve">Cicero. Translated by Falconer, </w:t>
      </w:r>
      <w:proofErr w:type="spellStart"/>
      <w:r w:rsidRPr="00422904">
        <w:rPr>
          <w:rFonts w:ascii="Times New Roman" w:hAnsi="Times New Roman" w:cs="Times New Roman"/>
          <w:color w:val="000000" w:themeColor="text1"/>
          <w:sz w:val="24"/>
          <w:szCs w:val="24"/>
        </w:rPr>
        <w:t>William.</w:t>
      </w:r>
      <w:r w:rsidRPr="00422904">
        <w:rPr>
          <w:rFonts w:ascii="Times New Roman" w:hAnsi="Times New Roman" w:cs="Times New Roman"/>
          <w:color w:val="000000" w:themeColor="text1"/>
          <w:sz w:val="24"/>
          <w:szCs w:val="24"/>
          <w:shd w:val="clear" w:color="auto" w:fill="FBF7F5"/>
        </w:rPr>
        <w:t>Cicero</w:t>
      </w:r>
      <w:proofErr w:type="spellEnd"/>
      <w:r w:rsidRPr="00422904">
        <w:rPr>
          <w:rFonts w:ascii="Times New Roman" w:hAnsi="Times New Roman" w:cs="Times New Roman"/>
          <w:color w:val="000000" w:themeColor="text1"/>
          <w:sz w:val="24"/>
          <w:szCs w:val="24"/>
          <w:shd w:val="clear" w:color="auto" w:fill="FBF7F5"/>
        </w:rPr>
        <w:t xml:space="preserve">, </w:t>
      </w:r>
      <w:r w:rsidRPr="00422904">
        <w:rPr>
          <w:rFonts w:ascii="Times New Roman" w:hAnsi="Times New Roman" w:cs="Times New Roman"/>
          <w:i/>
          <w:iCs/>
          <w:color w:val="000000" w:themeColor="text1"/>
          <w:sz w:val="24"/>
          <w:szCs w:val="24"/>
          <w:shd w:val="clear" w:color="auto" w:fill="FBF7F5"/>
        </w:rPr>
        <w:t>On Divination (De divination)</w:t>
      </w:r>
      <w:r w:rsidRPr="00422904">
        <w:rPr>
          <w:rFonts w:ascii="Times New Roman" w:hAnsi="Times New Roman" w:cs="Times New Roman"/>
          <w:color w:val="000000" w:themeColor="text1"/>
          <w:sz w:val="24"/>
          <w:szCs w:val="24"/>
          <w:shd w:val="clear" w:color="auto" w:fill="FBF7F5"/>
        </w:rPr>
        <w:t xml:space="preserve"> (Cambridge, London: Harvard University Press, Loeb Classical Library, 192) Book 1&amp; 2</w:t>
      </w:r>
    </w:p>
    <w:p w14:paraId="5CED4E4D" w14:textId="7777777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proofErr w:type="spellStart"/>
      <w:r w:rsidRPr="00422904">
        <w:rPr>
          <w:rFonts w:ascii="Times New Roman" w:eastAsia="Calibri" w:hAnsi="Times New Roman" w:cs="Times New Roman"/>
          <w:color w:val="000000" w:themeColor="text1"/>
          <w:sz w:val="24"/>
          <w:szCs w:val="24"/>
        </w:rPr>
        <w:t>Goar</w:t>
      </w:r>
      <w:proofErr w:type="spellEnd"/>
      <w:r w:rsidRPr="00422904">
        <w:rPr>
          <w:rFonts w:ascii="Times New Roman" w:eastAsia="Calibri" w:hAnsi="Times New Roman" w:cs="Times New Roman"/>
          <w:color w:val="000000" w:themeColor="text1"/>
          <w:sz w:val="24"/>
          <w:szCs w:val="24"/>
        </w:rPr>
        <w:t xml:space="preserve">, Robert. ‘The Purpose of De </w:t>
      </w:r>
      <w:proofErr w:type="spellStart"/>
      <w:r w:rsidRPr="00422904">
        <w:rPr>
          <w:rFonts w:ascii="Times New Roman" w:eastAsia="Calibri" w:hAnsi="Times New Roman" w:cs="Times New Roman"/>
          <w:color w:val="000000" w:themeColor="text1"/>
          <w:sz w:val="24"/>
          <w:szCs w:val="24"/>
        </w:rPr>
        <w:t>Divinatione</w:t>
      </w:r>
      <w:proofErr w:type="spellEnd"/>
      <w:r w:rsidRPr="00422904">
        <w:rPr>
          <w:rFonts w:ascii="Times New Roman" w:eastAsia="Calibri" w:hAnsi="Times New Roman" w:cs="Times New Roman"/>
          <w:color w:val="000000" w:themeColor="text1"/>
          <w:sz w:val="24"/>
          <w:szCs w:val="24"/>
        </w:rPr>
        <w:t xml:space="preserve">’. </w:t>
      </w:r>
      <w:r w:rsidRPr="00422904">
        <w:rPr>
          <w:rFonts w:ascii="Times New Roman" w:eastAsia="Calibri" w:hAnsi="Times New Roman" w:cs="Times New Roman"/>
          <w:i/>
          <w:iCs/>
          <w:color w:val="000000" w:themeColor="text1"/>
          <w:sz w:val="24"/>
          <w:szCs w:val="24"/>
        </w:rPr>
        <w:t>Transactions and Proceedings of the American Philological Association</w:t>
      </w:r>
      <w:r w:rsidRPr="00422904">
        <w:rPr>
          <w:rFonts w:ascii="Times New Roman" w:eastAsia="Calibri" w:hAnsi="Times New Roman" w:cs="Times New Roman"/>
          <w:color w:val="000000" w:themeColor="text1"/>
          <w:sz w:val="24"/>
          <w:szCs w:val="24"/>
        </w:rPr>
        <w:t xml:space="preserve"> 99. (1968) 241-248. </w:t>
      </w:r>
      <w:hyperlink r:id="rId12">
        <w:r w:rsidRPr="00422904">
          <w:rPr>
            <w:rStyle w:val="Hyperlink"/>
            <w:rFonts w:ascii="Times New Roman" w:eastAsia="Calibri" w:hAnsi="Times New Roman" w:cs="Times New Roman"/>
            <w:color w:val="000000" w:themeColor="text1"/>
            <w:sz w:val="24"/>
            <w:szCs w:val="24"/>
            <w:u w:val="none"/>
          </w:rPr>
          <w:t>https://doi.org/10.2307/2935842</w:t>
        </w:r>
      </w:hyperlink>
      <w:r w:rsidRPr="00422904">
        <w:rPr>
          <w:rFonts w:ascii="Times New Roman" w:eastAsia="Calibri" w:hAnsi="Times New Roman" w:cs="Times New Roman"/>
          <w:color w:val="000000" w:themeColor="text1"/>
          <w:sz w:val="24"/>
          <w:szCs w:val="24"/>
        </w:rPr>
        <w:t xml:space="preserve">.) </w:t>
      </w:r>
    </w:p>
    <w:p w14:paraId="16E1B851" w14:textId="77777777" w:rsidR="00FE5A1B" w:rsidRPr="00422904" w:rsidRDefault="00FE5A1B" w:rsidP="00FE5A1B">
      <w:pPr>
        <w:pStyle w:val="ListParagraph"/>
        <w:numPr>
          <w:ilvl w:val="0"/>
          <w:numId w:val="1"/>
        </w:numPr>
        <w:rPr>
          <w:rFonts w:ascii="Times New Roman" w:hAnsi="Times New Roman" w:cs="Times New Roman"/>
          <w:color w:val="000000" w:themeColor="text1"/>
          <w:sz w:val="24"/>
          <w:szCs w:val="24"/>
        </w:rPr>
      </w:pPr>
      <w:proofErr w:type="spellStart"/>
      <w:r w:rsidRPr="00422904">
        <w:rPr>
          <w:rFonts w:ascii="Times New Roman" w:hAnsi="Times New Roman" w:cs="Times New Roman"/>
          <w:color w:val="000000" w:themeColor="text1"/>
          <w:sz w:val="24"/>
          <w:szCs w:val="24"/>
          <w:shd w:val="clear" w:color="auto" w:fill="FFFFFF"/>
        </w:rPr>
        <w:t>Heibges</w:t>
      </w:r>
      <w:proofErr w:type="spellEnd"/>
      <w:r w:rsidRPr="00422904">
        <w:rPr>
          <w:rFonts w:ascii="Times New Roman" w:hAnsi="Times New Roman" w:cs="Times New Roman"/>
          <w:color w:val="000000" w:themeColor="text1"/>
          <w:sz w:val="24"/>
          <w:szCs w:val="24"/>
          <w:shd w:val="clear" w:color="auto" w:fill="FFFFFF"/>
        </w:rPr>
        <w:t xml:space="preserve">, U. ‘Cicero, A Hypocrite in Religion?’ </w:t>
      </w:r>
      <w:r w:rsidRPr="00422904">
        <w:rPr>
          <w:rFonts w:ascii="Times New Roman" w:hAnsi="Times New Roman" w:cs="Times New Roman"/>
          <w:i/>
          <w:iCs/>
          <w:color w:val="000000" w:themeColor="text1"/>
          <w:sz w:val="24"/>
          <w:szCs w:val="24"/>
          <w:shd w:val="clear" w:color="auto" w:fill="FFFFFF"/>
        </w:rPr>
        <w:t>AJP</w:t>
      </w:r>
      <w:r w:rsidRPr="00422904">
        <w:rPr>
          <w:rFonts w:ascii="Times New Roman" w:hAnsi="Times New Roman" w:cs="Times New Roman"/>
          <w:color w:val="000000" w:themeColor="text1"/>
          <w:sz w:val="24"/>
          <w:szCs w:val="24"/>
          <w:shd w:val="clear" w:color="auto" w:fill="FFFFFF"/>
        </w:rPr>
        <w:t>. 90 (1969) 304-312.</w:t>
      </w:r>
    </w:p>
    <w:p w14:paraId="6C68B4D2" w14:textId="7777777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r w:rsidRPr="00422904">
        <w:rPr>
          <w:rFonts w:ascii="Times New Roman" w:hAnsi="Times New Roman" w:cs="Times New Roman"/>
          <w:color w:val="000000" w:themeColor="text1"/>
          <w:sz w:val="24"/>
          <w:szCs w:val="24"/>
        </w:rPr>
        <w:t xml:space="preserve">Merritt, Dennis. </w:t>
      </w:r>
      <w:r w:rsidRPr="00422904">
        <w:rPr>
          <w:rFonts w:ascii="Times New Roman" w:hAnsi="Times New Roman" w:cs="Times New Roman"/>
          <w:i/>
          <w:iCs/>
          <w:color w:val="000000" w:themeColor="text1"/>
          <w:sz w:val="24"/>
          <w:szCs w:val="24"/>
        </w:rPr>
        <w:t>L Jung and Ecopsychology: The Dairy Farmer's Guide to the Universe</w:t>
      </w:r>
      <w:r w:rsidRPr="00422904">
        <w:rPr>
          <w:rFonts w:ascii="Times New Roman" w:hAnsi="Times New Roman" w:cs="Times New Roman"/>
          <w:color w:val="000000" w:themeColor="text1"/>
          <w:sz w:val="24"/>
          <w:szCs w:val="24"/>
        </w:rPr>
        <w:t xml:space="preserve"> (United States: Fisher King Press, 2012.) VOL 1. quoting Jung 1977 </w:t>
      </w:r>
    </w:p>
    <w:p w14:paraId="07EDBB60" w14:textId="7777777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r w:rsidRPr="00422904">
        <w:rPr>
          <w:rFonts w:ascii="Times New Roman" w:hAnsi="Times New Roman" w:cs="Times New Roman"/>
          <w:color w:val="000000" w:themeColor="text1"/>
          <w:sz w:val="24"/>
          <w:szCs w:val="24"/>
        </w:rPr>
        <w:t xml:space="preserve">Schofield, Malcom. ‘Cicero for and against Divination’. </w:t>
      </w:r>
      <w:r w:rsidRPr="00422904">
        <w:rPr>
          <w:rFonts w:ascii="Times New Roman" w:hAnsi="Times New Roman" w:cs="Times New Roman"/>
          <w:i/>
          <w:iCs/>
          <w:color w:val="000000" w:themeColor="text1"/>
          <w:sz w:val="24"/>
          <w:szCs w:val="24"/>
        </w:rPr>
        <w:t>The Journal of Roman Studies</w:t>
      </w:r>
      <w:r w:rsidRPr="00422904">
        <w:rPr>
          <w:rFonts w:ascii="Times New Roman" w:hAnsi="Times New Roman" w:cs="Times New Roman"/>
          <w:color w:val="000000" w:themeColor="text1"/>
          <w:sz w:val="24"/>
          <w:szCs w:val="24"/>
        </w:rPr>
        <w:t>, 76 (1986), 47-65.</w:t>
      </w:r>
    </w:p>
    <w:p w14:paraId="463A18AF" w14:textId="7777777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r w:rsidRPr="00422904">
        <w:rPr>
          <w:rFonts w:ascii="Times New Roman" w:hAnsi="Times New Roman" w:cs="Times New Roman"/>
          <w:color w:val="000000" w:themeColor="text1"/>
          <w:sz w:val="24"/>
          <w:szCs w:val="24"/>
        </w:rPr>
        <w:t xml:space="preserve">Tucker, Wayne. ‘Cicero, Augur, De </w:t>
      </w:r>
      <w:proofErr w:type="spellStart"/>
      <w:r w:rsidRPr="00422904">
        <w:rPr>
          <w:rFonts w:ascii="Times New Roman" w:hAnsi="Times New Roman" w:cs="Times New Roman"/>
          <w:color w:val="000000" w:themeColor="text1"/>
          <w:sz w:val="24"/>
          <w:szCs w:val="24"/>
        </w:rPr>
        <w:t>IureAugurali</w:t>
      </w:r>
      <w:proofErr w:type="spellEnd"/>
      <w:r w:rsidRPr="00422904">
        <w:rPr>
          <w:rFonts w:ascii="Times New Roman" w:hAnsi="Times New Roman" w:cs="Times New Roman"/>
          <w:color w:val="000000" w:themeColor="text1"/>
          <w:sz w:val="24"/>
          <w:szCs w:val="24"/>
        </w:rPr>
        <w:t xml:space="preserve">’, </w:t>
      </w:r>
      <w:r w:rsidRPr="00422904">
        <w:rPr>
          <w:rFonts w:ascii="Times New Roman" w:hAnsi="Times New Roman" w:cs="Times New Roman"/>
          <w:i/>
          <w:iCs/>
          <w:color w:val="000000" w:themeColor="text1"/>
          <w:sz w:val="24"/>
          <w:szCs w:val="24"/>
        </w:rPr>
        <w:t>The Classical World</w:t>
      </w:r>
      <w:r w:rsidRPr="00422904">
        <w:rPr>
          <w:rFonts w:ascii="Times New Roman" w:hAnsi="Times New Roman" w:cs="Times New Roman"/>
          <w:color w:val="000000" w:themeColor="text1"/>
          <w:sz w:val="24"/>
          <w:szCs w:val="24"/>
        </w:rPr>
        <w:t>, 70. 3 (1976) 171–77.</w:t>
      </w:r>
      <w:hyperlink r:id="rId13" w:history="1">
        <w:r w:rsidRPr="00422904">
          <w:rPr>
            <w:rStyle w:val="Hyperlink"/>
            <w:rFonts w:ascii="Times New Roman" w:hAnsi="Times New Roman" w:cs="Times New Roman"/>
            <w:color w:val="000000" w:themeColor="text1"/>
            <w:sz w:val="24"/>
            <w:szCs w:val="24"/>
            <w:u w:val="none"/>
          </w:rPr>
          <w:t>https://doi.org/10.2307/4348603</w:t>
        </w:r>
      </w:hyperlink>
      <w:r w:rsidRPr="00422904">
        <w:rPr>
          <w:rFonts w:ascii="Times New Roman" w:hAnsi="Times New Roman" w:cs="Times New Roman"/>
          <w:color w:val="000000" w:themeColor="text1"/>
          <w:sz w:val="24"/>
          <w:szCs w:val="24"/>
        </w:rPr>
        <w:t>)</w:t>
      </w:r>
    </w:p>
    <w:p w14:paraId="3DD1BE00" w14:textId="75BA21D9"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r w:rsidRPr="00422904">
        <w:rPr>
          <w:rFonts w:ascii="Times New Roman" w:hAnsi="Times New Roman" w:cs="Times New Roman"/>
          <w:color w:val="000000" w:themeColor="text1"/>
          <w:sz w:val="24"/>
          <w:szCs w:val="24"/>
        </w:rPr>
        <w:t xml:space="preserve">Walsh, </w:t>
      </w:r>
      <w:proofErr w:type="spellStart"/>
      <w:proofErr w:type="gramStart"/>
      <w:r w:rsidRPr="00422904">
        <w:rPr>
          <w:rFonts w:ascii="Times New Roman" w:hAnsi="Times New Roman" w:cs="Times New Roman"/>
          <w:color w:val="000000" w:themeColor="text1"/>
          <w:sz w:val="24"/>
          <w:szCs w:val="24"/>
        </w:rPr>
        <w:t>P.Cicero</w:t>
      </w:r>
      <w:proofErr w:type="spellEnd"/>
      <w:proofErr w:type="gramEnd"/>
      <w:r w:rsidRPr="00422904">
        <w:rPr>
          <w:rFonts w:ascii="Times New Roman" w:hAnsi="Times New Roman" w:cs="Times New Roman"/>
          <w:color w:val="000000" w:themeColor="text1"/>
          <w:sz w:val="24"/>
          <w:szCs w:val="24"/>
        </w:rPr>
        <w:t xml:space="preserve">. </w:t>
      </w:r>
      <w:r w:rsidRPr="00422904">
        <w:rPr>
          <w:rStyle w:val="a-size-extra-large"/>
          <w:rFonts w:ascii="Times New Roman" w:hAnsi="Times New Roman" w:cs="Times New Roman"/>
          <w:i/>
          <w:iCs/>
          <w:color w:val="000000" w:themeColor="text1"/>
          <w:sz w:val="24"/>
          <w:szCs w:val="24"/>
        </w:rPr>
        <w:t xml:space="preserve">Cicero: The Nature of the Gods, </w:t>
      </w:r>
      <w:r w:rsidRPr="00422904">
        <w:rPr>
          <w:rStyle w:val="a-size-extra-large"/>
          <w:rFonts w:ascii="Times New Roman" w:hAnsi="Times New Roman" w:cs="Times New Roman"/>
          <w:color w:val="000000" w:themeColor="text1"/>
          <w:sz w:val="24"/>
          <w:szCs w:val="24"/>
        </w:rPr>
        <w:t xml:space="preserve">(Oxford, London: </w:t>
      </w:r>
      <w:r w:rsidRPr="00422904">
        <w:rPr>
          <w:rFonts w:ascii="Times New Roman" w:hAnsi="Times New Roman" w:cs="Times New Roman"/>
          <w:color w:val="000000" w:themeColor="text1"/>
          <w:sz w:val="24"/>
          <w:szCs w:val="24"/>
        </w:rPr>
        <w:t>University Press, 1997)</w:t>
      </w:r>
    </w:p>
    <w:p w14:paraId="00B17B85" w14:textId="33DBE0C7" w:rsidR="00FE5A1B" w:rsidRPr="00422904" w:rsidRDefault="00FE5A1B" w:rsidP="00FE5A1B">
      <w:pPr>
        <w:pStyle w:val="ListParagraph"/>
        <w:numPr>
          <w:ilvl w:val="0"/>
          <w:numId w:val="1"/>
        </w:numPr>
        <w:rPr>
          <w:rFonts w:ascii="Times New Roman" w:eastAsia="Calibri" w:hAnsi="Times New Roman" w:cs="Times New Roman"/>
          <w:color w:val="000000" w:themeColor="text1"/>
          <w:sz w:val="24"/>
          <w:szCs w:val="24"/>
        </w:rPr>
      </w:pPr>
      <w:r w:rsidRPr="00422904">
        <w:rPr>
          <w:rFonts w:ascii="Times New Roman" w:eastAsia="Calibri" w:hAnsi="Times New Roman" w:cs="Times New Roman"/>
          <w:color w:val="000000" w:themeColor="text1"/>
          <w:sz w:val="24"/>
          <w:szCs w:val="24"/>
        </w:rPr>
        <w:t xml:space="preserve">Webber, C. </w:t>
      </w:r>
      <w:proofErr w:type="gramStart"/>
      <w:r w:rsidRPr="00422904">
        <w:rPr>
          <w:rFonts w:ascii="Times New Roman" w:eastAsia="Calibri" w:hAnsi="Times New Roman" w:cs="Times New Roman"/>
          <w:color w:val="000000" w:themeColor="text1"/>
          <w:sz w:val="24"/>
          <w:szCs w:val="24"/>
        </w:rPr>
        <w:t>H..</w:t>
      </w:r>
      <w:proofErr w:type="gramEnd"/>
      <w:r w:rsidRPr="00422904">
        <w:rPr>
          <w:rFonts w:ascii="Times New Roman" w:eastAsia="Calibri" w:hAnsi="Times New Roman" w:cs="Times New Roman"/>
          <w:color w:val="000000" w:themeColor="text1"/>
          <w:sz w:val="24"/>
          <w:szCs w:val="24"/>
        </w:rPr>
        <w:t> Astrology in a Nutshell. </w:t>
      </w:r>
      <w:r w:rsidRPr="00422904">
        <w:rPr>
          <w:rFonts w:ascii="Times New Roman" w:eastAsia="Calibri" w:hAnsi="Times New Roman" w:cs="Times New Roman"/>
          <w:color w:val="000000" w:themeColor="text1"/>
          <w:sz w:val="24"/>
          <w:szCs w:val="24"/>
        </w:rPr>
        <w:t>(United States:</w:t>
      </w:r>
      <w:r w:rsidRPr="00422904">
        <w:rPr>
          <w:rFonts w:ascii="Times New Roman" w:eastAsia="Calibri" w:hAnsi="Times New Roman" w:cs="Times New Roman"/>
          <w:color w:val="000000" w:themeColor="text1"/>
          <w:sz w:val="24"/>
          <w:szCs w:val="24"/>
        </w:rPr>
        <w:t> Health Research Books, 1996.</w:t>
      </w:r>
      <w:r w:rsidRPr="00422904">
        <w:rPr>
          <w:rFonts w:ascii="Times New Roman" w:eastAsia="Calibri" w:hAnsi="Times New Roman" w:cs="Times New Roman"/>
          <w:color w:val="000000" w:themeColor="text1"/>
          <w:sz w:val="24"/>
          <w:szCs w:val="24"/>
        </w:rPr>
        <w:t>)</w:t>
      </w:r>
    </w:p>
    <w:p w14:paraId="3272EA55" w14:textId="77777777" w:rsidR="00FE5A1B" w:rsidRPr="007C007E" w:rsidRDefault="00FE5A1B" w:rsidP="00FE5A1B">
      <w:pPr>
        <w:pStyle w:val="ListParagraph"/>
        <w:spacing w:after="0" w:line="240" w:lineRule="auto"/>
        <w:rPr>
          <w:rFonts w:ascii="Times New Roman" w:eastAsia="Times New Roman" w:hAnsi="Times New Roman" w:cs="Times New Roman"/>
          <w:color w:val="000000" w:themeColor="text1"/>
          <w:sz w:val="24"/>
          <w:szCs w:val="24"/>
          <w:lang w:eastAsia="en-GB"/>
        </w:rPr>
      </w:pPr>
    </w:p>
    <w:p w14:paraId="7D947AAB" w14:textId="77777777" w:rsidR="00FE5A1B" w:rsidRPr="007C007E" w:rsidRDefault="00FE5A1B" w:rsidP="00FE5A1B">
      <w:pPr>
        <w:pStyle w:val="ListParagraph"/>
        <w:rPr>
          <w:rFonts w:ascii="Times New Roman" w:eastAsiaTheme="minorEastAsia" w:hAnsi="Times New Roman" w:cs="Times New Roman"/>
          <w:color w:val="000000" w:themeColor="text1"/>
          <w:sz w:val="24"/>
          <w:szCs w:val="24"/>
        </w:rPr>
      </w:pPr>
    </w:p>
    <w:p w14:paraId="03F6024A" w14:textId="77777777" w:rsidR="007321EA" w:rsidRDefault="007321EA"/>
    <w:sectPr w:rsidR="007321EA" w:rsidSect="00663810">
      <w:headerReference w:type="even" r:id="rId14"/>
      <w:head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F0477" w14:textId="77777777" w:rsidR="00B643CB" w:rsidRDefault="00B643CB" w:rsidP="00FE5A1B">
      <w:r>
        <w:separator/>
      </w:r>
    </w:p>
  </w:endnote>
  <w:endnote w:type="continuationSeparator" w:id="0">
    <w:p w14:paraId="02489557" w14:textId="77777777" w:rsidR="00B643CB" w:rsidRDefault="00B643CB" w:rsidP="00FE5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FA4DB" w14:textId="77777777" w:rsidR="00B643CB" w:rsidRDefault="00B643CB" w:rsidP="00FE5A1B">
      <w:r>
        <w:separator/>
      </w:r>
    </w:p>
  </w:footnote>
  <w:footnote w:type="continuationSeparator" w:id="0">
    <w:p w14:paraId="1990C1AA" w14:textId="77777777" w:rsidR="00B643CB" w:rsidRDefault="00B643CB" w:rsidP="00FE5A1B">
      <w:r>
        <w:continuationSeparator/>
      </w:r>
    </w:p>
  </w:footnote>
  <w:footnote w:id="1">
    <w:p w14:paraId="6118E067" w14:textId="77777777" w:rsidR="00FE5A1B" w:rsidRPr="00422904" w:rsidRDefault="00FE5A1B" w:rsidP="00FE5A1B">
      <w:pPr>
        <w:pStyle w:val="FootnoteText"/>
        <w:rPr>
          <w:rFonts w:ascii="Times New Roman" w:hAnsi="Times New Roman" w:cs="Times New Roman"/>
          <w:sz w:val="18"/>
          <w:szCs w:val="18"/>
        </w:rPr>
      </w:pPr>
      <w:r>
        <w:rPr>
          <w:rStyle w:val="FootnoteReference"/>
        </w:rPr>
        <w:footnoteRef/>
      </w:r>
      <w:r>
        <w:t xml:space="preserve"> </w:t>
      </w:r>
      <w:r w:rsidRPr="00422904">
        <w:rPr>
          <w:rFonts w:ascii="Times New Roman" w:hAnsi="Times New Roman" w:cs="Times New Roman"/>
          <w:color w:val="000000" w:themeColor="text1"/>
          <w:sz w:val="18"/>
          <w:szCs w:val="18"/>
        </w:rPr>
        <w:t xml:space="preserve">William Falconer, </w:t>
      </w:r>
      <w:r w:rsidRPr="00422904">
        <w:rPr>
          <w:rFonts w:ascii="Times New Roman" w:hAnsi="Times New Roman" w:cs="Times New Roman"/>
          <w:color w:val="000000" w:themeColor="text1"/>
          <w:sz w:val="18"/>
          <w:szCs w:val="18"/>
          <w:shd w:val="clear" w:color="auto" w:fill="FBF7F5"/>
        </w:rPr>
        <w:t xml:space="preserve">Cicero, </w:t>
      </w:r>
      <w:r w:rsidRPr="00422904">
        <w:rPr>
          <w:rFonts w:ascii="Times New Roman" w:hAnsi="Times New Roman" w:cs="Times New Roman"/>
          <w:i/>
          <w:iCs/>
          <w:color w:val="000000" w:themeColor="text1"/>
          <w:sz w:val="18"/>
          <w:szCs w:val="18"/>
          <w:shd w:val="clear" w:color="auto" w:fill="FBF7F5"/>
        </w:rPr>
        <w:t>On Divination (De divination)</w:t>
      </w:r>
      <w:r w:rsidRPr="00422904">
        <w:rPr>
          <w:rFonts w:ascii="Times New Roman" w:hAnsi="Times New Roman" w:cs="Times New Roman"/>
          <w:color w:val="000000" w:themeColor="text1"/>
          <w:sz w:val="18"/>
          <w:szCs w:val="18"/>
          <w:shd w:val="clear" w:color="auto" w:fill="FBF7F5"/>
        </w:rPr>
        <w:t xml:space="preserve"> (Cambridge, London: Harvard University Press, Loeb Classical Library,1923)</w:t>
      </w:r>
    </w:p>
  </w:footnote>
  <w:footnote w:id="2">
    <w:p w14:paraId="1265A763"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hAnsi="Times New Roman" w:cs="Times New Roman"/>
          <w:color w:val="000000" w:themeColor="text1"/>
          <w:sz w:val="18"/>
          <w:szCs w:val="18"/>
        </w:rPr>
        <w:t>Ibid, Introduction, 1923.</w:t>
      </w:r>
    </w:p>
  </w:footnote>
  <w:footnote w:id="3">
    <w:p w14:paraId="60D33DE1" w14:textId="77777777" w:rsidR="00FE5A1B" w:rsidRPr="00422904" w:rsidRDefault="00FE5A1B" w:rsidP="00FE5A1B">
      <w:pPr>
        <w:pStyle w:val="Heading1"/>
        <w:shd w:val="clear" w:color="auto" w:fill="FFFFFF"/>
        <w:spacing w:before="0" w:line="540" w:lineRule="atLeas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 xml:space="preserve"> Cicero translation by P. </w:t>
      </w:r>
      <w:proofErr w:type="spellStart"/>
      <w:r w:rsidRPr="00422904">
        <w:rPr>
          <w:rFonts w:ascii="Times New Roman" w:hAnsi="Times New Roman" w:cs="Times New Roman"/>
          <w:color w:val="000000" w:themeColor="text1"/>
          <w:sz w:val="18"/>
          <w:szCs w:val="18"/>
        </w:rPr>
        <w:t>Walsh.</w:t>
      </w:r>
      <w:r w:rsidRPr="00422904">
        <w:rPr>
          <w:rStyle w:val="a-size-extra-large"/>
          <w:rFonts w:ascii="Times New Roman" w:hAnsi="Times New Roman" w:cs="Times New Roman"/>
          <w:i/>
          <w:iCs/>
          <w:color w:val="000000" w:themeColor="text1"/>
          <w:sz w:val="18"/>
          <w:szCs w:val="18"/>
        </w:rPr>
        <w:t>Cicero</w:t>
      </w:r>
      <w:proofErr w:type="spellEnd"/>
      <w:r w:rsidRPr="00422904">
        <w:rPr>
          <w:rStyle w:val="a-size-extra-large"/>
          <w:rFonts w:ascii="Times New Roman" w:hAnsi="Times New Roman" w:cs="Times New Roman"/>
          <w:i/>
          <w:iCs/>
          <w:color w:val="000000" w:themeColor="text1"/>
          <w:sz w:val="18"/>
          <w:szCs w:val="18"/>
        </w:rPr>
        <w:t xml:space="preserve">: The Nature of the Gods, </w:t>
      </w:r>
      <w:r w:rsidRPr="00422904">
        <w:rPr>
          <w:rStyle w:val="a-size-extra-large"/>
          <w:rFonts w:ascii="Times New Roman" w:hAnsi="Times New Roman" w:cs="Times New Roman"/>
          <w:color w:val="000000" w:themeColor="text1"/>
          <w:sz w:val="18"/>
          <w:szCs w:val="18"/>
        </w:rPr>
        <w:t xml:space="preserve">(Oxford, London: </w:t>
      </w:r>
      <w:r w:rsidRPr="00422904">
        <w:rPr>
          <w:rFonts w:ascii="Times New Roman" w:hAnsi="Times New Roman" w:cs="Times New Roman"/>
          <w:color w:val="000000" w:themeColor="text1"/>
          <w:sz w:val="18"/>
          <w:szCs w:val="18"/>
        </w:rPr>
        <w:t>University Press, 1997), I, 6. p.5.</w:t>
      </w:r>
    </w:p>
  </w:footnote>
  <w:footnote w:id="4">
    <w:p w14:paraId="22F9D46E"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Falconer, Cicero, On Divination. II. I-2. P.371</w:t>
      </w:r>
    </w:p>
  </w:footnote>
  <w:footnote w:id="5">
    <w:p w14:paraId="655744D1" w14:textId="77777777" w:rsidR="00FE5A1B" w:rsidRPr="00422904" w:rsidRDefault="00FE5A1B" w:rsidP="00FE5A1B">
      <w:pPr>
        <w:rPr>
          <w:color w:val="000000" w:themeColor="text1"/>
          <w:sz w:val="18"/>
          <w:szCs w:val="18"/>
        </w:rPr>
      </w:pPr>
      <w:r w:rsidRPr="00422904">
        <w:rPr>
          <w:rStyle w:val="FootnoteReference"/>
          <w:color w:val="000000" w:themeColor="text1"/>
          <w:sz w:val="18"/>
          <w:szCs w:val="18"/>
        </w:rPr>
        <w:footnoteRef/>
      </w:r>
      <w:r w:rsidRPr="00422904">
        <w:rPr>
          <w:color w:val="000000" w:themeColor="text1"/>
          <w:sz w:val="18"/>
          <w:szCs w:val="18"/>
        </w:rPr>
        <w:t xml:space="preserve"> </w:t>
      </w:r>
      <w:proofErr w:type="spellStart"/>
      <w:r w:rsidRPr="00422904">
        <w:rPr>
          <w:color w:val="000000" w:themeColor="text1"/>
          <w:sz w:val="18"/>
          <w:szCs w:val="18"/>
        </w:rPr>
        <w:t>WayneTucker</w:t>
      </w:r>
      <w:proofErr w:type="spellEnd"/>
      <w:r w:rsidRPr="00422904">
        <w:rPr>
          <w:color w:val="000000" w:themeColor="text1"/>
          <w:sz w:val="18"/>
          <w:szCs w:val="18"/>
        </w:rPr>
        <w:t xml:space="preserve">, ‘Cicero, Augur, De </w:t>
      </w:r>
      <w:proofErr w:type="spellStart"/>
      <w:r w:rsidRPr="00422904">
        <w:rPr>
          <w:color w:val="000000" w:themeColor="text1"/>
          <w:sz w:val="18"/>
          <w:szCs w:val="18"/>
        </w:rPr>
        <w:t>IureAugurali</w:t>
      </w:r>
      <w:proofErr w:type="spellEnd"/>
      <w:r w:rsidRPr="00422904">
        <w:rPr>
          <w:color w:val="000000" w:themeColor="text1"/>
          <w:sz w:val="18"/>
          <w:szCs w:val="18"/>
        </w:rPr>
        <w:t xml:space="preserve">’, </w:t>
      </w:r>
      <w:r w:rsidRPr="00422904">
        <w:rPr>
          <w:i/>
          <w:iCs/>
          <w:color w:val="000000" w:themeColor="text1"/>
          <w:sz w:val="18"/>
          <w:szCs w:val="18"/>
        </w:rPr>
        <w:t>The Classical World</w:t>
      </w:r>
      <w:r w:rsidRPr="00422904">
        <w:rPr>
          <w:color w:val="000000" w:themeColor="text1"/>
          <w:sz w:val="18"/>
          <w:szCs w:val="18"/>
        </w:rPr>
        <w:t xml:space="preserve">, 70. 3 (1976)171–77 (p.171) </w:t>
      </w:r>
      <w:hyperlink r:id="rId1" w:history="1">
        <w:r w:rsidRPr="00422904">
          <w:rPr>
            <w:rStyle w:val="Hyperlink"/>
            <w:color w:val="000000" w:themeColor="text1"/>
            <w:sz w:val="18"/>
            <w:szCs w:val="18"/>
            <w:u w:val="none"/>
          </w:rPr>
          <w:t>https://doi.org/10.2307/4348603</w:t>
        </w:r>
      </w:hyperlink>
      <w:r w:rsidRPr="00422904">
        <w:rPr>
          <w:color w:val="000000" w:themeColor="text1"/>
          <w:sz w:val="18"/>
          <w:szCs w:val="18"/>
        </w:rPr>
        <w:t>)</w:t>
      </w:r>
    </w:p>
  </w:footnote>
  <w:footnote w:id="6">
    <w:p w14:paraId="5FF8035B" w14:textId="77777777" w:rsidR="00FE5A1B" w:rsidRPr="00422904" w:rsidRDefault="00FE5A1B" w:rsidP="00FE5A1B">
      <w:pPr>
        <w:pStyle w:val="NormalWeb"/>
        <w:shd w:val="clear" w:color="auto" w:fill="FFFFFF"/>
        <w:rPr>
          <w:color w:val="000000" w:themeColor="text1"/>
          <w:sz w:val="18"/>
          <w:szCs w:val="18"/>
        </w:rPr>
      </w:pPr>
      <w:r w:rsidRPr="00422904">
        <w:rPr>
          <w:rStyle w:val="FootnoteReference"/>
          <w:color w:val="000000" w:themeColor="text1"/>
          <w:sz w:val="18"/>
          <w:szCs w:val="18"/>
        </w:rPr>
        <w:footnoteRef/>
      </w:r>
      <w:r w:rsidRPr="00422904">
        <w:rPr>
          <w:color w:val="000000" w:themeColor="text1"/>
          <w:sz w:val="18"/>
          <w:szCs w:val="18"/>
        </w:rPr>
        <w:t xml:space="preserve"> Eli Edward </w:t>
      </w:r>
      <w:proofErr w:type="spellStart"/>
      <w:r w:rsidRPr="00422904">
        <w:rPr>
          <w:color w:val="000000" w:themeColor="text1"/>
          <w:sz w:val="18"/>
          <w:szCs w:val="18"/>
        </w:rPr>
        <w:t>Burriss</w:t>
      </w:r>
      <w:proofErr w:type="spellEnd"/>
      <w:r w:rsidRPr="00422904">
        <w:rPr>
          <w:color w:val="000000" w:themeColor="text1"/>
          <w:sz w:val="18"/>
          <w:szCs w:val="18"/>
        </w:rPr>
        <w:t xml:space="preserve">, ‘Cicero's Religious Unbelief’ </w:t>
      </w:r>
      <w:r w:rsidRPr="00422904">
        <w:rPr>
          <w:i/>
          <w:iCs/>
          <w:color w:val="000000" w:themeColor="text1"/>
          <w:sz w:val="18"/>
          <w:szCs w:val="18"/>
        </w:rPr>
        <w:t>The Classical Weekly</w:t>
      </w:r>
      <w:r w:rsidRPr="00422904">
        <w:rPr>
          <w:color w:val="000000" w:themeColor="text1"/>
          <w:sz w:val="18"/>
          <w:szCs w:val="18"/>
        </w:rPr>
        <w:t xml:space="preserve"> ,17.13 (1924) 101-103, (p. 101) https://www.jstor.org/stable/30107808 </w:t>
      </w:r>
    </w:p>
  </w:footnote>
  <w:footnote w:id="7">
    <w:p w14:paraId="48A59672" w14:textId="77777777" w:rsidR="00FE5A1B" w:rsidRPr="00492139"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 xml:space="preserve"> Falconer, </w:t>
      </w:r>
      <w:r w:rsidRPr="00422904">
        <w:rPr>
          <w:rFonts w:ascii="Times New Roman" w:hAnsi="Times New Roman" w:cs="Times New Roman"/>
          <w:color w:val="000000" w:themeColor="text1"/>
          <w:sz w:val="18"/>
          <w:szCs w:val="18"/>
          <w:shd w:val="clear" w:color="auto" w:fill="FBF7F5"/>
        </w:rPr>
        <w:t xml:space="preserve">Cicero, </w:t>
      </w:r>
      <w:r w:rsidRPr="00422904">
        <w:rPr>
          <w:rFonts w:ascii="Times New Roman" w:hAnsi="Times New Roman" w:cs="Times New Roman"/>
          <w:i/>
          <w:iCs/>
          <w:color w:val="000000" w:themeColor="text1"/>
          <w:sz w:val="18"/>
          <w:szCs w:val="18"/>
          <w:shd w:val="clear" w:color="auto" w:fill="FBF7F5"/>
        </w:rPr>
        <w:t>On Divination.</w:t>
      </w:r>
      <w:r w:rsidRPr="00422904">
        <w:rPr>
          <w:rFonts w:ascii="Times New Roman" w:hAnsi="Times New Roman" w:cs="Times New Roman"/>
          <w:color w:val="000000" w:themeColor="text1"/>
          <w:sz w:val="18"/>
          <w:szCs w:val="18"/>
          <w:shd w:val="clear" w:color="auto" w:fill="FBF7F5"/>
        </w:rPr>
        <w:t xml:space="preserve"> 1, </w:t>
      </w:r>
      <w:hyperlink r:id="rId2" w:tooltip="On Old Age. On Friendship. On Divination" w:history="1">
        <w:r w:rsidRPr="00422904">
          <w:rPr>
            <w:rStyle w:val="Hyperlink"/>
            <w:rFonts w:ascii="Times New Roman" w:hAnsi="Times New Roman" w:cs="Times New Roman"/>
            <w:color w:val="000000" w:themeColor="text1"/>
            <w:sz w:val="18"/>
            <w:szCs w:val="18"/>
            <w:u w:val="none"/>
          </w:rPr>
          <w:t>LCL, 154</w:t>
        </w:r>
      </w:hyperlink>
      <w:r w:rsidRPr="00422904">
        <w:rPr>
          <w:rFonts w:ascii="Times New Roman" w:hAnsi="Times New Roman" w:cs="Times New Roman"/>
          <w:color w:val="000000" w:themeColor="text1"/>
          <w:sz w:val="18"/>
          <w:szCs w:val="18"/>
        </w:rPr>
        <w:t>: p.223</w:t>
      </w:r>
    </w:p>
  </w:footnote>
  <w:footnote w:id="8">
    <w:p w14:paraId="13896BD5" w14:textId="77777777" w:rsidR="00FE5A1B" w:rsidRPr="00422904" w:rsidRDefault="00FE5A1B" w:rsidP="00FE5A1B">
      <w:pPr>
        <w:pStyle w:val="FootnoteText"/>
        <w:rPr>
          <w:rFonts w:ascii="Times New Roman" w:hAnsi="Times New Roman" w:cs="Times New Roman"/>
          <w:color w:val="000000" w:themeColor="text1"/>
          <w:sz w:val="18"/>
          <w:szCs w:val="18"/>
        </w:rPr>
      </w:pPr>
      <w:r w:rsidRPr="00492139">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shd w:val="clear" w:color="auto" w:fill="FBF7F5"/>
        </w:rPr>
        <w:t xml:space="preserve">Cicero, De </w:t>
      </w:r>
      <w:proofErr w:type="spellStart"/>
      <w:r w:rsidRPr="00422904">
        <w:rPr>
          <w:rFonts w:ascii="Times New Roman" w:hAnsi="Times New Roman" w:cs="Times New Roman"/>
          <w:color w:val="000000" w:themeColor="text1"/>
          <w:sz w:val="18"/>
          <w:szCs w:val="18"/>
          <w:shd w:val="clear" w:color="auto" w:fill="FBF7F5"/>
        </w:rPr>
        <w:t>Div</w:t>
      </w:r>
      <w:proofErr w:type="spellEnd"/>
      <w:r w:rsidRPr="00422904">
        <w:rPr>
          <w:rFonts w:ascii="Times New Roman" w:hAnsi="Times New Roman" w:cs="Times New Roman"/>
          <w:color w:val="000000" w:themeColor="text1"/>
          <w:sz w:val="18"/>
          <w:szCs w:val="18"/>
          <w:shd w:val="clear" w:color="auto" w:fill="FBF7F5"/>
        </w:rPr>
        <w:t xml:space="preserve">, 2, </w:t>
      </w:r>
      <w:hyperlink r:id="rId3" w:tooltip="On Old Age. On Friendship. On Divination" w:history="1">
        <w:r w:rsidRPr="00422904">
          <w:rPr>
            <w:rStyle w:val="Hyperlink"/>
            <w:rFonts w:ascii="Times New Roman" w:hAnsi="Times New Roman" w:cs="Times New Roman"/>
            <w:color w:val="000000" w:themeColor="text1"/>
            <w:sz w:val="18"/>
            <w:szCs w:val="18"/>
            <w:u w:val="none"/>
          </w:rPr>
          <w:t>LCL, 154</w:t>
        </w:r>
      </w:hyperlink>
      <w:r w:rsidRPr="00422904">
        <w:rPr>
          <w:rFonts w:ascii="Times New Roman" w:hAnsi="Times New Roman" w:cs="Times New Roman"/>
          <w:color w:val="000000" w:themeColor="text1"/>
          <w:sz w:val="18"/>
          <w:szCs w:val="18"/>
        </w:rPr>
        <w:t>: p.517</w:t>
      </w:r>
      <w:r w:rsidRPr="00422904">
        <w:rPr>
          <w:rFonts w:ascii="Times New Roman" w:hAnsi="Times New Roman" w:cs="Times New Roman"/>
          <w:color w:val="000000" w:themeColor="text1"/>
          <w:sz w:val="18"/>
          <w:szCs w:val="18"/>
        </w:rPr>
        <w:tab/>
      </w:r>
    </w:p>
  </w:footnote>
  <w:footnote w:id="9">
    <w:p w14:paraId="19FA8ABF"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 xml:space="preserve">Cicero, De </w:t>
      </w:r>
      <w:proofErr w:type="spellStart"/>
      <w:r w:rsidRPr="00422904">
        <w:rPr>
          <w:rFonts w:ascii="Times New Roman" w:hAnsi="Times New Roman" w:cs="Times New Roman"/>
          <w:color w:val="000000" w:themeColor="text1"/>
          <w:sz w:val="18"/>
          <w:szCs w:val="18"/>
        </w:rPr>
        <w:t>Div</w:t>
      </w:r>
      <w:proofErr w:type="spellEnd"/>
      <w:r w:rsidRPr="00422904">
        <w:rPr>
          <w:rFonts w:ascii="Times New Roman" w:hAnsi="Times New Roman" w:cs="Times New Roman"/>
          <w:color w:val="000000" w:themeColor="text1"/>
          <w:sz w:val="18"/>
          <w:szCs w:val="18"/>
        </w:rPr>
        <w:t>, 1, VI. 10 p.233</w:t>
      </w:r>
    </w:p>
  </w:footnote>
  <w:footnote w:id="10">
    <w:p w14:paraId="3BA975FD"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hAnsi="Times New Roman" w:cs="Times New Roman"/>
          <w:color w:val="000000" w:themeColor="text1"/>
          <w:sz w:val="18"/>
          <w:szCs w:val="18"/>
        </w:rPr>
        <w:t xml:space="preserve">Eli Edward </w:t>
      </w:r>
      <w:proofErr w:type="spellStart"/>
      <w:r w:rsidRPr="00422904">
        <w:rPr>
          <w:rFonts w:ascii="Times New Roman" w:hAnsi="Times New Roman" w:cs="Times New Roman"/>
          <w:color w:val="000000" w:themeColor="text1"/>
          <w:sz w:val="18"/>
          <w:szCs w:val="18"/>
        </w:rPr>
        <w:t>Burriss</w:t>
      </w:r>
      <w:proofErr w:type="spellEnd"/>
      <w:r w:rsidRPr="00422904">
        <w:rPr>
          <w:rFonts w:ascii="Times New Roman" w:hAnsi="Times New Roman" w:cs="Times New Roman"/>
          <w:color w:val="000000" w:themeColor="text1"/>
          <w:sz w:val="18"/>
          <w:szCs w:val="18"/>
        </w:rPr>
        <w:t xml:space="preserve">, ‘Cicero's Religious Unbelief’ </w:t>
      </w:r>
      <w:r w:rsidRPr="00422904">
        <w:rPr>
          <w:rFonts w:ascii="Times New Roman" w:hAnsi="Times New Roman" w:cs="Times New Roman"/>
          <w:i/>
          <w:iCs/>
          <w:color w:val="000000" w:themeColor="text1"/>
          <w:sz w:val="18"/>
          <w:szCs w:val="18"/>
        </w:rPr>
        <w:t>The Classical Weekly</w:t>
      </w:r>
      <w:r w:rsidRPr="00422904">
        <w:rPr>
          <w:rFonts w:ascii="Times New Roman" w:hAnsi="Times New Roman" w:cs="Times New Roman"/>
          <w:color w:val="000000" w:themeColor="text1"/>
          <w:sz w:val="18"/>
          <w:szCs w:val="18"/>
        </w:rPr>
        <w:t xml:space="preserve"> ,17.13 (1924) 101-103, (p. 101) https://www.jstor.org/stable/30107808</w:t>
      </w:r>
    </w:p>
  </w:footnote>
  <w:footnote w:id="11">
    <w:p w14:paraId="6F203204" w14:textId="77777777" w:rsidR="00FE5A1B" w:rsidRPr="00422904" w:rsidRDefault="00FE5A1B" w:rsidP="00FE5A1B">
      <w:pPr>
        <w:rPr>
          <w:color w:val="000000" w:themeColor="text1"/>
          <w:sz w:val="18"/>
          <w:szCs w:val="18"/>
        </w:rPr>
      </w:pPr>
      <w:r w:rsidRPr="00422904">
        <w:rPr>
          <w:rStyle w:val="FootnoteReference"/>
          <w:color w:val="000000" w:themeColor="text1"/>
          <w:sz w:val="18"/>
          <w:szCs w:val="18"/>
        </w:rPr>
        <w:footnoteRef/>
      </w:r>
      <w:r w:rsidRPr="00422904">
        <w:rPr>
          <w:color w:val="000000" w:themeColor="text1"/>
          <w:sz w:val="18"/>
          <w:szCs w:val="18"/>
        </w:rPr>
        <w:t xml:space="preserve"> Mary Beard, ‘Cicero and Divination: The Formation of a Latin Discourse’. </w:t>
      </w:r>
      <w:r w:rsidRPr="00422904">
        <w:rPr>
          <w:i/>
          <w:iCs/>
          <w:color w:val="000000" w:themeColor="text1"/>
          <w:sz w:val="18"/>
          <w:szCs w:val="18"/>
        </w:rPr>
        <w:t>The Journal of Roman Studies.</w:t>
      </w:r>
      <w:r w:rsidRPr="00422904">
        <w:rPr>
          <w:color w:val="000000" w:themeColor="text1"/>
          <w:sz w:val="18"/>
          <w:szCs w:val="18"/>
        </w:rPr>
        <w:t xml:space="preserve"> 76 (1986): 33–46 (p.33) https://doi.org/10.2307/300364.) </w:t>
      </w:r>
    </w:p>
  </w:footnote>
  <w:footnote w:id="12">
    <w:p w14:paraId="412BABC1" w14:textId="77777777" w:rsidR="00FE5A1B" w:rsidRPr="00422904" w:rsidRDefault="00FE5A1B" w:rsidP="00FE5A1B">
      <w:pPr>
        <w:pStyle w:val="NormalWeb"/>
        <w:shd w:val="clear" w:color="auto" w:fill="FFFFFF"/>
        <w:rPr>
          <w:color w:val="000000" w:themeColor="text1"/>
          <w:sz w:val="18"/>
          <w:szCs w:val="18"/>
        </w:rPr>
      </w:pPr>
      <w:r w:rsidRPr="00422904">
        <w:rPr>
          <w:rStyle w:val="FootnoteReference"/>
          <w:color w:val="000000" w:themeColor="text1"/>
          <w:sz w:val="18"/>
          <w:szCs w:val="18"/>
        </w:rPr>
        <w:footnoteRef/>
      </w:r>
      <w:r w:rsidRPr="00422904">
        <w:rPr>
          <w:color w:val="000000" w:themeColor="text1"/>
          <w:sz w:val="18"/>
          <w:szCs w:val="18"/>
        </w:rPr>
        <w:t>Ibid.p.41</w:t>
      </w:r>
    </w:p>
  </w:footnote>
  <w:footnote w:id="13">
    <w:p w14:paraId="4368DEF5"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shd w:val="clear" w:color="auto" w:fill="FBF7F5"/>
        </w:rPr>
        <w:t xml:space="preserve">Cicero, De </w:t>
      </w:r>
      <w:proofErr w:type="spellStart"/>
      <w:r w:rsidRPr="00422904">
        <w:rPr>
          <w:rFonts w:ascii="Times New Roman" w:hAnsi="Times New Roman" w:cs="Times New Roman"/>
          <w:color w:val="000000" w:themeColor="text1"/>
          <w:sz w:val="18"/>
          <w:szCs w:val="18"/>
          <w:shd w:val="clear" w:color="auto" w:fill="FBF7F5"/>
        </w:rPr>
        <w:t>Div</w:t>
      </w:r>
      <w:proofErr w:type="spellEnd"/>
      <w:r w:rsidRPr="00422904">
        <w:rPr>
          <w:rFonts w:ascii="Times New Roman" w:hAnsi="Times New Roman" w:cs="Times New Roman"/>
          <w:color w:val="000000" w:themeColor="text1"/>
          <w:sz w:val="18"/>
          <w:szCs w:val="18"/>
          <w:shd w:val="clear" w:color="auto" w:fill="FBF7F5"/>
        </w:rPr>
        <w:t xml:space="preserve">, 2, 74. </w:t>
      </w:r>
      <w:r w:rsidRPr="00422904">
        <w:rPr>
          <w:rFonts w:ascii="Times New Roman" w:hAnsi="Times New Roman" w:cs="Times New Roman"/>
          <w:color w:val="000000" w:themeColor="text1"/>
          <w:sz w:val="18"/>
          <w:szCs w:val="18"/>
        </w:rPr>
        <w:t>p.455</w:t>
      </w:r>
    </w:p>
  </w:footnote>
  <w:footnote w:id="14">
    <w:p w14:paraId="293E40A9"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Ibid. 2. p.507</w:t>
      </w:r>
    </w:p>
  </w:footnote>
  <w:footnote w:id="15">
    <w:p w14:paraId="54435D33"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Ibid, 2. 48, p.425</w:t>
      </w:r>
    </w:p>
  </w:footnote>
  <w:footnote w:id="16">
    <w:p w14:paraId="375B4425"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Ibid, 2. 123, p.509,</w:t>
      </w:r>
    </w:p>
  </w:footnote>
  <w:footnote w:id="17">
    <w:p w14:paraId="43521862"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Ibid,2</w:t>
      </w:r>
      <w:r w:rsidRPr="00422904">
        <w:rPr>
          <w:rFonts w:ascii="Times New Roman" w:hAnsi="Times New Roman" w:cs="Times New Roman"/>
          <w:color w:val="000000"/>
          <w:sz w:val="18"/>
          <w:szCs w:val="18"/>
        </w:rPr>
        <w:t>, LX, 125</w:t>
      </w:r>
    </w:p>
  </w:footnote>
  <w:footnote w:id="18">
    <w:p w14:paraId="3F7E3261" w14:textId="77777777" w:rsidR="00FE5A1B" w:rsidRPr="00492139"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 xml:space="preserve">Ibid, </w:t>
      </w:r>
      <w:proofErr w:type="gramStart"/>
      <w:r w:rsidRPr="00422904">
        <w:rPr>
          <w:rFonts w:ascii="Times New Roman" w:hAnsi="Times New Roman" w:cs="Times New Roman"/>
          <w:color w:val="000000" w:themeColor="text1"/>
          <w:sz w:val="18"/>
          <w:szCs w:val="18"/>
        </w:rPr>
        <w:t>2.pp.</w:t>
      </w:r>
      <w:proofErr w:type="gramEnd"/>
      <w:r w:rsidRPr="00422904">
        <w:rPr>
          <w:rFonts w:ascii="Times New Roman" w:hAnsi="Times New Roman" w:cs="Times New Roman"/>
          <w:color w:val="000000" w:themeColor="text1"/>
          <w:sz w:val="18"/>
          <w:szCs w:val="18"/>
        </w:rPr>
        <w:t>511-513</w:t>
      </w:r>
    </w:p>
  </w:footnote>
  <w:footnote w:id="19">
    <w:p w14:paraId="675F97B7" w14:textId="77777777" w:rsidR="00FE5A1B" w:rsidRPr="00422904" w:rsidRDefault="00FE5A1B" w:rsidP="00FE5A1B">
      <w:pPr>
        <w:shd w:val="clear" w:color="auto" w:fill="FFFFFF"/>
        <w:rPr>
          <w:sz w:val="18"/>
          <w:szCs w:val="18"/>
        </w:rPr>
      </w:pPr>
      <w:r w:rsidRPr="00422904">
        <w:rPr>
          <w:rStyle w:val="FootnoteReference"/>
          <w:color w:val="000000" w:themeColor="text1"/>
          <w:sz w:val="18"/>
          <w:szCs w:val="18"/>
        </w:rPr>
        <w:footnoteRef/>
      </w:r>
      <w:r w:rsidRPr="00422904">
        <w:rPr>
          <w:color w:val="000000" w:themeColor="text1"/>
          <w:sz w:val="18"/>
          <w:szCs w:val="18"/>
        </w:rPr>
        <w:t xml:space="preserve"> Beard, ‘Cicero and Divination’, p.33</w:t>
      </w:r>
    </w:p>
  </w:footnote>
  <w:footnote w:id="20">
    <w:p w14:paraId="594C3792" w14:textId="77777777" w:rsidR="00FE5A1B" w:rsidRPr="00422904" w:rsidRDefault="00FE5A1B" w:rsidP="00FE5A1B">
      <w:pPr>
        <w:pStyle w:val="NormalWeb"/>
        <w:shd w:val="clear" w:color="auto" w:fill="FFFFFF"/>
        <w:rPr>
          <w:color w:val="000000" w:themeColor="text1"/>
          <w:sz w:val="18"/>
          <w:szCs w:val="18"/>
        </w:rPr>
      </w:pPr>
      <w:r w:rsidRPr="00422904">
        <w:rPr>
          <w:rStyle w:val="FootnoteReference"/>
          <w:color w:val="000000" w:themeColor="text1"/>
          <w:sz w:val="18"/>
          <w:szCs w:val="18"/>
        </w:rPr>
        <w:footnoteRef/>
      </w:r>
      <w:r w:rsidRPr="00422904">
        <w:rPr>
          <w:color w:val="000000" w:themeColor="text1"/>
          <w:sz w:val="18"/>
          <w:szCs w:val="18"/>
        </w:rPr>
        <w:t xml:space="preserve">Malcolm Schofield, ‘Cicero for and against </w:t>
      </w:r>
      <w:proofErr w:type="spellStart"/>
      <w:r w:rsidRPr="00422904">
        <w:rPr>
          <w:color w:val="000000" w:themeColor="text1"/>
          <w:sz w:val="18"/>
          <w:szCs w:val="18"/>
        </w:rPr>
        <w:t>Divination</w:t>
      </w:r>
      <w:proofErr w:type="gramStart"/>
      <w:r w:rsidRPr="00422904">
        <w:rPr>
          <w:color w:val="000000" w:themeColor="text1"/>
          <w:sz w:val="18"/>
          <w:szCs w:val="18"/>
        </w:rPr>
        <w:t>’.</w:t>
      </w:r>
      <w:r w:rsidRPr="00422904">
        <w:rPr>
          <w:i/>
          <w:iCs/>
          <w:color w:val="000000" w:themeColor="text1"/>
          <w:sz w:val="18"/>
          <w:szCs w:val="18"/>
        </w:rPr>
        <w:t>The</w:t>
      </w:r>
      <w:proofErr w:type="spellEnd"/>
      <w:proofErr w:type="gramEnd"/>
      <w:r w:rsidRPr="00422904">
        <w:rPr>
          <w:i/>
          <w:iCs/>
          <w:color w:val="000000" w:themeColor="text1"/>
          <w:sz w:val="18"/>
          <w:szCs w:val="18"/>
        </w:rPr>
        <w:t xml:space="preserve"> Journal of Roman Studies</w:t>
      </w:r>
      <w:r w:rsidRPr="00422904">
        <w:rPr>
          <w:color w:val="000000" w:themeColor="text1"/>
          <w:sz w:val="18"/>
          <w:szCs w:val="18"/>
        </w:rPr>
        <w:t>, 76 (1986), 47-65: III. CICERO SOCRATICUS. (p.55)</w:t>
      </w:r>
    </w:p>
  </w:footnote>
  <w:footnote w:id="21">
    <w:p w14:paraId="5BFCD20D"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 xml:space="preserve"> Beard, p.34</w:t>
      </w:r>
    </w:p>
  </w:footnote>
  <w:footnote w:id="22">
    <w:p w14:paraId="0D1319C9"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Cicer, De </w:t>
      </w:r>
      <w:proofErr w:type="spellStart"/>
      <w:r w:rsidRPr="00422904">
        <w:rPr>
          <w:rFonts w:ascii="Times New Roman" w:hAnsi="Times New Roman" w:cs="Times New Roman"/>
          <w:sz w:val="18"/>
          <w:szCs w:val="18"/>
        </w:rPr>
        <w:t>Div</w:t>
      </w:r>
      <w:proofErr w:type="spellEnd"/>
      <w:r w:rsidRPr="00422904">
        <w:rPr>
          <w:rFonts w:ascii="Times New Roman" w:hAnsi="Times New Roman" w:cs="Times New Roman"/>
          <w:sz w:val="18"/>
          <w:szCs w:val="18"/>
        </w:rPr>
        <w:t>, 2. I. p.371.</w:t>
      </w:r>
    </w:p>
  </w:footnote>
  <w:footnote w:id="23">
    <w:p w14:paraId="30D0FE6D"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Ibid, 2. III. P.377</w:t>
      </w:r>
    </w:p>
  </w:footnote>
  <w:footnote w:id="24">
    <w:p w14:paraId="5CBD5D3C"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Ibid, 2. I. p.371.</w:t>
      </w:r>
    </w:p>
  </w:footnote>
  <w:footnote w:id="25">
    <w:p w14:paraId="67AEA521" w14:textId="77777777" w:rsidR="00FE5A1B" w:rsidRPr="00072498" w:rsidRDefault="00FE5A1B" w:rsidP="00FE5A1B">
      <w:pPr>
        <w:rPr>
          <w:rFonts w:eastAsiaTheme="minorEastAsia"/>
          <w:color w:val="000000" w:themeColor="text1"/>
          <w:sz w:val="18"/>
          <w:szCs w:val="18"/>
        </w:rPr>
      </w:pPr>
      <w:r w:rsidRPr="00422904">
        <w:rPr>
          <w:rStyle w:val="FootnoteReference"/>
          <w:color w:val="000000" w:themeColor="text1"/>
          <w:sz w:val="18"/>
          <w:szCs w:val="18"/>
        </w:rPr>
        <w:footnoteRef/>
      </w:r>
      <w:r w:rsidRPr="00422904">
        <w:rPr>
          <w:rFonts w:eastAsia="Calibri"/>
          <w:color w:val="000000" w:themeColor="text1"/>
          <w:sz w:val="18"/>
          <w:szCs w:val="18"/>
        </w:rPr>
        <w:t xml:space="preserve">Cicero, 1, </w:t>
      </w:r>
      <w:proofErr w:type="gramStart"/>
      <w:r w:rsidRPr="00422904">
        <w:rPr>
          <w:rFonts w:eastAsia="Calibri"/>
          <w:color w:val="000000" w:themeColor="text1"/>
          <w:sz w:val="18"/>
          <w:szCs w:val="18"/>
        </w:rPr>
        <w:t>LI,p.</w:t>
      </w:r>
      <w:proofErr w:type="gramEnd"/>
      <w:r w:rsidRPr="00422904">
        <w:rPr>
          <w:rFonts w:eastAsia="Calibri"/>
          <w:color w:val="000000" w:themeColor="text1"/>
          <w:sz w:val="18"/>
          <w:szCs w:val="18"/>
        </w:rPr>
        <w:t>349.</w:t>
      </w:r>
    </w:p>
  </w:footnote>
  <w:footnote w:id="26">
    <w:p w14:paraId="3201D721"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eastAsia="Calibri" w:hAnsi="Times New Roman" w:cs="Times New Roman"/>
          <w:color w:val="000000" w:themeColor="text1"/>
          <w:sz w:val="18"/>
          <w:szCs w:val="18"/>
        </w:rPr>
        <w:t xml:space="preserve">Cicero, 1, </w:t>
      </w:r>
      <w:proofErr w:type="gramStart"/>
      <w:r w:rsidRPr="00422904">
        <w:rPr>
          <w:rFonts w:ascii="Times New Roman" w:eastAsia="Calibri" w:hAnsi="Times New Roman" w:cs="Times New Roman"/>
          <w:color w:val="000000" w:themeColor="text1"/>
          <w:sz w:val="18"/>
          <w:szCs w:val="18"/>
        </w:rPr>
        <w:t>LI,p.</w:t>
      </w:r>
      <w:proofErr w:type="gramEnd"/>
      <w:r w:rsidRPr="00422904">
        <w:rPr>
          <w:rFonts w:ascii="Times New Roman" w:eastAsia="Calibri" w:hAnsi="Times New Roman" w:cs="Times New Roman"/>
          <w:color w:val="000000" w:themeColor="text1"/>
          <w:sz w:val="18"/>
          <w:szCs w:val="18"/>
        </w:rPr>
        <w:t>349.</w:t>
      </w:r>
    </w:p>
  </w:footnote>
  <w:footnote w:id="27">
    <w:p w14:paraId="0BA6D54C"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eastAsia="Calibri" w:hAnsi="Times New Roman" w:cs="Times New Roman"/>
          <w:color w:val="000000" w:themeColor="text1"/>
          <w:sz w:val="18"/>
          <w:szCs w:val="18"/>
        </w:rPr>
        <w:t>Cicero, 2, 95. p.479.</w:t>
      </w:r>
    </w:p>
  </w:footnote>
  <w:footnote w:id="28">
    <w:p w14:paraId="1A5182F4"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eastAsia="Calibri" w:hAnsi="Times New Roman" w:cs="Times New Roman"/>
          <w:color w:val="000000" w:themeColor="text1"/>
          <w:sz w:val="18"/>
          <w:szCs w:val="18"/>
        </w:rPr>
        <w:t>Cicero, 2, 95. p.479.</w:t>
      </w:r>
    </w:p>
  </w:footnote>
  <w:footnote w:id="29">
    <w:p w14:paraId="441982E9"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eastAsia="Calibri" w:hAnsi="Times New Roman" w:cs="Times New Roman"/>
          <w:color w:val="000000" w:themeColor="text1"/>
          <w:sz w:val="18"/>
          <w:szCs w:val="18"/>
        </w:rPr>
        <w:t>Cicero, 2, 95. p.479.</w:t>
      </w:r>
    </w:p>
  </w:footnote>
  <w:footnote w:id="30">
    <w:p w14:paraId="21C00E4C" w14:textId="77777777" w:rsidR="00FE5A1B" w:rsidRPr="00422904" w:rsidRDefault="00FE5A1B" w:rsidP="00FE5A1B">
      <w:pPr>
        <w:rPr>
          <w:sz w:val="18"/>
          <w:szCs w:val="18"/>
        </w:rPr>
      </w:pPr>
      <w:r w:rsidRPr="00422904">
        <w:rPr>
          <w:rStyle w:val="FootnoteReference"/>
          <w:sz w:val="18"/>
          <w:szCs w:val="18"/>
        </w:rPr>
        <w:footnoteRef/>
      </w:r>
      <w:r w:rsidRPr="00422904">
        <w:rPr>
          <w:sz w:val="18"/>
          <w:szCs w:val="18"/>
        </w:rPr>
        <w:t xml:space="preserve"> Carl. H. </w:t>
      </w:r>
      <w:proofErr w:type="gramStart"/>
      <w:r w:rsidRPr="00422904">
        <w:rPr>
          <w:color w:val="202124"/>
          <w:sz w:val="18"/>
          <w:szCs w:val="18"/>
          <w:shd w:val="clear" w:color="auto" w:fill="FFFFFF"/>
        </w:rPr>
        <w:t>Webber,  Astrology</w:t>
      </w:r>
      <w:proofErr w:type="gramEnd"/>
      <w:r w:rsidRPr="00422904">
        <w:rPr>
          <w:color w:val="202124"/>
          <w:sz w:val="18"/>
          <w:szCs w:val="18"/>
          <w:shd w:val="clear" w:color="auto" w:fill="FFFFFF"/>
        </w:rPr>
        <w:t xml:space="preserve"> in a Nutshell. (United States: Health Research Books, 1996</w:t>
      </w:r>
      <w:proofErr w:type="gramStart"/>
      <w:r w:rsidRPr="00422904">
        <w:rPr>
          <w:color w:val="202124"/>
          <w:sz w:val="18"/>
          <w:szCs w:val="18"/>
          <w:shd w:val="clear" w:color="auto" w:fill="FFFFFF"/>
        </w:rPr>
        <w:t>).</w:t>
      </w:r>
      <w:r w:rsidRPr="00422904">
        <w:rPr>
          <w:sz w:val="18"/>
          <w:szCs w:val="18"/>
        </w:rPr>
        <w:t>p.</w:t>
      </w:r>
      <w:proofErr w:type="gramEnd"/>
      <w:r w:rsidRPr="00422904">
        <w:rPr>
          <w:sz w:val="18"/>
          <w:szCs w:val="18"/>
        </w:rPr>
        <w:t>61</w:t>
      </w:r>
    </w:p>
  </w:footnote>
  <w:footnote w:id="31">
    <w:p w14:paraId="5FF1316E"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color w:val="000000" w:themeColor="text1"/>
          <w:sz w:val="18"/>
          <w:szCs w:val="18"/>
        </w:rPr>
        <w:t xml:space="preserve">Cicero, </w:t>
      </w:r>
      <w:proofErr w:type="gramStart"/>
      <w:r w:rsidRPr="00422904">
        <w:rPr>
          <w:rFonts w:ascii="Times New Roman" w:hAnsi="Times New Roman" w:cs="Times New Roman"/>
          <w:color w:val="000000" w:themeColor="text1"/>
          <w:sz w:val="18"/>
          <w:szCs w:val="18"/>
        </w:rPr>
        <w:t>2 ,</w:t>
      </w:r>
      <w:proofErr w:type="gramEnd"/>
      <w:r w:rsidRPr="00422904">
        <w:rPr>
          <w:rFonts w:ascii="Times New Roman" w:hAnsi="Times New Roman" w:cs="Times New Roman"/>
          <w:color w:val="000000" w:themeColor="text1"/>
          <w:sz w:val="18"/>
          <w:szCs w:val="18"/>
        </w:rPr>
        <w:t xml:space="preserve"> 23-24. pp.395-397.</w:t>
      </w:r>
    </w:p>
  </w:footnote>
  <w:footnote w:id="32">
    <w:p w14:paraId="43022F2A" w14:textId="77777777" w:rsidR="00FE5A1B" w:rsidRPr="00422904" w:rsidRDefault="00FE5A1B" w:rsidP="00FE5A1B">
      <w:pPr>
        <w:rPr>
          <w:color w:val="000000" w:themeColor="text1"/>
          <w:sz w:val="18"/>
          <w:szCs w:val="18"/>
        </w:rPr>
      </w:pPr>
      <w:r w:rsidRPr="00422904">
        <w:rPr>
          <w:rStyle w:val="FootnoteReference"/>
          <w:color w:val="000000" w:themeColor="text1"/>
          <w:sz w:val="18"/>
          <w:szCs w:val="18"/>
        </w:rPr>
        <w:footnoteRef/>
      </w:r>
      <w:r w:rsidRPr="00422904">
        <w:rPr>
          <w:rFonts w:eastAsia="Calibri"/>
          <w:color w:val="000000" w:themeColor="text1"/>
          <w:sz w:val="18"/>
          <w:szCs w:val="18"/>
        </w:rPr>
        <w:t xml:space="preserve">Robert </w:t>
      </w:r>
      <w:proofErr w:type="spellStart"/>
      <w:r w:rsidRPr="00422904">
        <w:rPr>
          <w:rFonts w:eastAsia="Calibri"/>
          <w:color w:val="000000" w:themeColor="text1"/>
          <w:sz w:val="18"/>
          <w:szCs w:val="18"/>
        </w:rPr>
        <w:t>Goar</w:t>
      </w:r>
      <w:proofErr w:type="spellEnd"/>
      <w:r w:rsidRPr="00422904">
        <w:rPr>
          <w:rFonts w:eastAsia="Calibri"/>
          <w:color w:val="000000" w:themeColor="text1"/>
          <w:sz w:val="18"/>
          <w:szCs w:val="18"/>
        </w:rPr>
        <w:t xml:space="preserve">. ‘The Purpose of De </w:t>
      </w:r>
      <w:proofErr w:type="spellStart"/>
      <w:r w:rsidRPr="00422904">
        <w:rPr>
          <w:rFonts w:eastAsia="Calibri"/>
          <w:color w:val="000000" w:themeColor="text1"/>
          <w:sz w:val="18"/>
          <w:szCs w:val="18"/>
        </w:rPr>
        <w:t>Divinatione</w:t>
      </w:r>
      <w:proofErr w:type="spellEnd"/>
      <w:r w:rsidRPr="00422904">
        <w:rPr>
          <w:rFonts w:eastAsia="Calibri"/>
          <w:color w:val="000000" w:themeColor="text1"/>
          <w:sz w:val="18"/>
          <w:szCs w:val="18"/>
        </w:rPr>
        <w:t xml:space="preserve">’. </w:t>
      </w:r>
      <w:r w:rsidRPr="00422904">
        <w:rPr>
          <w:rFonts w:eastAsia="Calibri"/>
          <w:i/>
          <w:iCs/>
          <w:color w:val="000000" w:themeColor="text1"/>
          <w:sz w:val="18"/>
          <w:szCs w:val="18"/>
        </w:rPr>
        <w:t>Transactions and Proceedings of the American Philological Association</w:t>
      </w:r>
      <w:r w:rsidRPr="00422904">
        <w:rPr>
          <w:rFonts w:eastAsia="Calibri"/>
          <w:color w:val="000000" w:themeColor="text1"/>
          <w:sz w:val="18"/>
          <w:szCs w:val="18"/>
        </w:rPr>
        <w:t xml:space="preserve">99. (1968) 241-248. </w:t>
      </w:r>
      <w:hyperlink r:id="rId4">
        <w:r w:rsidRPr="00422904">
          <w:rPr>
            <w:rStyle w:val="Hyperlink"/>
            <w:rFonts w:eastAsia="Calibri"/>
            <w:color w:val="000000" w:themeColor="text1"/>
            <w:sz w:val="18"/>
            <w:szCs w:val="18"/>
            <w:u w:val="none"/>
          </w:rPr>
          <w:t>https://doi.org/10.2307/2935842</w:t>
        </w:r>
      </w:hyperlink>
      <w:r w:rsidRPr="00422904">
        <w:rPr>
          <w:rFonts w:eastAsia="Calibri"/>
          <w:color w:val="000000" w:themeColor="text1"/>
          <w:sz w:val="18"/>
          <w:szCs w:val="18"/>
        </w:rPr>
        <w:t>.) p.246</w:t>
      </w:r>
    </w:p>
  </w:footnote>
  <w:footnote w:id="33">
    <w:p w14:paraId="45D82ECE" w14:textId="77777777" w:rsidR="00FE5A1B" w:rsidRPr="002C7F6B" w:rsidRDefault="00FE5A1B" w:rsidP="00FE5A1B">
      <w:pPr>
        <w:rPr>
          <w:color w:val="000000" w:themeColor="text1"/>
          <w:sz w:val="18"/>
          <w:szCs w:val="18"/>
        </w:rPr>
      </w:pPr>
      <w:r w:rsidRPr="00422904">
        <w:rPr>
          <w:rStyle w:val="FootnoteReference"/>
          <w:color w:val="000000" w:themeColor="text1"/>
          <w:sz w:val="18"/>
          <w:szCs w:val="18"/>
        </w:rPr>
        <w:footnoteRef/>
      </w:r>
      <w:r w:rsidRPr="00422904">
        <w:rPr>
          <w:color w:val="000000" w:themeColor="text1"/>
          <w:sz w:val="18"/>
          <w:szCs w:val="18"/>
        </w:rPr>
        <w:t xml:space="preserve"> Schofield. p.49</w:t>
      </w:r>
    </w:p>
  </w:footnote>
  <w:footnote w:id="34">
    <w:p w14:paraId="118878CB"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 xml:space="preserve"> Cicero, 2. 12. p.383.</w:t>
      </w:r>
    </w:p>
  </w:footnote>
  <w:footnote w:id="35">
    <w:p w14:paraId="3B8EC310"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Ibid 2, pp.415-417</w:t>
      </w:r>
    </w:p>
  </w:footnote>
  <w:footnote w:id="36">
    <w:p w14:paraId="6EDE02F1"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Cicero, 1, VI. 10. p.233</w:t>
      </w:r>
    </w:p>
  </w:footnote>
  <w:footnote w:id="37">
    <w:p w14:paraId="5623D85A" w14:textId="77777777" w:rsidR="00FE5A1B" w:rsidRPr="00422904" w:rsidRDefault="00FE5A1B" w:rsidP="00FE5A1B">
      <w:pPr>
        <w:rPr>
          <w:sz w:val="18"/>
          <w:szCs w:val="18"/>
        </w:rPr>
      </w:pPr>
      <w:r w:rsidRPr="00422904">
        <w:rPr>
          <w:rStyle w:val="FootnoteReference"/>
          <w:color w:val="000000" w:themeColor="text1"/>
          <w:sz w:val="18"/>
          <w:szCs w:val="18"/>
        </w:rPr>
        <w:footnoteRef/>
      </w:r>
      <w:r w:rsidRPr="00422904">
        <w:rPr>
          <w:color w:val="333333"/>
          <w:sz w:val="18"/>
          <w:szCs w:val="18"/>
          <w:shd w:val="clear" w:color="auto" w:fill="FFFFFF"/>
        </w:rPr>
        <w:t xml:space="preserve">U. </w:t>
      </w:r>
      <w:proofErr w:type="spellStart"/>
      <w:r w:rsidRPr="00422904">
        <w:rPr>
          <w:color w:val="333333"/>
          <w:sz w:val="18"/>
          <w:szCs w:val="18"/>
          <w:shd w:val="clear" w:color="auto" w:fill="FFFFFF"/>
        </w:rPr>
        <w:t>Heibges</w:t>
      </w:r>
      <w:proofErr w:type="spellEnd"/>
      <w:r w:rsidRPr="00422904">
        <w:rPr>
          <w:color w:val="333333"/>
          <w:sz w:val="18"/>
          <w:szCs w:val="18"/>
          <w:shd w:val="clear" w:color="auto" w:fill="FFFFFF"/>
        </w:rPr>
        <w:t xml:space="preserve">, ‘Cicero, A Hypocrite in </w:t>
      </w:r>
      <w:proofErr w:type="spellStart"/>
      <w:r w:rsidRPr="00422904">
        <w:rPr>
          <w:color w:val="333333"/>
          <w:sz w:val="18"/>
          <w:szCs w:val="18"/>
          <w:shd w:val="clear" w:color="auto" w:fill="FFFFFF"/>
        </w:rPr>
        <w:t>Religion?’</w:t>
      </w:r>
      <w:r w:rsidRPr="00422904">
        <w:rPr>
          <w:i/>
          <w:iCs/>
          <w:color w:val="333333"/>
          <w:sz w:val="18"/>
          <w:szCs w:val="18"/>
          <w:shd w:val="clear" w:color="auto" w:fill="FFFFFF"/>
        </w:rPr>
        <w:t>AJP</w:t>
      </w:r>
      <w:proofErr w:type="spellEnd"/>
      <w:r w:rsidRPr="00422904">
        <w:rPr>
          <w:color w:val="333333"/>
          <w:sz w:val="18"/>
          <w:szCs w:val="18"/>
          <w:shd w:val="clear" w:color="auto" w:fill="FFFFFF"/>
        </w:rPr>
        <w:t>. 90 (1969) 304-312.</w:t>
      </w:r>
    </w:p>
  </w:footnote>
  <w:footnote w:id="38">
    <w:p w14:paraId="382FD7D4"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Cicero, 1. XI. 17. P.243</w:t>
      </w:r>
    </w:p>
  </w:footnote>
  <w:footnote w:id="39">
    <w:p w14:paraId="1E779F68" w14:textId="77777777" w:rsidR="00FE5A1B" w:rsidRPr="00422904" w:rsidRDefault="00FE5A1B" w:rsidP="00FE5A1B">
      <w:pPr>
        <w:rPr>
          <w:sz w:val="18"/>
          <w:szCs w:val="18"/>
        </w:rPr>
      </w:pPr>
      <w:r w:rsidRPr="00422904">
        <w:rPr>
          <w:rStyle w:val="FootnoteReference"/>
          <w:color w:val="000000" w:themeColor="text1"/>
          <w:sz w:val="18"/>
          <w:szCs w:val="18"/>
        </w:rPr>
        <w:footnoteRef/>
      </w:r>
      <w:proofErr w:type="spellStart"/>
      <w:r w:rsidRPr="00422904">
        <w:rPr>
          <w:color w:val="000000"/>
          <w:sz w:val="18"/>
          <w:szCs w:val="18"/>
        </w:rPr>
        <w:t>Goar</w:t>
      </w:r>
      <w:proofErr w:type="spellEnd"/>
      <w:r w:rsidRPr="00422904">
        <w:rPr>
          <w:color w:val="000000"/>
          <w:sz w:val="18"/>
          <w:szCs w:val="18"/>
        </w:rPr>
        <w:t xml:space="preserve"> p.246.</w:t>
      </w:r>
    </w:p>
  </w:footnote>
  <w:footnote w:id="40">
    <w:p w14:paraId="6E2B25E1" w14:textId="77777777" w:rsidR="00FE5A1B" w:rsidRPr="00422904" w:rsidRDefault="00FE5A1B" w:rsidP="00FE5A1B">
      <w:pPr>
        <w:rPr>
          <w:sz w:val="18"/>
          <w:szCs w:val="18"/>
        </w:rPr>
      </w:pPr>
      <w:r w:rsidRPr="00422904">
        <w:rPr>
          <w:rStyle w:val="FootnoteReference"/>
          <w:color w:val="000000" w:themeColor="text1"/>
          <w:sz w:val="18"/>
          <w:szCs w:val="18"/>
        </w:rPr>
        <w:footnoteRef/>
      </w:r>
      <w:r w:rsidRPr="00422904">
        <w:rPr>
          <w:color w:val="333333"/>
          <w:sz w:val="18"/>
          <w:szCs w:val="18"/>
          <w:shd w:val="clear" w:color="auto" w:fill="FFFFFF"/>
        </w:rPr>
        <w:t xml:space="preserve">U. </w:t>
      </w:r>
      <w:proofErr w:type="spellStart"/>
      <w:r w:rsidRPr="00422904">
        <w:rPr>
          <w:color w:val="333333"/>
          <w:sz w:val="18"/>
          <w:szCs w:val="18"/>
          <w:shd w:val="clear" w:color="auto" w:fill="FFFFFF"/>
        </w:rPr>
        <w:t>Heibges</w:t>
      </w:r>
      <w:proofErr w:type="spellEnd"/>
      <w:r w:rsidRPr="00422904">
        <w:rPr>
          <w:color w:val="333333"/>
          <w:sz w:val="18"/>
          <w:szCs w:val="18"/>
          <w:shd w:val="clear" w:color="auto" w:fill="FFFFFF"/>
        </w:rPr>
        <w:t xml:space="preserve">, ‘Cicero, A Hypocrite in Religion?’ </w:t>
      </w:r>
      <w:r w:rsidRPr="00422904">
        <w:rPr>
          <w:i/>
          <w:iCs/>
          <w:color w:val="333333"/>
          <w:sz w:val="18"/>
          <w:szCs w:val="18"/>
          <w:shd w:val="clear" w:color="auto" w:fill="FFFFFF"/>
        </w:rPr>
        <w:t>AJP</w:t>
      </w:r>
      <w:r w:rsidRPr="00422904">
        <w:rPr>
          <w:color w:val="333333"/>
          <w:sz w:val="18"/>
          <w:szCs w:val="18"/>
          <w:shd w:val="clear" w:color="auto" w:fill="FFFFFF"/>
        </w:rPr>
        <w:t>. 90 (1969) 304-312. (p.304)</w:t>
      </w:r>
    </w:p>
  </w:footnote>
  <w:footnote w:id="41">
    <w:p w14:paraId="0859256C"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Schofield, III. CICERO SOCRATICUS, p.55</w:t>
      </w:r>
    </w:p>
  </w:footnote>
  <w:footnote w:id="42">
    <w:p w14:paraId="5EFD5D4D" w14:textId="77777777" w:rsidR="00FE5A1B" w:rsidRDefault="00FE5A1B" w:rsidP="00FE5A1B">
      <w:pPr>
        <w:pStyle w:val="FootnoteText"/>
      </w:pPr>
      <w:r w:rsidRPr="00422904">
        <w:rPr>
          <w:rStyle w:val="FootnoteReference"/>
          <w:rFonts w:ascii="Times New Roman" w:hAnsi="Times New Roman" w:cs="Times New Roman"/>
          <w:sz w:val="18"/>
          <w:szCs w:val="18"/>
        </w:rPr>
        <w:footnoteRef/>
      </w:r>
      <w:r w:rsidRPr="00422904">
        <w:rPr>
          <w:rFonts w:ascii="Times New Roman" w:hAnsi="Times New Roman" w:cs="Times New Roman"/>
          <w:color w:val="000000" w:themeColor="text1"/>
          <w:sz w:val="18"/>
          <w:szCs w:val="18"/>
        </w:rPr>
        <w:t>Ibid. p.49</w:t>
      </w:r>
    </w:p>
  </w:footnote>
  <w:footnote w:id="43">
    <w:p w14:paraId="38F12E3C"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hAnsi="Times New Roman" w:cs="Times New Roman"/>
          <w:color w:val="000000" w:themeColor="text1"/>
          <w:sz w:val="18"/>
          <w:szCs w:val="18"/>
        </w:rPr>
        <w:t>Cicero 2, pp.415-417</w:t>
      </w:r>
    </w:p>
    <w:p w14:paraId="178796C8" w14:textId="77777777" w:rsidR="00FE5A1B" w:rsidRPr="00422904" w:rsidRDefault="00FE5A1B" w:rsidP="00FE5A1B">
      <w:pPr>
        <w:pStyle w:val="FootnoteText"/>
        <w:rPr>
          <w:rFonts w:ascii="Times New Roman" w:hAnsi="Times New Roman" w:cs="Times New Roman"/>
          <w:sz w:val="18"/>
          <w:szCs w:val="18"/>
        </w:rPr>
      </w:pPr>
    </w:p>
  </w:footnote>
  <w:footnote w:id="44">
    <w:p w14:paraId="47B0281C" w14:textId="77777777" w:rsidR="00FE5A1B" w:rsidRPr="00422904" w:rsidRDefault="00FE5A1B" w:rsidP="00FE5A1B">
      <w:pPr>
        <w:pStyle w:val="FootnoteText"/>
        <w:rPr>
          <w:rFonts w:ascii="Times New Roman" w:hAnsi="Times New Roman" w:cs="Times New Roman"/>
          <w:color w:val="000000" w:themeColor="text1"/>
          <w:sz w:val="18"/>
          <w:szCs w:val="18"/>
        </w:rPr>
      </w:pPr>
      <w:r w:rsidRPr="00422904">
        <w:rPr>
          <w:rStyle w:val="FootnoteReference"/>
          <w:rFonts w:ascii="Times New Roman" w:hAnsi="Times New Roman" w:cs="Times New Roman"/>
          <w:color w:val="000000" w:themeColor="text1"/>
          <w:sz w:val="18"/>
          <w:szCs w:val="18"/>
        </w:rPr>
        <w:footnoteRef/>
      </w:r>
      <w:r w:rsidRPr="00422904">
        <w:rPr>
          <w:rFonts w:ascii="Times New Roman" w:hAnsi="Times New Roman" w:cs="Times New Roman"/>
          <w:color w:val="000000" w:themeColor="text1"/>
          <w:sz w:val="18"/>
          <w:szCs w:val="18"/>
        </w:rPr>
        <w:t xml:space="preserve"> Ibid, 2. 18, VII.  p391.</w:t>
      </w:r>
    </w:p>
  </w:footnote>
  <w:footnote w:id="45">
    <w:p w14:paraId="4BFF8F84"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hAnsi="Times New Roman" w:cs="Times New Roman"/>
          <w:color w:val="000000" w:themeColor="text1"/>
          <w:sz w:val="18"/>
          <w:szCs w:val="18"/>
          <w:shd w:val="clear" w:color="auto" w:fill="FBF7F5"/>
        </w:rPr>
        <w:t xml:space="preserve">Cicero, De </w:t>
      </w:r>
      <w:proofErr w:type="spellStart"/>
      <w:r w:rsidRPr="00422904">
        <w:rPr>
          <w:rFonts w:ascii="Times New Roman" w:hAnsi="Times New Roman" w:cs="Times New Roman"/>
          <w:color w:val="000000" w:themeColor="text1"/>
          <w:sz w:val="18"/>
          <w:szCs w:val="18"/>
          <w:shd w:val="clear" w:color="auto" w:fill="FBF7F5"/>
        </w:rPr>
        <w:t>Div</w:t>
      </w:r>
      <w:proofErr w:type="spellEnd"/>
      <w:r w:rsidRPr="00422904">
        <w:rPr>
          <w:rFonts w:ascii="Times New Roman" w:hAnsi="Times New Roman" w:cs="Times New Roman"/>
          <w:color w:val="000000" w:themeColor="text1"/>
          <w:sz w:val="18"/>
          <w:szCs w:val="18"/>
          <w:shd w:val="clear" w:color="auto" w:fill="FBF7F5"/>
        </w:rPr>
        <w:t xml:space="preserve">, 2, 74. </w:t>
      </w:r>
      <w:r w:rsidRPr="00422904">
        <w:rPr>
          <w:rFonts w:ascii="Times New Roman" w:hAnsi="Times New Roman" w:cs="Times New Roman"/>
          <w:color w:val="000000" w:themeColor="text1"/>
          <w:sz w:val="18"/>
          <w:szCs w:val="18"/>
        </w:rPr>
        <w:t>p.455</w:t>
      </w:r>
    </w:p>
  </w:footnote>
  <w:footnote w:id="46">
    <w:p w14:paraId="26319086"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w:t>
      </w:r>
      <w:r w:rsidRPr="00422904">
        <w:rPr>
          <w:rFonts w:ascii="Times New Roman" w:eastAsia="Calibri" w:hAnsi="Times New Roman" w:cs="Times New Roman"/>
          <w:color w:val="000000" w:themeColor="text1"/>
          <w:sz w:val="18"/>
          <w:szCs w:val="18"/>
        </w:rPr>
        <w:t>Cicero, 2, 95. p.479.</w:t>
      </w:r>
    </w:p>
  </w:footnote>
  <w:footnote w:id="47">
    <w:p w14:paraId="568228CA" w14:textId="77777777" w:rsidR="00FE5A1B" w:rsidRPr="00422904" w:rsidRDefault="00FE5A1B" w:rsidP="00FE5A1B">
      <w:pPr>
        <w:pStyle w:val="FootnoteText"/>
        <w:rPr>
          <w:rFonts w:ascii="Times New Roman" w:hAnsi="Times New Roman" w:cs="Times New Roman"/>
          <w:sz w:val="18"/>
          <w:szCs w:val="18"/>
        </w:rPr>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Cicero, 1. 11. P.235</w:t>
      </w:r>
    </w:p>
  </w:footnote>
  <w:footnote w:id="48">
    <w:p w14:paraId="5A63AB7E" w14:textId="77777777" w:rsidR="00FE5A1B" w:rsidRDefault="00FE5A1B" w:rsidP="00FE5A1B">
      <w:pPr>
        <w:pStyle w:val="FootnoteText"/>
      </w:pPr>
      <w:r w:rsidRPr="00422904">
        <w:rPr>
          <w:rStyle w:val="FootnoteReference"/>
          <w:rFonts w:ascii="Times New Roman" w:hAnsi="Times New Roman" w:cs="Times New Roman"/>
          <w:sz w:val="18"/>
          <w:szCs w:val="18"/>
        </w:rPr>
        <w:footnoteRef/>
      </w:r>
      <w:r w:rsidRPr="00422904">
        <w:rPr>
          <w:rFonts w:ascii="Times New Roman" w:hAnsi="Times New Roman" w:cs="Times New Roman"/>
          <w:sz w:val="18"/>
          <w:szCs w:val="18"/>
        </w:rPr>
        <w:t xml:space="preserve"> Cicero, 1. XI. 17. P.243</w:t>
      </w:r>
      <w:r w:rsidRPr="00422904">
        <w:rPr>
          <w:rFonts w:ascii="Times New Roman" w:hAnsi="Times New Roman" w:cs="Times New Roman"/>
          <w:sz w:val="18"/>
          <w:szCs w:val="18"/>
        </w:rPr>
        <w:tab/>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4879008"/>
      <w:docPartObj>
        <w:docPartGallery w:val="Page Numbers (Top of Page)"/>
        <w:docPartUnique/>
      </w:docPartObj>
    </w:sdtPr>
    <w:sdtContent>
      <w:p w14:paraId="3CB6E002" w14:textId="77777777" w:rsidR="0000610F" w:rsidRDefault="00000000" w:rsidP="003B324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BC8165" w14:textId="77777777" w:rsidR="0000610F" w:rsidRDefault="00000000" w:rsidP="00895E7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1749159"/>
      <w:docPartObj>
        <w:docPartGallery w:val="Page Numbers (Top of Page)"/>
        <w:docPartUnique/>
      </w:docPartObj>
    </w:sdtPr>
    <w:sdtContent>
      <w:p w14:paraId="5967B744" w14:textId="77777777" w:rsidR="0000610F" w:rsidRDefault="00000000" w:rsidP="003B324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AEE8670" w14:textId="77777777" w:rsidR="0000610F" w:rsidRDefault="00000000" w:rsidP="00895E7C">
    <w:pPr>
      <w:pStyle w:val="Header"/>
      <w:ind w:right="360"/>
    </w:pPr>
    <w:r>
      <w:t xml:space="preserve">Cara </w:t>
    </w:r>
    <w:proofErr w:type="spellStart"/>
    <w:r>
      <w:t>Braia</w:t>
    </w:r>
    <w:proofErr w:type="spellEnd"/>
  </w:p>
  <w:p w14:paraId="2BA8759E" w14:textId="77777777" w:rsidR="0000610F"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6E1908"/>
    <w:multiLevelType w:val="hybridMultilevel"/>
    <w:tmpl w:val="0C3EE2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81244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1B"/>
    <w:rsid w:val="00422904"/>
    <w:rsid w:val="00565521"/>
    <w:rsid w:val="007321EA"/>
    <w:rsid w:val="00A66C5D"/>
    <w:rsid w:val="00A8692A"/>
    <w:rsid w:val="00B643CB"/>
    <w:rsid w:val="00FE5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5FC5FC"/>
  <w15:chartTrackingRefBased/>
  <w15:docId w15:val="{3B53A824-4DCB-AB46-9318-BBBD65352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A1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E5A1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A1B"/>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59"/>
    <w:rsid w:val="00FE5A1B"/>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E5A1B"/>
    <w:rPr>
      <w:color w:val="0563C1" w:themeColor="hyperlink"/>
      <w:u w:val="single"/>
    </w:rPr>
  </w:style>
  <w:style w:type="character" w:styleId="FootnoteReference">
    <w:name w:val="footnote reference"/>
    <w:basedOn w:val="DefaultParagraphFont"/>
    <w:uiPriority w:val="99"/>
    <w:unhideWhenUsed/>
    <w:qFormat/>
    <w:rsid w:val="00FE5A1B"/>
    <w:rPr>
      <w:vertAlign w:val="superscript"/>
    </w:rPr>
  </w:style>
  <w:style w:type="paragraph" w:styleId="ListParagraph">
    <w:name w:val="List Paragraph"/>
    <w:basedOn w:val="Normal"/>
    <w:uiPriority w:val="34"/>
    <w:qFormat/>
    <w:rsid w:val="00FE5A1B"/>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FootnoteTextChar">
    <w:name w:val="Footnote Text Char"/>
    <w:basedOn w:val="DefaultParagraphFont"/>
    <w:link w:val="FootnoteText"/>
    <w:uiPriority w:val="99"/>
    <w:qFormat/>
    <w:rsid w:val="00FE5A1B"/>
    <w:rPr>
      <w:sz w:val="20"/>
      <w:szCs w:val="20"/>
    </w:rPr>
  </w:style>
  <w:style w:type="paragraph" w:styleId="FootnoteText">
    <w:name w:val="footnote text"/>
    <w:basedOn w:val="Normal"/>
    <w:link w:val="FootnoteTextChar"/>
    <w:uiPriority w:val="99"/>
    <w:unhideWhenUsed/>
    <w:qFormat/>
    <w:rsid w:val="00FE5A1B"/>
    <w:rPr>
      <w:rFonts w:asciiTheme="minorHAnsi" w:eastAsiaTheme="minorHAnsi" w:hAnsiTheme="minorHAnsi" w:cstheme="minorBidi"/>
      <w:sz w:val="20"/>
      <w:szCs w:val="20"/>
      <w:lang w:eastAsia="en-US"/>
    </w:rPr>
  </w:style>
  <w:style w:type="character" w:customStyle="1" w:styleId="FootnoteTextChar1">
    <w:name w:val="Footnote Text Char1"/>
    <w:basedOn w:val="DefaultParagraphFont"/>
    <w:uiPriority w:val="99"/>
    <w:semiHidden/>
    <w:rsid w:val="00FE5A1B"/>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E5A1B"/>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FE5A1B"/>
    <w:rPr>
      <w:sz w:val="22"/>
      <w:szCs w:val="22"/>
    </w:rPr>
  </w:style>
  <w:style w:type="character" w:styleId="PageNumber">
    <w:name w:val="page number"/>
    <w:basedOn w:val="DefaultParagraphFont"/>
    <w:uiPriority w:val="99"/>
    <w:semiHidden/>
    <w:unhideWhenUsed/>
    <w:rsid w:val="00FE5A1B"/>
  </w:style>
  <w:style w:type="paragraph" w:styleId="NormalWeb">
    <w:name w:val="Normal (Web)"/>
    <w:basedOn w:val="Normal"/>
    <w:uiPriority w:val="99"/>
    <w:unhideWhenUsed/>
    <w:rsid w:val="00FE5A1B"/>
    <w:pPr>
      <w:spacing w:before="100" w:beforeAutospacing="1" w:after="100" w:afterAutospacing="1"/>
    </w:pPr>
  </w:style>
  <w:style w:type="character" w:customStyle="1" w:styleId="a-size-extra-large">
    <w:name w:val="a-size-extra-large"/>
    <w:basedOn w:val="DefaultParagraphFont"/>
    <w:rsid w:val="00FE5A1B"/>
  </w:style>
  <w:style w:type="character" w:styleId="CommentReference">
    <w:name w:val="annotation reference"/>
    <w:basedOn w:val="DefaultParagraphFont"/>
    <w:uiPriority w:val="99"/>
    <w:semiHidden/>
    <w:unhideWhenUsed/>
    <w:rsid w:val="00FE5A1B"/>
    <w:rPr>
      <w:sz w:val="16"/>
      <w:szCs w:val="16"/>
    </w:rPr>
  </w:style>
  <w:style w:type="paragraph" w:styleId="CommentText">
    <w:name w:val="annotation text"/>
    <w:basedOn w:val="Normal"/>
    <w:link w:val="CommentTextChar"/>
    <w:uiPriority w:val="99"/>
    <w:semiHidden/>
    <w:unhideWhenUsed/>
    <w:rsid w:val="00FE5A1B"/>
    <w:rPr>
      <w:sz w:val="20"/>
      <w:szCs w:val="20"/>
    </w:rPr>
  </w:style>
  <w:style w:type="character" w:customStyle="1" w:styleId="CommentTextChar">
    <w:name w:val="Comment Text Char"/>
    <w:basedOn w:val="DefaultParagraphFont"/>
    <w:link w:val="CommentText"/>
    <w:uiPriority w:val="99"/>
    <w:semiHidden/>
    <w:rsid w:val="00FE5A1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greenbaum@uwtsd.ac.uk" TargetMode="External"/><Relationship Id="rId13" Type="http://schemas.openxmlformats.org/officeDocument/2006/relationships/hyperlink" Target="https://doi.org/10.2307/4348603" TargetMode="External"/><Relationship Id="rId3" Type="http://schemas.openxmlformats.org/officeDocument/2006/relationships/settings" Target="settings.xml"/><Relationship Id="rId7" Type="http://schemas.openxmlformats.org/officeDocument/2006/relationships/hyperlink" Target="mailto:2116365@student.uwtsd.ac.uk" TargetMode="External"/><Relationship Id="rId12" Type="http://schemas.openxmlformats.org/officeDocument/2006/relationships/hyperlink" Target="https://doi.org/10.2307/293584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30107808"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mailto:d.collins@uwtsd.ac.uk" TargetMode="External"/><Relationship Id="rId4" Type="http://schemas.openxmlformats.org/officeDocument/2006/relationships/webSettings" Target="webSettings.xml"/><Relationship Id="rId9" Type="http://schemas.openxmlformats.org/officeDocument/2006/relationships/hyperlink" Target="mailto:crystal.addey@ucc.ie"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loebclassics-com.ezproxy.uwtsd.ac.uk/view/LCL154/1923/volume.xml" TargetMode="External"/><Relationship Id="rId2" Type="http://schemas.openxmlformats.org/officeDocument/2006/relationships/hyperlink" Target="https://www-loebclassics-com.ezproxy.uwtsd.ac.uk/view/LCL154/1923/volume.xml" TargetMode="External"/><Relationship Id="rId1" Type="http://schemas.openxmlformats.org/officeDocument/2006/relationships/hyperlink" Target="https://doi.org/10.2307/4348603" TargetMode="External"/><Relationship Id="rId4" Type="http://schemas.openxmlformats.org/officeDocument/2006/relationships/hyperlink" Target="https://doi.org/10.2307/29358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10</Pages>
  <Words>3061</Words>
  <Characters>17451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Braia (2116365)</dc:creator>
  <cp:keywords/>
  <dc:description/>
  <cp:lastModifiedBy>Cara Braia (2116365)</cp:lastModifiedBy>
  <cp:revision>2</cp:revision>
  <dcterms:created xsi:type="dcterms:W3CDTF">2022-07-30T11:34:00Z</dcterms:created>
  <dcterms:modified xsi:type="dcterms:W3CDTF">2022-07-30T11:43:00Z</dcterms:modified>
</cp:coreProperties>
</file>