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A65" w:rsidRPr="00123A65" w:rsidRDefault="00123A65" w:rsidP="0023724A">
      <w:pPr>
        <w:pStyle w:val="NormalWeb"/>
        <w:spacing w:after="0"/>
        <w:ind w:right="-334"/>
        <w:rPr>
          <w:rFonts w:ascii="Georgia" w:eastAsia="SimSun" w:hAnsi="Georgia"/>
          <w:color w:val="000000"/>
          <w:sz w:val="21"/>
          <w:szCs w:val="21"/>
          <w:lang w:eastAsia="zh-CN"/>
        </w:rPr>
      </w:pPr>
      <w:r w:rsidRPr="00123A65">
        <w:rPr>
          <w:rFonts w:ascii="Georgia" w:eastAsia="SimSun" w:hAnsi="Georgia"/>
          <w:noProof/>
          <w:color w:val="000000"/>
          <w:sz w:val="21"/>
          <w:szCs w:val="21"/>
          <w:lang w:eastAsia="en-GB"/>
        </w:rPr>
        <w:drawing>
          <wp:inline distT="0" distB="0" distL="0" distR="0">
            <wp:extent cx="1906270" cy="635635"/>
            <wp:effectExtent l="19050" t="19050" r="17780" b="1206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5635"/>
                    </a:xfrm>
                    <a:prstGeom prst="rect">
                      <a:avLst/>
                    </a:prstGeom>
                    <a:noFill/>
                    <a:ln w="19050" cmpd="sng">
                      <a:solidFill>
                        <a:srgbClr val="000000"/>
                      </a:solidFill>
                      <a:miter lim="800000"/>
                      <a:headEnd/>
                      <a:tailEnd/>
                    </a:ln>
                    <a:effectLst/>
                  </pic:spPr>
                </pic:pic>
              </a:graphicData>
            </a:graphic>
          </wp:inline>
        </w:drawing>
      </w:r>
    </w:p>
    <w:p w:rsidR="00123A65" w:rsidRPr="00123A65" w:rsidRDefault="00123A65" w:rsidP="00123A65">
      <w:pPr>
        <w:spacing w:after="0" w:line="240" w:lineRule="auto"/>
        <w:ind w:left="-180" w:right="-334"/>
        <w:rPr>
          <w:rFonts w:ascii="Georgia" w:eastAsia="SimSun" w:hAnsi="Georgia" w:cs="Times New Roman"/>
          <w:color w:val="000000"/>
          <w:sz w:val="21"/>
          <w:szCs w:val="21"/>
          <w:lang w:eastAsia="zh-CN"/>
        </w:rPr>
      </w:pPr>
    </w:p>
    <w:p w:rsidR="00123A65" w:rsidRPr="00123A65" w:rsidRDefault="00123A65" w:rsidP="00123A65">
      <w:pPr>
        <w:spacing w:after="0" w:line="240" w:lineRule="auto"/>
        <w:ind w:left="-180" w:right="-334"/>
        <w:rPr>
          <w:rFonts w:ascii="Georgia" w:eastAsia="SimSun" w:hAnsi="Georgia" w:cs="Times New Roman"/>
          <w:color w:val="000000"/>
          <w:sz w:val="21"/>
          <w:szCs w:val="21"/>
          <w:lang w:eastAsia="zh-CN"/>
        </w:rPr>
      </w:pPr>
    </w:p>
    <w:p w:rsidR="00123A65" w:rsidRPr="00123A65" w:rsidRDefault="00123A65" w:rsidP="00123A65">
      <w:pPr>
        <w:spacing w:after="0" w:line="240" w:lineRule="auto"/>
        <w:ind w:left="-180" w:right="-334"/>
        <w:jc w:val="center"/>
        <w:rPr>
          <w:rFonts w:ascii="Arial" w:eastAsia="SimSun" w:hAnsi="Arial" w:cs="Arial"/>
          <w:b/>
          <w:color w:val="000000"/>
          <w:sz w:val="28"/>
          <w:szCs w:val="28"/>
          <w:lang w:val="cy-GB" w:eastAsia="zh-CN"/>
        </w:rPr>
      </w:pPr>
      <w:r w:rsidRPr="00123A65">
        <w:rPr>
          <w:rFonts w:ascii="Arial" w:eastAsia="SimSun" w:hAnsi="Arial" w:cs="Arial"/>
          <w:b/>
          <w:color w:val="000000"/>
          <w:sz w:val="28"/>
          <w:szCs w:val="28"/>
          <w:lang w:val="cy-GB" w:eastAsia="zh-CN"/>
        </w:rPr>
        <w:t xml:space="preserve">Postgraduate/Distance Learning </w:t>
      </w:r>
    </w:p>
    <w:p w:rsidR="00123A65" w:rsidRPr="00123A65" w:rsidRDefault="00123A65" w:rsidP="00123A65">
      <w:pPr>
        <w:spacing w:after="0" w:line="240" w:lineRule="auto"/>
        <w:ind w:left="-180" w:right="-334"/>
        <w:jc w:val="center"/>
        <w:rPr>
          <w:rFonts w:ascii="Arial" w:eastAsia="SimSun" w:hAnsi="Arial" w:cs="Arial"/>
          <w:b/>
          <w:color w:val="000000"/>
          <w:sz w:val="28"/>
          <w:szCs w:val="28"/>
          <w:lang w:eastAsia="zh-CN"/>
        </w:rPr>
      </w:pPr>
      <w:r w:rsidRPr="00123A65">
        <w:rPr>
          <w:rFonts w:ascii="Arial" w:eastAsia="SimSun" w:hAnsi="Arial" w:cs="Arial"/>
          <w:b/>
          <w:color w:val="000000"/>
          <w:sz w:val="28"/>
          <w:szCs w:val="28"/>
          <w:lang w:val="cy-GB" w:eastAsia="zh-CN"/>
        </w:rPr>
        <w:t>Assignment coversheet &amp; feedback form</w:t>
      </w:r>
    </w:p>
    <w:p w:rsidR="00123A65" w:rsidRPr="00123A65" w:rsidRDefault="00123A65" w:rsidP="00123A65">
      <w:pPr>
        <w:spacing w:after="0" w:line="240" w:lineRule="auto"/>
        <w:rPr>
          <w:rFonts w:ascii="Arial" w:eastAsia="SimSun" w:hAnsi="Arial" w:cs="Arial"/>
          <w:sz w:val="28"/>
          <w:szCs w:val="28"/>
          <w:lang w:val="cy-GB" w:eastAsia="zh-CN"/>
        </w:rPr>
      </w:pPr>
    </w:p>
    <w:p w:rsidR="00123A65" w:rsidRPr="00123A65" w:rsidRDefault="00123A65" w:rsidP="00123A65">
      <w:pPr>
        <w:keepNext/>
        <w:spacing w:after="0" w:line="240" w:lineRule="auto"/>
        <w:ind w:left="720"/>
        <w:jc w:val="center"/>
        <w:outlineLvl w:val="2"/>
        <w:rPr>
          <w:rFonts w:ascii="Tahoma" w:eastAsia="SimSun" w:hAnsi="Tahoma" w:cs="Tahoma"/>
          <w:b/>
          <w:bCs/>
          <w:sz w:val="20"/>
          <w:szCs w:val="20"/>
          <w:lang w:val="cy-GB" w:eastAsia="zh-CN"/>
        </w:rPr>
      </w:pPr>
      <w:r w:rsidRPr="00123A65">
        <w:rPr>
          <w:rFonts w:ascii="Tahoma" w:eastAsia="SimSun" w:hAnsi="Tahoma" w:cs="Tahoma"/>
          <w:b/>
          <w:bCs/>
          <w:sz w:val="20"/>
          <w:szCs w:val="20"/>
          <w:lang w:val="cy-GB" w:eastAsia="zh-CN"/>
        </w:rPr>
        <w:t>THIS SHEET MUST BE THE FIRST PAGE OF THE ASSIGNMENT YOU ARE SUBMITTING  (DO NOT SEND AS A SEPARATE FILE)</w:t>
      </w:r>
    </w:p>
    <w:p w:rsidR="00123A65" w:rsidRPr="00123A65" w:rsidRDefault="00123A65" w:rsidP="00123A65">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23A65" w:rsidRPr="00123A65" w:rsidTr="00DD245A">
        <w:trPr>
          <w:trHeight w:val="614"/>
        </w:trPr>
        <w:tc>
          <w:tcPr>
            <w:tcW w:w="8856" w:type="dxa"/>
            <w:gridSpan w:val="5"/>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b/>
                <w:color w:val="000000"/>
                <w:lang w:eastAsia="zh-CN"/>
              </w:rPr>
              <w:t>For completion by the student</w:t>
            </w:r>
            <w:r w:rsidRPr="00123A65">
              <w:rPr>
                <w:rFonts w:ascii="Arial" w:eastAsia="SimSun" w:hAnsi="Arial" w:cs="Arial"/>
                <w:color w:val="000000"/>
                <w:lang w:eastAsia="zh-CN"/>
              </w:rPr>
              <w:t>:</w:t>
            </w:r>
          </w:p>
        </w:tc>
      </w:tr>
      <w:tr w:rsidR="00123A65" w:rsidRPr="00123A65" w:rsidTr="00DD245A">
        <w:trPr>
          <w:trHeight w:val="718"/>
        </w:trPr>
        <w:tc>
          <w:tcPr>
            <w:tcW w:w="8856" w:type="dxa"/>
            <w:gridSpan w:val="5"/>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St</w:t>
            </w:r>
            <w:r w:rsidR="00E17AA5">
              <w:rPr>
                <w:rFonts w:ascii="Arial" w:eastAsia="SimSun" w:hAnsi="Arial" w:cs="Arial"/>
                <w:color w:val="000000"/>
                <w:lang w:eastAsia="zh-CN"/>
              </w:rPr>
              <w:t>udent Name:  Daniel Farrington</w:t>
            </w:r>
          </w:p>
          <w:p w:rsidR="00123A65" w:rsidRPr="00123A65" w:rsidRDefault="00123A65" w:rsidP="00123A65">
            <w:pPr>
              <w:spacing w:after="0" w:line="240" w:lineRule="auto"/>
              <w:ind w:right="34"/>
              <w:rPr>
                <w:rFonts w:ascii="Arial" w:eastAsia="SimSun" w:hAnsi="Arial" w:cs="Arial"/>
                <w:color w:val="000000"/>
                <w:lang w:eastAsia="zh-CN"/>
              </w:rPr>
            </w:pPr>
          </w:p>
        </w:tc>
      </w:tr>
      <w:tr w:rsidR="00123A65" w:rsidRPr="00123A65" w:rsidTr="00DD245A">
        <w:trPr>
          <w:trHeight w:val="849"/>
        </w:trPr>
        <w:tc>
          <w:tcPr>
            <w:tcW w:w="4788" w:type="dxa"/>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Module code: AHHI7016</w:t>
            </w:r>
          </w:p>
          <w:p w:rsidR="00123A65" w:rsidRPr="00123A65" w:rsidRDefault="00123A65" w:rsidP="00123A65">
            <w:pPr>
              <w:spacing w:after="0" w:line="240" w:lineRule="auto"/>
              <w:ind w:right="34"/>
              <w:rPr>
                <w:rFonts w:ascii="Arial" w:eastAsia="SimSun" w:hAnsi="Arial" w:cs="Arial"/>
                <w:color w:val="000000"/>
                <w:lang w:eastAsia="zh-CN"/>
              </w:rPr>
            </w:pPr>
          </w:p>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Module title: Studying the Medieval: Manuscripts and Records</w:t>
            </w:r>
          </w:p>
          <w:p w:rsidR="00123A65" w:rsidRPr="00123A65" w:rsidRDefault="00123A65" w:rsidP="00123A65">
            <w:pPr>
              <w:spacing w:after="0" w:line="240" w:lineRule="auto"/>
              <w:ind w:right="34"/>
              <w:rPr>
                <w:rFonts w:ascii="Arial" w:eastAsia="SimSun" w:hAnsi="Arial" w:cs="Arial"/>
                <w:color w:val="000000"/>
                <w:lang w:eastAsia="zh-CN"/>
              </w:rPr>
            </w:pPr>
          </w:p>
        </w:tc>
        <w:tc>
          <w:tcPr>
            <w:tcW w:w="2266" w:type="dxa"/>
            <w:gridSpan w:val="3"/>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Student ID number:</w:t>
            </w:r>
          </w:p>
          <w:p w:rsidR="00123A65" w:rsidRPr="00123A65" w:rsidRDefault="00123A65" w:rsidP="00123A65">
            <w:pPr>
              <w:spacing w:after="0" w:line="240" w:lineRule="auto"/>
              <w:ind w:right="34"/>
              <w:rPr>
                <w:rFonts w:ascii="Arial" w:eastAsia="SimSun" w:hAnsi="Arial" w:cs="Arial"/>
                <w:color w:val="000000"/>
                <w:lang w:eastAsia="zh-CN"/>
              </w:rPr>
            </w:pPr>
          </w:p>
          <w:p w:rsidR="00123A65" w:rsidRPr="00123A65" w:rsidRDefault="00123A65" w:rsidP="00123A65">
            <w:pPr>
              <w:spacing w:after="0" w:line="240" w:lineRule="auto"/>
              <w:ind w:right="34"/>
              <w:jc w:val="center"/>
              <w:rPr>
                <w:rFonts w:ascii="Arial" w:eastAsia="SimSun" w:hAnsi="Arial" w:cs="Arial"/>
                <w:color w:val="000000"/>
                <w:lang w:eastAsia="zh-CN"/>
              </w:rPr>
            </w:pPr>
            <w:r w:rsidRPr="00123A65">
              <w:rPr>
                <w:rFonts w:ascii="Arial" w:eastAsia="SimSun" w:hAnsi="Arial" w:cs="Arial"/>
                <w:color w:val="000000"/>
                <w:lang w:eastAsia="zh-CN"/>
              </w:rPr>
              <w:t>1807596</w:t>
            </w:r>
          </w:p>
        </w:tc>
        <w:tc>
          <w:tcPr>
            <w:tcW w:w="1802" w:type="dxa"/>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Educational support needs:</w:t>
            </w:r>
          </w:p>
          <w:p w:rsidR="00123A65" w:rsidRPr="00123A65" w:rsidRDefault="00123A65" w:rsidP="00050BAF">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No</w:t>
            </w:r>
          </w:p>
        </w:tc>
      </w:tr>
      <w:tr w:rsidR="00123A65" w:rsidRPr="00123A65" w:rsidTr="00DD245A">
        <w:trPr>
          <w:trHeight w:val="1139"/>
        </w:trPr>
        <w:tc>
          <w:tcPr>
            <w:tcW w:w="8856" w:type="dxa"/>
            <w:gridSpan w:val="5"/>
          </w:tcPr>
          <w:p w:rsidR="00123A65" w:rsidRPr="00123A65" w:rsidRDefault="00123A65" w:rsidP="00123A65">
            <w:pPr>
              <w:spacing w:before="100" w:beforeAutospacing="1" w:after="100" w:afterAutospacing="1" w:line="240" w:lineRule="auto"/>
              <w:ind w:right="34"/>
              <w:rPr>
                <w:rFonts w:ascii="Arial" w:eastAsia="SimSun" w:hAnsi="Arial" w:cs="Arial"/>
                <w:color w:val="000000"/>
                <w:lang w:eastAsia="zh-CN"/>
              </w:rPr>
            </w:pPr>
            <w:r w:rsidRPr="00123A65">
              <w:rPr>
                <w:rFonts w:ascii="Arial" w:eastAsia="SimSun" w:hAnsi="Arial" w:cs="Arial"/>
                <w:color w:val="000000"/>
                <w:lang w:eastAsia="zh-CN"/>
              </w:rPr>
              <w:t>Module tutor: Janet Burton</w:t>
            </w:r>
          </w:p>
          <w:p w:rsidR="00123A65" w:rsidRPr="00123A65" w:rsidRDefault="00123A65" w:rsidP="00123A65">
            <w:pPr>
              <w:spacing w:after="0" w:line="240" w:lineRule="auto"/>
              <w:ind w:right="34"/>
              <w:rPr>
                <w:rFonts w:ascii="Arial" w:eastAsia="SimSun" w:hAnsi="Arial" w:cs="Arial"/>
                <w:color w:val="000000"/>
                <w:lang w:eastAsia="zh-CN"/>
              </w:rPr>
            </w:pPr>
          </w:p>
          <w:p w:rsidR="00123A65" w:rsidRPr="00123A65" w:rsidRDefault="00123A65" w:rsidP="00123A65">
            <w:pPr>
              <w:spacing w:after="0" w:line="240" w:lineRule="auto"/>
              <w:ind w:right="34"/>
              <w:rPr>
                <w:rFonts w:ascii="Arial" w:eastAsia="SimSun" w:hAnsi="Arial" w:cs="Arial"/>
                <w:color w:val="000000"/>
                <w:lang w:eastAsia="zh-CN"/>
              </w:rPr>
            </w:pPr>
          </w:p>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Assignment due date: 25 Jan 2019</w:t>
            </w:r>
          </w:p>
        </w:tc>
      </w:tr>
      <w:tr w:rsidR="00123A65" w:rsidRPr="00123A65" w:rsidTr="00DD245A">
        <w:trPr>
          <w:trHeight w:val="978"/>
        </w:trPr>
        <w:tc>
          <w:tcPr>
            <w:tcW w:w="8856" w:type="dxa"/>
            <w:gridSpan w:val="5"/>
            <w:tcBorders>
              <w:bottom w:val="single" w:sz="4" w:space="0" w:color="000000"/>
            </w:tcBorders>
          </w:tcPr>
          <w:p w:rsidR="00123A65" w:rsidRPr="00123A65" w:rsidRDefault="00123A65" w:rsidP="00123A65">
            <w:pPr>
              <w:spacing w:after="0" w:line="240" w:lineRule="auto"/>
              <w:rPr>
                <w:rFonts w:ascii="Arial" w:eastAsia="SimSun" w:hAnsi="Arial" w:cs="Arial"/>
                <w:lang w:eastAsia="zh-CN"/>
              </w:rPr>
            </w:pPr>
            <w:r w:rsidRPr="00123A65">
              <w:rPr>
                <w:rFonts w:ascii="Arial" w:eastAsia="SimSun" w:hAnsi="Arial" w:cs="Arial"/>
                <w:lang w:eastAsia="zh-CN"/>
              </w:rPr>
              <w:t>If your module has multiple submissions please indicate which piece of work this is.</w:t>
            </w:r>
          </w:p>
          <w:p w:rsidR="00123A65" w:rsidRPr="00123A65" w:rsidRDefault="00123A65" w:rsidP="00123A65">
            <w:pPr>
              <w:spacing w:after="0" w:line="240" w:lineRule="auto"/>
              <w:rPr>
                <w:rFonts w:ascii="Arial" w:eastAsia="SimSun" w:hAnsi="Arial" w:cs="Arial"/>
                <w:lang w:eastAsia="zh-CN"/>
              </w:rPr>
            </w:pPr>
          </w:p>
          <w:p w:rsidR="00123A65" w:rsidRPr="00123A65" w:rsidRDefault="00123A65" w:rsidP="00123A65">
            <w:pPr>
              <w:spacing w:after="0" w:line="240" w:lineRule="auto"/>
              <w:rPr>
                <w:rFonts w:ascii="Arial" w:eastAsia="SimSun" w:hAnsi="Arial" w:cs="Arial"/>
                <w:lang w:eastAsia="zh-CN"/>
              </w:rPr>
            </w:pPr>
            <w:r w:rsidRPr="00123A65">
              <w:rPr>
                <w:rFonts w:ascii="Arial" w:eastAsia="SimSun" w:hAnsi="Arial" w:cs="Arial"/>
                <w:lang w:eastAsia="zh-CN"/>
              </w:rPr>
              <w:t>1</w:t>
            </w:r>
            <w:r w:rsidRPr="00123A65">
              <w:rPr>
                <w:rFonts w:ascii="Arial" w:eastAsia="SimSun" w:hAnsi="Arial" w:cs="Arial"/>
                <w:vertAlign w:val="superscript"/>
                <w:lang w:eastAsia="zh-CN"/>
              </w:rPr>
              <w:t xml:space="preserve">st </w:t>
            </w:r>
            <w:r w:rsidRPr="00123A65">
              <w:rPr>
                <w:rFonts w:ascii="Arial" w:eastAsia="SimSun" w:hAnsi="Arial" w:cs="Arial"/>
                <w:lang w:eastAsia="zh-CN"/>
              </w:rPr>
              <w:fldChar w:fldCharType="begin">
                <w:ffData>
                  <w:name w:val="Check13"/>
                  <w:enabled/>
                  <w:calcOnExit w:val="0"/>
                  <w:checkBox>
                    <w:sizeAuto/>
                    <w:default w:val="0"/>
                  </w:checkBox>
                </w:ffData>
              </w:fldChar>
            </w:r>
            <w:bookmarkStart w:id="0" w:name="Check13"/>
            <w:r w:rsidRPr="00123A65">
              <w:rPr>
                <w:rFonts w:ascii="Arial" w:eastAsia="SimSun" w:hAnsi="Arial" w:cs="Arial"/>
                <w:lang w:eastAsia="zh-CN"/>
              </w:rPr>
              <w:instrText xml:space="preserve"> FORMCHECKBOX </w:instrText>
            </w:r>
            <w:r w:rsidR="00CA4686">
              <w:rPr>
                <w:rFonts w:ascii="Arial" w:eastAsia="SimSun" w:hAnsi="Arial" w:cs="Arial"/>
                <w:lang w:eastAsia="zh-CN"/>
              </w:rPr>
            </w:r>
            <w:r w:rsidR="00CA4686">
              <w:rPr>
                <w:rFonts w:ascii="Arial" w:eastAsia="SimSun" w:hAnsi="Arial" w:cs="Arial"/>
                <w:lang w:eastAsia="zh-CN"/>
              </w:rPr>
              <w:fldChar w:fldCharType="separate"/>
            </w:r>
            <w:r w:rsidRPr="00123A65">
              <w:rPr>
                <w:rFonts w:ascii="Arial" w:eastAsia="SimSun" w:hAnsi="Arial" w:cs="Arial"/>
                <w:lang w:eastAsia="zh-CN"/>
              </w:rPr>
              <w:fldChar w:fldCharType="end"/>
            </w:r>
            <w:bookmarkEnd w:id="0"/>
            <w:r w:rsidRPr="00123A65">
              <w:rPr>
                <w:rFonts w:ascii="Arial" w:eastAsia="SimSun" w:hAnsi="Arial" w:cs="Arial"/>
                <w:lang w:eastAsia="zh-CN"/>
              </w:rPr>
              <w:t xml:space="preserve">    2</w:t>
            </w:r>
            <w:r w:rsidRPr="00123A65">
              <w:rPr>
                <w:rFonts w:ascii="Arial" w:eastAsia="SimSun" w:hAnsi="Arial" w:cs="Arial"/>
                <w:vertAlign w:val="superscript"/>
                <w:lang w:eastAsia="zh-CN"/>
              </w:rPr>
              <w:t>nd</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4"/>
                  <w:enabled/>
                  <w:calcOnExit w:val="0"/>
                  <w:checkBox>
                    <w:sizeAuto/>
                    <w:default w:val="0"/>
                  </w:checkBox>
                </w:ffData>
              </w:fldChar>
            </w:r>
            <w:bookmarkStart w:id="1" w:name="Check14"/>
            <w:r w:rsidRPr="00123A65">
              <w:rPr>
                <w:rFonts w:ascii="Arial" w:eastAsia="SimSun" w:hAnsi="Arial" w:cs="Arial"/>
                <w:lang w:eastAsia="zh-CN"/>
              </w:rPr>
              <w:instrText xml:space="preserve"> FORMCHECKBOX </w:instrText>
            </w:r>
            <w:r w:rsidR="00CA4686">
              <w:rPr>
                <w:rFonts w:ascii="Arial" w:eastAsia="SimSun" w:hAnsi="Arial" w:cs="Arial"/>
                <w:lang w:eastAsia="zh-CN"/>
              </w:rPr>
            </w:r>
            <w:r w:rsidR="00CA4686">
              <w:rPr>
                <w:rFonts w:ascii="Arial" w:eastAsia="SimSun" w:hAnsi="Arial" w:cs="Arial"/>
                <w:lang w:eastAsia="zh-CN"/>
              </w:rPr>
              <w:fldChar w:fldCharType="separate"/>
            </w:r>
            <w:r w:rsidRPr="00123A65">
              <w:rPr>
                <w:rFonts w:ascii="Arial" w:eastAsia="SimSun" w:hAnsi="Arial" w:cs="Arial"/>
                <w:lang w:eastAsia="zh-CN"/>
              </w:rPr>
              <w:fldChar w:fldCharType="end"/>
            </w:r>
            <w:bookmarkEnd w:id="1"/>
            <w:r w:rsidRPr="00123A65">
              <w:rPr>
                <w:rFonts w:ascii="Arial" w:eastAsia="SimSun" w:hAnsi="Arial" w:cs="Arial"/>
                <w:lang w:eastAsia="zh-CN"/>
              </w:rPr>
              <w:t xml:space="preserve">     3</w:t>
            </w:r>
            <w:r w:rsidRPr="00123A65">
              <w:rPr>
                <w:rFonts w:ascii="Arial" w:eastAsia="SimSun" w:hAnsi="Arial" w:cs="Arial"/>
                <w:vertAlign w:val="superscript"/>
                <w:lang w:eastAsia="zh-CN"/>
              </w:rPr>
              <w:t>rd</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5"/>
                  <w:enabled/>
                  <w:calcOnExit w:val="0"/>
                  <w:checkBox>
                    <w:sizeAuto/>
                    <w:default w:val="1"/>
                  </w:checkBox>
                </w:ffData>
              </w:fldChar>
            </w:r>
            <w:bookmarkStart w:id="2" w:name="Check15"/>
            <w:r w:rsidRPr="00123A65">
              <w:rPr>
                <w:rFonts w:ascii="Arial" w:eastAsia="SimSun" w:hAnsi="Arial" w:cs="Arial"/>
                <w:lang w:eastAsia="zh-CN"/>
              </w:rPr>
              <w:instrText xml:space="preserve"> FORMCHECKBOX </w:instrText>
            </w:r>
            <w:r w:rsidR="00CA4686">
              <w:rPr>
                <w:rFonts w:ascii="Arial" w:eastAsia="SimSun" w:hAnsi="Arial" w:cs="Arial"/>
                <w:lang w:eastAsia="zh-CN"/>
              </w:rPr>
            </w:r>
            <w:r w:rsidR="00CA4686">
              <w:rPr>
                <w:rFonts w:ascii="Arial" w:eastAsia="SimSun" w:hAnsi="Arial" w:cs="Arial"/>
                <w:lang w:eastAsia="zh-CN"/>
              </w:rPr>
              <w:fldChar w:fldCharType="separate"/>
            </w:r>
            <w:r w:rsidRPr="00123A65">
              <w:rPr>
                <w:rFonts w:ascii="Arial" w:eastAsia="SimSun" w:hAnsi="Arial" w:cs="Arial"/>
                <w:lang w:eastAsia="zh-CN"/>
              </w:rPr>
              <w:fldChar w:fldCharType="end"/>
            </w:r>
            <w:bookmarkEnd w:id="2"/>
            <w:r w:rsidRPr="00123A65">
              <w:rPr>
                <w:rFonts w:ascii="Arial" w:eastAsia="SimSun" w:hAnsi="Arial" w:cs="Arial"/>
                <w:lang w:eastAsia="zh-CN"/>
              </w:rPr>
              <w:t xml:space="preserve">      4</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6"/>
                  <w:enabled/>
                  <w:calcOnExit w:val="0"/>
                  <w:checkBox>
                    <w:sizeAuto/>
                    <w:default w:val="0"/>
                  </w:checkBox>
                </w:ffData>
              </w:fldChar>
            </w:r>
            <w:bookmarkStart w:id="3" w:name="Check16"/>
            <w:r w:rsidRPr="00123A65">
              <w:rPr>
                <w:rFonts w:ascii="Arial" w:eastAsia="SimSun" w:hAnsi="Arial" w:cs="Arial"/>
                <w:lang w:eastAsia="zh-CN"/>
              </w:rPr>
              <w:instrText xml:space="preserve"> FORMCHECKBOX </w:instrText>
            </w:r>
            <w:r w:rsidR="00CA4686">
              <w:rPr>
                <w:rFonts w:ascii="Arial" w:eastAsia="SimSun" w:hAnsi="Arial" w:cs="Arial"/>
                <w:lang w:eastAsia="zh-CN"/>
              </w:rPr>
            </w:r>
            <w:r w:rsidR="00CA4686">
              <w:rPr>
                <w:rFonts w:ascii="Arial" w:eastAsia="SimSun" w:hAnsi="Arial" w:cs="Arial"/>
                <w:lang w:eastAsia="zh-CN"/>
              </w:rPr>
              <w:fldChar w:fldCharType="separate"/>
            </w:r>
            <w:r w:rsidRPr="00123A65">
              <w:rPr>
                <w:rFonts w:ascii="Arial" w:eastAsia="SimSun" w:hAnsi="Arial" w:cs="Arial"/>
                <w:lang w:eastAsia="zh-CN"/>
              </w:rPr>
              <w:fldChar w:fldCharType="end"/>
            </w:r>
            <w:bookmarkEnd w:id="3"/>
            <w:r w:rsidRPr="00123A65">
              <w:rPr>
                <w:rFonts w:ascii="Arial" w:eastAsia="SimSun" w:hAnsi="Arial" w:cs="Arial"/>
                <w:lang w:eastAsia="zh-CN"/>
              </w:rPr>
              <w:t xml:space="preserve">      5</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7"/>
                  <w:enabled/>
                  <w:calcOnExit w:val="0"/>
                  <w:checkBox>
                    <w:sizeAuto/>
                    <w:default w:val="0"/>
                  </w:checkBox>
                </w:ffData>
              </w:fldChar>
            </w:r>
            <w:bookmarkStart w:id="4" w:name="Check17"/>
            <w:r w:rsidRPr="00123A65">
              <w:rPr>
                <w:rFonts w:ascii="Arial" w:eastAsia="SimSun" w:hAnsi="Arial" w:cs="Arial"/>
                <w:lang w:eastAsia="zh-CN"/>
              </w:rPr>
              <w:instrText xml:space="preserve"> FORMCHECKBOX </w:instrText>
            </w:r>
            <w:r w:rsidR="00CA4686">
              <w:rPr>
                <w:rFonts w:ascii="Arial" w:eastAsia="SimSun" w:hAnsi="Arial" w:cs="Arial"/>
                <w:lang w:eastAsia="zh-CN"/>
              </w:rPr>
            </w:r>
            <w:r w:rsidR="00CA4686">
              <w:rPr>
                <w:rFonts w:ascii="Arial" w:eastAsia="SimSun" w:hAnsi="Arial" w:cs="Arial"/>
                <w:lang w:eastAsia="zh-CN"/>
              </w:rPr>
              <w:fldChar w:fldCharType="separate"/>
            </w:r>
            <w:r w:rsidRPr="00123A65">
              <w:rPr>
                <w:rFonts w:ascii="Arial" w:eastAsia="SimSun" w:hAnsi="Arial" w:cs="Arial"/>
                <w:lang w:eastAsia="zh-CN"/>
              </w:rPr>
              <w:fldChar w:fldCharType="end"/>
            </w:r>
            <w:bookmarkEnd w:id="4"/>
            <w:r w:rsidRPr="00123A65">
              <w:rPr>
                <w:rFonts w:ascii="Arial" w:eastAsia="SimSun" w:hAnsi="Arial" w:cs="Arial"/>
                <w:lang w:eastAsia="zh-CN"/>
              </w:rPr>
              <w:t xml:space="preserve">      6</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8"/>
                  <w:enabled/>
                  <w:calcOnExit w:val="0"/>
                  <w:checkBox>
                    <w:sizeAuto/>
                    <w:default w:val="0"/>
                  </w:checkBox>
                </w:ffData>
              </w:fldChar>
            </w:r>
            <w:bookmarkStart w:id="5" w:name="Check18"/>
            <w:r w:rsidRPr="00123A65">
              <w:rPr>
                <w:rFonts w:ascii="Arial" w:eastAsia="SimSun" w:hAnsi="Arial" w:cs="Arial"/>
                <w:lang w:eastAsia="zh-CN"/>
              </w:rPr>
              <w:instrText xml:space="preserve"> FORMCHECKBOX </w:instrText>
            </w:r>
            <w:r w:rsidR="00CA4686">
              <w:rPr>
                <w:rFonts w:ascii="Arial" w:eastAsia="SimSun" w:hAnsi="Arial" w:cs="Arial"/>
                <w:lang w:eastAsia="zh-CN"/>
              </w:rPr>
            </w:r>
            <w:r w:rsidR="00CA4686">
              <w:rPr>
                <w:rFonts w:ascii="Arial" w:eastAsia="SimSun" w:hAnsi="Arial" w:cs="Arial"/>
                <w:lang w:eastAsia="zh-CN"/>
              </w:rPr>
              <w:fldChar w:fldCharType="separate"/>
            </w:r>
            <w:r w:rsidRPr="00123A65">
              <w:rPr>
                <w:rFonts w:ascii="Arial" w:eastAsia="SimSun" w:hAnsi="Arial" w:cs="Arial"/>
                <w:lang w:eastAsia="zh-CN"/>
              </w:rPr>
              <w:fldChar w:fldCharType="end"/>
            </w:r>
            <w:bookmarkEnd w:id="5"/>
          </w:p>
        </w:tc>
      </w:tr>
      <w:tr w:rsidR="00123A65" w:rsidRPr="00123A65" w:rsidTr="00DD245A">
        <w:trPr>
          <w:trHeight w:val="978"/>
        </w:trPr>
        <w:tc>
          <w:tcPr>
            <w:tcW w:w="8856" w:type="dxa"/>
            <w:gridSpan w:val="5"/>
            <w:shd w:val="clear" w:color="auto" w:fill="D9D9D9"/>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I confirm that this is my original work and that I have adhered to the University policy on plagiarism.</w:t>
            </w:r>
          </w:p>
          <w:p w:rsidR="00123A65" w:rsidRPr="00123A65" w:rsidRDefault="00050BAF" w:rsidP="00123A65">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Signed   D.Farrington</w:t>
            </w:r>
            <w:r w:rsidR="00123A65" w:rsidRPr="00123A65">
              <w:rPr>
                <w:rFonts w:ascii="Arial" w:eastAsia="SimSun" w:hAnsi="Arial" w:cs="Arial"/>
                <w:color w:val="000000"/>
                <w:lang w:eastAsia="zh-CN"/>
              </w:rPr>
              <w:t>……………………………………………………</w:t>
            </w:r>
          </w:p>
          <w:p w:rsidR="00123A65" w:rsidRPr="00123A65" w:rsidRDefault="00123A65" w:rsidP="00123A65">
            <w:pPr>
              <w:spacing w:after="0" w:line="240" w:lineRule="auto"/>
              <w:ind w:right="34"/>
              <w:rPr>
                <w:rFonts w:ascii="Calibri" w:eastAsia="SimSun" w:hAnsi="Calibri" w:cs="Calibri"/>
                <w:b/>
                <w:color w:val="000000"/>
                <w:sz w:val="44"/>
                <w:szCs w:val="44"/>
                <w:lang w:eastAsia="zh-CN"/>
              </w:rPr>
            </w:pPr>
            <w:r w:rsidRPr="00123A65">
              <w:rPr>
                <w:rFonts w:ascii="Calibri" w:eastAsia="SimSun" w:hAnsi="Calibri" w:cs="Tahoma"/>
                <w:b/>
                <w:color w:val="000000"/>
                <w:sz w:val="24"/>
                <w:szCs w:val="24"/>
                <w:lang w:eastAsia="zh-CN"/>
              </w:rPr>
              <w:t xml:space="preserve">Email submission: if you are submitting this form via email, please tick this box </w:t>
            </w:r>
            <w:r w:rsidRPr="00123A65">
              <w:rPr>
                <w:rFonts w:ascii="Calibri" w:eastAsia="SimSun" w:hAnsi="Calibri" w:cs="Calibri"/>
                <w:b/>
                <w:color w:val="000000"/>
                <w:sz w:val="44"/>
                <w:szCs w:val="44"/>
                <w:lang w:eastAsia="zh-CN"/>
              </w:rPr>
              <w:t>□</w:t>
            </w:r>
          </w:p>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Calibri" w:eastAsia="SimSun" w:hAnsi="Calibri" w:cs="Tahoma"/>
                <w:b/>
                <w:color w:val="000000"/>
                <w:sz w:val="24"/>
                <w:szCs w:val="24"/>
                <w:lang w:eastAsia="zh-CN"/>
              </w:rPr>
              <w:t>(as a substitute for your signature) to confirm that you agree to the above declaration.</w:t>
            </w:r>
          </w:p>
        </w:tc>
      </w:tr>
      <w:tr w:rsidR="00123A65" w:rsidRPr="00123A65" w:rsidTr="00DD245A">
        <w:trPr>
          <w:trHeight w:val="3972"/>
        </w:trPr>
        <w:tc>
          <w:tcPr>
            <w:tcW w:w="8856" w:type="dxa"/>
            <w:gridSpan w:val="5"/>
          </w:tcPr>
          <w:p w:rsidR="00123A65" w:rsidRPr="00123A65" w:rsidRDefault="00123A65" w:rsidP="00123A65">
            <w:pPr>
              <w:spacing w:after="0" w:line="240" w:lineRule="auto"/>
              <w:rPr>
                <w:rFonts w:ascii="Arial" w:eastAsia="SimSun" w:hAnsi="Arial" w:cs="Times New Roman"/>
                <w:b/>
                <w:sz w:val="24"/>
                <w:szCs w:val="24"/>
                <w:lang w:eastAsia="zh-CN"/>
              </w:rPr>
            </w:pPr>
          </w:p>
          <w:p w:rsidR="00123A65" w:rsidRPr="00123A65" w:rsidRDefault="00123A65" w:rsidP="00123A65">
            <w:pPr>
              <w:spacing w:after="0" w:line="240" w:lineRule="auto"/>
              <w:rPr>
                <w:rFonts w:ascii="Arial" w:eastAsia="SimSun" w:hAnsi="Arial" w:cs="Times New Roman"/>
                <w:sz w:val="24"/>
                <w:szCs w:val="24"/>
                <w:lang w:eastAsia="zh-CN"/>
              </w:rPr>
            </w:pPr>
            <w:r w:rsidRPr="00123A65">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23A65" w:rsidRPr="00123A65" w:rsidTr="00DD245A">
              <w:tc>
                <w:tcPr>
                  <w:tcW w:w="6970" w:type="dxa"/>
                </w:tcPr>
                <w:p w:rsidR="00123A65" w:rsidRPr="00123A65" w:rsidRDefault="00123A65" w:rsidP="00123A65">
                  <w:pPr>
                    <w:spacing w:after="0" w:line="240" w:lineRule="auto"/>
                    <w:rPr>
                      <w:rFonts w:ascii="Arial" w:eastAsia="SimSun" w:hAnsi="Arial" w:cs="Times New Roman"/>
                      <w:sz w:val="20"/>
                      <w:szCs w:val="20"/>
                      <w:lang w:eastAsia="zh-CN"/>
                    </w:rPr>
                  </w:pPr>
                </w:p>
                <w:p w:rsidR="00123A65" w:rsidRPr="00123A65" w:rsidRDefault="00123A65" w:rsidP="00123A65">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1</w:t>
                  </w:r>
                  <w:r w:rsidRPr="00123A65">
                    <w:rPr>
                      <w:rFonts w:ascii="Arial" w:eastAsia="SimSun" w:hAnsi="Arial" w:cs="Times New Roman"/>
                      <w:sz w:val="20"/>
                      <w:szCs w:val="20"/>
                      <w:vertAlign w:val="superscript"/>
                      <w:lang w:eastAsia="zh-CN"/>
                    </w:rPr>
                    <w:t>st</w:t>
                  </w:r>
                  <w:r w:rsidRPr="00123A65">
                    <w:rPr>
                      <w:rFonts w:ascii="Arial" w:eastAsia="SimSun" w:hAnsi="Arial" w:cs="Times New Roman"/>
                      <w:sz w:val="20"/>
                      <w:szCs w:val="20"/>
                      <w:lang w:eastAsia="zh-CN"/>
                    </w:rPr>
                    <w:t xml:space="preserve"> Marker’s Provisional mark</w:t>
                  </w:r>
                </w:p>
              </w:tc>
              <w:tc>
                <w:tcPr>
                  <w:tcW w:w="1660" w:type="dxa"/>
                </w:tcPr>
                <w:p w:rsidR="00123A65" w:rsidRPr="00123A65" w:rsidRDefault="00123A65" w:rsidP="00123A65">
                  <w:pPr>
                    <w:spacing w:after="0" w:line="240" w:lineRule="auto"/>
                    <w:rPr>
                      <w:rFonts w:ascii="Arial" w:eastAsia="SimSun" w:hAnsi="Arial" w:cs="Times New Roman"/>
                      <w:sz w:val="20"/>
                      <w:szCs w:val="20"/>
                      <w:lang w:eastAsia="zh-CN"/>
                    </w:rPr>
                  </w:pPr>
                </w:p>
              </w:tc>
            </w:tr>
            <w:tr w:rsidR="00123A65" w:rsidRPr="00123A65" w:rsidTr="00DD245A">
              <w:tc>
                <w:tcPr>
                  <w:tcW w:w="6970" w:type="dxa"/>
                </w:tcPr>
                <w:p w:rsidR="00123A65" w:rsidRPr="00123A65" w:rsidRDefault="00123A65" w:rsidP="00123A65">
                  <w:pPr>
                    <w:spacing w:after="0" w:line="240" w:lineRule="auto"/>
                    <w:rPr>
                      <w:rFonts w:ascii="Arial" w:eastAsia="SimSun" w:hAnsi="Arial" w:cs="Times New Roman"/>
                      <w:sz w:val="20"/>
                      <w:szCs w:val="20"/>
                      <w:lang w:eastAsia="zh-CN"/>
                    </w:rPr>
                  </w:pPr>
                </w:p>
                <w:p w:rsidR="00123A65" w:rsidRPr="00123A65" w:rsidRDefault="00123A65" w:rsidP="00123A65">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2</w:t>
                  </w:r>
                  <w:r w:rsidRPr="00123A65">
                    <w:rPr>
                      <w:rFonts w:ascii="Arial" w:eastAsia="SimSun" w:hAnsi="Arial" w:cs="Times New Roman"/>
                      <w:sz w:val="20"/>
                      <w:szCs w:val="20"/>
                      <w:vertAlign w:val="superscript"/>
                      <w:lang w:eastAsia="zh-CN"/>
                    </w:rPr>
                    <w:t>nd</w:t>
                  </w:r>
                  <w:r w:rsidRPr="00123A65">
                    <w:rPr>
                      <w:rFonts w:ascii="Arial" w:eastAsia="SimSun" w:hAnsi="Arial" w:cs="Times New Roman"/>
                      <w:sz w:val="20"/>
                      <w:szCs w:val="20"/>
                      <w:lang w:eastAsia="zh-CN"/>
                    </w:rPr>
                    <w:t xml:space="preserve"> Marker’s/Moderator’s provisional mark</w:t>
                  </w:r>
                </w:p>
              </w:tc>
              <w:tc>
                <w:tcPr>
                  <w:tcW w:w="1660" w:type="dxa"/>
                </w:tcPr>
                <w:p w:rsidR="00123A65" w:rsidRPr="00123A65" w:rsidRDefault="00123A65" w:rsidP="00123A65">
                  <w:pPr>
                    <w:spacing w:after="0" w:line="240" w:lineRule="auto"/>
                    <w:rPr>
                      <w:rFonts w:ascii="Arial" w:eastAsia="SimSun" w:hAnsi="Arial" w:cs="Times New Roman"/>
                      <w:sz w:val="20"/>
                      <w:szCs w:val="20"/>
                      <w:lang w:eastAsia="zh-CN"/>
                    </w:rPr>
                  </w:pPr>
                </w:p>
              </w:tc>
            </w:tr>
            <w:tr w:rsidR="00123A65" w:rsidRPr="00123A65" w:rsidTr="00DD245A">
              <w:tc>
                <w:tcPr>
                  <w:tcW w:w="6970" w:type="dxa"/>
                </w:tcPr>
                <w:p w:rsidR="00123A65" w:rsidRPr="00123A65" w:rsidRDefault="00123A65" w:rsidP="00123A65">
                  <w:pPr>
                    <w:spacing w:after="0" w:line="240" w:lineRule="auto"/>
                    <w:rPr>
                      <w:rFonts w:ascii="Arial" w:eastAsia="SimSun" w:hAnsi="Arial" w:cs="Times New Roman"/>
                      <w:sz w:val="20"/>
                      <w:szCs w:val="20"/>
                      <w:lang w:eastAsia="zh-CN"/>
                    </w:rPr>
                  </w:pPr>
                </w:p>
                <w:p w:rsidR="00123A65" w:rsidRPr="00123A65" w:rsidRDefault="00123A65" w:rsidP="00123A65">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External Examiner’s mark (if relevant)</w:t>
                  </w:r>
                </w:p>
              </w:tc>
              <w:tc>
                <w:tcPr>
                  <w:tcW w:w="1660" w:type="dxa"/>
                </w:tcPr>
                <w:p w:rsidR="00123A65" w:rsidRPr="00123A65" w:rsidRDefault="00123A65" w:rsidP="00123A65">
                  <w:pPr>
                    <w:spacing w:after="0" w:line="240" w:lineRule="auto"/>
                    <w:rPr>
                      <w:rFonts w:ascii="Arial" w:eastAsia="SimSun" w:hAnsi="Arial" w:cs="Times New Roman"/>
                      <w:sz w:val="20"/>
                      <w:szCs w:val="20"/>
                      <w:lang w:eastAsia="zh-CN"/>
                    </w:rPr>
                  </w:pPr>
                </w:p>
              </w:tc>
            </w:tr>
            <w:tr w:rsidR="00123A65" w:rsidRPr="00123A65" w:rsidTr="00DD245A">
              <w:tc>
                <w:tcPr>
                  <w:tcW w:w="6970" w:type="dxa"/>
                </w:tcPr>
                <w:p w:rsidR="00123A65" w:rsidRPr="00123A65" w:rsidRDefault="00123A65" w:rsidP="00123A65">
                  <w:pPr>
                    <w:spacing w:after="0" w:line="240" w:lineRule="auto"/>
                    <w:rPr>
                      <w:rFonts w:ascii="Arial" w:eastAsia="SimSun" w:hAnsi="Arial" w:cs="Times New Roman"/>
                      <w:sz w:val="20"/>
                      <w:szCs w:val="20"/>
                      <w:lang w:eastAsia="zh-CN"/>
                    </w:rPr>
                  </w:pPr>
                </w:p>
                <w:p w:rsidR="00123A65" w:rsidRPr="00123A65" w:rsidRDefault="00123A65" w:rsidP="00123A65">
                  <w:pPr>
                    <w:spacing w:after="0" w:line="240" w:lineRule="auto"/>
                    <w:rPr>
                      <w:rFonts w:ascii="Arial" w:eastAsia="SimSun" w:hAnsi="Arial" w:cs="Times New Roman"/>
                      <w:b/>
                      <w:sz w:val="20"/>
                      <w:szCs w:val="20"/>
                      <w:lang w:eastAsia="zh-CN"/>
                    </w:rPr>
                  </w:pPr>
                  <w:r w:rsidRPr="00123A65">
                    <w:rPr>
                      <w:rFonts w:ascii="Arial" w:eastAsia="SimSun" w:hAnsi="Arial" w:cs="Times New Roman"/>
                      <w:b/>
                      <w:sz w:val="20"/>
                      <w:szCs w:val="20"/>
                      <w:lang w:eastAsia="zh-CN"/>
                    </w:rPr>
                    <w:t>Final Mark</w:t>
                  </w:r>
                </w:p>
                <w:p w:rsidR="00123A65" w:rsidRPr="00123A65" w:rsidRDefault="00123A65" w:rsidP="00123A65">
                  <w:pPr>
                    <w:spacing w:after="0" w:line="240" w:lineRule="auto"/>
                    <w:rPr>
                      <w:rFonts w:ascii="Arial" w:eastAsia="SimSun" w:hAnsi="Arial" w:cs="Times New Roman"/>
                      <w:sz w:val="20"/>
                      <w:szCs w:val="20"/>
                      <w:lang w:eastAsia="zh-CN"/>
                    </w:rPr>
                  </w:pPr>
                </w:p>
              </w:tc>
              <w:tc>
                <w:tcPr>
                  <w:tcW w:w="1660" w:type="dxa"/>
                </w:tcPr>
                <w:p w:rsidR="00123A65" w:rsidRPr="00123A65" w:rsidRDefault="00123A65" w:rsidP="00123A65">
                  <w:pPr>
                    <w:spacing w:after="0" w:line="240" w:lineRule="auto"/>
                    <w:rPr>
                      <w:rFonts w:ascii="Arial" w:eastAsia="SimSun" w:hAnsi="Arial" w:cs="Times New Roman"/>
                      <w:sz w:val="20"/>
                      <w:szCs w:val="20"/>
                      <w:lang w:eastAsia="zh-CN"/>
                    </w:rPr>
                  </w:pPr>
                </w:p>
              </w:tc>
            </w:tr>
          </w:tbl>
          <w:p w:rsidR="00123A65" w:rsidRPr="00123A65" w:rsidRDefault="00123A65" w:rsidP="00123A65">
            <w:pPr>
              <w:spacing w:after="0" w:line="240" w:lineRule="auto"/>
              <w:ind w:left="142" w:right="34"/>
              <w:rPr>
                <w:rFonts w:ascii="Arial" w:eastAsia="SimSun" w:hAnsi="Arial" w:cs="Arial"/>
                <w:b/>
                <w:color w:val="000000"/>
                <w:lang w:eastAsia="zh-CN"/>
              </w:rPr>
            </w:pPr>
          </w:p>
          <w:p w:rsidR="00123A65" w:rsidRPr="00123A65" w:rsidRDefault="00123A65" w:rsidP="00123A65">
            <w:pPr>
              <w:spacing w:after="0" w:line="240" w:lineRule="auto"/>
              <w:ind w:left="142" w:right="34"/>
              <w:rPr>
                <w:rFonts w:ascii="Arial" w:eastAsia="SimSun" w:hAnsi="Arial" w:cs="Arial"/>
                <w:color w:val="000000"/>
                <w:lang w:eastAsia="zh-CN"/>
              </w:rPr>
            </w:pPr>
            <w:r w:rsidRPr="00123A65">
              <w:rPr>
                <w:rFonts w:ascii="Arial" w:eastAsia="SimSun" w:hAnsi="Arial" w:cs="Arial"/>
                <w:b/>
                <w:color w:val="000000"/>
                <w:lang w:eastAsia="zh-CN"/>
              </w:rPr>
              <w:t>NB.</w:t>
            </w:r>
            <w:r w:rsidRPr="00123A65">
              <w:rPr>
                <w:rFonts w:ascii="Arial" w:eastAsia="SimSun" w:hAnsi="Arial" w:cs="Arial"/>
                <w:color w:val="000000"/>
                <w:lang w:eastAsia="zh-CN"/>
              </w:rPr>
              <w:t xml:space="preserve">  All marks are provisional until confirmed by the Final Examination Board.</w:t>
            </w: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r w:rsidRPr="00123A65">
              <w:rPr>
                <w:rFonts w:ascii="Arial" w:eastAsia="SimSun" w:hAnsi="Arial" w:cs="Arial"/>
                <w:b/>
                <w:color w:val="000000"/>
                <w:lang w:eastAsia="zh-CN"/>
              </w:rPr>
              <w:t>For completion by Marker 1 :</w:t>
            </w:r>
          </w:p>
          <w:p w:rsidR="00123A65" w:rsidRPr="00123A65" w:rsidRDefault="00123A65" w:rsidP="00123A65">
            <w:pPr>
              <w:spacing w:before="100" w:beforeAutospacing="1" w:after="100" w:afterAutospacing="1" w:line="240" w:lineRule="auto"/>
              <w:rPr>
                <w:rFonts w:ascii="Arial" w:eastAsia="SimSun" w:hAnsi="Arial" w:cs="Arial"/>
                <w:color w:val="000000"/>
                <w:lang w:eastAsia="zh-CN"/>
              </w:rPr>
            </w:pPr>
            <w:r w:rsidRPr="00123A65">
              <w:rPr>
                <w:rFonts w:ascii="Arial" w:eastAsia="SimSun" w:hAnsi="Arial" w:cs="Arial"/>
                <w:color w:val="000000"/>
                <w:lang w:eastAsia="zh-CN"/>
              </w:rPr>
              <w:t>Comments:</w:t>
            </w:r>
          </w:p>
          <w:p w:rsidR="00123A65" w:rsidRPr="00123A65" w:rsidRDefault="00123A65" w:rsidP="00123A65">
            <w:pPr>
              <w:spacing w:before="100" w:beforeAutospacing="1" w:after="100" w:afterAutospacing="1" w:line="240" w:lineRule="auto"/>
              <w:rPr>
                <w:rFonts w:ascii="Arial" w:eastAsia="SimSun" w:hAnsi="Arial" w:cs="Arial"/>
                <w:color w:val="000000"/>
                <w:lang w:eastAsia="zh-CN"/>
              </w:rPr>
            </w:pPr>
          </w:p>
        </w:tc>
      </w:tr>
      <w:tr w:rsidR="00123A65" w:rsidRPr="00123A65" w:rsidTr="00DD245A">
        <w:trPr>
          <w:trHeight w:val="492"/>
        </w:trPr>
        <w:tc>
          <w:tcPr>
            <w:tcW w:w="6768" w:type="dxa"/>
            <w:gridSpan w:val="3"/>
          </w:tcPr>
          <w:p w:rsidR="00123A65" w:rsidRPr="00123A65" w:rsidRDefault="00123A65" w:rsidP="00123A65">
            <w:pPr>
              <w:spacing w:before="100" w:beforeAutospacing="1" w:after="100" w:afterAutospacing="1" w:line="240" w:lineRule="auto"/>
              <w:ind w:left="142" w:right="34"/>
              <w:rPr>
                <w:rFonts w:ascii="Arial" w:eastAsia="SimSun" w:hAnsi="Arial" w:cs="Arial"/>
                <w:color w:val="000000"/>
                <w:lang w:eastAsia="zh-CN"/>
              </w:rPr>
            </w:pPr>
            <w:r w:rsidRPr="00123A65">
              <w:rPr>
                <w:rFonts w:ascii="Arial" w:eastAsia="SimSun" w:hAnsi="Arial" w:cs="Arial"/>
                <w:color w:val="000000"/>
                <w:lang w:eastAsia="zh-CN"/>
              </w:rPr>
              <w:t>Marker’s signature:</w:t>
            </w:r>
          </w:p>
        </w:tc>
        <w:tc>
          <w:tcPr>
            <w:tcW w:w="2088" w:type="dxa"/>
            <w:gridSpan w:val="2"/>
          </w:tcPr>
          <w:p w:rsidR="00123A65" w:rsidRPr="00123A65" w:rsidRDefault="00123A65" w:rsidP="00123A65">
            <w:pPr>
              <w:spacing w:before="100" w:beforeAutospacing="1" w:after="0" w:afterAutospacing="1" w:line="240" w:lineRule="auto"/>
              <w:ind w:left="142" w:right="34"/>
              <w:rPr>
                <w:rFonts w:ascii="Arial" w:eastAsia="SimSun" w:hAnsi="Arial" w:cs="Arial"/>
                <w:color w:val="000000"/>
                <w:lang w:eastAsia="zh-CN"/>
              </w:rPr>
            </w:pPr>
            <w:r w:rsidRPr="00123A65">
              <w:rPr>
                <w:rFonts w:ascii="Arial" w:eastAsia="SimSun" w:hAnsi="Arial" w:cs="Arial"/>
                <w:color w:val="000000"/>
                <w:lang w:eastAsia="zh-CN"/>
              </w:rPr>
              <w:t>Date:</w:t>
            </w:r>
          </w:p>
        </w:tc>
      </w:tr>
      <w:tr w:rsidR="00123A65" w:rsidRPr="00123A65" w:rsidTr="00DD245A">
        <w:tc>
          <w:tcPr>
            <w:tcW w:w="8856" w:type="dxa"/>
            <w:gridSpan w:val="5"/>
          </w:tcPr>
          <w:p w:rsidR="00123A65" w:rsidRPr="00123A65" w:rsidRDefault="00123A65" w:rsidP="00123A65">
            <w:pPr>
              <w:spacing w:after="0" w:line="240" w:lineRule="auto"/>
              <w:ind w:right="-334"/>
              <w:rPr>
                <w:rFonts w:ascii="Arial" w:eastAsia="SimSun" w:hAnsi="Arial" w:cs="Arial"/>
                <w:bCs/>
                <w:i/>
                <w:color w:val="000000"/>
                <w:lang w:eastAsia="zh-CN"/>
              </w:rPr>
            </w:pPr>
          </w:p>
          <w:p w:rsidR="00123A65" w:rsidRPr="00123A65" w:rsidRDefault="00123A65" w:rsidP="00123A65">
            <w:pPr>
              <w:spacing w:after="0" w:line="240" w:lineRule="auto"/>
              <w:ind w:right="-334"/>
              <w:rPr>
                <w:rFonts w:ascii="Arial" w:eastAsia="SimSun" w:hAnsi="Arial" w:cs="Arial"/>
                <w:b/>
                <w:bCs/>
                <w:color w:val="000000"/>
                <w:lang w:eastAsia="zh-CN"/>
              </w:rPr>
            </w:pPr>
            <w:r w:rsidRPr="00123A65">
              <w:rPr>
                <w:rFonts w:ascii="Arial" w:eastAsia="SimSun" w:hAnsi="Arial" w:cs="Arial"/>
                <w:b/>
                <w:bCs/>
                <w:color w:val="000000"/>
                <w:lang w:eastAsia="zh-CN"/>
              </w:rPr>
              <w:t>For completion by Marker 2/Moderator:</w:t>
            </w:r>
          </w:p>
          <w:p w:rsidR="00123A65" w:rsidRPr="00123A65" w:rsidRDefault="00123A65" w:rsidP="00123A65">
            <w:pPr>
              <w:spacing w:after="0" w:line="240" w:lineRule="auto"/>
              <w:ind w:right="-334"/>
              <w:rPr>
                <w:rFonts w:ascii="Arial" w:eastAsia="SimSun" w:hAnsi="Arial" w:cs="Arial"/>
                <w:b/>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Comments:</w:t>
            </w:r>
          </w:p>
          <w:p w:rsidR="00123A65" w:rsidRPr="00123A65" w:rsidRDefault="00123A65" w:rsidP="00123A65">
            <w:pPr>
              <w:spacing w:after="0" w:line="240" w:lineRule="auto"/>
              <w:ind w:right="-334"/>
              <w:rPr>
                <w:rFonts w:ascii="Arial" w:eastAsia="SimSun" w:hAnsi="Arial" w:cs="Arial"/>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p>
        </w:tc>
      </w:tr>
      <w:tr w:rsidR="00123A65" w:rsidRPr="00123A65" w:rsidTr="00DD245A">
        <w:trPr>
          <w:trHeight w:val="720"/>
        </w:trPr>
        <w:tc>
          <w:tcPr>
            <w:tcW w:w="5211" w:type="dxa"/>
            <w:gridSpan w:val="2"/>
          </w:tcPr>
          <w:p w:rsidR="00123A65" w:rsidRPr="00123A65" w:rsidRDefault="00123A65" w:rsidP="00123A65">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Marker’s Signature:</w:t>
            </w:r>
          </w:p>
        </w:tc>
        <w:tc>
          <w:tcPr>
            <w:tcW w:w="3645" w:type="dxa"/>
            <w:gridSpan w:val="3"/>
          </w:tcPr>
          <w:p w:rsidR="00123A65" w:rsidRPr="00123A65" w:rsidRDefault="00123A65" w:rsidP="00123A65">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Date:</w:t>
            </w:r>
          </w:p>
        </w:tc>
      </w:tr>
      <w:tr w:rsidR="00123A65" w:rsidRPr="00123A65" w:rsidTr="00DD245A">
        <w:trPr>
          <w:trHeight w:val="720"/>
        </w:trPr>
        <w:tc>
          <w:tcPr>
            <w:tcW w:w="8856" w:type="dxa"/>
            <w:gridSpan w:val="5"/>
          </w:tcPr>
          <w:p w:rsidR="00123A65" w:rsidRPr="00123A65" w:rsidRDefault="00123A65" w:rsidP="00123A65">
            <w:pPr>
              <w:spacing w:after="0" w:line="240" w:lineRule="auto"/>
              <w:rPr>
                <w:rFonts w:ascii="Arial" w:eastAsia="SimSun" w:hAnsi="Arial" w:cs="Arial"/>
                <w:b/>
                <w:lang w:eastAsia="zh-CN"/>
              </w:rPr>
            </w:pPr>
            <w:r w:rsidRPr="00123A65">
              <w:rPr>
                <w:rFonts w:ascii="Arial" w:eastAsia="SimSun" w:hAnsi="Arial" w:cs="Arial"/>
                <w:b/>
                <w:lang w:eastAsia="zh-CN"/>
              </w:rPr>
              <w:t>External Examiner’s comments (if relevant)</w:t>
            </w:r>
          </w:p>
          <w:p w:rsidR="00123A65" w:rsidRPr="00123A65" w:rsidRDefault="00123A65" w:rsidP="00123A65">
            <w:pPr>
              <w:spacing w:after="0" w:line="240" w:lineRule="auto"/>
              <w:ind w:right="-334"/>
              <w:rPr>
                <w:rFonts w:ascii="Arial" w:eastAsia="SimSun" w:hAnsi="Arial" w:cs="Arial"/>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p>
        </w:tc>
      </w:tr>
      <w:tr w:rsidR="00123A65" w:rsidRPr="00123A65" w:rsidTr="00DD245A">
        <w:trPr>
          <w:trHeight w:val="720"/>
        </w:trPr>
        <w:tc>
          <w:tcPr>
            <w:tcW w:w="5211" w:type="dxa"/>
            <w:gridSpan w:val="2"/>
          </w:tcPr>
          <w:p w:rsidR="00123A65" w:rsidRPr="00123A65" w:rsidRDefault="00123A65" w:rsidP="00123A65">
            <w:pPr>
              <w:spacing w:after="0" w:line="240" w:lineRule="auto"/>
              <w:rPr>
                <w:rFonts w:ascii="Arial" w:eastAsia="SimSun" w:hAnsi="Arial" w:cs="Arial"/>
                <w:lang w:eastAsia="zh-CN"/>
              </w:rPr>
            </w:pPr>
            <w:r w:rsidRPr="00123A65">
              <w:rPr>
                <w:rFonts w:ascii="Arial" w:eastAsia="SimSun" w:hAnsi="Arial" w:cs="Arial"/>
                <w:lang w:eastAsia="zh-CN"/>
              </w:rPr>
              <w:t>External Examiner’s Signature:</w:t>
            </w:r>
          </w:p>
        </w:tc>
        <w:tc>
          <w:tcPr>
            <w:tcW w:w="3645" w:type="dxa"/>
            <w:gridSpan w:val="3"/>
          </w:tcPr>
          <w:p w:rsidR="00123A65" w:rsidRPr="00123A65" w:rsidRDefault="00123A65" w:rsidP="00123A65">
            <w:pPr>
              <w:spacing w:after="0" w:line="240" w:lineRule="auto"/>
              <w:rPr>
                <w:rFonts w:ascii="Arial" w:eastAsia="SimSun" w:hAnsi="Arial" w:cs="Arial"/>
                <w:lang w:eastAsia="zh-CN"/>
              </w:rPr>
            </w:pPr>
            <w:r w:rsidRPr="00123A65">
              <w:rPr>
                <w:rFonts w:ascii="Arial" w:eastAsia="SimSun" w:hAnsi="Arial" w:cs="Arial"/>
                <w:lang w:eastAsia="zh-CN"/>
              </w:rPr>
              <w:t>Date:</w:t>
            </w:r>
          </w:p>
        </w:tc>
      </w:tr>
    </w:tbl>
    <w:p w:rsidR="00123A65" w:rsidRPr="00123A65" w:rsidRDefault="00123A65" w:rsidP="00123A65">
      <w:pPr>
        <w:spacing w:after="0" w:line="240" w:lineRule="auto"/>
        <w:ind w:right="-334"/>
        <w:rPr>
          <w:rFonts w:ascii="Trebuchet MS" w:eastAsia="SimSun" w:hAnsi="Trebuchet MS" w:cs="Tahoma"/>
          <w:bCs/>
          <w:color w:val="000000"/>
          <w:sz w:val="24"/>
          <w:szCs w:val="24"/>
          <w:lang w:eastAsia="zh-CN"/>
        </w:rPr>
      </w:pPr>
    </w:p>
    <w:p w:rsidR="00123A65" w:rsidRDefault="00123A65">
      <w:pPr>
        <w:rPr>
          <w:sz w:val="24"/>
          <w:szCs w:val="24"/>
        </w:rPr>
      </w:pPr>
      <w:r>
        <w:rPr>
          <w:sz w:val="24"/>
          <w:szCs w:val="24"/>
        </w:rPr>
        <w:br w:type="page"/>
      </w:r>
    </w:p>
    <w:p w:rsidR="00123A65" w:rsidRDefault="00123A65">
      <w:pPr>
        <w:rPr>
          <w:sz w:val="24"/>
          <w:szCs w:val="24"/>
        </w:rPr>
        <w:sectPr w:rsidR="00123A65">
          <w:footerReference w:type="default" r:id="rId9"/>
          <w:pgSz w:w="11906" w:h="16838"/>
          <w:pgMar w:top="1440" w:right="1440" w:bottom="1440" w:left="1440" w:header="708" w:footer="708" w:gutter="0"/>
          <w:cols w:space="708"/>
          <w:docGrid w:linePitch="360"/>
        </w:sectPr>
      </w:pPr>
    </w:p>
    <w:p w:rsidR="00123A65" w:rsidRDefault="00DE415D" w:rsidP="00050BA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3 (b</w:t>
      </w:r>
      <w:r w:rsidR="005F3D10">
        <w:rPr>
          <w:rFonts w:ascii="Times New Roman" w:hAnsi="Times New Roman" w:cs="Times New Roman"/>
          <w:sz w:val="24"/>
          <w:szCs w:val="24"/>
        </w:rPr>
        <w:t>,</w:t>
      </w:r>
      <w:r w:rsidR="00AD4AA4">
        <w:rPr>
          <w:rFonts w:ascii="Times New Roman" w:hAnsi="Times New Roman" w:cs="Times New Roman"/>
          <w:sz w:val="24"/>
          <w:szCs w:val="24"/>
        </w:rPr>
        <w:t xml:space="preserve"> no.1</w:t>
      </w:r>
      <w:r>
        <w:rPr>
          <w:rFonts w:ascii="Times New Roman" w:hAnsi="Times New Roman" w:cs="Times New Roman"/>
          <w:sz w:val="24"/>
          <w:szCs w:val="24"/>
        </w:rPr>
        <w:t xml:space="preserve">). </w:t>
      </w:r>
      <w:r w:rsidRPr="00DE415D">
        <w:rPr>
          <w:rFonts w:ascii="Times New Roman" w:hAnsi="Times New Roman" w:cs="Times New Roman"/>
          <w:sz w:val="24"/>
          <w:szCs w:val="24"/>
        </w:rPr>
        <w:t>Comment on the significant features of an ext</w:t>
      </w:r>
      <w:r>
        <w:rPr>
          <w:rFonts w:ascii="Times New Roman" w:hAnsi="Times New Roman" w:cs="Times New Roman"/>
          <w:sz w:val="24"/>
          <w:szCs w:val="24"/>
        </w:rPr>
        <w:t>ract from a documentary source</w:t>
      </w:r>
    </w:p>
    <w:p w:rsidR="00DE415D" w:rsidRDefault="00DE415D" w:rsidP="00833FE4">
      <w:pPr>
        <w:spacing w:after="0" w:line="360" w:lineRule="auto"/>
        <w:rPr>
          <w:rFonts w:ascii="Times New Roman" w:hAnsi="Times New Roman" w:cs="Times New Roman"/>
          <w:sz w:val="24"/>
          <w:szCs w:val="24"/>
        </w:rPr>
      </w:pPr>
    </w:p>
    <w:p w:rsidR="00C95C42" w:rsidRDefault="00C95C42" w:rsidP="00833FE4">
      <w:pPr>
        <w:spacing w:after="0" w:line="360" w:lineRule="auto"/>
        <w:rPr>
          <w:rFonts w:ascii="Times New Roman" w:hAnsi="Times New Roman" w:cs="Times New Roman"/>
          <w:sz w:val="24"/>
          <w:szCs w:val="24"/>
        </w:rPr>
      </w:pPr>
    </w:p>
    <w:p w:rsidR="00DE415D" w:rsidRDefault="00DE415D" w:rsidP="00833FE4">
      <w:pPr>
        <w:spacing w:after="0" w:line="360" w:lineRule="auto"/>
        <w:rPr>
          <w:rFonts w:ascii="Times New Roman" w:hAnsi="Times New Roman" w:cs="Times New Roman"/>
          <w:sz w:val="24"/>
          <w:szCs w:val="24"/>
        </w:rPr>
      </w:pPr>
      <w:r>
        <w:rPr>
          <w:rFonts w:ascii="Times New Roman" w:hAnsi="Times New Roman" w:cs="Times New Roman"/>
          <w:sz w:val="24"/>
          <w:szCs w:val="24"/>
        </w:rPr>
        <w:t>The passa</w:t>
      </w:r>
      <w:r w:rsidR="00553FE6">
        <w:rPr>
          <w:rFonts w:ascii="Times New Roman" w:hAnsi="Times New Roman" w:cs="Times New Roman"/>
          <w:sz w:val="24"/>
          <w:szCs w:val="24"/>
        </w:rPr>
        <w:t>ge is an extract from a diploma</w:t>
      </w:r>
      <w:r>
        <w:rPr>
          <w:rFonts w:ascii="Times New Roman" w:hAnsi="Times New Roman" w:cs="Times New Roman"/>
          <w:sz w:val="24"/>
          <w:szCs w:val="24"/>
        </w:rPr>
        <w:t xml:space="preserve"> issued by William I in 1069. It has a general address clause, ‘to all the faithful of Christ’, followed by a lengthy proem which includes the exchange being</w:t>
      </w:r>
      <w:r w:rsidR="00B90D61">
        <w:rPr>
          <w:rFonts w:ascii="Times New Roman" w:hAnsi="Times New Roman" w:cs="Times New Roman"/>
          <w:sz w:val="24"/>
          <w:szCs w:val="24"/>
        </w:rPr>
        <w:t xml:space="preserve"> made at the request of both William and </w:t>
      </w:r>
      <w:r w:rsidR="00B90D61" w:rsidRPr="00B90D61">
        <w:rPr>
          <w:rFonts w:ascii="Times New Roman" w:hAnsi="Times New Roman" w:cs="Times New Roman"/>
          <w:sz w:val="24"/>
          <w:szCs w:val="24"/>
        </w:rPr>
        <w:t xml:space="preserve">Matilda, with the </w:t>
      </w:r>
      <w:r w:rsidR="00B90D61">
        <w:rPr>
          <w:rFonts w:ascii="Times New Roman" w:hAnsi="Times New Roman" w:cs="Times New Roman"/>
          <w:sz w:val="24"/>
          <w:szCs w:val="24"/>
        </w:rPr>
        <w:t>prudent counsel of thei</w:t>
      </w:r>
      <w:r w:rsidR="00B90D61" w:rsidRPr="00B90D61">
        <w:rPr>
          <w:rFonts w:ascii="Times New Roman" w:hAnsi="Times New Roman" w:cs="Times New Roman"/>
          <w:sz w:val="24"/>
          <w:szCs w:val="24"/>
        </w:rPr>
        <w:t>r magnates</w:t>
      </w:r>
      <w:r w:rsidR="00B90D61">
        <w:rPr>
          <w:rFonts w:ascii="Times New Roman" w:hAnsi="Times New Roman" w:cs="Times New Roman"/>
          <w:sz w:val="24"/>
          <w:szCs w:val="24"/>
        </w:rPr>
        <w:t xml:space="preserve">, </w:t>
      </w:r>
      <w:r>
        <w:rPr>
          <w:rFonts w:ascii="Times New Roman" w:hAnsi="Times New Roman" w:cs="Times New Roman"/>
          <w:sz w:val="24"/>
          <w:szCs w:val="24"/>
        </w:rPr>
        <w:t xml:space="preserve">‘for the salvation of our souls and those of all our children’. </w:t>
      </w:r>
      <w:r w:rsidR="00E21070">
        <w:rPr>
          <w:rFonts w:ascii="Times New Roman" w:hAnsi="Times New Roman" w:cs="Times New Roman"/>
          <w:sz w:val="24"/>
          <w:szCs w:val="24"/>
        </w:rPr>
        <w:t xml:space="preserve">The details of the transactions are outlined, with the granting of the </w:t>
      </w:r>
      <w:r w:rsidR="00AB50C7">
        <w:rPr>
          <w:rFonts w:ascii="Times New Roman" w:hAnsi="Times New Roman" w:cs="Times New Roman"/>
          <w:sz w:val="24"/>
          <w:szCs w:val="24"/>
        </w:rPr>
        <w:t>priory</w:t>
      </w:r>
      <w:r w:rsidR="00E21070">
        <w:rPr>
          <w:rFonts w:ascii="Times New Roman" w:hAnsi="Times New Roman" w:cs="Times New Roman"/>
          <w:sz w:val="24"/>
          <w:szCs w:val="24"/>
        </w:rPr>
        <w:t xml:space="preserve"> of </w:t>
      </w:r>
      <w:r w:rsidR="00E01A5E">
        <w:rPr>
          <w:rFonts w:ascii="Times New Roman" w:hAnsi="Times New Roman" w:cs="Times New Roman"/>
          <w:sz w:val="24"/>
          <w:szCs w:val="24"/>
        </w:rPr>
        <w:t xml:space="preserve">Deerhurst and </w:t>
      </w:r>
      <w:r w:rsidR="008E6314">
        <w:rPr>
          <w:rFonts w:ascii="Times New Roman" w:hAnsi="Times New Roman" w:cs="Times New Roman"/>
          <w:sz w:val="24"/>
          <w:szCs w:val="24"/>
        </w:rPr>
        <w:t xml:space="preserve">the land at </w:t>
      </w:r>
      <w:r w:rsidR="00E01A5E">
        <w:rPr>
          <w:rFonts w:ascii="Times New Roman" w:hAnsi="Times New Roman" w:cs="Times New Roman"/>
          <w:sz w:val="24"/>
          <w:szCs w:val="24"/>
        </w:rPr>
        <w:t>Taynton to the a</w:t>
      </w:r>
      <w:r w:rsidR="00E21070">
        <w:rPr>
          <w:rFonts w:ascii="Times New Roman" w:hAnsi="Times New Roman" w:cs="Times New Roman"/>
          <w:sz w:val="24"/>
          <w:szCs w:val="24"/>
        </w:rPr>
        <w:t xml:space="preserve">bbey of </w:t>
      </w:r>
      <w:r w:rsidR="00E01A5E">
        <w:rPr>
          <w:rFonts w:ascii="Times New Roman" w:hAnsi="Times New Roman" w:cs="Times New Roman"/>
          <w:sz w:val="24"/>
          <w:szCs w:val="24"/>
        </w:rPr>
        <w:t xml:space="preserve">St Denis. It </w:t>
      </w:r>
      <w:r w:rsidR="00475A23">
        <w:rPr>
          <w:rFonts w:ascii="Times New Roman" w:hAnsi="Times New Roman" w:cs="Times New Roman"/>
          <w:sz w:val="24"/>
          <w:szCs w:val="24"/>
        </w:rPr>
        <w:t>reveals the</w:t>
      </w:r>
      <w:r w:rsidR="00E01A5E">
        <w:rPr>
          <w:rFonts w:ascii="Times New Roman" w:hAnsi="Times New Roman" w:cs="Times New Roman"/>
          <w:sz w:val="24"/>
          <w:szCs w:val="24"/>
        </w:rPr>
        <w:t xml:space="preserve"> </w:t>
      </w:r>
      <w:r w:rsidR="00475A23">
        <w:rPr>
          <w:rFonts w:ascii="Times New Roman" w:hAnsi="Times New Roman" w:cs="Times New Roman"/>
          <w:sz w:val="24"/>
          <w:szCs w:val="24"/>
        </w:rPr>
        <w:t xml:space="preserve">details of an </w:t>
      </w:r>
      <w:r w:rsidR="00E01A5E">
        <w:rPr>
          <w:rFonts w:ascii="Times New Roman" w:hAnsi="Times New Roman" w:cs="Times New Roman"/>
          <w:sz w:val="24"/>
          <w:szCs w:val="24"/>
        </w:rPr>
        <w:t>earlier grant made by Edward the Confessor of Deerhurst to ‘our</w:t>
      </w:r>
      <w:r w:rsidR="00E01A5E" w:rsidRPr="00E01A5E">
        <w:rPr>
          <w:rFonts w:ascii="Times New Roman" w:hAnsi="Times New Roman" w:cs="Times New Roman"/>
          <w:sz w:val="24"/>
          <w:szCs w:val="24"/>
        </w:rPr>
        <w:t xml:space="preserve"> faithful Baldwin, monk of St Denis</w:t>
      </w:r>
      <w:r w:rsidR="00E01A5E">
        <w:rPr>
          <w:rFonts w:ascii="Times New Roman" w:hAnsi="Times New Roman" w:cs="Times New Roman"/>
          <w:sz w:val="24"/>
          <w:szCs w:val="24"/>
        </w:rPr>
        <w:t>,’ and Taynton to St Denis.</w:t>
      </w:r>
      <w:r w:rsidR="000B2D0A">
        <w:rPr>
          <w:rFonts w:ascii="Times New Roman" w:hAnsi="Times New Roman" w:cs="Times New Roman"/>
          <w:sz w:val="24"/>
          <w:szCs w:val="24"/>
        </w:rPr>
        <w:t xml:space="preserve"> The</w:t>
      </w:r>
      <w:r w:rsidR="00E01A5E">
        <w:rPr>
          <w:rFonts w:ascii="Times New Roman" w:hAnsi="Times New Roman" w:cs="Times New Roman"/>
          <w:sz w:val="24"/>
          <w:szCs w:val="24"/>
        </w:rPr>
        <w:t xml:space="preserve"> gift is reinforced by </w:t>
      </w:r>
      <w:r w:rsidR="002E3B13">
        <w:rPr>
          <w:rFonts w:ascii="Times New Roman" w:hAnsi="Times New Roman" w:cs="Times New Roman"/>
          <w:sz w:val="24"/>
          <w:szCs w:val="24"/>
        </w:rPr>
        <w:t>an anathema clause</w:t>
      </w:r>
      <w:r w:rsidR="002E3B13" w:rsidRPr="002E3B13">
        <w:rPr>
          <w:rFonts w:ascii="Times New Roman" w:hAnsi="Times New Roman" w:cs="Times New Roman"/>
          <w:sz w:val="24"/>
          <w:szCs w:val="24"/>
        </w:rPr>
        <w:t xml:space="preserve"> </w:t>
      </w:r>
      <w:r w:rsidR="002E3B13">
        <w:rPr>
          <w:rFonts w:ascii="Times New Roman" w:hAnsi="Times New Roman" w:cs="Times New Roman"/>
          <w:sz w:val="24"/>
          <w:szCs w:val="24"/>
        </w:rPr>
        <w:t xml:space="preserve">threatening divine punishment, </w:t>
      </w:r>
      <w:r w:rsidR="002E3B13" w:rsidRPr="002E3B13">
        <w:rPr>
          <w:rFonts w:ascii="Times New Roman" w:hAnsi="Times New Roman" w:cs="Times New Roman"/>
          <w:sz w:val="24"/>
          <w:szCs w:val="24"/>
        </w:rPr>
        <w:t>with the evocation</w:t>
      </w:r>
      <w:r w:rsidR="002E3B13">
        <w:rPr>
          <w:rFonts w:ascii="Times New Roman" w:hAnsi="Times New Roman" w:cs="Times New Roman"/>
          <w:sz w:val="24"/>
          <w:szCs w:val="24"/>
        </w:rPr>
        <w:t xml:space="preserve"> of Dathan and Abiron, on those who violated the terms.</w:t>
      </w:r>
      <w:r w:rsidR="002E3B13">
        <w:rPr>
          <w:rStyle w:val="FootnoteReference"/>
          <w:rFonts w:ascii="Times New Roman" w:hAnsi="Times New Roman" w:cs="Times New Roman"/>
          <w:sz w:val="24"/>
          <w:szCs w:val="24"/>
        </w:rPr>
        <w:footnoteReference w:id="1"/>
      </w:r>
      <w:r w:rsidR="000B2D0A">
        <w:rPr>
          <w:rFonts w:ascii="Times New Roman" w:hAnsi="Times New Roman" w:cs="Times New Roman"/>
          <w:sz w:val="24"/>
          <w:szCs w:val="24"/>
        </w:rPr>
        <w:t xml:space="preserve"> It is dated the second day of Easter</w:t>
      </w:r>
      <w:r w:rsidR="009E4AE9">
        <w:rPr>
          <w:rFonts w:ascii="Times New Roman" w:hAnsi="Times New Roman" w:cs="Times New Roman"/>
          <w:sz w:val="24"/>
          <w:szCs w:val="24"/>
        </w:rPr>
        <w:t xml:space="preserve"> </w:t>
      </w:r>
      <w:r w:rsidR="00F94BEE">
        <w:rPr>
          <w:rFonts w:ascii="Times New Roman" w:hAnsi="Times New Roman" w:cs="Times New Roman"/>
          <w:sz w:val="24"/>
          <w:szCs w:val="24"/>
        </w:rPr>
        <w:t>1069</w:t>
      </w:r>
      <w:r w:rsidR="005348D0">
        <w:rPr>
          <w:rFonts w:ascii="Times New Roman" w:hAnsi="Times New Roman" w:cs="Times New Roman"/>
          <w:sz w:val="24"/>
          <w:szCs w:val="24"/>
        </w:rPr>
        <w:t xml:space="preserve"> </w:t>
      </w:r>
      <w:r w:rsidR="001B465A" w:rsidRPr="001B465A">
        <w:rPr>
          <w:rFonts w:ascii="Times New Roman" w:hAnsi="Times New Roman" w:cs="Times New Roman"/>
          <w:sz w:val="24"/>
          <w:szCs w:val="24"/>
        </w:rPr>
        <w:t>at Winchester</w:t>
      </w:r>
      <w:r w:rsidR="001B465A">
        <w:rPr>
          <w:rFonts w:ascii="Times New Roman" w:hAnsi="Times New Roman" w:cs="Times New Roman"/>
          <w:sz w:val="24"/>
          <w:szCs w:val="24"/>
        </w:rPr>
        <w:t>.</w:t>
      </w:r>
      <w:r w:rsidR="00F94BEE">
        <w:rPr>
          <w:rStyle w:val="FootnoteReference"/>
          <w:rFonts w:ascii="Times New Roman" w:hAnsi="Times New Roman" w:cs="Times New Roman"/>
          <w:sz w:val="24"/>
          <w:szCs w:val="24"/>
        </w:rPr>
        <w:footnoteReference w:id="2"/>
      </w:r>
      <w:r w:rsidR="00553FE6">
        <w:rPr>
          <w:rFonts w:ascii="Times New Roman" w:hAnsi="Times New Roman" w:cs="Times New Roman"/>
          <w:sz w:val="24"/>
          <w:szCs w:val="24"/>
        </w:rPr>
        <w:t xml:space="preserve"> The diploma</w:t>
      </w:r>
      <w:r w:rsidR="00F94BEE">
        <w:rPr>
          <w:rFonts w:ascii="Times New Roman" w:hAnsi="Times New Roman" w:cs="Times New Roman"/>
          <w:sz w:val="24"/>
          <w:szCs w:val="24"/>
        </w:rPr>
        <w:t xml:space="preserve"> is completed by a</w:t>
      </w:r>
      <w:r w:rsidR="005704BB">
        <w:rPr>
          <w:rFonts w:ascii="Times New Roman" w:hAnsi="Times New Roman" w:cs="Times New Roman"/>
          <w:sz w:val="24"/>
          <w:szCs w:val="24"/>
        </w:rPr>
        <w:t>n impressive</w:t>
      </w:r>
      <w:r w:rsidR="00F94BEE">
        <w:rPr>
          <w:rFonts w:ascii="Times New Roman" w:hAnsi="Times New Roman" w:cs="Times New Roman"/>
          <w:sz w:val="24"/>
          <w:szCs w:val="24"/>
        </w:rPr>
        <w:t xml:space="preserve"> witness list which includes the </w:t>
      </w:r>
      <w:r w:rsidR="00E21070" w:rsidRPr="00DE415D">
        <w:rPr>
          <w:rFonts w:ascii="Times New Roman" w:hAnsi="Times New Roman" w:cs="Times New Roman"/>
          <w:i/>
          <w:sz w:val="24"/>
          <w:szCs w:val="24"/>
        </w:rPr>
        <w:t>laudatio parentum</w:t>
      </w:r>
      <w:r w:rsidR="00E21070">
        <w:rPr>
          <w:rFonts w:ascii="Times New Roman" w:hAnsi="Times New Roman" w:cs="Times New Roman"/>
          <w:sz w:val="24"/>
          <w:szCs w:val="24"/>
        </w:rPr>
        <w:t>; with William’s son, Richard</w:t>
      </w:r>
      <w:r w:rsidR="00B90D61">
        <w:rPr>
          <w:rFonts w:ascii="Times New Roman" w:hAnsi="Times New Roman" w:cs="Times New Roman"/>
          <w:sz w:val="24"/>
          <w:szCs w:val="24"/>
        </w:rPr>
        <w:t xml:space="preserve">, approving </w:t>
      </w:r>
      <w:r w:rsidR="008E6314">
        <w:rPr>
          <w:rFonts w:ascii="Times New Roman" w:hAnsi="Times New Roman" w:cs="Times New Roman"/>
          <w:sz w:val="24"/>
          <w:szCs w:val="24"/>
        </w:rPr>
        <w:t>the grants</w:t>
      </w:r>
      <w:r w:rsidR="00E01A5E">
        <w:rPr>
          <w:rFonts w:ascii="Times New Roman" w:hAnsi="Times New Roman" w:cs="Times New Roman"/>
          <w:sz w:val="24"/>
          <w:szCs w:val="24"/>
        </w:rPr>
        <w:t xml:space="preserve"> by</w:t>
      </w:r>
      <w:r w:rsidR="00E21070">
        <w:rPr>
          <w:rFonts w:ascii="Times New Roman" w:hAnsi="Times New Roman" w:cs="Times New Roman"/>
          <w:sz w:val="24"/>
          <w:szCs w:val="24"/>
        </w:rPr>
        <w:t xml:space="preserve"> freely assenting to the gift.</w:t>
      </w:r>
      <w:r w:rsidR="00E21070">
        <w:rPr>
          <w:rStyle w:val="FootnoteReference"/>
          <w:rFonts w:ascii="Times New Roman" w:hAnsi="Times New Roman" w:cs="Times New Roman"/>
          <w:sz w:val="24"/>
          <w:szCs w:val="24"/>
        </w:rPr>
        <w:footnoteReference w:id="3"/>
      </w:r>
      <w:r w:rsidR="00F94BEE">
        <w:rPr>
          <w:rFonts w:ascii="Times New Roman" w:hAnsi="Times New Roman" w:cs="Times New Roman"/>
          <w:sz w:val="24"/>
          <w:szCs w:val="24"/>
        </w:rPr>
        <w:t xml:space="preserve"> </w:t>
      </w:r>
      <w:r w:rsidR="008E6314">
        <w:rPr>
          <w:rFonts w:ascii="Times New Roman" w:hAnsi="Times New Roman" w:cs="Times New Roman"/>
          <w:sz w:val="24"/>
          <w:szCs w:val="24"/>
        </w:rPr>
        <w:t>William and Matilda both consent to the gift, and the king’s</w:t>
      </w:r>
      <w:r w:rsidR="00B90D61">
        <w:rPr>
          <w:rFonts w:ascii="Times New Roman" w:hAnsi="Times New Roman" w:cs="Times New Roman"/>
          <w:sz w:val="24"/>
          <w:szCs w:val="24"/>
        </w:rPr>
        <w:t xml:space="preserve"> </w:t>
      </w:r>
      <w:r w:rsidR="008E6314">
        <w:rPr>
          <w:rFonts w:ascii="Times New Roman" w:hAnsi="Times New Roman" w:cs="Times New Roman"/>
          <w:sz w:val="24"/>
          <w:szCs w:val="24"/>
        </w:rPr>
        <w:t>half-</w:t>
      </w:r>
      <w:r w:rsidR="00B90D61">
        <w:rPr>
          <w:rFonts w:ascii="Times New Roman" w:hAnsi="Times New Roman" w:cs="Times New Roman"/>
          <w:sz w:val="24"/>
          <w:szCs w:val="24"/>
        </w:rPr>
        <w:t>brother</w:t>
      </w:r>
      <w:r w:rsidR="008E6314">
        <w:rPr>
          <w:rFonts w:ascii="Times New Roman" w:hAnsi="Times New Roman" w:cs="Times New Roman"/>
          <w:sz w:val="24"/>
          <w:szCs w:val="24"/>
        </w:rPr>
        <w:t xml:space="preserve"> Robert</w:t>
      </w:r>
      <w:r w:rsidR="00B90D61">
        <w:rPr>
          <w:rFonts w:ascii="Times New Roman" w:hAnsi="Times New Roman" w:cs="Times New Roman"/>
          <w:sz w:val="24"/>
          <w:szCs w:val="24"/>
        </w:rPr>
        <w:t xml:space="preserve">, </w:t>
      </w:r>
      <w:r w:rsidR="008E6314">
        <w:rPr>
          <w:rFonts w:ascii="Times New Roman" w:hAnsi="Times New Roman" w:cs="Times New Roman"/>
          <w:sz w:val="24"/>
          <w:szCs w:val="24"/>
        </w:rPr>
        <w:t>Count</w:t>
      </w:r>
      <w:r w:rsidR="00B90D61" w:rsidRPr="00B90D61">
        <w:rPr>
          <w:rFonts w:ascii="Times New Roman" w:hAnsi="Times New Roman" w:cs="Times New Roman"/>
          <w:sz w:val="24"/>
          <w:szCs w:val="24"/>
        </w:rPr>
        <w:t xml:space="preserve"> </w:t>
      </w:r>
      <w:r w:rsidR="00B90D61">
        <w:rPr>
          <w:rFonts w:ascii="Times New Roman" w:hAnsi="Times New Roman" w:cs="Times New Roman"/>
          <w:sz w:val="24"/>
          <w:szCs w:val="24"/>
        </w:rPr>
        <w:t>of Mortain, consents ‘with goodwill’.</w:t>
      </w:r>
      <w:r w:rsidR="008E6314">
        <w:rPr>
          <w:rFonts w:ascii="Times New Roman" w:hAnsi="Times New Roman" w:cs="Times New Roman"/>
          <w:sz w:val="24"/>
          <w:szCs w:val="24"/>
        </w:rPr>
        <w:t xml:space="preserve"> </w:t>
      </w:r>
      <w:r w:rsidR="003F2038">
        <w:rPr>
          <w:rFonts w:ascii="Times New Roman" w:hAnsi="Times New Roman" w:cs="Times New Roman"/>
          <w:sz w:val="24"/>
          <w:szCs w:val="24"/>
        </w:rPr>
        <w:t>With the close association to Edward the Confessor, it is not surprising</w:t>
      </w:r>
      <w:r w:rsidR="001021DD">
        <w:rPr>
          <w:rFonts w:ascii="Times New Roman" w:hAnsi="Times New Roman" w:cs="Times New Roman"/>
          <w:sz w:val="24"/>
          <w:szCs w:val="24"/>
        </w:rPr>
        <w:t xml:space="preserve"> that the document</w:t>
      </w:r>
      <w:r w:rsidR="006F4B7C">
        <w:rPr>
          <w:rFonts w:ascii="Times New Roman" w:hAnsi="Times New Roman" w:cs="Times New Roman"/>
          <w:sz w:val="24"/>
          <w:szCs w:val="24"/>
        </w:rPr>
        <w:t xml:space="preserve"> was based on an O</w:t>
      </w:r>
      <w:r w:rsidR="003F2038">
        <w:rPr>
          <w:rFonts w:ascii="Times New Roman" w:hAnsi="Times New Roman" w:cs="Times New Roman"/>
          <w:sz w:val="24"/>
          <w:szCs w:val="24"/>
        </w:rPr>
        <w:t>ld English diploma.</w:t>
      </w:r>
      <w:r w:rsidR="003F2038">
        <w:rPr>
          <w:rStyle w:val="FootnoteReference"/>
          <w:rFonts w:ascii="Times New Roman" w:hAnsi="Times New Roman" w:cs="Times New Roman"/>
          <w:sz w:val="24"/>
          <w:szCs w:val="24"/>
        </w:rPr>
        <w:footnoteReference w:id="4"/>
      </w:r>
      <w:r w:rsidR="003F2038">
        <w:rPr>
          <w:rFonts w:ascii="Times New Roman" w:hAnsi="Times New Roman" w:cs="Times New Roman"/>
          <w:sz w:val="24"/>
          <w:szCs w:val="24"/>
        </w:rPr>
        <w:t xml:space="preserve"> </w:t>
      </w:r>
      <w:r w:rsidR="003F2038" w:rsidRPr="005704BB">
        <w:rPr>
          <w:rFonts w:ascii="Times New Roman" w:hAnsi="Times New Roman" w:cs="Times New Roman"/>
          <w:sz w:val="24"/>
          <w:szCs w:val="24"/>
        </w:rPr>
        <w:t xml:space="preserve">David Bates </w:t>
      </w:r>
      <w:r w:rsidR="001B465A" w:rsidRPr="005704BB">
        <w:rPr>
          <w:rFonts w:ascii="Times New Roman" w:hAnsi="Times New Roman" w:cs="Times New Roman"/>
          <w:sz w:val="24"/>
          <w:szCs w:val="24"/>
        </w:rPr>
        <w:t xml:space="preserve">even suggests that </w:t>
      </w:r>
      <w:r w:rsidR="003F2038" w:rsidRPr="005704BB">
        <w:rPr>
          <w:rFonts w:ascii="Times New Roman" w:hAnsi="Times New Roman" w:cs="Times New Roman"/>
          <w:sz w:val="24"/>
          <w:szCs w:val="24"/>
        </w:rPr>
        <w:t>‘</w:t>
      </w:r>
      <w:r w:rsidR="001B465A" w:rsidRPr="005704BB">
        <w:rPr>
          <w:rFonts w:ascii="Times New Roman" w:hAnsi="Times New Roman" w:cs="Times New Roman"/>
          <w:sz w:val="24"/>
          <w:szCs w:val="24"/>
        </w:rPr>
        <w:t xml:space="preserve">in all likelihood he [Baldwin] </w:t>
      </w:r>
      <w:r w:rsidR="003F2038" w:rsidRPr="005704BB">
        <w:rPr>
          <w:rFonts w:ascii="Times New Roman" w:hAnsi="Times New Roman" w:cs="Times New Roman"/>
          <w:sz w:val="24"/>
          <w:szCs w:val="24"/>
        </w:rPr>
        <w:t>had a scribe from Saint-Denis in tow who wrote the document in the format of an Anglo-Saxon diploma.’</w:t>
      </w:r>
      <w:r w:rsidR="003F2038" w:rsidRPr="005704BB">
        <w:rPr>
          <w:rStyle w:val="FootnoteReference"/>
          <w:rFonts w:ascii="Times New Roman" w:hAnsi="Times New Roman" w:cs="Times New Roman"/>
          <w:sz w:val="24"/>
          <w:szCs w:val="24"/>
        </w:rPr>
        <w:footnoteReference w:id="5"/>
      </w:r>
    </w:p>
    <w:p w:rsidR="00553FE6" w:rsidRDefault="00553FE6" w:rsidP="009E4AE9">
      <w:pPr>
        <w:spacing w:after="0" w:line="360" w:lineRule="auto"/>
        <w:rPr>
          <w:rFonts w:ascii="Times New Roman" w:hAnsi="Times New Roman" w:cs="Times New Roman"/>
          <w:sz w:val="24"/>
          <w:szCs w:val="24"/>
        </w:rPr>
      </w:pPr>
    </w:p>
    <w:p w:rsidR="008A4197" w:rsidRDefault="00553FE6" w:rsidP="00AD4AA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diploma draws attention to various places and people as it reveals and confirms Edward’s </w:t>
      </w:r>
      <w:r w:rsidR="00AB50C7">
        <w:rPr>
          <w:rFonts w:ascii="Times New Roman" w:hAnsi="Times New Roman" w:cs="Times New Roman"/>
          <w:sz w:val="24"/>
          <w:szCs w:val="24"/>
        </w:rPr>
        <w:t>grant of</w:t>
      </w:r>
      <w:r>
        <w:rPr>
          <w:rFonts w:ascii="Times New Roman" w:hAnsi="Times New Roman" w:cs="Times New Roman"/>
          <w:sz w:val="24"/>
          <w:szCs w:val="24"/>
        </w:rPr>
        <w:t xml:space="preserve"> </w:t>
      </w:r>
      <w:proofErr w:type="spellStart"/>
      <w:r>
        <w:rPr>
          <w:rFonts w:ascii="Times New Roman" w:hAnsi="Times New Roman" w:cs="Times New Roman"/>
          <w:sz w:val="24"/>
          <w:szCs w:val="24"/>
        </w:rPr>
        <w:t>Deerhurst</w:t>
      </w:r>
      <w:proofErr w:type="spellEnd"/>
      <w:r w:rsidR="008F23E8">
        <w:rPr>
          <w:rFonts w:ascii="Times New Roman" w:hAnsi="Times New Roman" w:cs="Times New Roman"/>
          <w:sz w:val="24"/>
          <w:szCs w:val="24"/>
        </w:rPr>
        <w:t>, near Tewkesbury,</w:t>
      </w:r>
      <w:r>
        <w:rPr>
          <w:rFonts w:ascii="Times New Roman" w:hAnsi="Times New Roman" w:cs="Times New Roman"/>
          <w:sz w:val="24"/>
          <w:szCs w:val="24"/>
        </w:rPr>
        <w:t xml:space="preserve"> </w:t>
      </w:r>
      <w:r w:rsidR="001021DD">
        <w:rPr>
          <w:rFonts w:ascii="Times New Roman" w:hAnsi="Times New Roman" w:cs="Times New Roman"/>
          <w:sz w:val="24"/>
          <w:szCs w:val="24"/>
        </w:rPr>
        <w:t xml:space="preserve">in Gloucestershire </w:t>
      </w:r>
      <w:r w:rsidR="008F23E8">
        <w:rPr>
          <w:rFonts w:ascii="Times New Roman" w:hAnsi="Times New Roman" w:cs="Times New Roman"/>
          <w:sz w:val="24"/>
          <w:szCs w:val="24"/>
        </w:rPr>
        <w:t xml:space="preserve">to </w:t>
      </w:r>
      <w:r>
        <w:rPr>
          <w:rFonts w:ascii="Times New Roman" w:hAnsi="Times New Roman" w:cs="Times New Roman"/>
          <w:sz w:val="24"/>
          <w:szCs w:val="24"/>
        </w:rPr>
        <w:t>St Denis in Paris.</w:t>
      </w:r>
      <w:r w:rsidR="00AB50C7">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r w:rsidR="005A17D5">
        <w:rPr>
          <w:rFonts w:ascii="Times New Roman" w:hAnsi="Times New Roman" w:cs="Times New Roman"/>
          <w:sz w:val="24"/>
          <w:szCs w:val="24"/>
        </w:rPr>
        <w:t>It</w:t>
      </w:r>
      <w:r w:rsidR="001021DD">
        <w:rPr>
          <w:rFonts w:ascii="Times New Roman" w:hAnsi="Times New Roman" w:cs="Times New Roman"/>
          <w:sz w:val="24"/>
          <w:szCs w:val="24"/>
        </w:rPr>
        <w:t xml:space="preserve"> </w:t>
      </w:r>
      <w:r w:rsidR="001021DD">
        <w:rPr>
          <w:rFonts w:ascii="Times New Roman" w:hAnsi="Times New Roman" w:cs="Times New Roman"/>
          <w:sz w:val="24"/>
          <w:szCs w:val="24"/>
        </w:rPr>
        <w:lastRenderedPageBreak/>
        <w:t>also confirms Deerhurst’</w:t>
      </w:r>
      <w:r w:rsidR="00AB50C7">
        <w:rPr>
          <w:rFonts w:ascii="Times New Roman" w:hAnsi="Times New Roman" w:cs="Times New Roman"/>
          <w:sz w:val="24"/>
          <w:szCs w:val="24"/>
        </w:rPr>
        <w:t>s status as one of only a few alien priories established before 1066.</w:t>
      </w:r>
      <w:r w:rsidR="00AB50C7">
        <w:rPr>
          <w:rStyle w:val="FootnoteReference"/>
          <w:rFonts w:ascii="Times New Roman" w:hAnsi="Times New Roman" w:cs="Times New Roman"/>
          <w:sz w:val="24"/>
          <w:szCs w:val="24"/>
        </w:rPr>
        <w:footnoteReference w:id="7"/>
      </w:r>
      <w:r w:rsidR="005A17D5">
        <w:rPr>
          <w:rFonts w:ascii="Times New Roman" w:hAnsi="Times New Roman" w:cs="Times New Roman"/>
          <w:sz w:val="24"/>
          <w:szCs w:val="24"/>
        </w:rPr>
        <w:t xml:space="preserve"> The diploma</w:t>
      </w:r>
      <w:r w:rsidR="009A50E1">
        <w:rPr>
          <w:rFonts w:ascii="Times New Roman" w:hAnsi="Times New Roman" w:cs="Times New Roman"/>
          <w:sz w:val="24"/>
          <w:szCs w:val="24"/>
        </w:rPr>
        <w:t xml:space="preserve"> </w:t>
      </w:r>
      <w:r w:rsidR="001021DD">
        <w:rPr>
          <w:rFonts w:ascii="Times New Roman" w:hAnsi="Times New Roman" w:cs="Times New Roman"/>
          <w:sz w:val="24"/>
          <w:szCs w:val="24"/>
        </w:rPr>
        <w:t>further</w:t>
      </w:r>
      <w:r w:rsidR="009A50E1">
        <w:rPr>
          <w:rFonts w:ascii="Times New Roman" w:hAnsi="Times New Roman" w:cs="Times New Roman"/>
          <w:sz w:val="24"/>
          <w:szCs w:val="24"/>
        </w:rPr>
        <w:t xml:space="preserve"> confirms </w:t>
      </w:r>
      <w:r w:rsidR="00B84AFA">
        <w:rPr>
          <w:rFonts w:ascii="Times New Roman" w:hAnsi="Times New Roman" w:cs="Times New Roman"/>
          <w:sz w:val="24"/>
          <w:szCs w:val="24"/>
        </w:rPr>
        <w:t xml:space="preserve">the </w:t>
      </w:r>
      <w:r w:rsidR="009A50E1">
        <w:rPr>
          <w:rFonts w:ascii="Times New Roman" w:hAnsi="Times New Roman" w:cs="Times New Roman"/>
          <w:sz w:val="24"/>
          <w:szCs w:val="24"/>
        </w:rPr>
        <w:t xml:space="preserve">grant </w:t>
      </w:r>
      <w:r w:rsidR="00B84AFA">
        <w:rPr>
          <w:rFonts w:ascii="Times New Roman" w:hAnsi="Times New Roman" w:cs="Times New Roman"/>
          <w:sz w:val="24"/>
          <w:szCs w:val="24"/>
        </w:rPr>
        <w:t>of an</w:t>
      </w:r>
      <w:r w:rsidR="009A50E1">
        <w:rPr>
          <w:rFonts w:ascii="Times New Roman" w:hAnsi="Times New Roman" w:cs="Times New Roman"/>
          <w:sz w:val="24"/>
          <w:szCs w:val="24"/>
        </w:rPr>
        <w:t xml:space="preserve"> estate at </w:t>
      </w:r>
      <w:proofErr w:type="spellStart"/>
      <w:r w:rsidR="009A50E1">
        <w:rPr>
          <w:rFonts w:ascii="Times New Roman" w:hAnsi="Times New Roman" w:cs="Times New Roman"/>
          <w:sz w:val="24"/>
          <w:szCs w:val="24"/>
        </w:rPr>
        <w:t>Taynton</w:t>
      </w:r>
      <w:proofErr w:type="spellEnd"/>
      <w:r w:rsidR="009A50E1">
        <w:rPr>
          <w:rFonts w:ascii="Times New Roman" w:hAnsi="Times New Roman" w:cs="Times New Roman"/>
          <w:sz w:val="24"/>
          <w:szCs w:val="24"/>
        </w:rPr>
        <w:t xml:space="preserve"> in Oxfordshire</w:t>
      </w:r>
      <w:r w:rsidR="00B84AFA">
        <w:rPr>
          <w:rFonts w:ascii="Times New Roman" w:hAnsi="Times New Roman" w:cs="Times New Roman"/>
          <w:sz w:val="24"/>
          <w:szCs w:val="24"/>
        </w:rPr>
        <w:t xml:space="preserve"> to</w:t>
      </w:r>
      <w:r w:rsidR="008F23E8">
        <w:rPr>
          <w:rFonts w:ascii="Times New Roman" w:hAnsi="Times New Roman" w:cs="Times New Roman"/>
          <w:sz w:val="24"/>
          <w:szCs w:val="24"/>
        </w:rPr>
        <w:t xml:space="preserve"> the abbey of</w:t>
      </w:r>
      <w:r w:rsidR="00B84AFA">
        <w:rPr>
          <w:rFonts w:ascii="Times New Roman" w:hAnsi="Times New Roman" w:cs="Times New Roman"/>
          <w:sz w:val="24"/>
          <w:szCs w:val="24"/>
        </w:rPr>
        <w:t xml:space="preserve"> St Denis. </w:t>
      </w:r>
      <w:r w:rsidR="005A17D5">
        <w:rPr>
          <w:rFonts w:ascii="Times New Roman" w:hAnsi="Times New Roman" w:cs="Times New Roman"/>
          <w:sz w:val="24"/>
          <w:szCs w:val="24"/>
        </w:rPr>
        <w:t>It</w:t>
      </w:r>
      <w:r w:rsidR="00B84AFA">
        <w:rPr>
          <w:rFonts w:ascii="Times New Roman" w:hAnsi="Times New Roman" w:cs="Times New Roman"/>
          <w:sz w:val="24"/>
          <w:szCs w:val="24"/>
        </w:rPr>
        <w:t xml:space="preserve"> provides evidence that Baldwin, a monk of St Denis at the time of the initial grant, was made abbot of Bury St Edmund’s before Edward’s death.</w:t>
      </w:r>
      <w:r w:rsidR="00B84AFA">
        <w:rPr>
          <w:rStyle w:val="FootnoteReference"/>
          <w:rFonts w:ascii="Times New Roman" w:hAnsi="Times New Roman" w:cs="Times New Roman"/>
          <w:sz w:val="24"/>
          <w:szCs w:val="24"/>
        </w:rPr>
        <w:footnoteReference w:id="8"/>
      </w:r>
      <w:r w:rsidR="00E62F21">
        <w:rPr>
          <w:rFonts w:ascii="Times New Roman" w:hAnsi="Times New Roman" w:cs="Times New Roman"/>
          <w:sz w:val="24"/>
          <w:szCs w:val="24"/>
        </w:rPr>
        <w:t xml:space="preserve"> Baldwin</w:t>
      </w:r>
      <w:r w:rsidR="00B84AFA">
        <w:rPr>
          <w:rFonts w:ascii="Times New Roman" w:hAnsi="Times New Roman" w:cs="Times New Roman"/>
          <w:sz w:val="24"/>
          <w:szCs w:val="24"/>
        </w:rPr>
        <w:t xml:space="preserve"> </w:t>
      </w:r>
      <w:r w:rsidR="00B84AFA" w:rsidRPr="002A25FC">
        <w:rPr>
          <w:rFonts w:ascii="Times New Roman" w:hAnsi="Times New Roman" w:cs="Times New Roman"/>
          <w:sz w:val="24"/>
          <w:szCs w:val="24"/>
        </w:rPr>
        <w:t>was born in Chartres and</w:t>
      </w:r>
      <w:r w:rsidR="00B84AFA">
        <w:rPr>
          <w:rFonts w:ascii="Times New Roman" w:hAnsi="Times New Roman" w:cs="Times New Roman"/>
          <w:sz w:val="24"/>
          <w:szCs w:val="24"/>
        </w:rPr>
        <w:t xml:space="preserve"> acted as physician to Edward, possibly with intimate knowledge of </w:t>
      </w:r>
      <w:r w:rsidR="00E62F21">
        <w:rPr>
          <w:rFonts w:ascii="Times New Roman" w:hAnsi="Times New Roman" w:cs="Times New Roman"/>
          <w:sz w:val="24"/>
          <w:szCs w:val="24"/>
        </w:rPr>
        <w:t>the events at Edward’</w:t>
      </w:r>
      <w:r w:rsidR="001021DD">
        <w:rPr>
          <w:rFonts w:ascii="Times New Roman" w:hAnsi="Times New Roman" w:cs="Times New Roman"/>
          <w:sz w:val="24"/>
          <w:szCs w:val="24"/>
        </w:rPr>
        <w:t>s deathbed</w:t>
      </w:r>
      <w:r w:rsidR="00E62F21">
        <w:rPr>
          <w:rFonts w:ascii="Times New Roman" w:hAnsi="Times New Roman" w:cs="Times New Roman"/>
          <w:sz w:val="24"/>
          <w:szCs w:val="24"/>
        </w:rPr>
        <w:t>.</w:t>
      </w:r>
      <w:r w:rsidR="00E62F21">
        <w:rPr>
          <w:rStyle w:val="FootnoteReference"/>
          <w:rFonts w:ascii="Times New Roman" w:hAnsi="Times New Roman" w:cs="Times New Roman"/>
          <w:sz w:val="24"/>
          <w:szCs w:val="24"/>
        </w:rPr>
        <w:footnoteReference w:id="9"/>
      </w:r>
      <w:r w:rsidR="00E62F21">
        <w:rPr>
          <w:rFonts w:ascii="Times New Roman" w:hAnsi="Times New Roman" w:cs="Times New Roman"/>
          <w:sz w:val="24"/>
          <w:szCs w:val="24"/>
        </w:rPr>
        <w:t xml:space="preserve"> He survived 1066, becoming a regular at William I’s courts on both sides of the Channel and may have served </w:t>
      </w:r>
      <w:r w:rsidR="00E62F21" w:rsidRPr="002A25FC">
        <w:rPr>
          <w:rFonts w:ascii="Times New Roman" w:hAnsi="Times New Roman" w:cs="Times New Roman"/>
          <w:sz w:val="24"/>
          <w:szCs w:val="24"/>
        </w:rPr>
        <w:t>the king and courtiers</w:t>
      </w:r>
      <w:r w:rsidR="00E62F21">
        <w:rPr>
          <w:rFonts w:ascii="Times New Roman" w:hAnsi="Times New Roman" w:cs="Times New Roman"/>
          <w:sz w:val="24"/>
          <w:szCs w:val="24"/>
        </w:rPr>
        <w:t xml:space="preserve"> as a </w:t>
      </w:r>
      <w:r w:rsidR="00AD4AA4">
        <w:rPr>
          <w:rFonts w:ascii="Times New Roman" w:hAnsi="Times New Roman" w:cs="Times New Roman"/>
          <w:sz w:val="24"/>
          <w:szCs w:val="24"/>
        </w:rPr>
        <w:t xml:space="preserve">royal </w:t>
      </w:r>
      <w:r w:rsidR="00E62F21">
        <w:rPr>
          <w:rFonts w:ascii="Times New Roman" w:hAnsi="Times New Roman" w:cs="Times New Roman"/>
          <w:sz w:val="24"/>
          <w:szCs w:val="24"/>
        </w:rPr>
        <w:t>physician.</w:t>
      </w:r>
      <w:r w:rsidR="00E62F21">
        <w:rPr>
          <w:rStyle w:val="FootnoteReference"/>
          <w:rFonts w:ascii="Times New Roman" w:hAnsi="Times New Roman" w:cs="Times New Roman"/>
          <w:sz w:val="24"/>
          <w:szCs w:val="24"/>
        </w:rPr>
        <w:footnoteReference w:id="10"/>
      </w:r>
      <w:r w:rsidR="008A4197">
        <w:rPr>
          <w:rFonts w:ascii="Times New Roman" w:hAnsi="Times New Roman" w:cs="Times New Roman"/>
          <w:sz w:val="24"/>
          <w:szCs w:val="24"/>
        </w:rPr>
        <w:t xml:space="preserve"> </w:t>
      </w:r>
      <w:r w:rsidR="001021DD">
        <w:rPr>
          <w:rFonts w:ascii="Times New Roman" w:hAnsi="Times New Roman" w:cs="Times New Roman"/>
          <w:sz w:val="24"/>
          <w:szCs w:val="24"/>
        </w:rPr>
        <w:t>The</w:t>
      </w:r>
      <w:r w:rsidR="00D020F0">
        <w:rPr>
          <w:rFonts w:ascii="Times New Roman" w:hAnsi="Times New Roman" w:cs="Times New Roman"/>
          <w:sz w:val="24"/>
          <w:szCs w:val="24"/>
        </w:rPr>
        <w:t xml:space="preserve"> w</w:t>
      </w:r>
      <w:r w:rsidR="005A17D5">
        <w:rPr>
          <w:rFonts w:ascii="Times New Roman" w:hAnsi="Times New Roman" w:cs="Times New Roman"/>
          <w:sz w:val="24"/>
          <w:szCs w:val="24"/>
        </w:rPr>
        <w:t>itness list starts with William and</w:t>
      </w:r>
      <w:r w:rsidR="00D020F0">
        <w:rPr>
          <w:rFonts w:ascii="Times New Roman" w:hAnsi="Times New Roman" w:cs="Times New Roman"/>
          <w:sz w:val="24"/>
          <w:szCs w:val="24"/>
        </w:rPr>
        <w:t xml:space="preserve"> Matilda</w:t>
      </w:r>
      <w:r w:rsidR="005A17D5">
        <w:rPr>
          <w:rFonts w:ascii="Times New Roman" w:hAnsi="Times New Roman" w:cs="Times New Roman"/>
          <w:sz w:val="24"/>
          <w:szCs w:val="24"/>
        </w:rPr>
        <w:t>,</w:t>
      </w:r>
      <w:r w:rsidR="00D020F0">
        <w:rPr>
          <w:rFonts w:ascii="Times New Roman" w:hAnsi="Times New Roman" w:cs="Times New Roman"/>
          <w:sz w:val="24"/>
          <w:szCs w:val="24"/>
        </w:rPr>
        <w:t xml:space="preserve"> and </w:t>
      </w:r>
      <w:r w:rsidR="00340B53">
        <w:rPr>
          <w:rFonts w:ascii="Times New Roman" w:hAnsi="Times New Roman" w:cs="Times New Roman"/>
          <w:sz w:val="24"/>
          <w:szCs w:val="24"/>
        </w:rPr>
        <w:t xml:space="preserve">Richard, </w:t>
      </w:r>
      <w:r w:rsidR="00D020F0">
        <w:rPr>
          <w:rFonts w:ascii="Times New Roman" w:hAnsi="Times New Roman" w:cs="Times New Roman"/>
          <w:sz w:val="24"/>
          <w:szCs w:val="24"/>
        </w:rPr>
        <w:t>their second son</w:t>
      </w:r>
      <w:r w:rsidR="00340B53">
        <w:rPr>
          <w:rFonts w:ascii="Times New Roman" w:hAnsi="Times New Roman" w:cs="Times New Roman"/>
          <w:sz w:val="24"/>
          <w:szCs w:val="24"/>
        </w:rPr>
        <w:t>,</w:t>
      </w:r>
      <w:r w:rsidR="00D020F0">
        <w:rPr>
          <w:rFonts w:ascii="Times New Roman" w:hAnsi="Times New Roman" w:cs="Times New Roman"/>
          <w:sz w:val="24"/>
          <w:szCs w:val="24"/>
        </w:rPr>
        <w:t xml:space="preserve"> also</w:t>
      </w:r>
      <w:r w:rsidR="00340B53">
        <w:rPr>
          <w:rFonts w:ascii="Times New Roman" w:hAnsi="Times New Roman" w:cs="Times New Roman"/>
          <w:sz w:val="24"/>
          <w:szCs w:val="24"/>
        </w:rPr>
        <w:t xml:space="preserve"> appears in a</w:t>
      </w:r>
      <w:r w:rsidR="00D020F0">
        <w:rPr>
          <w:rFonts w:ascii="Times New Roman" w:hAnsi="Times New Roman" w:cs="Times New Roman"/>
          <w:sz w:val="24"/>
          <w:szCs w:val="24"/>
        </w:rPr>
        <w:t xml:space="preserve"> prominent position</w:t>
      </w:r>
      <w:r w:rsidR="001021DD">
        <w:rPr>
          <w:rFonts w:ascii="Times New Roman" w:hAnsi="Times New Roman" w:cs="Times New Roman"/>
          <w:sz w:val="24"/>
          <w:szCs w:val="24"/>
        </w:rPr>
        <w:t>. S</w:t>
      </w:r>
      <w:r w:rsidR="00D020F0">
        <w:rPr>
          <w:rFonts w:ascii="Times New Roman" w:hAnsi="Times New Roman" w:cs="Times New Roman"/>
          <w:sz w:val="24"/>
          <w:szCs w:val="24"/>
        </w:rPr>
        <w:t xml:space="preserve">tigand, archbishop of Canterbury, </w:t>
      </w:r>
      <w:r w:rsidR="001021DD">
        <w:rPr>
          <w:rFonts w:ascii="Times New Roman" w:hAnsi="Times New Roman" w:cs="Times New Roman"/>
          <w:sz w:val="24"/>
          <w:szCs w:val="24"/>
        </w:rPr>
        <w:t xml:space="preserve">leads the </w:t>
      </w:r>
      <w:r w:rsidR="00340B53">
        <w:rPr>
          <w:rFonts w:ascii="Times New Roman" w:hAnsi="Times New Roman" w:cs="Times New Roman"/>
          <w:sz w:val="24"/>
          <w:szCs w:val="24"/>
        </w:rPr>
        <w:t>list of clergy</w:t>
      </w:r>
      <w:r w:rsidR="001021DD">
        <w:rPr>
          <w:rFonts w:ascii="Times New Roman" w:hAnsi="Times New Roman" w:cs="Times New Roman"/>
          <w:sz w:val="24"/>
          <w:szCs w:val="24"/>
        </w:rPr>
        <w:t xml:space="preserve"> present and</w:t>
      </w:r>
      <w:r w:rsidR="00AD4AA4">
        <w:rPr>
          <w:rFonts w:ascii="Times New Roman" w:hAnsi="Times New Roman" w:cs="Times New Roman"/>
          <w:sz w:val="24"/>
          <w:szCs w:val="24"/>
        </w:rPr>
        <w:t xml:space="preserve"> Robert of Mortain</w:t>
      </w:r>
      <w:r w:rsidR="00340B53">
        <w:rPr>
          <w:rFonts w:ascii="Times New Roman" w:hAnsi="Times New Roman" w:cs="Times New Roman"/>
          <w:sz w:val="24"/>
          <w:szCs w:val="24"/>
        </w:rPr>
        <w:t xml:space="preserve"> heads the list of nobles.</w:t>
      </w:r>
      <w:r w:rsidR="001021DD">
        <w:rPr>
          <w:rStyle w:val="FootnoteReference"/>
          <w:rFonts w:ascii="Times New Roman" w:hAnsi="Times New Roman" w:cs="Times New Roman"/>
          <w:sz w:val="24"/>
          <w:szCs w:val="24"/>
        </w:rPr>
        <w:footnoteReference w:id="11"/>
      </w:r>
    </w:p>
    <w:p w:rsidR="001021DD" w:rsidRDefault="001021DD" w:rsidP="009E4AE9">
      <w:pPr>
        <w:spacing w:after="0" w:line="360" w:lineRule="auto"/>
        <w:rPr>
          <w:rFonts w:ascii="Times New Roman" w:hAnsi="Times New Roman" w:cs="Times New Roman"/>
          <w:sz w:val="24"/>
          <w:szCs w:val="24"/>
        </w:rPr>
      </w:pPr>
    </w:p>
    <w:p w:rsidR="00175AC6" w:rsidRDefault="001021DD" w:rsidP="00AD4AA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diploma is significant in that it gives a very specific date and this can be used to place the king and those in attendance at the Easter court in Winchester. It has added significance because within a few years several of the witnesses were dead</w:t>
      </w:r>
      <w:r w:rsidR="006A3770">
        <w:rPr>
          <w:rFonts w:ascii="Times New Roman" w:hAnsi="Times New Roman" w:cs="Times New Roman"/>
          <w:sz w:val="24"/>
          <w:szCs w:val="24"/>
        </w:rPr>
        <w:t xml:space="preserve">, </w:t>
      </w:r>
      <w:r>
        <w:rPr>
          <w:rFonts w:ascii="Times New Roman" w:hAnsi="Times New Roman" w:cs="Times New Roman"/>
          <w:sz w:val="24"/>
          <w:szCs w:val="24"/>
        </w:rPr>
        <w:t>deposed or missing.</w:t>
      </w:r>
      <w:r w:rsidR="006A3770">
        <w:rPr>
          <w:rFonts w:ascii="Times New Roman" w:hAnsi="Times New Roman" w:cs="Times New Roman"/>
          <w:sz w:val="24"/>
          <w:szCs w:val="24"/>
        </w:rPr>
        <w:t xml:space="preserve"> Ealdred of York died in September 1069, but more importantly this diploma is the last one attested by William’s son.</w:t>
      </w:r>
      <w:r w:rsidR="006A3770">
        <w:rPr>
          <w:rStyle w:val="FootnoteReference"/>
          <w:rFonts w:ascii="Times New Roman" w:hAnsi="Times New Roman" w:cs="Times New Roman"/>
          <w:sz w:val="24"/>
          <w:szCs w:val="24"/>
        </w:rPr>
        <w:footnoteReference w:id="12"/>
      </w:r>
      <w:r w:rsidR="006A3770">
        <w:rPr>
          <w:rFonts w:ascii="Times New Roman" w:hAnsi="Times New Roman" w:cs="Times New Roman"/>
          <w:sz w:val="24"/>
          <w:szCs w:val="24"/>
        </w:rPr>
        <w:t xml:space="preserve"> Richard is believed to have died at some point between 1069 and 1071, with Orderic Vitalis recording that he was crushed between a hazel branch and the pommel of his saddle during a hunt</w:t>
      </w:r>
      <w:r w:rsidR="005A17D5">
        <w:rPr>
          <w:rFonts w:ascii="Times New Roman" w:hAnsi="Times New Roman" w:cs="Times New Roman"/>
          <w:sz w:val="24"/>
          <w:szCs w:val="24"/>
        </w:rPr>
        <w:t xml:space="preserve"> </w:t>
      </w:r>
      <w:r w:rsidR="00DC5E99">
        <w:rPr>
          <w:rFonts w:ascii="Times New Roman" w:hAnsi="Times New Roman" w:cs="Times New Roman"/>
          <w:sz w:val="24"/>
          <w:szCs w:val="24"/>
        </w:rPr>
        <w:t>in the New Forest</w:t>
      </w:r>
      <w:r w:rsidR="006A3770">
        <w:rPr>
          <w:rFonts w:ascii="Times New Roman" w:hAnsi="Times New Roman" w:cs="Times New Roman"/>
          <w:sz w:val="24"/>
          <w:szCs w:val="24"/>
        </w:rPr>
        <w:t>.</w:t>
      </w:r>
      <w:r w:rsidR="006A3770">
        <w:rPr>
          <w:rStyle w:val="FootnoteReference"/>
          <w:rFonts w:ascii="Times New Roman" w:hAnsi="Times New Roman" w:cs="Times New Roman"/>
          <w:sz w:val="24"/>
          <w:szCs w:val="24"/>
        </w:rPr>
        <w:footnoteReference w:id="13"/>
      </w:r>
      <w:r w:rsidR="00293465">
        <w:rPr>
          <w:rFonts w:ascii="Times New Roman" w:hAnsi="Times New Roman" w:cs="Times New Roman"/>
          <w:sz w:val="24"/>
          <w:szCs w:val="24"/>
        </w:rPr>
        <w:t xml:space="preserve"> This diploma is important as a reliable source, and its precise date shows Richard died after April 1069. </w:t>
      </w:r>
      <w:r w:rsidR="00340B38">
        <w:rPr>
          <w:rFonts w:ascii="Times New Roman" w:hAnsi="Times New Roman" w:cs="Times New Roman"/>
          <w:sz w:val="24"/>
          <w:szCs w:val="24"/>
        </w:rPr>
        <w:t>A more precise date is difficult to determine, partly because it was in the middle of a period of turmoil</w:t>
      </w:r>
      <w:r w:rsidR="001C41D0">
        <w:rPr>
          <w:rFonts w:ascii="Times New Roman" w:hAnsi="Times New Roman" w:cs="Times New Roman"/>
          <w:sz w:val="24"/>
          <w:szCs w:val="24"/>
        </w:rPr>
        <w:t>, with</w:t>
      </w:r>
      <w:r w:rsidR="00340B38">
        <w:rPr>
          <w:rFonts w:ascii="Times New Roman" w:hAnsi="Times New Roman" w:cs="Times New Roman"/>
          <w:sz w:val="24"/>
          <w:szCs w:val="24"/>
        </w:rPr>
        <w:t xml:space="preserve"> </w:t>
      </w:r>
      <w:r w:rsidR="001C41D0">
        <w:rPr>
          <w:rFonts w:ascii="Times New Roman" w:hAnsi="Times New Roman" w:cs="Times New Roman"/>
          <w:sz w:val="24"/>
          <w:szCs w:val="24"/>
        </w:rPr>
        <w:lastRenderedPageBreak/>
        <w:t>many</w:t>
      </w:r>
      <w:r w:rsidR="000838FF">
        <w:rPr>
          <w:rFonts w:ascii="Times New Roman" w:hAnsi="Times New Roman" w:cs="Times New Roman"/>
          <w:sz w:val="24"/>
          <w:szCs w:val="24"/>
        </w:rPr>
        <w:t xml:space="preserve"> rebellions to contend with.</w:t>
      </w:r>
      <w:r w:rsidR="000838FF">
        <w:rPr>
          <w:rStyle w:val="FootnoteReference"/>
          <w:rFonts w:ascii="Times New Roman" w:hAnsi="Times New Roman" w:cs="Times New Roman"/>
          <w:sz w:val="24"/>
          <w:szCs w:val="24"/>
        </w:rPr>
        <w:footnoteReference w:id="14"/>
      </w:r>
      <w:r w:rsidR="00340B38">
        <w:rPr>
          <w:rFonts w:ascii="Times New Roman" w:hAnsi="Times New Roman" w:cs="Times New Roman"/>
          <w:sz w:val="24"/>
          <w:szCs w:val="24"/>
        </w:rPr>
        <w:t xml:space="preserve"> </w:t>
      </w:r>
      <w:r w:rsidR="001C41D0">
        <w:rPr>
          <w:rFonts w:ascii="Times New Roman" w:hAnsi="Times New Roman" w:cs="Times New Roman"/>
          <w:sz w:val="24"/>
          <w:szCs w:val="24"/>
        </w:rPr>
        <w:t>In September 1069</w:t>
      </w:r>
      <w:r w:rsidR="000838FF">
        <w:rPr>
          <w:rFonts w:ascii="Times New Roman" w:hAnsi="Times New Roman" w:cs="Times New Roman"/>
          <w:sz w:val="24"/>
          <w:szCs w:val="24"/>
        </w:rPr>
        <w:t xml:space="preserve">, with Danes and rebels in the north, William marched to meet them; </w:t>
      </w:r>
      <w:r w:rsidR="001C41D0">
        <w:rPr>
          <w:rFonts w:ascii="Times New Roman" w:hAnsi="Times New Roman" w:cs="Times New Roman"/>
          <w:sz w:val="24"/>
          <w:szCs w:val="24"/>
        </w:rPr>
        <w:t>climaxing in</w:t>
      </w:r>
      <w:r w:rsidR="000838FF">
        <w:rPr>
          <w:rFonts w:ascii="Times New Roman" w:hAnsi="Times New Roman" w:cs="Times New Roman"/>
          <w:sz w:val="24"/>
          <w:szCs w:val="24"/>
        </w:rPr>
        <w:t xml:space="preserve"> the Harrying of the North. </w:t>
      </w:r>
      <w:r w:rsidR="00563F30">
        <w:rPr>
          <w:rFonts w:ascii="Times New Roman" w:hAnsi="Times New Roman" w:cs="Times New Roman"/>
          <w:sz w:val="24"/>
          <w:szCs w:val="24"/>
        </w:rPr>
        <w:t>It was about this time, a</w:t>
      </w:r>
      <w:r w:rsidR="001C41D0">
        <w:rPr>
          <w:rFonts w:ascii="Times New Roman" w:hAnsi="Times New Roman" w:cs="Times New Roman"/>
          <w:sz w:val="24"/>
          <w:szCs w:val="24"/>
        </w:rPr>
        <w:t>s Ann Williams</w:t>
      </w:r>
      <w:r w:rsidR="00563F30">
        <w:rPr>
          <w:rFonts w:ascii="Times New Roman" w:hAnsi="Times New Roman" w:cs="Times New Roman"/>
          <w:sz w:val="24"/>
          <w:szCs w:val="24"/>
        </w:rPr>
        <w:t xml:space="preserve"> argues, that William ‘took every opportunity to replace English magnates, lay and ecclesiastical, with Normans and others on whom he felt he could rely.’</w:t>
      </w:r>
      <w:r w:rsidR="00563F30">
        <w:rPr>
          <w:rStyle w:val="FootnoteReference"/>
          <w:rFonts w:ascii="Times New Roman" w:hAnsi="Times New Roman" w:cs="Times New Roman"/>
          <w:sz w:val="24"/>
          <w:szCs w:val="24"/>
        </w:rPr>
        <w:footnoteReference w:id="15"/>
      </w:r>
      <w:r w:rsidR="00563F30">
        <w:rPr>
          <w:rFonts w:ascii="Times New Roman" w:hAnsi="Times New Roman" w:cs="Times New Roman"/>
          <w:sz w:val="24"/>
          <w:szCs w:val="24"/>
        </w:rPr>
        <w:t xml:space="preserve"> </w:t>
      </w:r>
      <w:r w:rsidR="00A669EB">
        <w:rPr>
          <w:rFonts w:ascii="Times New Roman" w:hAnsi="Times New Roman" w:cs="Times New Roman"/>
          <w:sz w:val="24"/>
          <w:szCs w:val="24"/>
        </w:rPr>
        <w:t xml:space="preserve">As part of this process, Stigand and </w:t>
      </w:r>
      <w:r w:rsidR="00A669EB" w:rsidRPr="00A669EB">
        <w:rPr>
          <w:rFonts w:ascii="Times New Roman" w:hAnsi="Times New Roman" w:cs="Times New Roman"/>
          <w:sz w:val="24"/>
          <w:szCs w:val="24"/>
        </w:rPr>
        <w:t xml:space="preserve">Æthelric </w:t>
      </w:r>
      <w:r w:rsidR="00A669EB">
        <w:rPr>
          <w:rFonts w:ascii="Times New Roman" w:hAnsi="Times New Roman" w:cs="Times New Roman"/>
          <w:sz w:val="24"/>
          <w:szCs w:val="24"/>
        </w:rPr>
        <w:t>were deposed in 1070.</w:t>
      </w:r>
      <w:r w:rsidR="00A669EB">
        <w:rPr>
          <w:rStyle w:val="FootnoteReference"/>
          <w:rFonts w:ascii="Times New Roman" w:hAnsi="Times New Roman" w:cs="Times New Roman"/>
          <w:sz w:val="24"/>
          <w:szCs w:val="24"/>
        </w:rPr>
        <w:footnoteReference w:id="16"/>
      </w:r>
      <w:r w:rsidR="00175AC6">
        <w:rPr>
          <w:rFonts w:ascii="Times New Roman" w:hAnsi="Times New Roman" w:cs="Times New Roman"/>
          <w:sz w:val="24"/>
          <w:szCs w:val="24"/>
        </w:rPr>
        <w:t xml:space="preserve"> After</w:t>
      </w:r>
      <w:r w:rsidR="005A17D5">
        <w:rPr>
          <w:rFonts w:ascii="Times New Roman" w:hAnsi="Times New Roman" w:cs="Times New Roman"/>
          <w:sz w:val="24"/>
          <w:szCs w:val="24"/>
        </w:rPr>
        <w:t xml:space="preserve"> Easter 1069 Robert of Mortain</w:t>
      </w:r>
      <w:r w:rsidR="00175AC6">
        <w:rPr>
          <w:rFonts w:ascii="Times New Roman" w:hAnsi="Times New Roman" w:cs="Times New Roman"/>
          <w:sz w:val="24"/>
          <w:szCs w:val="24"/>
        </w:rPr>
        <w:t xml:space="preserve"> </w:t>
      </w:r>
      <w:r w:rsidR="00345989">
        <w:rPr>
          <w:rFonts w:ascii="Times New Roman" w:hAnsi="Times New Roman" w:cs="Times New Roman"/>
          <w:sz w:val="24"/>
          <w:szCs w:val="24"/>
        </w:rPr>
        <w:t>does not appear again in a reli</w:t>
      </w:r>
      <w:r w:rsidR="00175AC6">
        <w:rPr>
          <w:rFonts w:ascii="Times New Roman" w:hAnsi="Times New Roman" w:cs="Times New Roman"/>
          <w:sz w:val="24"/>
          <w:szCs w:val="24"/>
        </w:rPr>
        <w:t xml:space="preserve">able charter </w:t>
      </w:r>
      <w:r w:rsidR="00345989">
        <w:rPr>
          <w:rFonts w:ascii="Times New Roman" w:hAnsi="Times New Roman" w:cs="Times New Roman"/>
          <w:sz w:val="24"/>
          <w:szCs w:val="24"/>
        </w:rPr>
        <w:t xml:space="preserve">until </w:t>
      </w:r>
      <w:r w:rsidR="00175AC6">
        <w:rPr>
          <w:rFonts w:ascii="Times New Roman" w:hAnsi="Times New Roman" w:cs="Times New Roman"/>
          <w:sz w:val="24"/>
          <w:szCs w:val="24"/>
        </w:rPr>
        <w:t>1074</w:t>
      </w:r>
      <w:r w:rsidR="00345989">
        <w:rPr>
          <w:rFonts w:ascii="Times New Roman" w:hAnsi="Times New Roman" w:cs="Times New Roman"/>
          <w:sz w:val="24"/>
          <w:szCs w:val="24"/>
        </w:rPr>
        <w:t xml:space="preserve"> in Normandy</w:t>
      </w:r>
      <w:r w:rsidR="00175AC6">
        <w:rPr>
          <w:rFonts w:ascii="Times New Roman" w:hAnsi="Times New Roman" w:cs="Times New Roman"/>
          <w:sz w:val="24"/>
          <w:szCs w:val="24"/>
        </w:rPr>
        <w:t>.</w:t>
      </w:r>
      <w:r w:rsidR="00175AC6">
        <w:rPr>
          <w:rStyle w:val="FootnoteReference"/>
          <w:rFonts w:ascii="Times New Roman" w:hAnsi="Times New Roman" w:cs="Times New Roman"/>
          <w:sz w:val="24"/>
          <w:szCs w:val="24"/>
        </w:rPr>
        <w:footnoteReference w:id="17"/>
      </w:r>
      <w:r w:rsidR="00175AC6">
        <w:rPr>
          <w:rFonts w:ascii="Times New Roman" w:hAnsi="Times New Roman" w:cs="Times New Roman"/>
          <w:sz w:val="24"/>
          <w:szCs w:val="24"/>
        </w:rPr>
        <w:t xml:space="preserve"> Brian Golding even suggests his ‘whereabouts in the 1070s are unknown’.</w:t>
      </w:r>
      <w:r w:rsidR="00175AC6">
        <w:rPr>
          <w:rStyle w:val="FootnoteReference"/>
          <w:rFonts w:ascii="Times New Roman" w:hAnsi="Times New Roman" w:cs="Times New Roman"/>
          <w:sz w:val="24"/>
          <w:szCs w:val="24"/>
        </w:rPr>
        <w:footnoteReference w:id="18"/>
      </w:r>
      <w:r w:rsidR="00175AC6">
        <w:rPr>
          <w:rFonts w:ascii="Times New Roman" w:hAnsi="Times New Roman" w:cs="Times New Roman"/>
          <w:sz w:val="24"/>
          <w:szCs w:val="24"/>
        </w:rPr>
        <w:t xml:space="preserve"> It is possible that </w:t>
      </w:r>
      <w:r w:rsidR="00D34611">
        <w:rPr>
          <w:rFonts w:ascii="Times New Roman" w:hAnsi="Times New Roman" w:cs="Times New Roman"/>
          <w:sz w:val="24"/>
          <w:szCs w:val="24"/>
        </w:rPr>
        <w:t>he spent some time in the south-</w:t>
      </w:r>
      <w:r w:rsidR="00175AC6">
        <w:rPr>
          <w:rFonts w:ascii="Times New Roman" w:hAnsi="Times New Roman" w:cs="Times New Roman"/>
          <w:sz w:val="24"/>
          <w:szCs w:val="24"/>
        </w:rPr>
        <w:t>west helping to secure the conquest</w:t>
      </w:r>
      <w:r w:rsidR="00345989">
        <w:rPr>
          <w:rFonts w:ascii="Times New Roman" w:hAnsi="Times New Roman" w:cs="Times New Roman"/>
          <w:sz w:val="24"/>
          <w:szCs w:val="24"/>
        </w:rPr>
        <w:t>, and his own estates.</w:t>
      </w:r>
      <w:r w:rsidR="00175AC6">
        <w:rPr>
          <w:rStyle w:val="FootnoteReference"/>
          <w:rFonts w:ascii="Times New Roman" w:hAnsi="Times New Roman" w:cs="Times New Roman"/>
          <w:sz w:val="24"/>
          <w:szCs w:val="24"/>
        </w:rPr>
        <w:footnoteReference w:id="19"/>
      </w:r>
      <w:r w:rsidR="00345989">
        <w:rPr>
          <w:rFonts w:ascii="Times New Roman" w:hAnsi="Times New Roman" w:cs="Times New Roman"/>
          <w:sz w:val="24"/>
          <w:szCs w:val="24"/>
        </w:rPr>
        <w:t xml:space="preserve"> It does show the importance of this type of record in helping to corroborate itineraries not just of the king, but also of other important people. </w:t>
      </w:r>
    </w:p>
    <w:p w:rsidR="00E817CE" w:rsidRDefault="00E817CE" w:rsidP="005F7584">
      <w:pPr>
        <w:spacing w:after="0" w:line="360" w:lineRule="auto"/>
        <w:rPr>
          <w:rFonts w:ascii="Times New Roman" w:hAnsi="Times New Roman" w:cs="Times New Roman"/>
          <w:sz w:val="24"/>
          <w:szCs w:val="24"/>
        </w:rPr>
      </w:pPr>
    </w:p>
    <w:p w:rsidR="00884120" w:rsidRDefault="005A17D5" w:rsidP="00D34611">
      <w:pPr>
        <w:spacing w:after="0" w:line="360" w:lineRule="auto"/>
        <w:ind w:firstLine="720"/>
        <w:rPr>
          <w:rFonts w:ascii="Times New Roman" w:hAnsi="Times New Roman" w:cs="Times New Roman"/>
          <w:sz w:val="24"/>
          <w:szCs w:val="24"/>
        </w:rPr>
      </w:pPr>
      <w:r w:rsidRPr="00E817CE">
        <w:rPr>
          <w:rFonts w:ascii="Times New Roman" w:hAnsi="Times New Roman" w:cs="Times New Roman"/>
          <w:sz w:val="24"/>
          <w:szCs w:val="24"/>
        </w:rPr>
        <w:t>The diploma was probably written in advance before being presented to William</w:t>
      </w:r>
      <w:r w:rsidR="00CD6041">
        <w:rPr>
          <w:rFonts w:ascii="Times New Roman" w:hAnsi="Times New Roman" w:cs="Times New Roman"/>
          <w:sz w:val="24"/>
          <w:szCs w:val="24"/>
        </w:rPr>
        <w:t>,</w:t>
      </w:r>
      <w:r w:rsidRPr="00E817CE">
        <w:rPr>
          <w:rFonts w:ascii="Times New Roman" w:hAnsi="Times New Roman" w:cs="Times New Roman"/>
          <w:sz w:val="24"/>
          <w:szCs w:val="24"/>
        </w:rPr>
        <w:t xml:space="preserve"> to permit the holding of the same privileges</w:t>
      </w:r>
      <w:r w:rsidR="00CD6041">
        <w:rPr>
          <w:rFonts w:ascii="Times New Roman" w:hAnsi="Times New Roman" w:cs="Times New Roman"/>
          <w:sz w:val="24"/>
          <w:szCs w:val="24"/>
        </w:rPr>
        <w:t>,</w:t>
      </w:r>
      <w:r w:rsidR="00F258C4">
        <w:rPr>
          <w:rFonts w:ascii="Times New Roman" w:hAnsi="Times New Roman" w:cs="Times New Roman"/>
          <w:sz w:val="24"/>
          <w:szCs w:val="24"/>
        </w:rPr>
        <w:t xml:space="preserve"> and t</w:t>
      </w:r>
      <w:r w:rsidRPr="00E817CE">
        <w:rPr>
          <w:rFonts w:ascii="Times New Roman" w:hAnsi="Times New Roman" w:cs="Times New Roman"/>
          <w:sz w:val="24"/>
          <w:szCs w:val="24"/>
        </w:rPr>
        <w:t>his</w:t>
      </w:r>
      <w:r w:rsidR="00E817CE" w:rsidRPr="00E817CE">
        <w:rPr>
          <w:rFonts w:ascii="Times New Roman" w:hAnsi="Times New Roman" w:cs="Times New Roman"/>
          <w:sz w:val="24"/>
          <w:szCs w:val="24"/>
        </w:rPr>
        <w:t xml:space="preserve"> process</w:t>
      </w:r>
      <w:r w:rsidRPr="00E817CE">
        <w:rPr>
          <w:rFonts w:ascii="Times New Roman" w:hAnsi="Times New Roman" w:cs="Times New Roman"/>
          <w:sz w:val="24"/>
          <w:szCs w:val="24"/>
        </w:rPr>
        <w:t xml:space="preserve"> can lead to</w:t>
      </w:r>
      <w:r>
        <w:rPr>
          <w:rFonts w:ascii="Times New Roman" w:hAnsi="Times New Roman" w:cs="Times New Roman"/>
          <w:sz w:val="24"/>
          <w:szCs w:val="24"/>
        </w:rPr>
        <w:t xml:space="preserve"> questions over witness lists being merged, transferred or </w:t>
      </w:r>
      <w:r w:rsidR="00E817CE">
        <w:rPr>
          <w:rFonts w:ascii="Times New Roman" w:hAnsi="Times New Roman" w:cs="Times New Roman"/>
          <w:sz w:val="24"/>
          <w:szCs w:val="24"/>
        </w:rPr>
        <w:t xml:space="preserve">whether </w:t>
      </w:r>
      <w:r w:rsidR="008F23E8">
        <w:rPr>
          <w:rFonts w:ascii="Times New Roman" w:hAnsi="Times New Roman" w:cs="Times New Roman"/>
          <w:sz w:val="24"/>
          <w:szCs w:val="24"/>
        </w:rPr>
        <w:t xml:space="preserve">witnesses </w:t>
      </w:r>
      <w:r w:rsidR="00E817CE">
        <w:rPr>
          <w:rFonts w:ascii="Times New Roman" w:hAnsi="Times New Roman" w:cs="Times New Roman"/>
          <w:sz w:val="24"/>
          <w:szCs w:val="24"/>
        </w:rPr>
        <w:t xml:space="preserve">were </w:t>
      </w:r>
      <w:r w:rsidR="00F258C4">
        <w:rPr>
          <w:rFonts w:ascii="Times New Roman" w:hAnsi="Times New Roman" w:cs="Times New Roman"/>
          <w:sz w:val="24"/>
          <w:szCs w:val="24"/>
        </w:rPr>
        <w:t xml:space="preserve">even </w:t>
      </w:r>
      <w:r w:rsidR="00E817CE">
        <w:rPr>
          <w:rFonts w:ascii="Times New Roman" w:hAnsi="Times New Roman" w:cs="Times New Roman"/>
          <w:sz w:val="24"/>
          <w:szCs w:val="24"/>
        </w:rPr>
        <w:t>physically present.</w:t>
      </w:r>
      <w:r w:rsidR="00E817CE" w:rsidRPr="00E817CE">
        <w:rPr>
          <w:rStyle w:val="FootnoteReference"/>
          <w:rFonts w:ascii="Times New Roman" w:hAnsi="Times New Roman" w:cs="Times New Roman"/>
          <w:sz w:val="24"/>
          <w:szCs w:val="24"/>
        </w:rPr>
        <w:footnoteReference w:id="20"/>
      </w:r>
      <w:r w:rsidR="00E817CE">
        <w:rPr>
          <w:rFonts w:ascii="Times New Roman" w:hAnsi="Times New Roman" w:cs="Times New Roman"/>
          <w:sz w:val="24"/>
          <w:szCs w:val="24"/>
        </w:rPr>
        <w:t xml:space="preserve"> </w:t>
      </w:r>
      <w:r w:rsidR="00794CE1">
        <w:rPr>
          <w:rFonts w:ascii="Times New Roman" w:hAnsi="Times New Roman" w:cs="Times New Roman"/>
          <w:sz w:val="24"/>
          <w:szCs w:val="24"/>
        </w:rPr>
        <w:t xml:space="preserve">The main problem </w:t>
      </w:r>
      <w:r>
        <w:rPr>
          <w:rFonts w:ascii="Times New Roman" w:hAnsi="Times New Roman" w:cs="Times New Roman"/>
          <w:sz w:val="24"/>
          <w:szCs w:val="24"/>
        </w:rPr>
        <w:t xml:space="preserve">however, </w:t>
      </w:r>
      <w:r w:rsidR="00794CE1">
        <w:rPr>
          <w:rFonts w:ascii="Times New Roman" w:hAnsi="Times New Roman" w:cs="Times New Roman"/>
          <w:sz w:val="24"/>
          <w:szCs w:val="24"/>
        </w:rPr>
        <w:t xml:space="preserve">with sources of this type was forgery. The demands of post-conquest England and its new document culture meant interpolations, amendments and creations were sometimes necessary to reconstruct written documents where oral traditions may have prevailed. The progress of time meant many </w:t>
      </w:r>
      <w:r w:rsidR="0061169A">
        <w:rPr>
          <w:rFonts w:ascii="Times New Roman" w:hAnsi="Times New Roman" w:cs="Times New Roman"/>
          <w:sz w:val="24"/>
          <w:szCs w:val="24"/>
        </w:rPr>
        <w:t xml:space="preserve">new documents needed </w:t>
      </w:r>
      <w:r w:rsidR="00794CE1">
        <w:rPr>
          <w:rFonts w:ascii="Times New Roman" w:hAnsi="Times New Roman" w:cs="Times New Roman"/>
          <w:sz w:val="24"/>
          <w:szCs w:val="24"/>
        </w:rPr>
        <w:t xml:space="preserve">to </w:t>
      </w:r>
      <w:r w:rsidR="0061169A">
        <w:rPr>
          <w:rFonts w:ascii="Times New Roman" w:hAnsi="Times New Roman" w:cs="Times New Roman"/>
          <w:sz w:val="24"/>
          <w:szCs w:val="24"/>
        </w:rPr>
        <w:t xml:space="preserve">be </w:t>
      </w:r>
      <w:r w:rsidR="00794CE1">
        <w:rPr>
          <w:rFonts w:ascii="Times New Roman" w:hAnsi="Times New Roman" w:cs="Times New Roman"/>
          <w:sz w:val="24"/>
          <w:szCs w:val="24"/>
        </w:rPr>
        <w:t>produce</w:t>
      </w:r>
      <w:r w:rsidR="0061169A">
        <w:rPr>
          <w:rFonts w:ascii="Times New Roman" w:hAnsi="Times New Roman" w:cs="Times New Roman"/>
          <w:sz w:val="24"/>
          <w:szCs w:val="24"/>
        </w:rPr>
        <w:t>d</w:t>
      </w:r>
      <w:r w:rsidR="00794CE1">
        <w:rPr>
          <w:rFonts w:ascii="Times New Roman" w:hAnsi="Times New Roman" w:cs="Times New Roman"/>
          <w:sz w:val="24"/>
          <w:szCs w:val="24"/>
        </w:rPr>
        <w:t xml:space="preserve"> to </w:t>
      </w:r>
      <w:r w:rsidR="0061169A">
        <w:rPr>
          <w:rFonts w:ascii="Times New Roman" w:hAnsi="Times New Roman" w:cs="Times New Roman"/>
          <w:sz w:val="24"/>
          <w:szCs w:val="24"/>
        </w:rPr>
        <w:t xml:space="preserve">create </w:t>
      </w:r>
      <w:r w:rsidR="005F7584">
        <w:rPr>
          <w:rFonts w:ascii="Times New Roman" w:hAnsi="Times New Roman" w:cs="Times New Roman"/>
          <w:sz w:val="24"/>
          <w:szCs w:val="24"/>
        </w:rPr>
        <w:t xml:space="preserve">or update </w:t>
      </w:r>
      <w:r w:rsidR="0061169A">
        <w:rPr>
          <w:rFonts w:ascii="Times New Roman" w:hAnsi="Times New Roman" w:cs="Times New Roman"/>
          <w:sz w:val="24"/>
          <w:szCs w:val="24"/>
        </w:rPr>
        <w:t>texts</w:t>
      </w:r>
      <w:r w:rsidR="005F7584">
        <w:rPr>
          <w:rFonts w:ascii="Times New Roman" w:hAnsi="Times New Roman" w:cs="Times New Roman"/>
          <w:sz w:val="24"/>
          <w:szCs w:val="24"/>
        </w:rPr>
        <w:t>,</w:t>
      </w:r>
      <w:r w:rsidR="0061169A">
        <w:rPr>
          <w:rFonts w:ascii="Times New Roman" w:hAnsi="Times New Roman" w:cs="Times New Roman"/>
          <w:sz w:val="24"/>
          <w:szCs w:val="24"/>
        </w:rPr>
        <w:t xml:space="preserve"> or to </w:t>
      </w:r>
      <w:r w:rsidR="00794CE1">
        <w:rPr>
          <w:rFonts w:ascii="Times New Roman" w:hAnsi="Times New Roman" w:cs="Times New Roman"/>
          <w:sz w:val="24"/>
          <w:szCs w:val="24"/>
        </w:rPr>
        <w:t xml:space="preserve">replace </w:t>
      </w:r>
      <w:r w:rsidR="0061169A">
        <w:rPr>
          <w:rFonts w:ascii="Times New Roman" w:hAnsi="Times New Roman" w:cs="Times New Roman"/>
          <w:sz w:val="24"/>
          <w:szCs w:val="24"/>
        </w:rPr>
        <w:t>one</w:t>
      </w:r>
      <w:r w:rsidR="00794CE1">
        <w:rPr>
          <w:rFonts w:ascii="Times New Roman" w:hAnsi="Times New Roman" w:cs="Times New Roman"/>
          <w:sz w:val="24"/>
          <w:szCs w:val="24"/>
        </w:rPr>
        <w:t xml:space="preserve">s lost through </w:t>
      </w:r>
      <w:r w:rsidR="0061169A">
        <w:rPr>
          <w:rFonts w:ascii="Times New Roman" w:hAnsi="Times New Roman" w:cs="Times New Roman"/>
          <w:sz w:val="24"/>
          <w:szCs w:val="24"/>
        </w:rPr>
        <w:t xml:space="preserve">decay, </w:t>
      </w:r>
      <w:r w:rsidR="00794CE1">
        <w:rPr>
          <w:rFonts w:ascii="Times New Roman" w:hAnsi="Times New Roman" w:cs="Times New Roman"/>
          <w:sz w:val="24"/>
          <w:szCs w:val="24"/>
        </w:rPr>
        <w:t xml:space="preserve">damage, or destruction. </w:t>
      </w:r>
      <w:r w:rsidR="0061169A">
        <w:rPr>
          <w:rFonts w:ascii="Times New Roman" w:hAnsi="Times New Roman" w:cs="Times New Roman"/>
          <w:sz w:val="24"/>
          <w:szCs w:val="24"/>
        </w:rPr>
        <w:t xml:space="preserve">This </w:t>
      </w:r>
      <w:r w:rsidR="005F7584">
        <w:rPr>
          <w:rFonts w:ascii="Times New Roman" w:hAnsi="Times New Roman" w:cs="Times New Roman"/>
          <w:sz w:val="24"/>
          <w:szCs w:val="24"/>
        </w:rPr>
        <w:t>provide</w:t>
      </w:r>
      <w:r w:rsidR="0061169A">
        <w:rPr>
          <w:rFonts w:ascii="Times New Roman" w:hAnsi="Times New Roman" w:cs="Times New Roman"/>
          <w:sz w:val="24"/>
          <w:szCs w:val="24"/>
        </w:rPr>
        <w:t xml:space="preserve">d the opportunity for accidental errors, </w:t>
      </w:r>
      <w:r w:rsidR="0061169A" w:rsidRPr="00F258C4">
        <w:rPr>
          <w:rFonts w:ascii="Times New Roman" w:hAnsi="Times New Roman" w:cs="Times New Roman"/>
          <w:sz w:val="24"/>
          <w:szCs w:val="24"/>
        </w:rPr>
        <w:t xml:space="preserve">as was the case </w:t>
      </w:r>
      <w:r w:rsidR="00F258C4">
        <w:rPr>
          <w:rFonts w:ascii="Times New Roman" w:hAnsi="Times New Roman" w:cs="Times New Roman"/>
          <w:sz w:val="24"/>
          <w:szCs w:val="24"/>
        </w:rPr>
        <w:t>here</w:t>
      </w:r>
      <w:r w:rsidR="0061169A" w:rsidRPr="00F258C4">
        <w:rPr>
          <w:rFonts w:ascii="Times New Roman" w:hAnsi="Times New Roman" w:cs="Times New Roman"/>
          <w:sz w:val="24"/>
          <w:szCs w:val="24"/>
        </w:rPr>
        <w:t>, with W.H. Stevenson concluding that an error in St Swithun ‘can only be the French editors’ misreading of Old English.’</w:t>
      </w:r>
      <w:r w:rsidR="0061169A" w:rsidRPr="00F258C4">
        <w:rPr>
          <w:rStyle w:val="FootnoteReference"/>
          <w:rFonts w:ascii="Times New Roman" w:hAnsi="Times New Roman" w:cs="Times New Roman"/>
          <w:sz w:val="24"/>
          <w:szCs w:val="24"/>
        </w:rPr>
        <w:footnoteReference w:id="21"/>
      </w:r>
      <w:r w:rsidR="0061169A">
        <w:rPr>
          <w:rFonts w:ascii="Times New Roman" w:hAnsi="Times New Roman" w:cs="Times New Roman"/>
          <w:sz w:val="24"/>
          <w:szCs w:val="24"/>
        </w:rPr>
        <w:t xml:space="preserve"> It </w:t>
      </w:r>
      <w:r w:rsidR="0061169A">
        <w:rPr>
          <w:rFonts w:ascii="Times New Roman" w:hAnsi="Times New Roman" w:cs="Times New Roman"/>
          <w:sz w:val="24"/>
          <w:szCs w:val="24"/>
        </w:rPr>
        <w:lastRenderedPageBreak/>
        <w:t xml:space="preserve">also created the opportunity, in some cases, for deliberate misinterpretation. </w:t>
      </w:r>
      <w:r w:rsidR="00794CE1">
        <w:rPr>
          <w:rFonts w:ascii="Times New Roman" w:hAnsi="Times New Roman" w:cs="Times New Roman"/>
          <w:sz w:val="24"/>
          <w:szCs w:val="24"/>
        </w:rPr>
        <w:t xml:space="preserve">The transmission of texts to Latin also played a significant role. </w:t>
      </w:r>
      <w:r w:rsidR="003E43EA">
        <w:rPr>
          <w:rFonts w:ascii="Times New Roman" w:hAnsi="Times New Roman" w:cs="Times New Roman"/>
          <w:sz w:val="24"/>
          <w:szCs w:val="24"/>
        </w:rPr>
        <w:t>Abingdon, Ely and Ramsey, for instance, translated their Old English documents into Latin by, or during, the second half of the twelfth century.</w:t>
      </w:r>
      <w:r w:rsidR="003E43EA">
        <w:rPr>
          <w:rStyle w:val="FootnoteReference"/>
          <w:rFonts w:ascii="Times New Roman" w:hAnsi="Times New Roman" w:cs="Times New Roman"/>
          <w:sz w:val="24"/>
          <w:szCs w:val="24"/>
        </w:rPr>
        <w:footnoteReference w:id="22"/>
      </w:r>
      <w:r w:rsidR="003E43EA">
        <w:rPr>
          <w:rFonts w:ascii="Times New Roman" w:hAnsi="Times New Roman" w:cs="Times New Roman"/>
          <w:sz w:val="24"/>
          <w:szCs w:val="24"/>
        </w:rPr>
        <w:t xml:space="preserve"> </w:t>
      </w:r>
      <w:r w:rsidR="006F4B7C">
        <w:rPr>
          <w:rFonts w:ascii="Times New Roman" w:hAnsi="Times New Roman" w:cs="Times New Roman"/>
          <w:sz w:val="24"/>
          <w:szCs w:val="24"/>
        </w:rPr>
        <w:t>About a third of William I’s English acta appear to have been written in the twelfth century</w:t>
      </w:r>
      <w:r w:rsidR="003E43EA" w:rsidRPr="003E43EA">
        <w:rPr>
          <w:rFonts w:ascii="Times New Roman" w:hAnsi="Times New Roman" w:cs="Times New Roman"/>
          <w:sz w:val="24"/>
          <w:szCs w:val="24"/>
        </w:rPr>
        <w:t xml:space="preserve"> </w:t>
      </w:r>
      <w:r w:rsidR="003E43EA">
        <w:rPr>
          <w:rFonts w:ascii="Times New Roman" w:hAnsi="Times New Roman" w:cs="Times New Roman"/>
          <w:sz w:val="24"/>
          <w:szCs w:val="24"/>
        </w:rPr>
        <w:t xml:space="preserve">and ‘over a third of this number were probably created </w:t>
      </w:r>
      <w:r w:rsidR="003E43EA" w:rsidRPr="003E43EA">
        <w:rPr>
          <w:rFonts w:ascii="Times New Roman" w:hAnsi="Times New Roman" w:cs="Times New Roman"/>
          <w:i/>
          <w:sz w:val="24"/>
          <w:szCs w:val="24"/>
        </w:rPr>
        <w:t>ex nihilo</w:t>
      </w:r>
      <w:r w:rsidR="003E43EA">
        <w:rPr>
          <w:rFonts w:ascii="Times New Roman" w:hAnsi="Times New Roman" w:cs="Times New Roman"/>
          <w:sz w:val="24"/>
          <w:szCs w:val="24"/>
        </w:rPr>
        <w:t>.’</w:t>
      </w:r>
      <w:r w:rsidR="003E43EA">
        <w:rPr>
          <w:rStyle w:val="FootnoteReference"/>
          <w:rFonts w:ascii="Times New Roman" w:hAnsi="Times New Roman" w:cs="Times New Roman"/>
          <w:sz w:val="24"/>
          <w:szCs w:val="24"/>
        </w:rPr>
        <w:footnoteReference w:id="23"/>
      </w:r>
      <w:r w:rsidR="003E43EA">
        <w:rPr>
          <w:rFonts w:ascii="Times New Roman" w:hAnsi="Times New Roman" w:cs="Times New Roman"/>
          <w:sz w:val="24"/>
          <w:szCs w:val="24"/>
        </w:rPr>
        <w:t xml:space="preserve"> </w:t>
      </w:r>
      <w:r w:rsidR="0061169A" w:rsidRPr="00285D81">
        <w:rPr>
          <w:rFonts w:ascii="Times New Roman" w:hAnsi="Times New Roman" w:cs="Times New Roman"/>
          <w:sz w:val="24"/>
          <w:szCs w:val="24"/>
        </w:rPr>
        <w:t xml:space="preserve">Bruce O’Brien suggests that obvious post-conquest forgeries among records produced or issued under the Old English state not only </w:t>
      </w:r>
      <w:r w:rsidR="00285D81">
        <w:rPr>
          <w:rFonts w:ascii="Times New Roman" w:hAnsi="Times New Roman" w:cs="Times New Roman"/>
          <w:sz w:val="24"/>
          <w:szCs w:val="24"/>
        </w:rPr>
        <w:t>‘</w:t>
      </w:r>
      <w:r w:rsidR="0061169A" w:rsidRPr="00285D81">
        <w:rPr>
          <w:rFonts w:ascii="Times New Roman" w:hAnsi="Times New Roman" w:cs="Times New Roman"/>
          <w:sz w:val="24"/>
          <w:szCs w:val="24"/>
        </w:rPr>
        <w:t>undermined trust in the written word</w:t>
      </w:r>
      <w:r w:rsidR="00285D81">
        <w:rPr>
          <w:rFonts w:ascii="Times New Roman" w:hAnsi="Times New Roman" w:cs="Times New Roman"/>
          <w:sz w:val="24"/>
          <w:szCs w:val="24"/>
        </w:rPr>
        <w:t>’</w:t>
      </w:r>
      <w:r w:rsidR="0061169A" w:rsidRPr="00285D81">
        <w:rPr>
          <w:rFonts w:ascii="Times New Roman" w:hAnsi="Times New Roman" w:cs="Times New Roman"/>
          <w:sz w:val="24"/>
          <w:szCs w:val="24"/>
        </w:rPr>
        <w:t>, but a</w:t>
      </w:r>
      <w:r w:rsidR="003B41B7" w:rsidRPr="00285D81">
        <w:rPr>
          <w:rFonts w:ascii="Times New Roman" w:hAnsi="Times New Roman" w:cs="Times New Roman"/>
          <w:sz w:val="24"/>
          <w:szCs w:val="24"/>
        </w:rPr>
        <w:t>lso devalued it in the first century after 1066.</w:t>
      </w:r>
      <w:r w:rsidR="003B41B7" w:rsidRPr="00285D81">
        <w:rPr>
          <w:rStyle w:val="FootnoteReference"/>
          <w:rFonts w:ascii="Times New Roman" w:hAnsi="Times New Roman" w:cs="Times New Roman"/>
          <w:sz w:val="24"/>
          <w:szCs w:val="24"/>
        </w:rPr>
        <w:footnoteReference w:id="24"/>
      </w:r>
      <w:r w:rsidR="003B41B7">
        <w:rPr>
          <w:rFonts w:ascii="Times New Roman" w:hAnsi="Times New Roman" w:cs="Times New Roman"/>
          <w:sz w:val="24"/>
          <w:szCs w:val="24"/>
        </w:rPr>
        <w:t xml:space="preserve"> The need to treat records with a degree of caution is, perhaps, hig</w:t>
      </w:r>
      <w:r w:rsidR="00867099">
        <w:rPr>
          <w:rFonts w:ascii="Times New Roman" w:hAnsi="Times New Roman" w:cs="Times New Roman"/>
          <w:sz w:val="24"/>
          <w:szCs w:val="24"/>
        </w:rPr>
        <w:t>hlighted by the Lessay diploma</w:t>
      </w:r>
      <w:r w:rsidR="005A58CF" w:rsidRPr="00D776EA">
        <w:rPr>
          <w:rFonts w:ascii="Times New Roman" w:hAnsi="Times New Roman" w:cs="Times New Roman"/>
          <w:sz w:val="24"/>
          <w:szCs w:val="24"/>
        </w:rPr>
        <w:t>. One document, with a dating clause, and several potential dates.</w:t>
      </w:r>
      <w:r w:rsidR="005F7584" w:rsidRPr="00D776EA">
        <w:rPr>
          <w:rStyle w:val="FootnoteReference"/>
          <w:rFonts w:ascii="Times New Roman" w:hAnsi="Times New Roman" w:cs="Times New Roman"/>
          <w:sz w:val="24"/>
          <w:szCs w:val="24"/>
        </w:rPr>
        <w:footnoteReference w:id="25"/>
      </w:r>
      <w:r w:rsidR="005A58CF" w:rsidRPr="00D776EA">
        <w:rPr>
          <w:rFonts w:ascii="Times New Roman" w:hAnsi="Times New Roman" w:cs="Times New Roman"/>
          <w:sz w:val="24"/>
          <w:szCs w:val="24"/>
        </w:rPr>
        <w:t xml:space="preserve"> </w:t>
      </w:r>
      <w:r w:rsidR="00867099" w:rsidRPr="00D776EA">
        <w:rPr>
          <w:rFonts w:ascii="Times New Roman" w:hAnsi="Times New Roman" w:cs="Times New Roman"/>
          <w:sz w:val="24"/>
          <w:szCs w:val="24"/>
        </w:rPr>
        <w:t>It was originally identified as being from 1084, this was then rejected and a date of</w:t>
      </w:r>
      <w:r w:rsidR="00867099">
        <w:rPr>
          <w:rFonts w:ascii="Times New Roman" w:hAnsi="Times New Roman" w:cs="Times New Roman"/>
          <w:sz w:val="24"/>
          <w:szCs w:val="24"/>
        </w:rPr>
        <w:t xml:space="preserve"> 1091 was proposed. More recently, David Bates has suggested a date of 1084 or 1085, with later additions made in 1087, after William’s death, or in the summer of 1088.</w:t>
      </w:r>
      <w:r w:rsidR="00867099">
        <w:rPr>
          <w:rStyle w:val="FootnoteReference"/>
          <w:rFonts w:ascii="Times New Roman" w:hAnsi="Times New Roman" w:cs="Times New Roman"/>
          <w:sz w:val="24"/>
          <w:szCs w:val="24"/>
        </w:rPr>
        <w:footnoteReference w:id="26"/>
      </w:r>
      <w:r w:rsidR="00D52BF0">
        <w:rPr>
          <w:rFonts w:ascii="Times New Roman" w:hAnsi="Times New Roman" w:cs="Times New Roman"/>
          <w:sz w:val="24"/>
          <w:szCs w:val="24"/>
        </w:rPr>
        <w:t xml:space="preserve"> Th</w:t>
      </w:r>
      <w:r w:rsidR="005A58CF">
        <w:rPr>
          <w:rFonts w:ascii="Times New Roman" w:hAnsi="Times New Roman" w:cs="Times New Roman"/>
          <w:sz w:val="24"/>
          <w:szCs w:val="24"/>
        </w:rPr>
        <w:t xml:space="preserve">e 1069 diploma is authentic and clearly dated, </w:t>
      </w:r>
      <w:r w:rsidR="009A50E1">
        <w:rPr>
          <w:rFonts w:ascii="Times New Roman" w:hAnsi="Times New Roman" w:cs="Times New Roman"/>
          <w:sz w:val="24"/>
          <w:szCs w:val="24"/>
        </w:rPr>
        <w:t xml:space="preserve">and thus is significant in providing early evidence of diplomatic continuity in post-conquest England. There is however, </w:t>
      </w:r>
      <w:r w:rsidR="005A58CF">
        <w:rPr>
          <w:rFonts w:ascii="Times New Roman" w:hAnsi="Times New Roman" w:cs="Times New Roman"/>
          <w:sz w:val="24"/>
          <w:szCs w:val="24"/>
        </w:rPr>
        <w:t xml:space="preserve">always an element of caution required. Not least because, as George Garnett argues, the gift of Harmondsworth </w:t>
      </w:r>
      <w:r w:rsidR="005A58CF" w:rsidRPr="00D776EA">
        <w:rPr>
          <w:rFonts w:ascii="Times New Roman" w:hAnsi="Times New Roman" w:cs="Times New Roman"/>
          <w:sz w:val="24"/>
          <w:szCs w:val="24"/>
        </w:rPr>
        <w:t>to the abbey of La-Trinité-du-Mont, Rouen,</w:t>
      </w:r>
      <w:r w:rsidR="005A58CF">
        <w:rPr>
          <w:rFonts w:ascii="Times New Roman" w:hAnsi="Times New Roman" w:cs="Times New Roman"/>
          <w:sz w:val="24"/>
          <w:szCs w:val="24"/>
        </w:rPr>
        <w:t xml:space="preserve"> ‘is not original’ and ‘</w:t>
      </w:r>
      <w:r w:rsidR="0022455E" w:rsidRPr="0022455E">
        <w:rPr>
          <w:rFonts w:ascii="Times New Roman" w:hAnsi="Times New Roman" w:cs="Times New Roman"/>
          <w:sz w:val="24"/>
          <w:szCs w:val="24"/>
        </w:rPr>
        <w:t>may have been tampered with at a later stage;</w:t>
      </w:r>
      <w:r w:rsidR="005A58CF">
        <w:rPr>
          <w:rFonts w:ascii="Times New Roman" w:hAnsi="Times New Roman" w:cs="Times New Roman"/>
          <w:sz w:val="24"/>
          <w:szCs w:val="24"/>
        </w:rPr>
        <w:t xml:space="preserve"> but not much later</w:t>
      </w:r>
      <w:r w:rsidR="0022455E">
        <w:rPr>
          <w:rFonts w:ascii="Times New Roman" w:hAnsi="Times New Roman" w:cs="Times New Roman"/>
          <w:sz w:val="24"/>
          <w:szCs w:val="24"/>
        </w:rPr>
        <w:t>’</w:t>
      </w:r>
      <w:r w:rsidR="005A58CF">
        <w:rPr>
          <w:rFonts w:ascii="Times New Roman" w:hAnsi="Times New Roman" w:cs="Times New Roman"/>
          <w:sz w:val="24"/>
          <w:szCs w:val="24"/>
        </w:rPr>
        <w:t>.</w:t>
      </w:r>
      <w:r w:rsidR="005A58CF">
        <w:rPr>
          <w:rStyle w:val="FootnoteReference"/>
          <w:rFonts w:ascii="Times New Roman" w:hAnsi="Times New Roman" w:cs="Times New Roman"/>
          <w:sz w:val="24"/>
          <w:szCs w:val="24"/>
        </w:rPr>
        <w:footnoteReference w:id="27"/>
      </w:r>
      <w:r w:rsidR="005A58CF">
        <w:rPr>
          <w:rFonts w:ascii="Times New Roman" w:hAnsi="Times New Roman" w:cs="Times New Roman"/>
          <w:sz w:val="24"/>
          <w:szCs w:val="24"/>
        </w:rPr>
        <w:t xml:space="preserve"> This document is also </w:t>
      </w:r>
      <w:r w:rsidR="00F94135">
        <w:rPr>
          <w:rFonts w:ascii="Times New Roman" w:hAnsi="Times New Roman" w:cs="Times New Roman"/>
          <w:sz w:val="24"/>
          <w:szCs w:val="24"/>
        </w:rPr>
        <w:t xml:space="preserve">from </w:t>
      </w:r>
      <w:r w:rsidR="00D25254">
        <w:rPr>
          <w:rFonts w:ascii="Times New Roman" w:hAnsi="Times New Roman" w:cs="Times New Roman"/>
          <w:sz w:val="24"/>
          <w:szCs w:val="24"/>
        </w:rPr>
        <w:t>1069 at Winchester</w:t>
      </w:r>
      <w:r w:rsidR="003D726F">
        <w:rPr>
          <w:rFonts w:ascii="Times New Roman" w:hAnsi="Times New Roman" w:cs="Times New Roman"/>
          <w:sz w:val="24"/>
          <w:szCs w:val="24"/>
        </w:rPr>
        <w:t>, and in all likelihood from the same Easter court.</w:t>
      </w:r>
      <w:r w:rsidR="005A58CF">
        <w:rPr>
          <w:rStyle w:val="FootnoteReference"/>
          <w:rFonts w:ascii="Times New Roman" w:hAnsi="Times New Roman" w:cs="Times New Roman"/>
          <w:sz w:val="24"/>
          <w:szCs w:val="24"/>
        </w:rPr>
        <w:footnoteReference w:id="28"/>
      </w:r>
      <w:r w:rsidR="005A58CF">
        <w:rPr>
          <w:rFonts w:ascii="Times New Roman" w:hAnsi="Times New Roman" w:cs="Times New Roman"/>
          <w:sz w:val="24"/>
          <w:szCs w:val="24"/>
        </w:rPr>
        <w:t xml:space="preserve"> </w:t>
      </w:r>
    </w:p>
    <w:p w:rsidR="00884120" w:rsidRDefault="00884120" w:rsidP="005F7584">
      <w:pPr>
        <w:spacing w:after="0" w:line="360" w:lineRule="auto"/>
        <w:rPr>
          <w:rFonts w:ascii="Times New Roman" w:hAnsi="Times New Roman" w:cs="Times New Roman"/>
          <w:sz w:val="24"/>
          <w:szCs w:val="24"/>
        </w:rPr>
      </w:pPr>
    </w:p>
    <w:p w:rsidR="009307AF" w:rsidRPr="004448AE" w:rsidRDefault="00884120" w:rsidP="00D34611">
      <w:pPr>
        <w:spacing w:after="0" w:line="360" w:lineRule="auto"/>
        <w:ind w:firstLine="720"/>
        <w:rPr>
          <w:rFonts w:ascii="Times New Roman" w:hAnsi="Times New Roman" w:cs="Times New Roman"/>
          <w:sz w:val="24"/>
          <w:szCs w:val="24"/>
          <w:highlight w:val="yellow"/>
        </w:rPr>
      </w:pPr>
      <w:r>
        <w:rPr>
          <w:rFonts w:ascii="Times New Roman" w:hAnsi="Times New Roman" w:cs="Times New Roman"/>
          <w:sz w:val="24"/>
          <w:szCs w:val="24"/>
        </w:rPr>
        <w:t xml:space="preserve">The date is also significant </w:t>
      </w:r>
      <w:r w:rsidR="00E569F5">
        <w:rPr>
          <w:rFonts w:ascii="Times New Roman" w:hAnsi="Times New Roman" w:cs="Times New Roman"/>
          <w:sz w:val="24"/>
          <w:szCs w:val="24"/>
        </w:rPr>
        <w:t>in terms of research potential, to establish the frequency of use of this format</w:t>
      </w:r>
      <w:r w:rsidR="00B306E8">
        <w:rPr>
          <w:rFonts w:ascii="Times New Roman" w:hAnsi="Times New Roman" w:cs="Times New Roman"/>
          <w:sz w:val="24"/>
          <w:szCs w:val="24"/>
        </w:rPr>
        <w:t xml:space="preserve"> and </w:t>
      </w:r>
      <w:r w:rsidR="00D34611">
        <w:rPr>
          <w:rFonts w:ascii="Times New Roman" w:hAnsi="Times New Roman" w:cs="Times New Roman"/>
          <w:sz w:val="24"/>
          <w:szCs w:val="24"/>
        </w:rPr>
        <w:t xml:space="preserve">the use of </w:t>
      </w:r>
      <w:r w:rsidR="00FD6D21">
        <w:rPr>
          <w:rFonts w:ascii="Times New Roman" w:hAnsi="Times New Roman" w:cs="Times New Roman"/>
          <w:sz w:val="24"/>
          <w:szCs w:val="24"/>
        </w:rPr>
        <w:t xml:space="preserve">rare </w:t>
      </w:r>
      <w:r w:rsidR="00B306E8">
        <w:rPr>
          <w:rFonts w:ascii="Times New Roman" w:hAnsi="Times New Roman" w:cs="Times New Roman"/>
          <w:sz w:val="24"/>
          <w:szCs w:val="24"/>
        </w:rPr>
        <w:t>clauses</w:t>
      </w:r>
      <w:r w:rsidR="00E569F5">
        <w:rPr>
          <w:rFonts w:ascii="Times New Roman" w:hAnsi="Times New Roman" w:cs="Times New Roman"/>
          <w:sz w:val="24"/>
          <w:szCs w:val="24"/>
        </w:rPr>
        <w:t xml:space="preserve"> after 1066, and whether this represented </w:t>
      </w:r>
      <w:r>
        <w:rPr>
          <w:rFonts w:ascii="Times New Roman" w:hAnsi="Times New Roman" w:cs="Times New Roman"/>
          <w:sz w:val="24"/>
          <w:szCs w:val="24"/>
        </w:rPr>
        <w:t>some degree of continuity between Anglo-Saxon and Norman England.</w:t>
      </w:r>
      <w:r w:rsidR="00B306E8">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William I is linked to Edward the Confessor, ‘our illustrious ancestor’, strengthening his ties to England and the throne as successor to Edward, irrespective of Harold.</w:t>
      </w:r>
      <w:r w:rsidR="00C412D8">
        <w:rPr>
          <w:rFonts w:ascii="Times New Roman" w:hAnsi="Times New Roman" w:cs="Times New Roman"/>
          <w:sz w:val="24"/>
          <w:szCs w:val="24"/>
        </w:rPr>
        <w:t xml:space="preserve"> Harold</w:t>
      </w:r>
      <w:r>
        <w:rPr>
          <w:rFonts w:ascii="Times New Roman" w:hAnsi="Times New Roman" w:cs="Times New Roman"/>
          <w:sz w:val="24"/>
          <w:szCs w:val="24"/>
        </w:rPr>
        <w:t xml:space="preserve"> </w:t>
      </w:r>
      <w:r w:rsidR="00C412D8">
        <w:rPr>
          <w:rFonts w:ascii="Times New Roman" w:hAnsi="Times New Roman" w:cs="Times New Roman"/>
          <w:sz w:val="24"/>
          <w:szCs w:val="24"/>
        </w:rPr>
        <w:t xml:space="preserve">is referred to as king in 1067, </w:t>
      </w:r>
      <w:r w:rsidR="00C412D8">
        <w:rPr>
          <w:rFonts w:ascii="Times New Roman" w:hAnsi="Times New Roman" w:cs="Times New Roman"/>
          <w:sz w:val="24"/>
          <w:szCs w:val="24"/>
        </w:rPr>
        <w:lastRenderedPageBreak/>
        <w:t>but later as Harold or Earl Harold.</w:t>
      </w:r>
      <w:r w:rsidR="00C412D8">
        <w:rPr>
          <w:rStyle w:val="FootnoteReference"/>
          <w:rFonts w:ascii="Times New Roman" w:hAnsi="Times New Roman" w:cs="Times New Roman"/>
          <w:sz w:val="24"/>
          <w:szCs w:val="24"/>
        </w:rPr>
        <w:footnoteReference w:id="30"/>
      </w:r>
      <w:r w:rsidR="00C412D8">
        <w:rPr>
          <w:rFonts w:ascii="Times New Roman" w:hAnsi="Times New Roman" w:cs="Times New Roman"/>
          <w:sz w:val="24"/>
          <w:szCs w:val="24"/>
        </w:rPr>
        <w:t xml:space="preserve"> This hints at the propaganda used to reinforce William’s legitimacy as </w:t>
      </w:r>
      <w:r w:rsidR="009307AF">
        <w:rPr>
          <w:rFonts w:ascii="Times New Roman" w:hAnsi="Times New Roman" w:cs="Times New Roman"/>
          <w:sz w:val="24"/>
          <w:szCs w:val="24"/>
        </w:rPr>
        <w:t xml:space="preserve">direct </w:t>
      </w:r>
      <w:r w:rsidR="00C412D8">
        <w:rPr>
          <w:rFonts w:ascii="Times New Roman" w:hAnsi="Times New Roman" w:cs="Times New Roman"/>
          <w:sz w:val="24"/>
          <w:szCs w:val="24"/>
        </w:rPr>
        <w:t>successor to Edward.</w:t>
      </w:r>
      <w:r w:rsidR="00C412D8">
        <w:rPr>
          <w:rStyle w:val="FootnoteReference"/>
          <w:rFonts w:ascii="Times New Roman" w:hAnsi="Times New Roman" w:cs="Times New Roman"/>
          <w:sz w:val="24"/>
          <w:szCs w:val="24"/>
        </w:rPr>
        <w:footnoteReference w:id="31"/>
      </w:r>
      <w:r w:rsidR="009307AF">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C412D8">
        <w:rPr>
          <w:rFonts w:ascii="Times New Roman" w:hAnsi="Times New Roman" w:cs="Times New Roman"/>
          <w:sz w:val="24"/>
          <w:szCs w:val="24"/>
        </w:rPr>
        <w:t>Old English</w:t>
      </w:r>
      <w:r>
        <w:rPr>
          <w:rFonts w:ascii="Times New Roman" w:hAnsi="Times New Roman" w:cs="Times New Roman"/>
          <w:sz w:val="24"/>
          <w:szCs w:val="24"/>
        </w:rPr>
        <w:t xml:space="preserve"> format however, is probably more to do with </w:t>
      </w:r>
      <w:r w:rsidR="004811A3">
        <w:rPr>
          <w:rFonts w:ascii="Times New Roman" w:hAnsi="Times New Roman" w:cs="Times New Roman"/>
          <w:sz w:val="24"/>
          <w:szCs w:val="24"/>
        </w:rPr>
        <w:t xml:space="preserve">the continuation of diplomatic form </w:t>
      </w:r>
      <w:r>
        <w:rPr>
          <w:rFonts w:ascii="Times New Roman" w:hAnsi="Times New Roman" w:cs="Times New Roman"/>
          <w:sz w:val="24"/>
          <w:szCs w:val="24"/>
        </w:rPr>
        <w:t xml:space="preserve">than </w:t>
      </w:r>
      <w:r w:rsidR="00833E8E">
        <w:rPr>
          <w:rFonts w:ascii="Times New Roman" w:hAnsi="Times New Roman" w:cs="Times New Roman"/>
          <w:sz w:val="24"/>
          <w:szCs w:val="24"/>
        </w:rPr>
        <w:t xml:space="preserve">conclusive </w:t>
      </w:r>
      <w:r>
        <w:rPr>
          <w:rFonts w:ascii="Times New Roman" w:hAnsi="Times New Roman" w:cs="Times New Roman"/>
          <w:sz w:val="24"/>
          <w:szCs w:val="24"/>
        </w:rPr>
        <w:t>evidence of continuity</w:t>
      </w:r>
      <w:r w:rsidR="004A5AF3">
        <w:rPr>
          <w:rFonts w:ascii="Times New Roman" w:hAnsi="Times New Roman" w:cs="Times New Roman"/>
          <w:sz w:val="24"/>
          <w:szCs w:val="24"/>
        </w:rPr>
        <w:t xml:space="preserve">. </w:t>
      </w:r>
      <w:r>
        <w:rPr>
          <w:rFonts w:ascii="Times New Roman" w:hAnsi="Times New Roman" w:cs="Times New Roman"/>
          <w:sz w:val="24"/>
          <w:szCs w:val="24"/>
        </w:rPr>
        <w:t>Edward’s 1059 diploma includes an anathema clause</w:t>
      </w:r>
      <w:r w:rsidR="009418B9">
        <w:rPr>
          <w:rFonts w:ascii="Times New Roman" w:hAnsi="Times New Roman" w:cs="Times New Roman"/>
          <w:sz w:val="24"/>
          <w:szCs w:val="24"/>
        </w:rPr>
        <w:t>,</w:t>
      </w:r>
      <w:r>
        <w:rPr>
          <w:rFonts w:ascii="Times New Roman" w:hAnsi="Times New Roman" w:cs="Times New Roman"/>
          <w:sz w:val="24"/>
          <w:szCs w:val="24"/>
        </w:rPr>
        <w:t xml:space="preserve"> </w:t>
      </w:r>
      <w:r w:rsidRPr="00D776EA">
        <w:rPr>
          <w:rFonts w:ascii="Times New Roman" w:hAnsi="Times New Roman" w:cs="Times New Roman"/>
          <w:sz w:val="24"/>
          <w:szCs w:val="24"/>
        </w:rPr>
        <w:t>‘</w:t>
      </w:r>
      <w:r w:rsidRPr="00D776EA">
        <w:rPr>
          <w:rFonts w:ascii="Times New Roman" w:hAnsi="Times New Roman" w:cs="Times New Roman"/>
          <w:i/>
          <w:sz w:val="24"/>
          <w:szCs w:val="24"/>
        </w:rPr>
        <w:t>cum Dathan et Abiron</w:t>
      </w:r>
      <w:r w:rsidRPr="00D776EA">
        <w:rPr>
          <w:rFonts w:ascii="Times New Roman" w:hAnsi="Times New Roman" w:cs="Times New Roman"/>
          <w:sz w:val="24"/>
          <w:szCs w:val="24"/>
        </w:rPr>
        <w:t>’</w:t>
      </w:r>
      <w:r w:rsidR="00833E8E">
        <w:rPr>
          <w:rFonts w:ascii="Times New Roman" w:hAnsi="Times New Roman" w:cs="Times New Roman"/>
          <w:sz w:val="24"/>
          <w:szCs w:val="24"/>
        </w:rPr>
        <w:t xml:space="preserve">, the same dating formula and confirmation by sign of the cross. All of which are evidence, as Thomas Waldman argues, not just that the 1069 diploma was following the Old English </w:t>
      </w:r>
      <w:r w:rsidR="00D776D7">
        <w:rPr>
          <w:rFonts w:ascii="Times New Roman" w:hAnsi="Times New Roman" w:cs="Times New Roman"/>
          <w:sz w:val="24"/>
          <w:szCs w:val="24"/>
        </w:rPr>
        <w:t>format</w:t>
      </w:r>
      <w:r w:rsidR="00833E8E">
        <w:rPr>
          <w:rFonts w:ascii="Times New Roman" w:hAnsi="Times New Roman" w:cs="Times New Roman"/>
          <w:sz w:val="24"/>
          <w:szCs w:val="24"/>
        </w:rPr>
        <w:t xml:space="preserve">, but </w:t>
      </w:r>
      <w:r w:rsidR="004A5AF3">
        <w:rPr>
          <w:rFonts w:ascii="Times New Roman" w:hAnsi="Times New Roman" w:cs="Times New Roman"/>
          <w:sz w:val="24"/>
          <w:szCs w:val="24"/>
        </w:rPr>
        <w:t xml:space="preserve">that it actually </w:t>
      </w:r>
      <w:r w:rsidR="00833E8E">
        <w:rPr>
          <w:rFonts w:ascii="Times New Roman" w:hAnsi="Times New Roman" w:cs="Times New Roman"/>
          <w:sz w:val="24"/>
          <w:szCs w:val="24"/>
        </w:rPr>
        <w:t xml:space="preserve">used </w:t>
      </w:r>
      <w:r w:rsidR="004A5AF3">
        <w:rPr>
          <w:rFonts w:ascii="Times New Roman" w:hAnsi="Times New Roman" w:cs="Times New Roman"/>
          <w:sz w:val="24"/>
          <w:szCs w:val="24"/>
        </w:rPr>
        <w:t>the 1059 diploma</w:t>
      </w:r>
      <w:r w:rsidR="00833E8E">
        <w:rPr>
          <w:rFonts w:ascii="Times New Roman" w:hAnsi="Times New Roman" w:cs="Times New Roman"/>
          <w:sz w:val="24"/>
          <w:szCs w:val="24"/>
        </w:rPr>
        <w:t xml:space="preserve"> as </w:t>
      </w:r>
      <w:r w:rsidR="004A5AF3">
        <w:rPr>
          <w:rFonts w:ascii="Times New Roman" w:hAnsi="Times New Roman" w:cs="Times New Roman"/>
          <w:sz w:val="24"/>
          <w:szCs w:val="24"/>
        </w:rPr>
        <w:t>its</w:t>
      </w:r>
      <w:r w:rsidR="00833E8E">
        <w:rPr>
          <w:rFonts w:ascii="Times New Roman" w:hAnsi="Times New Roman" w:cs="Times New Roman"/>
          <w:sz w:val="24"/>
          <w:szCs w:val="24"/>
        </w:rPr>
        <w:t xml:space="preserve"> model.</w:t>
      </w:r>
      <w:r w:rsidR="00833E8E">
        <w:rPr>
          <w:rStyle w:val="FootnoteReference"/>
          <w:rFonts w:ascii="Times New Roman" w:hAnsi="Times New Roman" w:cs="Times New Roman"/>
          <w:sz w:val="24"/>
          <w:szCs w:val="24"/>
        </w:rPr>
        <w:footnoteReference w:id="32"/>
      </w:r>
      <w:r w:rsidR="004A5AF3">
        <w:rPr>
          <w:rFonts w:ascii="Times New Roman" w:hAnsi="Times New Roman" w:cs="Times New Roman"/>
          <w:sz w:val="24"/>
          <w:szCs w:val="24"/>
        </w:rPr>
        <w:t xml:space="preserve"> </w:t>
      </w:r>
      <w:r w:rsidR="004811A3">
        <w:rPr>
          <w:rFonts w:ascii="Times New Roman" w:hAnsi="Times New Roman" w:cs="Times New Roman"/>
          <w:sz w:val="24"/>
          <w:szCs w:val="24"/>
        </w:rPr>
        <w:t xml:space="preserve">It also becomes clear that although the original grant of Deerhurst, for instance, was a perpetual gift to St Denis the renewal of the diploma suggests this was not necessarily considered </w:t>
      </w:r>
      <w:r w:rsidR="000B1D42">
        <w:rPr>
          <w:rFonts w:ascii="Times New Roman" w:hAnsi="Times New Roman" w:cs="Times New Roman"/>
          <w:sz w:val="24"/>
          <w:szCs w:val="24"/>
        </w:rPr>
        <w:t>‘a permanent testimony to the grant of rights’.</w:t>
      </w:r>
      <w:r w:rsidR="000B1D42">
        <w:rPr>
          <w:rStyle w:val="FootnoteReference"/>
          <w:rFonts w:ascii="Times New Roman" w:hAnsi="Times New Roman" w:cs="Times New Roman"/>
          <w:sz w:val="24"/>
          <w:szCs w:val="24"/>
        </w:rPr>
        <w:footnoteReference w:id="33"/>
      </w:r>
      <w:r w:rsidR="009418B9">
        <w:rPr>
          <w:rFonts w:ascii="Times New Roman" w:hAnsi="Times New Roman" w:cs="Times New Roman"/>
          <w:sz w:val="24"/>
          <w:szCs w:val="24"/>
        </w:rPr>
        <w:t xml:space="preserve"> </w:t>
      </w:r>
      <w:r w:rsidR="005D12B9" w:rsidRPr="001700F8">
        <w:rPr>
          <w:rFonts w:ascii="Times New Roman" w:hAnsi="Times New Roman" w:cs="Times New Roman"/>
          <w:sz w:val="24"/>
          <w:szCs w:val="24"/>
        </w:rPr>
        <w:t>What can be seen as continuity with the 1059 diploma can also highlig</w:t>
      </w:r>
      <w:r w:rsidR="009307AF" w:rsidRPr="001700F8">
        <w:rPr>
          <w:rFonts w:ascii="Times New Roman" w:hAnsi="Times New Roman" w:cs="Times New Roman"/>
          <w:sz w:val="24"/>
          <w:szCs w:val="24"/>
        </w:rPr>
        <w:t>ht the reality of changing regimes</w:t>
      </w:r>
      <w:r w:rsidR="005D12B9" w:rsidRPr="001700F8">
        <w:rPr>
          <w:rFonts w:ascii="Times New Roman" w:hAnsi="Times New Roman" w:cs="Times New Roman"/>
          <w:sz w:val="24"/>
          <w:szCs w:val="24"/>
        </w:rPr>
        <w:t>, as a perpetual gift has to be re-affir</w:t>
      </w:r>
      <w:r w:rsidR="009A50E1" w:rsidRPr="001700F8">
        <w:rPr>
          <w:rFonts w:ascii="Times New Roman" w:hAnsi="Times New Roman" w:cs="Times New Roman"/>
          <w:sz w:val="24"/>
          <w:szCs w:val="24"/>
        </w:rPr>
        <w:t xml:space="preserve">med with an anathema clause and </w:t>
      </w:r>
      <w:r w:rsidR="005D12B9" w:rsidRPr="001700F8">
        <w:rPr>
          <w:rFonts w:ascii="Times New Roman" w:hAnsi="Times New Roman" w:cs="Times New Roman"/>
          <w:i/>
          <w:sz w:val="24"/>
          <w:szCs w:val="24"/>
        </w:rPr>
        <w:t>laudatio parentum</w:t>
      </w:r>
      <w:r w:rsidR="009A50E1" w:rsidRPr="001700F8">
        <w:rPr>
          <w:rFonts w:ascii="Times New Roman" w:hAnsi="Times New Roman" w:cs="Times New Roman"/>
          <w:sz w:val="24"/>
          <w:szCs w:val="24"/>
        </w:rPr>
        <w:t xml:space="preserve">. </w:t>
      </w:r>
      <w:r w:rsidR="009307AF">
        <w:rPr>
          <w:rFonts w:ascii="Times New Roman" w:hAnsi="Times New Roman" w:cs="Times New Roman"/>
          <w:sz w:val="24"/>
          <w:szCs w:val="24"/>
        </w:rPr>
        <w:t xml:space="preserve">Though less important in England, the frequency of use of the </w:t>
      </w:r>
      <w:r w:rsidR="009307AF" w:rsidRPr="00B306E8">
        <w:rPr>
          <w:rFonts w:ascii="Times New Roman" w:hAnsi="Times New Roman" w:cs="Times New Roman"/>
          <w:i/>
          <w:sz w:val="24"/>
          <w:szCs w:val="24"/>
        </w:rPr>
        <w:t xml:space="preserve">laudatio </w:t>
      </w:r>
      <w:r w:rsidR="009307AF">
        <w:rPr>
          <w:rFonts w:ascii="Times New Roman" w:hAnsi="Times New Roman" w:cs="Times New Roman"/>
          <w:sz w:val="24"/>
          <w:szCs w:val="24"/>
        </w:rPr>
        <w:t xml:space="preserve">may require further research to establish its connection to ecclesiastic or secular gifts and determine whether it had any </w:t>
      </w:r>
      <w:r w:rsidR="009A50E1">
        <w:rPr>
          <w:rFonts w:ascii="Times New Roman" w:hAnsi="Times New Roman" w:cs="Times New Roman"/>
          <w:sz w:val="24"/>
          <w:szCs w:val="24"/>
        </w:rPr>
        <w:t xml:space="preserve">real </w:t>
      </w:r>
      <w:r w:rsidR="009307AF">
        <w:rPr>
          <w:rFonts w:ascii="Times New Roman" w:hAnsi="Times New Roman" w:cs="Times New Roman"/>
          <w:sz w:val="24"/>
          <w:szCs w:val="24"/>
        </w:rPr>
        <w:t>legal significance</w:t>
      </w:r>
      <w:r w:rsidR="009307AF" w:rsidRPr="00345989">
        <w:rPr>
          <w:rFonts w:ascii="Times New Roman" w:hAnsi="Times New Roman" w:cs="Times New Roman"/>
          <w:sz w:val="24"/>
          <w:szCs w:val="24"/>
        </w:rPr>
        <w:t xml:space="preserve">. </w:t>
      </w:r>
      <w:r w:rsidR="00973AB4" w:rsidRPr="00345989">
        <w:rPr>
          <w:rFonts w:ascii="Times New Roman" w:hAnsi="Times New Roman" w:cs="Times New Roman"/>
          <w:sz w:val="24"/>
          <w:szCs w:val="24"/>
        </w:rPr>
        <w:t xml:space="preserve">The use of the </w:t>
      </w:r>
      <w:r w:rsidR="009307AF" w:rsidRPr="00345989">
        <w:rPr>
          <w:rFonts w:ascii="Times New Roman" w:hAnsi="Times New Roman" w:cs="Times New Roman"/>
          <w:i/>
          <w:sz w:val="24"/>
          <w:szCs w:val="24"/>
        </w:rPr>
        <w:t xml:space="preserve">laudatio </w:t>
      </w:r>
      <w:r w:rsidR="009307AF" w:rsidRPr="00345989">
        <w:rPr>
          <w:rFonts w:ascii="Times New Roman" w:hAnsi="Times New Roman" w:cs="Times New Roman"/>
          <w:sz w:val="24"/>
          <w:szCs w:val="24"/>
        </w:rPr>
        <w:t xml:space="preserve">in 1069, </w:t>
      </w:r>
      <w:r w:rsidR="004448AE" w:rsidRPr="001700F8">
        <w:rPr>
          <w:rFonts w:ascii="Times New Roman" w:hAnsi="Times New Roman" w:cs="Times New Roman"/>
          <w:sz w:val="24"/>
          <w:szCs w:val="24"/>
        </w:rPr>
        <w:t>including the consent of William</w:t>
      </w:r>
      <w:r w:rsidR="00783F2B" w:rsidRPr="001700F8">
        <w:rPr>
          <w:rFonts w:ascii="Times New Roman" w:hAnsi="Times New Roman" w:cs="Times New Roman"/>
          <w:sz w:val="24"/>
          <w:szCs w:val="24"/>
        </w:rPr>
        <w:t>’s wife and blood relatives,</w:t>
      </w:r>
      <w:r w:rsidR="00783F2B" w:rsidRPr="00345989">
        <w:rPr>
          <w:rFonts w:ascii="Times New Roman" w:hAnsi="Times New Roman" w:cs="Times New Roman"/>
          <w:sz w:val="24"/>
          <w:szCs w:val="24"/>
        </w:rPr>
        <w:t xml:space="preserve"> probably h</w:t>
      </w:r>
      <w:r w:rsidR="005D12B9" w:rsidRPr="00345989">
        <w:rPr>
          <w:rFonts w:ascii="Times New Roman" w:hAnsi="Times New Roman" w:cs="Times New Roman"/>
          <w:sz w:val="24"/>
          <w:szCs w:val="24"/>
        </w:rPr>
        <w:t>ad limited impact and was</w:t>
      </w:r>
      <w:r w:rsidR="004448AE" w:rsidRPr="00345989">
        <w:rPr>
          <w:rFonts w:ascii="Times New Roman" w:hAnsi="Times New Roman" w:cs="Times New Roman"/>
          <w:sz w:val="24"/>
          <w:szCs w:val="24"/>
        </w:rPr>
        <w:t xml:space="preserve"> more important for</w:t>
      </w:r>
      <w:r w:rsidR="00783F2B" w:rsidRPr="00345989">
        <w:rPr>
          <w:rFonts w:ascii="Times New Roman" w:hAnsi="Times New Roman" w:cs="Times New Roman"/>
          <w:sz w:val="24"/>
          <w:szCs w:val="24"/>
        </w:rPr>
        <w:t xml:space="preserve"> </w:t>
      </w:r>
      <w:r w:rsidR="00B306E8" w:rsidRPr="00345989">
        <w:rPr>
          <w:rFonts w:ascii="Times New Roman" w:hAnsi="Times New Roman" w:cs="Times New Roman"/>
          <w:sz w:val="24"/>
          <w:szCs w:val="24"/>
        </w:rPr>
        <w:t>strengthening ties of kinship and continuing a</w:t>
      </w:r>
      <w:r w:rsidR="004448AE" w:rsidRPr="00345989">
        <w:rPr>
          <w:rFonts w:ascii="Times New Roman" w:hAnsi="Times New Roman" w:cs="Times New Roman"/>
          <w:sz w:val="24"/>
          <w:szCs w:val="24"/>
        </w:rPr>
        <w:t xml:space="preserve"> cultural custom rather than</w:t>
      </w:r>
      <w:r w:rsidR="00783F2B" w:rsidRPr="00345989">
        <w:rPr>
          <w:rFonts w:ascii="Times New Roman" w:hAnsi="Times New Roman" w:cs="Times New Roman"/>
          <w:sz w:val="24"/>
          <w:szCs w:val="24"/>
        </w:rPr>
        <w:t xml:space="preserve"> providing the level of protection that warranty clauses did in l</w:t>
      </w:r>
      <w:r w:rsidR="004448AE" w:rsidRPr="00345989">
        <w:rPr>
          <w:rFonts w:ascii="Times New Roman" w:hAnsi="Times New Roman" w:cs="Times New Roman"/>
          <w:sz w:val="24"/>
          <w:szCs w:val="24"/>
        </w:rPr>
        <w:t>ater</w:t>
      </w:r>
      <w:r w:rsidR="00783F2B" w:rsidRPr="00345989">
        <w:rPr>
          <w:rFonts w:ascii="Times New Roman" w:hAnsi="Times New Roman" w:cs="Times New Roman"/>
          <w:sz w:val="24"/>
          <w:szCs w:val="24"/>
        </w:rPr>
        <w:t xml:space="preserve"> documents.</w:t>
      </w:r>
      <w:r w:rsidR="00B306E8">
        <w:rPr>
          <w:rFonts w:ascii="Times New Roman" w:hAnsi="Times New Roman" w:cs="Times New Roman"/>
          <w:sz w:val="24"/>
          <w:szCs w:val="24"/>
        </w:rPr>
        <w:t xml:space="preserve"> </w:t>
      </w:r>
    </w:p>
    <w:p w:rsidR="009307AF" w:rsidRDefault="009307AF" w:rsidP="001E7A95">
      <w:pPr>
        <w:spacing w:after="0" w:line="360" w:lineRule="auto"/>
        <w:rPr>
          <w:rFonts w:ascii="Times New Roman" w:hAnsi="Times New Roman" w:cs="Times New Roman"/>
          <w:sz w:val="24"/>
          <w:szCs w:val="24"/>
        </w:rPr>
      </w:pPr>
    </w:p>
    <w:p w:rsidR="004448AE" w:rsidRDefault="00345989" w:rsidP="00D34611">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gift to St Denis, despite its situation and strong links to the kings of France, raises questions about jurisdiction, and alien priories</w:t>
      </w:r>
      <w:r w:rsidR="00F14FA5">
        <w:rPr>
          <w:rFonts w:ascii="Times New Roman" w:hAnsi="Times New Roman" w:cs="Times New Roman"/>
          <w:sz w:val="24"/>
          <w:szCs w:val="24"/>
        </w:rPr>
        <w:t xml:space="preserve"> and </w:t>
      </w:r>
      <w:r>
        <w:rPr>
          <w:rFonts w:ascii="Times New Roman" w:hAnsi="Times New Roman" w:cs="Times New Roman"/>
          <w:sz w:val="24"/>
          <w:szCs w:val="24"/>
        </w:rPr>
        <w:t xml:space="preserve">their existence. The phrase </w:t>
      </w:r>
      <w:r w:rsidR="00B306E8">
        <w:rPr>
          <w:rFonts w:ascii="Times New Roman" w:hAnsi="Times New Roman" w:cs="Times New Roman"/>
          <w:sz w:val="24"/>
          <w:szCs w:val="24"/>
        </w:rPr>
        <w:t>‘whatever race’</w:t>
      </w:r>
      <w:r>
        <w:rPr>
          <w:rFonts w:ascii="Times New Roman" w:hAnsi="Times New Roman" w:cs="Times New Roman"/>
          <w:sz w:val="24"/>
          <w:szCs w:val="24"/>
        </w:rPr>
        <w:t xml:space="preserve"> links back to continuity and culture</w:t>
      </w:r>
      <w:r w:rsidR="001F5FA4">
        <w:rPr>
          <w:rFonts w:ascii="Times New Roman" w:hAnsi="Times New Roman" w:cs="Times New Roman"/>
          <w:sz w:val="24"/>
          <w:szCs w:val="24"/>
        </w:rPr>
        <w:t>, and it is these theme</w:t>
      </w:r>
      <w:r w:rsidR="00F14FA5">
        <w:rPr>
          <w:rFonts w:ascii="Times New Roman" w:hAnsi="Times New Roman" w:cs="Times New Roman"/>
          <w:sz w:val="24"/>
          <w:szCs w:val="24"/>
        </w:rPr>
        <w:t>s</w:t>
      </w:r>
      <w:r w:rsidR="001F5FA4">
        <w:rPr>
          <w:rFonts w:ascii="Times New Roman" w:hAnsi="Times New Roman" w:cs="Times New Roman"/>
          <w:sz w:val="24"/>
          <w:szCs w:val="24"/>
        </w:rPr>
        <w:t xml:space="preserve"> that, perhaps, provide the most fertile area for further research. There were clearly efforts </w:t>
      </w:r>
      <w:r w:rsidR="00F40E92">
        <w:rPr>
          <w:rFonts w:ascii="Times New Roman" w:hAnsi="Times New Roman" w:cs="Times New Roman"/>
          <w:sz w:val="24"/>
          <w:szCs w:val="24"/>
        </w:rPr>
        <w:t>to make more French-speaking clergy</w:t>
      </w:r>
      <w:r w:rsidR="0037744A">
        <w:rPr>
          <w:rFonts w:ascii="Times New Roman" w:hAnsi="Times New Roman" w:cs="Times New Roman"/>
          <w:sz w:val="24"/>
          <w:szCs w:val="24"/>
        </w:rPr>
        <w:t xml:space="preserve"> and officials</w:t>
      </w:r>
      <w:r w:rsidR="00F40E92">
        <w:rPr>
          <w:rFonts w:ascii="Times New Roman" w:hAnsi="Times New Roman" w:cs="Times New Roman"/>
          <w:sz w:val="24"/>
          <w:szCs w:val="24"/>
        </w:rPr>
        <w:t xml:space="preserve">, but </w:t>
      </w:r>
      <w:r w:rsidR="000B22E9">
        <w:rPr>
          <w:rFonts w:ascii="Times New Roman" w:hAnsi="Times New Roman" w:cs="Times New Roman"/>
          <w:sz w:val="24"/>
          <w:szCs w:val="24"/>
        </w:rPr>
        <w:t>the</w:t>
      </w:r>
      <w:r w:rsidR="00F40E92">
        <w:rPr>
          <w:rFonts w:ascii="Times New Roman" w:hAnsi="Times New Roman" w:cs="Times New Roman"/>
          <w:sz w:val="24"/>
          <w:szCs w:val="24"/>
        </w:rPr>
        <w:t xml:space="preserve"> distincti</w:t>
      </w:r>
      <w:r w:rsidR="001F5FA4">
        <w:rPr>
          <w:rFonts w:ascii="Times New Roman" w:hAnsi="Times New Roman" w:cs="Times New Roman"/>
          <w:sz w:val="24"/>
          <w:szCs w:val="24"/>
        </w:rPr>
        <w:t>on between the Normans and the English can be examined with evidence from address clauses, and ethnicity and attendance of witnesses may help to determine the extent to which the two were considered separate entities.</w:t>
      </w:r>
      <w:r w:rsidR="001F5FA4">
        <w:rPr>
          <w:rStyle w:val="FootnoteReference"/>
          <w:rFonts w:ascii="Times New Roman" w:hAnsi="Times New Roman" w:cs="Times New Roman"/>
          <w:sz w:val="24"/>
          <w:szCs w:val="24"/>
        </w:rPr>
        <w:footnoteReference w:id="34"/>
      </w:r>
      <w:r w:rsidR="00F14FA5">
        <w:rPr>
          <w:rFonts w:ascii="Times New Roman" w:hAnsi="Times New Roman" w:cs="Times New Roman"/>
          <w:sz w:val="24"/>
          <w:szCs w:val="24"/>
        </w:rPr>
        <w:t xml:space="preserve"> It may also highlight any regional variations. </w:t>
      </w:r>
      <w:r w:rsidR="001F5FA4">
        <w:rPr>
          <w:rFonts w:ascii="Times New Roman" w:hAnsi="Times New Roman" w:cs="Times New Roman"/>
          <w:sz w:val="24"/>
          <w:szCs w:val="24"/>
        </w:rPr>
        <w:t>In England, the Normans were subject to English laws and the authority of an English king, who was also Norman. Documents, like the 1069 diploma, played a role</w:t>
      </w:r>
      <w:r w:rsidR="00342762">
        <w:rPr>
          <w:rFonts w:ascii="Times New Roman" w:hAnsi="Times New Roman" w:cs="Times New Roman"/>
          <w:sz w:val="24"/>
          <w:szCs w:val="24"/>
        </w:rPr>
        <w:t xml:space="preserve"> in progress towards unity and the point at which a distinction was no longer </w:t>
      </w:r>
      <w:r w:rsidR="00111B92">
        <w:rPr>
          <w:rFonts w:ascii="Times New Roman" w:hAnsi="Times New Roman" w:cs="Times New Roman"/>
          <w:sz w:val="24"/>
          <w:szCs w:val="24"/>
        </w:rPr>
        <w:lastRenderedPageBreak/>
        <w:t>required.</w:t>
      </w:r>
      <w:r w:rsidR="00342762">
        <w:rPr>
          <w:rStyle w:val="FootnoteReference"/>
          <w:rFonts w:ascii="Times New Roman" w:hAnsi="Times New Roman" w:cs="Times New Roman"/>
          <w:sz w:val="24"/>
          <w:szCs w:val="24"/>
        </w:rPr>
        <w:footnoteReference w:id="35"/>
      </w:r>
      <w:r w:rsidR="00342762">
        <w:rPr>
          <w:rFonts w:ascii="Times New Roman" w:hAnsi="Times New Roman" w:cs="Times New Roman"/>
          <w:sz w:val="24"/>
          <w:szCs w:val="24"/>
        </w:rPr>
        <w:t xml:space="preserve"> The English murder fine suggests there were difficulties with </w:t>
      </w:r>
      <w:r w:rsidR="007B72C7">
        <w:rPr>
          <w:rFonts w:ascii="Times New Roman" w:hAnsi="Times New Roman" w:cs="Times New Roman"/>
          <w:sz w:val="24"/>
          <w:szCs w:val="24"/>
        </w:rPr>
        <w:t>integration</w:t>
      </w:r>
      <w:r w:rsidR="00342762">
        <w:rPr>
          <w:rFonts w:ascii="Times New Roman" w:hAnsi="Times New Roman" w:cs="Times New Roman"/>
          <w:sz w:val="24"/>
          <w:szCs w:val="24"/>
        </w:rPr>
        <w:t>, but even this was a reinvention of an existing law.</w:t>
      </w:r>
      <w:r w:rsidR="00342762">
        <w:rPr>
          <w:rStyle w:val="FootnoteReference"/>
          <w:rFonts w:ascii="Times New Roman" w:hAnsi="Times New Roman" w:cs="Times New Roman"/>
          <w:sz w:val="24"/>
          <w:szCs w:val="24"/>
        </w:rPr>
        <w:footnoteReference w:id="36"/>
      </w:r>
      <w:r w:rsidR="00342762">
        <w:rPr>
          <w:rFonts w:ascii="Times New Roman" w:hAnsi="Times New Roman" w:cs="Times New Roman"/>
          <w:sz w:val="24"/>
          <w:szCs w:val="24"/>
        </w:rPr>
        <w:t xml:space="preserve"> Bruce O’Brien argues that it was part of William’s ‘goal to rule through traditional powers’ and a ‘political strategy to minimise the disruption of the succession and conquest by behaving like his predecessors.’</w:t>
      </w:r>
      <w:r w:rsidR="00342762">
        <w:rPr>
          <w:rStyle w:val="FootnoteReference"/>
          <w:rFonts w:ascii="Times New Roman" w:hAnsi="Times New Roman" w:cs="Times New Roman"/>
          <w:sz w:val="24"/>
          <w:szCs w:val="24"/>
        </w:rPr>
        <w:footnoteReference w:id="37"/>
      </w:r>
      <w:r w:rsidR="00C353D1">
        <w:rPr>
          <w:rFonts w:ascii="Times New Roman" w:hAnsi="Times New Roman" w:cs="Times New Roman"/>
          <w:sz w:val="24"/>
          <w:szCs w:val="24"/>
        </w:rPr>
        <w:t xml:space="preserve"> </w:t>
      </w:r>
      <w:r w:rsidR="00342762">
        <w:rPr>
          <w:rFonts w:ascii="Times New Roman" w:hAnsi="Times New Roman" w:cs="Times New Roman"/>
          <w:sz w:val="24"/>
          <w:szCs w:val="24"/>
        </w:rPr>
        <w:t>Despite the upheaval</w:t>
      </w:r>
      <w:r w:rsidR="00C353D1">
        <w:rPr>
          <w:rFonts w:ascii="Times New Roman" w:hAnsi="Times New Roman" w:cs="Times New Roman"/>
          <w:sz w:val="24"/>
          <w:szCs w:val="24"/>
        </w:rPr>
        <w:t xml:space="preserve"> and personnel change it is clear that documents, like the 1069 diploma, played an important role in </w:t>
      </w:r>
      <w:r w:rsidR="00915CFA">
        <w:rPr>
          <w:rFonts w:ascii="Times New Roman" w:hAnsi="Times New Roman" w:cs="Times New Roman"/>
          <w:sz w:val="24"/>
          <w:szCs w:val="24"/>
        </w:rPr>
        <w:t>provid</w:t>
      </w:r>
      <w:r w:rsidR="00C353D1">
        <w:rPr>
          <w:rFonts w:ascii="Times New Roman" w:hAnsi="Times New Roman" w:cs="Times New Roman"/>
          <w:sz w:val="24"/>
          <w:szCs w:val="24"/>
        </w:rPr>
        <w:t xml:space="preserve">ing some continuity in the early years after 1066. In a </w:t>
      </w:r>
      <w:r w:rsidR="00B17776">
        <w:rPr>
          <w:rFonts w:ascii="Times New Roman" w:hAnsi="Times New Roman" w:cs="Times New Roman"/>
          <w:sz w:val="24"/>
          <w:szCs w:val="24"/>
        </w:rPr>
        <w:t xml:space="preserve">wider context, </w:t>
      </w:r>
      <w:r w:rsidR="00C353D1">
        <w:rPr>
          <w:rFonts w:ascii="Times New Roman" w:hAnsi="Times New Roman" w:cs="Times New Roman"/>
          <w:sz w:val="24"/>
          <w:szCs w:val="24"/>
        </w:rPr>
        <w:t xml:space="preserve">it is important to </w:t>
      </w:r>
      <w:r w:rsidR="00FD19EE">
        <w:rPr>
          <w:rFonts w:ascii="Times New Roman" w:hAnsi="Times New Roman" w:cs="Times New Roman"/>
          <w:sz w:val="24"/>
          <w:szCs w:val="24"/>
        </w:rPr>
        <w:t xml:space="preserve">establish their role in shaping and influencing </w:t>
      </w:r>
      <w:r w:rsidR="00C353D1">
        <w:rPr>
          <w:rFonts w:ascii="Times New Roman" w:hAnsi="Times New Roman" w:cs="Times New Roman"/>
          <w:sz w:val="24"/>
          <w:szCs w:val="24"/>
        </w:rPr>
        <w:t>the</w:t>
      </w:r>
      <w:r w:rsidR="00CD6041">
        <w:rPr>
          <w:rFonts w:ascii="Times New Roman" w:hAnsi="Times New Roman" w:cs="Times New Roman"/>
          <w:sz w:val="24"/>
          <w:szCs w:val="24"/>
        </w:rPr>
        <w:t xml:space="preserve"> relationship between conquered and conquerors</w:t>
      </w:r>
      <w:r w:rsidR="00B17776">
        <w:rPr>
          <w:rFonts w:ascii="Times New Roman" w:hAnsi="Times New Roman" w:cs="Times New Roman"/>
          <w:sz w:val="24"/>
          <w:szCs w:val="24"/>
        </w:rPr>
        <w:t>.</w:t>
      </w:r>
    </w:p>
    <w:p w:rsidR="00884120" w:rsidRDefault="00884120" w:rsidP="007B72C7">
      <w:pPr>
        <w:rPr>
          <w:rFonts w:ascii="Times New Roman" w:hAnsi="Times New Roman" w:cs="Times New Roman"/>
          <w:sz w:val="24"/>
          <w:szCs w:val="24"/>
        </w:rPr>
      </w:pPr>
    </w:p>
    <w:sectPr w:rsidR="00884120" w:rsidSect="0023724A">
      <w:pgSz w:w="11906" w:h="16838"/>
      <w:pgMar w:top="1440" w:right="1440" w:bottom="1440" w:left="1440"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686" w:rsidRDefault="00CA4686" w:rsidP="0023724A">
      <w:pPr>
        <w:spacing w:after="0" w:line="240" w:lineRule="auto"/>
      </w:pPr>
      <w:r>
        <w:separator/>
      </w:r>
    </w:p>
  </w:endnote>
  <w:endnote w:type="continuationSeparator" w:id="0">
    <w:p w:rsidR="00CA4686" w:rsidRDefault="00CA4686" w:rsidP="00237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2178039"/>
      <w:docPartObj>
        <w:docPartGallery w:val="Page Numbers (Bottom of Page)"/>
        <w:docPartUnique/>
      </w:docPartObj>
    </w:sdtPr>
    <w:sdtEndPr>
      <w:rPr>
        <w:noProof/>
      </w:rPr>
    </w:sdtEndPr>
    <w:sdtContent>
      <w:p w:rsidR="005704BB" w:rsidRDefault="005704BB">
        <w:pPr>
          <w:pStyle w:val="Footer"/>
          <w:jc w:val="center"/>
        </w:pPr>
      </w:p>
      <w:p w:rsidR="00DD245A" w:rsidRDefault="00CA4686">
        <w:pPr>
          <w:pStyle w:val="Footer"/>
          <w:jc w:val="center"/>
        </w:pPr>
      </w:p>
    </w:sdtContent>
  </w:sdt>
  <w:p w:rsidR="00DD245A" w:rsidRDefault="00DD24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686" w:rsidRDefault="00CA4686" w:rsidP="0023724A">
      <w:pPr>
        <w:spacing w:after="0" w:line="240" w:lineRule="auto"/>
      </w:pPr>
      <w:r>
        <w:separator/>
      </w:r>
    </w:p>
  </w:footnote>
  <w:footnote w:type="continuationSeparator" w:id="0">
    <w:p w:rsidR="00CA4686" w:rsidRDefault="00CA4686" w:rsidP="0023724A">
      <w:pPr>
        <w:spacing w:after="0" w:line="240" w:lineRule="auto"/>
      </w:pPr>
      <w:r>
        <w:continuationSeparator/>
      </w:r>
    </w:p>
  </w:footnote>
  <w:footnote w:id="1">
    <w:p w:rsidR="00DD245A" w:rsidRDefault="00DD245A">
      <w:pPr>
        <w:pStyle w:val="FootnoteText"/>
      </w:pPr>
      <w:r>
        <w:rPr>
          <w:rStyle w:val="FootnoteReference"/>
        </w:rPr>
        <w:footnoteRef/>
      </w:r>
      <w:r>
        <w:t xml:space="preserve"> The punishment of the Old Testament pair who rebelled against Moses appear</w:t>
      </w:r>
      <w:r w:rsidR="002A25FC">
        <w:t>s</w:t>
      </w:r>
      <w:r>
        <w:t xml:space="preserve"> in several </w:t>
      </w:r>
      <w:r w:rsidR="002A25FC">
        <w:t>Anglo-Saxon c</w:t>
      </w:r>
      <w:r w:rsidRPr="004A5AF3">
        <w:t>harters</w:t>
      </w:r>
      <w:r w:rsidR="002A25FC">
        <w:t xml:space="preserve"> and was</w:t>
      </w:r>
      <w:r>
        <w:t xml:space="preserve"> a common theme of maledict</w:t>
      </w:r>
      <w:r w:rsidR="002A25FC">
        <w:t xml:space="preserve">ions, especially in France. See </w:t>
      </w:r>
      <w:r w:rsidRPr="002E3B13">
        <w:t>L</w:t>
      </w:r>
      <w:r>
        <w:t>.</w:t>
      </w:r>
      <w:r w:rsidRPr="002E3B13">
        <w:t xml:space="preserve">K. Little, </w:t>
      </w:r>
      <w:r w:rsidRPr="000B2D0A">
        <w:rPr>
          <w:i/>
        </w:rPr>
        <w:t>Benedictine Maledictions: Liturgical Cursing in Romanesque France</w:t>
      </w:r>
      <w:r>
        <w:t xml:space="preserve"> (</w:t>
      </w:r>
      <w:r w:rsidRPr="002E3B13">
        <w:t>Ithaca: Cornell University Press, 1993)</w:t>
      </w:r>
      <w:r w:rsidR="005A17D5">
        <w:t>,</w:t>
      </w:r>
      <w:r w:rsidR="00C95C42">
        <w:t xml:space="preserve"> pp.</w:t>
      </w:r>
      <w:r>
        <w:t>66-8.</w:t>
      </w:r>
    </w:p>
  </w:footnote>
  <w:footnote w:id="2">
    <w:p w:rsidR="00DD245A" w:rsidRDefault="00DD245A">
      <w:pPr>
        <w:pStyle w:val="FootnoteText"/>
      </w:pPr>
      <w:r>
        <w:rPr>
          <w:rStyle w:val="FootnoteReference"/>
        </w:rPr>
        <w:footnoteRef/>
      </w:r>
      <w:r>
        <w:t xml:space="preserve"> Easter fell on 12 April 1069 (</w:t>
      </w:r>
      <w:r w:rsidRPr="00F94BEE">
        <w:t>C.R. Cheney</w:t>
      </w:r>
      <w:r w:rsidR="00DC5E99">
        <w:t>, ed.</w:t>
      </w:r>
      <w:r w:rsidRPr="00F94BEE">
        <w:t xml:space="preserve">, </w:t>
      </w:r>
      <w:r w:rsidRPr="00F94BEE">
        <w:rPr>
          <w:i/>
        </w:rPr>
        <w:t>Handbook of Dates for Students of British History, Royal Historical Society Guides and Handbooks</w:t>
      </w:r>
      <w:r w:rsidRPr="00F94BEE">
        <w:t>, 4, Revised Edition (Cambridge: Cambridge University Press, 1995),</w:t>
      </w:r>
      <w:r>
        <w:t xml:space="preserve"> p.228).</w:t>
      </w:r>
    </w:p>
  </w:footnote>
  <w:footnote w:id="3">
    <w:p w:rsidR="00DD245A" w:rsidRDefault="00DD245A" w:rsidP="00E21070">
      <w:pPr>
        <w:pStyle w:val="FootnoteText"/>
      </w:pPr>
      <w:r>
        <w:rPr>
          <w:rStyle w:val="FootnoteReference"/>
        </w:rPr>
        <w:footnoteRef/>
      </w:r>
      <w:r w:rsidR="002A25FC">
        <w:t xml:space="preserve"> Stephen White</w:t>
      </w:r>
      <w:r>
        <w:t xml:space="preserve"> defines </w:t>
      </w:r>
      <w:r w:rsidRPr="00F94BEE">
        <w:rPr>
          <w:i/>
        </w:rPr>
        <w:t>laudatio parentum</w:t>
      </w:r>
      <w:r>
        <w:t xml:space="preserve"> as ‘the act by which a person’s relatives (</w:t>
      </w:r>
      <w:r w:rsidRPr="004271E9">
        <w:rPr>
          <w:i/>
        </w:rPr>
        <w:t>parentes</w:t>
      </w:r>
      <w:r>
        <w:t>) gave their approval (</w:t>
      </w:r>
      <w:r w:rsidRPr="004271E9">
        <w:rPr>
          <w:i/>
        </w:rPr>
        <w:t>laudatio</w:t>
      </w:r>
      <w:r>
        <w:t xml:space="preserve">) to his or her conveyances of landed property’ (S.D. White, </w:t>
      </w:r>
      <w:r w:rsidRPr="00E53E26">
        <w:rPr>
          <w:i/>
        </w:rPr>
        <w:t>Custom, Kinship, and Gifts to Saints: The Laudatio Parentum in Western France, 1050-1150</w:t>
      </w:r>
      <w:r>
        <w:rPr>
          <w:i/>
        </w:rPr>
        <w:t xml:space="preserve"> </w:t>
      </w:r>
      <w:r>
        <w:t>(Chapel Hill</w:t>
      </w:r>
      <w:r w:rsidRPr="00E53E26">
        <w:t>: University of North Carolina</w:t>
      </w:r>
      <w:r>
        <w:t xml:space="preserve"> Press, </w:t>
      </w:r>
      <w:r w:rsidRPr="00E53E26">
        <w:t>1988</w:t>
      </w:r>
      <w:r>
        <w:t>), p.1).</w:t>
      </w:r>
    </w:p>
  </w:footnote>
  <w:footnote w:id="4">
    <w:p w:rsidR="00DD245A" w:rsidRDefault="00DD245A">
      <w:pPr>
        <w:pStyle w:val="FootnoteText"/>
      </w:pPr>
      <w:r>
        <w:rPr>
          <w:rStyle w:val="FootnoteReference"/>
        </w:rPr>
        <w:footnoteRef/>
      </w:r>
      <w:r>
        <w:t xml:space="preserve"> W.H. </w:t>
      </w:r>
      <w:r w:rsidRPr="003F2038">
        <w:t xml:space="preserve">Stevenson, </w:t>
      </w:r>
      <w:r>
        <w:t>‘</w:t>
      </w:r>
      <w:r w:rsidRPr="003F2038">
        <w:t>An Old-English Charter of William the Conqueror in Favour of St</w:t>
      </w:r>
      <w:r>
        <w:t>. Martin's-Le-Grand, London, A.D. 1068’,</w:t>
      </w:r>
      <w:r w:rsidRPr="003F2038">
        <w:t xml:space="preserve"> </w:t>
      </w:r>
      <w:r w:rsidRPr="003F2038">
        <w:rPr>
          <w:i/>
        </w:rPr>
        <w:t>The English Historical Review</w:t>
      </w:r>
      <w:r w:rsidRPr="003F2038">
        <w:t>, 11</w:t>
      </w:r>
      <w:r>
        <w:t>: (</w:t>
      </w:r>
      <w:r w:rsidRPr="003F2038">
        <w:t>1896</w:t>
      </w:r>
      <w:r w:rsidR="00C95C42">
        <w:t>), pp</w:t>
      </w:r>
      <w:r>
        <w:t>.</w:t>
      </w:r>
      <w:r w:rsidRPr="003F2038">
        <w:t>731–744</w:t>
      </w:r>
      <w:r>
        <w:t>.</w:t>
      </w:r>
    </w:p>
  </w:footnote>
  <w:footnote w:id="5">
    <w:p w:rsidR="00DD245A" w:rsidRDefault="00DD245A">
      <w:pPr>
        <w:pStyle w:val="FootnoteText"/>
      </w:pPr>
      <w:r w:rsidRPr="002A25FC">
        <w:rPr>
          <w:rStyle w:val="FootnoteReference"/>
        </w:rPr>
        <w:footnoteRef/>
      </w:r>
      <w:r w:rsidRPr="002A25FC">
        <w:t xml:space="preserve"> D. Bates, ‘The Abbey and the Norman Conquest: An Unusual Case?’ in T. Licence, ed., </w:t>
      </w:r>
      <w:r w:rsidRPr="002A25FC">
        <w:rPr>
          <w:i/>
        </w:rPr>
        <w:t>Bury St Edmunds and the Norman Conquest</w:t>
      </w:r>
      <w:r w:rsidRPr="002A25FC">
        <w:t xml:space="preserve"> (Woodbridge: Boydell Press, 2014), pp.5-21 (p.8).</w:t>
      </w:r>
    </w:p>
  </w:footnote>
  <w:footnote w:id="6">
    <w:p w:rsidR="00AB50C7" w:rsidRDefault="00AB50C7">
      <w:pPr>
        <w:pStyle w:val="FootnoteText"/>
      </w:pPr>
      <w:r>
        <w:rPr>
          <w:rStyle w:val="FootnoteReference"/>
        </w:rPr>
        <w:footnoteRef/>
      </w:r>
      <w:r>
        <w:t xml:space="preserve"> It also mentions the companions of St Denis</w:t>
      </w:r>
      <w:r w:rsidR="005A17D5">
        <w:t xml:space="preserve">, </w:t>
      </w:r>
      <w:r w:rsidR="005A17D5" w:rsidRPr="00AB50C7">
        <w:t>Rusticus and Eleutherius</w:t>
      </w:r>
      <w:r>
        <w:t>.</w:t>
      </w:r>
    </w:p>
  </w:footnote>
  <w:footnote w:id="7">
    <w:p w:rsidR="00475A23" w:rsidRPr="004A1AD1" w:rsidRDefault="00AB50C7">
      <w:pPr>
        <w:pStyle w:val="FootnoteText"/>
        <w:rPr>
          <w:i/>
        </w:rPr>
      </w:pPr>
      <w:r>
        <w:rPr>
          <w:rStyle w:val="FootnoteReference"/>
        </w:rPr>
        <w:footnoteRef/>
      </w:r>
      <w:r>
        <w:t xml:space="preserve"> W.C. Jordan</w:t>
      </w:r>
      <w:r w:rsidR="004A1AD1">
        <w:t xml:space="preserve">, ‘The Priory of Deerhurst and the Treaty of Paris (1259)’, in J. Burton et al., ed., </w:t>
      </w:r>
      <w:r w:rsidR="004A1AD1" w:rsidRPr="004A1AD1">
        <w:rPr>
          <w:i/>
        </w:rPr>
        <w:t>Thirteenth Century England XIII: Proceedings of the Paris Conference 2009</w:t>
      </w:r>
      <w:r w:rsidR="004A1AD1">
        <w:t xml:space="preserve"> (Woodbridge: Bo</w:t>
      </w:r>
      <w:r w:rsidR="00C95C42">
        <w:t>ydell Press, 2011), pp.</w:t>
      </w:r>
      <w:r w:rsidR="004A1AD1">
        <w:t xml:space="preserve">133-140 (p.133). </w:t>
      </w:r>
      <w:r w:rsidR="00475A23">
        <w:t xml:space="preserve">Deerhurst is still held by St Denis </w:t>
      </w:r>
      <w:r w:rsidR="004A1AD1">
        <w:t xml:space="preserve">in </w:t>
      </w:r>
      <w:r w:rsidR="009A50E1">
        <w:t xml:space="preserve">the </w:t>
      </w:r>
      <w:r w:rsidR="004A1AD1">
        <w:t xml:space="preserve">Domesday survey (N. Barker and R. Holt, </w:t>
      </w:r>
      <w:r w:rsidR="004A1AD1" w:rsidRPr="004A1AD1">
        <w:rPr>
          <w:i/>
        </w:rPr>
        <w:t>Urban Growth and the Medieval C</w:t>
      </w:r>
      <w:r w:rsidR="004A1AD1">
        <w:rPr>
          <w:i/>
        </w:rPr>
        <w:t>hurch: Gloucester and Worcester</w:t>
      </w:r>
      <w:r w:rsidR="004A1AD1">
        <w:t xml:space="preserve"> (Aldershot: Ashgate, 2004), p.115).</w:t>
      </w:r>
    </w:p>
  </w:footnote>
  <w:footnote w:id="8">
    <w:p w:rsidR="00B84AFA" w:rsidRDefault="00B84AFA">
      <w:pPr>
        <w:pStyle w:val="FootnoteText"/>
      </w:pPr>
      <w:r>
        <w:rPr>
          <w:rStyle w:val="FootnoteReference"/>
        </w:rPr>
        <w:footnoteRef/>
      </w:r>
      <w:r>
        <w:t xml:space="preserve"> He was made abbot in 1065. Later that year, he acquired the rights to strike coins and exercise jurisdiction over eight and a half hundreds (</w:t>
      </w:r>
      <w:r w:rsidRPr="00B84AFA">
        <w:t xml:space="preserve">R. Sharpe, ‘The Use of Writs in the Eleventh Century’, </w:t>
      </w:r>
      <w:r w:rsidRPr="00B84AFA">
        <w:rPr>
          <w:i/>
        </w:rPr>
        <w:t>Anglo-Saxon England</w:t>
      </w:r>
      <w:r w:rsidR="00C95C42">
        <w:t>, 32: (2003), pp.247-291 (pp.</w:t>
      </w:r>
      <w:r>
        <w:t>257-62)).</w:t>
      </w:r>
    </w:p>
  </w:footnote>
  <w:footnote w:id="9">
    <w:p w:rsidR="00E62F21" w:rsidRDefault="00E62F21">
      <w:pPr>
        <w:pStyle w:val="FootnoteText"/>
      </w:pPr>
      <w:r>
        <w:rPr>
          <w:rStyle w:val="FootnoteReference"/>
        </w:rPr>
        <w:footnoteRef/>
      </w:r>
      <w:r>
        <w:t xml:space="preserve"> </w:t>
      </w:r>
      <w:r w:rsidRPr="00E62F21">
        <w:t xml:space="preserve">G. Garnett, </w:t>
      </w:r>
      <w:r w:rsidRPr="00E62F21">
        <w:rPr>
          <w:i/>
        </w:rPr>
        <w:t>Conquered England: Kingship, Succession, and Tenure, 1066–1166</w:t>
      </w:r>
      <w:r w:rsidRPr="00E62F21">
        <w:t xml:space="preserve"> (Oxford: Oxford University Press, 2007), p.</w:t>
      </w:r>
      <w:r>
        <w:t>3</w:t>
      </w:r>
      <w:r w:rsidRPr="00E62F21">
        <w:t>.</w:t>
      </w:r>
    </w:p>
  </w:footnote>
  <w:footnote w:id="10">
    <w:p w:rsidR="00E62F21" w:rsidRDefault="00E62F21">
      <w:pPr>
        <w:pStyle w:val="FootnoteText"/>
      </w:pPr>
      <w:r>
        <w:rPr>
          <w:rStyle w:val="FootnoteReference"/>
        </w:rPr>
        <w:footnoteRef/>
      </w:r>
      <w:r>
        <w:t xml:space="preserve"> The need to survive after 1066</w:t>
      </w:r>
      <w:r w:rsidR="00547CAC">
        <w:t xml:space="preserve"> </w:t>
      </w:r>
      <w:r>
        <w:t xml:space="preserve">may explain the delay in </w:t>
      </w:r>
      <w:r w:rsidR="00547CAC">
        <w:t>re-</w:t>
      </w:r>
      <w:r>
        <w:t>confirming Edward’s grants. He was in Normandy in 1071 when</w:t>
      </w:r>
      <w:r w:rsidR="00547CAC">
        <w:t xml:space="preserve"> </w:t>
      </w:r>
      <w:r>
        <w:t>William fitz Osbern agreed to protect the customs of St Denis in Berneval, possibly as reward for his work as physician (</w:t>
      </w:r>
      <w:r w:rsidR="00547CAC">
        <w:t xml:space="preserve">T. Licence, ed. and trans., </w:t>
      </w:r>
      <w:r w:rsidR="00547CAC" w:rsidRPr="00547CAC">
        <w:rPr>
          <w:i/>
        </w:rPr>
        <w:t>Herman the Archdeacon and Goscelin of Saint-Bertin: Miracles of St</w:t>
      </w:r>
      <w:r w:rsidR="00547CAC" w:rsidRPr="00547CAC">
        <w:t xml:space="preserve"> Edmund</w:t>
      </w:r>
      <w:r w:rsidR="00547CAC">
        <w:t xml:space="preserve"> (Oxford: Clarendon Press, 2014), p.xxii and n.89</w:t>
      </w:r>
      <w:r>
        <w:t>)</w:t>
      </w:r>
      <w:r w:rsidR="00547CAC">
        <w:t>.</w:t>
      </w:r>
      <w:r>
        <w:t xml:space="preserve"> </w:t>
      </w:r>
    </w:p>
  </w:footnote>
  <w:footnote w:id="11">
    <w:p w:rsidR="001021DD" w:rsidRDefault="001021DD" w:rsidP="001021DD">
      <w:pPr>
        <w:pStyle w:val="FootnoteText"/>
      </w:pPr>
      <w:r>
        <w:rPr>
          <w:rStyle w:val="FootnoteReference"/>
        </w:rPr>
        <w:footnoteRef/>
      </w:r>
      <w:r>
        <w:t xml:space="preserve"> Clergy: Ealdred of York, William of London, Æthelric of Selsey, Herman of Sherborne, Giso of Bath and Wells, Leofric of Exeter, Odo of Bayeux, Geoffrey of Coutances, Baldwin of Evreux and Arnald of Le Mans. Nobles: William fitz Osbern, Robert of Eu and Ralph of Norfolk.</w:t>
      </w:r>
    </w:p>
  </w:footnote>
  <w:footnote w:id="12">
    <w:p w:rsidR="00293465" w:rsidRDefault="006A3770">
      <w:pPr>
        <w:pStyle w:val="FootnoteText"/>
      </w:pPr>
      <w:r>
        <w:rPr>
          <w:rStyle w:val="FootnoteReference"/>
        </w:rPr>
        <w:footnoteRef/>
      </w:r>
      <w:r>
        <w:t xml:space="preserve"> Ealdred died on 11 September 1069 (</w:t>
      </w:r>
      <w:r w:rsidRPr="006A3770">
        <w:t>E. Fryde et al</w:t>
      </w:r>
      <w:r>
        <w:t>.</w:t>
      </w:r>
      <w:r w:rsidRPr="006A3770">
        <w:t>,</w:t>
      </w:r>
      <w:r>
        <w:t xml:space="preserve"> ed.,</w:t>
      </w:r>
      <w:r w:rsidRPr="006A3770">
        <w:t xml:space="preserve"> </w:t>
      </w:r>
      <w:r w:rsidRPr="006A3770">
        <w:rPr>
          <w:i/>
        </w:rPr>
        <w:t>Handbook of British Chronology,</w:t>
      </w:r>
      <w:r w:rsidRPr="006A3770">
        <w:t xml:space="preserve"> 3rd Edition (Cambridge: Cambridge University Press, 1996)</w:t>
      </w:r>
      <w:r>
        <w:t>, p.281).</w:t>
      </w:r>
    </w:p>
  </w:footnote>
  <w:footnote w:id="13">
    <w:p w:rsidR="006A3770" w:rsidRDefault="006A3770">
      <w:pPr>
        <w:pStyle w:val="FootnoteText"/>
      </w:pPr>
      <w:r>
        <w:rPr>
          <w:rStyle w:val="FootnoteReference"/>
        </w:rPr>
        <w:footnoteRef/>
      </w:r>
      <w:r>
        <w:t xml:space="preserve"> E. Mason</w:t>
      </w:r>
      <w:r w:rsidR="00DC5E99">
        <w:t xml:space="preserve">, </w:t>
      </w:r>
      <w:r w:rsidRPr="006A3770">
        <w:rPr>
          <w:i/>
        </w:rPr>
        <w:t>William II: Rufus, the Red King</w:t>
      </w:r>
      <w:r w:rsidRPr="006A3770">
        <w:t xml:space="preserve"> (Stroud: Tempus, 2005</w:t>
      </w:r>
      <w:r>
        <w:t>), pp.36-38.</w:t>
      </w:r>
      <w:r w:rsidR="00DC5E99">
        <w:t xml:space="preserve"> </w:t>
      </w:r>
      <w:r w:rsidR="00DC5E99" w:rsidRPr="00DC5E99">
        <w:t xml:space="preserve">T. Forester, trans., </w:t>
      </w:r>
      <w:r w:rsidR="00DC5E99" w:rsidRPr="00AD4AA4">
        <w:rPr>
          <w:i/>
        </w:rPr>
        <w:t>The Ecclesiastical History of England and Normandy by Ordericus Vitalis</w:t>
      </w:r>
      <w:r w:rsidR="00DC5E99" w:rsidRPr="00DC5E99">
        <w:t xml:space="preserve">, 4 vols (London: H.G. Bohn, 1853-56), </w:t>
      </w:r>
      <w:r w:rsidR="00293465">
        <w:t>ii</w:t>
      </w:r>
      <w:r w:rsidR="00DC5E99" w:rsidRPr="00DC5E99">
        <w:t>, p.</w:t>
      </w:r>
      <w:r w:rsidR="00293465">
        <w:t>181.</w:t>
      </w:r>
    </w:p>
  </w:footnote>
  <w:footnote w:id="14">
    <w:p w:rsidR="000838FF" w:rsidRDefault="000838FF">
      <w:pPr>
        <w:pStyle w:val="FootnoteText"/>
      </w:pPr>
      <w:r>
        <w:rPr>
          <w:rStyle w:val="FootnoteReference"/>
        </w:rPr>
        <w:footnoteRef/>
      </w:r>
      <w:r>
        <w:t xml:space="preserve"> </w:t>
      </w:r>
      <w:r w:rsidR="007D6F73">
        <w:t xml:space="preserve">Disturbances in Maine probably explains the presence of Arnald of Le Mans. </w:t>
      </w:r>
    </w:p>
  </w:footnote>
  <w:footnote w:id="15">
    <w:p w:rsidR="00563F30" w:rsidRDefault="00563F30">
      <w:pPr>
        <w:pStyle w:val="FootnoteText"/>
      </w:pPr>
      <w:r>
        <w:rPr>
          <w:rStyle w:val="FootnoteReference"/>
        </w:rPr>
        <w:footnoteRef/>
      </w:r>
      <w:r>
        <w:t xml:space="preserve"> A. Williams, </w:t>
      </w:r>
      <w:r w:rsidRPr="00563F30">
        <w:rPr>
          <w:i/>
        </w:rPr>
        <w:t>The English and the Norman Conquest</w:t>
      </w:r>
      <w:r>
        <w:t xml:space="preserve"> (Woodbridge: Boydell Press, 1995), p.44. </w:t>
      </w:r>
      <w:r w:rsidRPr="00563F30">
        <w:t>It also witnessed the transition from Old English, with Latin becoming the language of written communication</w:t>
      </w:r>
      <w:r>
        <w:t xml:space="preserve"> (R. Sharpe, </w:t>
      </w:r>
      <w:r w:rsidRPr="00340B38">
        <w:t xml:space="preserve">'Peoples and Languages in Eleventh- and Twelfth-Century Britain and Ireland: Reading the Charter Evidence', in </w:t>
      </w:r>
      <w:r>
        <w:t xml:space="preserve">D. Broun, ed., </w:t>
      </w:r>
      <w:r w:rsidRPr="00340B38">
        <w:rPr>
          <w:i/>
        </w:rPr>
        <w:t>The Reality behind Charter Diplomatic in Anglo-Norman Britain</w:t>
      </w:r>
      <w:r w:rsidR="00D34611">
        <w:t xml:space="preserve"> </w:t>
      </w:r>
      <w:r w:rsidRPr="00340B38">
        <w:t>(Glasgow: University of Glasgow, 2011)</w:t>
      </w:r>
      <w:r>
        <w:t>, pp.1-119 (</w:t>
      </w:r>
      <w:proofErr w:type="gramStart"/>
      <w:r>
        <w:t xml:space="preserve">especially  </w:t>
      </w:r>
      <w:r w:rsidR="00D93F77">
        <w:t>p</w:t>
      </w:r>
      <w:r>
        <w:t>p.1</w:t>
      </w:r>
      <w:proofErr w:type="gramEnd"/>
      <w:r>
        <w:t>-2).</w:t>
      </w:r>
    </w:p>
  </w:footnote>
  <w:footnote w:id="16">
    <w:p w:rsidR="00A669EB" w:rsidRDefault="00A669EB">
      <w:pPr>
        <w:pStyle w:val="FootnoteText"/>
      </w:pPr>
      <w:r>
        <w:rPr>
          <w:rStyle w:val="FootnoteReference"/>
        </w:rPr>
        <w:footnoteRef/>
      </w:r>
      <w:r>
        <w:t xml:space="preserve"> </w:t>
      </w:r>
      <w:r w:rsidRPr="00A669EB">
        <w:t xml:space="preserve">T. Forester, trans., </w:t>
      </w:r>
      <w:r w:rsidRPr="00D34611">
        <w:rPr>
          <w:i/>
        </w:rPr>
        <w:t>The Ecclesiastical History of England and Normandy</w:t>
      </w:r>
      <w:r>
        <w:t>, ii, p.39. Leofric of Exeter died in 1072 and William of London in 1075 (</w:t>
      </w:r>
      <w:r w:rsidRPr="00A669EB">
        <w:t>E. Fryde et al., ed., Handbook of British Chronology,</w:t>
      </w:r>
      <w:r>
        <w:t xml:space="preserve"> p.217, p.246 an</w:t>
      </w:r>
      <w:r w:rsidR="007D6F73">
        <w:t>d</w:t>
      </w:r>
      <w:r>
        <w:t xml:space="preserve"> p.222)</w:t>
      </w:r>
      <w:r w:rsidR="007D6F73">
        <w:t>.</w:t>
      </w:r>
    </w:p>
  </w:footnote>
  <w:footnote w:id="17">
    <w:p w:rsidR="007E30AB" w:rsidRPr="00F258C4" w:rsidRDefault="00175AC6">
      <w:pPr>
        <w:pStyle w:val="FootnoteText"/>
        <w:rPr>
          <w:highlight w:val="yellow"/>
        </w:rPr>
      </w:pPr>
      <w:r w:rsidRPr="00CA71DE">
        <w:rPr>
          <w:rStyle w:val="FootnoteReference"/>
        </w:rPr>
        <w:footnoteRef/>
      </w:r>
      <w:r w:rsidRPr="00CA71DE">
        <w:t xml:space="preserve"> </w:t>
      </w:r>
      <w:r w:rsidR="007E30AB" w:rsidRPr="00CA71DE">
        <w:t xml:space="preserve">H.W.C. Davis, et al, ed., </w:t>
      </w:r>
      <w:r w:rsidR="007E30AB" w:rsidRPr="00CA71DE">
        <w:rPr>
          <w:i/>
        </w:rPr>
        <w:t>Regesta Regum Anglo-Normannorum</w:t>
      </w:r>
      <w:r w:rsidR="007E30AB" w:rsidRPr="00CA71DE">
        <w:t xml:space="preserve">, 1066-1154, </w:t>
      </w:r>
      <w:r w:rsidR="0095219D" w:rsidRPr="00CA71DE">
        <w:t>vol. I</w:t>
      </w:r>
      <w:r w:rsidR="007E30AB" w:rsidRPr="00CA71DE">
        <w:t>. (Oxford</w:t>
      </w:r>
      <w:r w:rsidR="0095219D" w:rsidRPr="00CA71DE">
        <w:t>: Clarendon Press, 1913</w:t>
      </w:r>
      <w:r w:rsidR="007E30AB" w:rsidRPr="00CA71DE">
        <w:t>), i, no.74 and 75, p.20; hereafter cited as RRAN.</w:t>
      </w:r>
    </w:p>
  </w:footnote>
  <w:footnote w:id="18">
    <w:p w:rsidR="00175AC6" w:rsidRPr="000C17B3" w:rsidRDefault="00175AC6">
      <w:pPr>
        <w:pStyle w:val="FootnoteText"/>
        <w:rPr>
          <w:highlight w:val="yellow"/>
        </w:rPr>
      </w:pPr>
      <w:r w:rsidRPr="000C17B3">
        <w:rPr>
          <w:rStyle w:val="FootnoteReference"/>
        </w:rPr>
        <w:footnoteRef/>
      </w:r>
      <w:r w:rsidR="000C17B3">
        <w:t xml:space="preserve"> B.</w:t>
      </w:r>
      <w:r w:rsidR="00CA71DE" w:rsidRPr="000C17B3">
        <w:t xml:space="preserve"> Golding, 'Robert of Mortain', in M. Chibnall, ed., </w:t>
      </w:r>
      <w:r w:rsidR="00CA71DE" w:rsidRPr="000C17B3">
        <w:rPr>
          <w:i/>
        </w:rPr>
        <w:t>Anglo-Norman Studies XIII; Proceedings of the Battle Conference 1990</w:t>
      </w:r>
      <w:r w:rsidR="00CA71DE" w:rsidRPr="000C17B3">
        <w:t xml:space="preserve"> </w:t>
      </w:r>
      <w:r w:rsidR="000C17B3" w:rsidRPr="000C17B3">
        <w:t>(Woodbridge: Boydell Press, 1991), pp.119-144 (</w:t>
      </w:r>
      <w:r w:rsidRPr="000C17B3">
        <w:t>p.124</w:t>
      </w:r>
      <w:r w:rsidR="000C17B3" w:rsidRPr="000C17B3">
        <w:t>)</w:t>
      </w:r>
      <w:r w:rsidRPr="000C17B3">
        <w:t>.</w:t>
      </w:r>
    </w:p>
  </w:footnote>
  <w:footnote w:id="19">
    <w:p w:rsidR="00345989" w:rsidRDefault="00175AC6">
      <w:pPr>
        <w:pStyle w:val="FootnoteText"/>
      </w:pPr>
      <w:r w:rsidRPr="008A5B2F">
        <w:rPr>
          <w:rStyle w:val="FootnoteReference"/>
        </w:rPr>
        <w:footnoteRef/>
      </w:r>
      <w:r w:rsidRPr="008A5B2F">
        <w:t xml:space="preserve"> </w:t>
      </w:r>
      <w:r w:rsidR="000C17B3" w:rsidRPr="008A5B2F">
        <w:t>T. Gale, J. Langdon and N. Leishman, ‘Piety and Political Acco</w:t>
      </w:r>
      <w:r w:rsidR="008A5B2F">
        <w:t>m</w:t>
      </w:r>
      <w:r w:rsidR="000C17B3" w:rsidRPr="008A5B2F">
        <w:t xml:space="preserve">modation in Norman England: The Case of the South-west’, in S. Morillo and D. Korngiebel, </w:t>
      </w:r>
      <w:r w:rsidR="000C17B3" w:rsidRPr="008A5B2F">
        <w:rPr>
          <w:i/>
        </w:rPr>
        <w:t>The Haskins Society Journal</w:t>
      </w:r>
      <w:r w:rsidR="000C17B3" w:rsidRPr="008A5B2F">
        <w:t>, 18 (Woodbridge: Boydell Press, 2007), pp.110-131 (p.</w:t>
      </w:r>
      <w:r w:rsidR="008A5B2F" w:rsidRPr="008A5B2F">
        <w:t>120</w:t>
      </w:r>
      <w:r w:rsidR="000C17B3" w:rsidRPr="008A5B2F">
        <w:t>).</w:t>
      </w:r>
    </w:p>
  </w:footnote>
  <w:footnote w:id="20">
    <w:p w:rsidR="00E817CE" w:rsidRDefault="00E817CE" w:rsidP="00E817CE">
      <w:pPr>
        <w:pStyle w:val="FootnoteText"/>
      </w:pPr>
      <w:r>
        <w:rPr>
          <w:rStyle w:val="FootnoteReference"/>
        </w:rPr>
        <w:footnoteRef/>
      </w:r>
      <w:r>
        <w:t xml:space="preserve"> David Bates describes it as ‘</w:t>
      </w:r>
      <w:r w:rsidRPr="001E7A95">
        <w:t>the very widespread practice of writing a charter in advance and then</w:t>
      </w:r>
      <w:r>
        <w:t xml:space="preserve"> presenting it for confirmation’ (D. Bates, ‘Charters and Historians of Britain and Ireland: Problems and Possibilities’ in</w:t>
      </w:r>
      <w:r w:rsidRPr="001E7A95">
        <w:t xml:space="preserve"> </w:t>
      </w:r>
      <w:r>
        <w:t xml:space="preserve">M. Flanagan and J. Green, ed., </w:t>
      </w:r>
      <w:r w:rsidRPr="001E7A95">
        <w:rPr>
          <w:i/>
        </w:rPr>
        <w:t xml:space="preserve">Charters and Charter Scholarship in Britain and Ireland </w:t>
      </w:r>
      <w:r>
        <w:t>(Basingstoke:</w:t>
      </w:r>
      <w:r w:rsidR="00C95C42">
        <w:t xml:space="preserve"> Palgrave Macmillan, 2005), pp.</w:t>
      </w:r>
      <w:r>
        <w:t>1-14 (p.4)).</w:t>
      </w:r>
    </w:p>
  </w:footnote>
  <w:footnote w:id="21">
    <w:p w:rsidR="00DD245A" w:rsidRDefault="00DD245A" w:rsidP="0061169A">
      <w:pPr>
        <w:pStyle w:val="FootnoteText"/>
      </w:pPr>
      <w:r>
        <w:rPr>
          <w:rStyle w:val="FootnoteReference"/>
        </w:rPr>
        <w:footnoteRef/>
      </w:r>
      <w:r>
        <w:t xml:space="preserve"> </w:t>
      </w:r>
      <w:r w:rsidRPr="00F258C4">
        <w:t>W.H. Stevenson, ‘An Old-English Charter’, p.734-5 n.9.</w:t>
      </w:r>
    </w:p>
  </w:footnote>
  <w:footnote w:id="22">
    <w:p w:rsidR="00DD245A" w:rsidRDefault="00DD245A" w:rsidP="003E43EA">
      <w:pPr>
        <w:pStyle w:val="FootnoteText"/>
      </w:pPr>
      <w:r>
        <w:rPr>
          <w:rStyle w:val="FootnoteReference"/>
        </w:rPr>
        <w:footnoteRef/>
      </w:r>
      <w:r>
        <w:t xml:space="preserve"> B. O’Brien, </w:t>
      </w:r>
      <w:r w:rsidRPr="00794CE1">
        <w:t xml:space="preserve">‘Forgery and the Literacy of the Early Common Law’, </w:t>
      </w:r>
      <w:r w:rsidRPr="00794CE1">
        <w:rPr>
          <w:i/>
        </w:rPr>
        <w:t>Albion</w:t>
      </w:r>
      <w:r w:rsidR="00C95C42">
        <w:t>, 27: (1995), pp.</w:t>
      </w:r>
      <w:r w:rsidRPr="00794CE1">
        <w:t>1-18</w:t>
      </w:r>
      <w:r>
        <w:t xml:space="preserve"> (p.4).</w:t>
      </w:r>
      <w:r w:rsidR="00CD6041" w:rsidRPr="00CD6041">
        <w:t xml:space="preserve"> </w:t>
      </w:r>
      <w:r w:rsidR="00CD6041">
        <w:t xml:space="preserve">This also raises questions about sources, and their historical value </w:t>
      </w:r>
      <w:r w:rsidR="00951F46">
        <w:t>when accept</w:t>
      </w:r>
      <w:r w:rsidR="00CD6041">
        <w:t>ed as forged, but without intending to mislead.</w:t>
      </w:r>
    </w:p>
  </w:footnote>
  <w:footnote w:id="23">
    <w:p w:rsidR="00CD6041" w:rsidRDefault="00DD245A">
      <w:pPr>
        <w:pStyle w:val="FootnoteText"/>
      </w:pPr>
      <w:r>
        <w:rPr>
          <w:rStyle w:val="FootnoteReference"/>
        </w:rPr>
        <w:footnoteRef/>
      </w:r>
      <w:r>
        <w:t xml:space="preserve"> See in general ‘Forgery in England</w:t>
      </w:r>
      <w:r w:rsidR="00D34611">
        <w:t xml:space="preserve"> </w:t>
      </w:r>
      <w:r>
        <w:t xml:space="preserve">1066-1500: An overview’, in A. Hiatt, </w:t>
      </w:r>
      <w:r w:rsidRPr="003E43EA">
        <w:rPr>
          <w:i/>
        </w:rPr>
        <w:t>The Making of Medieval Forgeries</w:t>
      </w:r>
      <w:r>
        <w:rPr>
          <w:i/>
        </w:rPr>
        <w:t>: False Documents in Fifteenth-C</w:t>
      </w:r>
      <w:r w:rsidRPr="003E43EA">
        <w:rPr>
          <w:i/>
        </w:rPr>
        <w:t>entury England</w:t>
      </w:r>
      <w:r>
        <w:t xml:space="preserve"> (London: British Library,</w:t>
      </w:r>
      <w:r w:rsidRPr="003E43EA">
        <w:t xml:space="preserve"> Un</w:t>
      </w:r>
      <w:r>
        <w:t>iversi</w:t>
      </w:r>
      <w:r w:rsidR="00C95C42">
        <w:t>ty of Toronto Press, 2004), pp.</w:t>
      </w:r>
      <w:r>
        <w:t>22-35 (p.22).</w:t>
      </w:r>
      <w:r w:rsidR="00CD6041">
        <w:t xml:space="preserve"> </w:t>
      </w:r>
    </w:p>
  </w:footnote>
  <w:footnote w:id="24">
    <w:p w:rsidR="00DD245A" w:rsidRDefault="00DD245A">
      <w:pPr>
        <w:pStyle w:val="FootnoteText"/>
      </w:pPr>
      <w:r>
        <w:rPr>
          <w:rStyle w:val="FootnoteReference"/>
        </w:rPr>
        <w:footnoteRef/>
      </w:r>
      <w:r>
        <w:t xml:space="preserve"> </w:t>
      </w:r>
      <w:r w:rsidRPr="003B41B7">
        <w:t>B. O’Brien, ‘Forgery and the Literacy</w:t>
      </w:r>
      <w:r>
        <w:t>’, pp.14-15.</w:t>
      </w:r>
    </w:p>
  </w:footnote>
  <w:footnote w:id="25">
    <w:p w:rsidR="00DD245A" w:rsidRDefault="00DD245A">
      <w:pPr>
        <w:pStyle w:val="FootnoteText"/>
      </w:pPr>
      <w:r>
        <w:rPr>
          <w:rStyle w:val="FootnoteReference"/>
        </w:rPr>
        <w:footnoteRef/>
      </w:r>
      <w:r>
        <w:t xml:space="preserve"> RRAN</w:t>
      </w:r>
      <w:r w:rsidR="007E30AB">
        <w:t xml:space="preserve"> i,</w:t>
      </w:r>
      <w:r>
        <w:t xml:space="preserve"> no.199, p.54.</w:t>
      </w:r>
    </w:p>
  </w:footnote>
  <w:footnote w:id="26">
    <w:p w:rsidR="00DD245A" w:rsidRDefault="00DD245A">
      <w:pPr>
        <w:pStyle w:val="FootnoteText"/>
      </w:pPr>
      <w:r w:rsidRPr="00151934">
        <w:rPr>
          <w:rStyle w:val="FootnoteReference"/>
        </w:rPr>
        <w:footnoteRef/>
      </w:r>
      <w:r w:rsidRPr="00151934">
        <w:t xml:space="preserve"> </w:t>
      </w:r>
      <w:r w:rsidR="00151934" w:rsidRPr="00151934">
        <w:t>D. Bates, ‘A C</w:t>
      </w:r>
      <w:r w:rsidRPr="00151934">
        <w:t>harte</w:t>
      </w:r>
      <w:r w:rsidR="00151934" w:rsidRPr="00151934">
        <w:t>r of William the Conqueror and Two of His Sons’</w:t>
      </w:r>
      <w:r w:rsidRPr="00151934">
        <w:t xml:space="preserve">, Tabularia </w:t>
      </w:r>
      <w:r w:rsidR="00151934" w:rsidRPr="00151934">
        <w:t>Documents, v (</w:t>
      </w:r>
      <w:r w:rsidR="00151934">
        <w:t xml:space="preserve">2005) </w:t>
      </w:r>
      <w:r w:rsidR="00151934" w:rsidRPr="00151934">
        <w:t>&lt;</w:t>
      </w:r>
      <w:hyperlink r:id="rId1" w:history="1">
        <w:r w:rsidR="00151934" w:rsidRPr="00151934">
          <w:rPr>
            <w:rStyle w:val="Hyperlink"/>
          </w:rPr>
          <w:t>http://journals.openedition.org/tabularia/2500</w:t>
        </w:r>
      </w:hyperlink>
      <w:r w:rsidR="00151934" w:rsidRPr="00151934">
        <w:t>&gt; [Accessed Jan 2019].</w:t>
      </w:r>
    </w:p>
  </w:footnote>
  <w:footnote w:id="27">
    <w:p w:rsidR="00DD245A" w:rsidRDefault="00DD245A" w:rsidP="005A58CF">
      <w:pPr>
        <w:pStyle w:val="FootnoteText"/>
      </w:pPr>
      <w:r>
        <w:rPr>
          <w:rStyle w:val="FootnoteReference"/>
        </w:rPr>
        <w:footnoteRef/>
      </w:r>
      <w:r>
        <w:t xml:space="preserve"> G. Garnett, </w:t>
      </w:r>
      <w:r w:rsidRPr="005F7584">
        <w:rPr>
          <w:i/>
        </w:rPr>
        <w:t>Conquered England</w:t>
      </w:r>
      <w:r w:rsidR="00E62F21">
        <w:rPr>
          <w:i/>
        </w:rPr>
        <w:t xml:space="preserve">, </w:t>
      </w:r>
      <w:r>
        <w:t xml:space="preserve">p.70, n.199. </w:t>
      </w:r>
    </w:p>
  </w:footnote>
  <w:footnote w:id="28">
    <w:p w:rsidR="00DD245A" w:rsidRDefault="00DD245A">
      <w:pPr>
        <w:pStyle w:val="FootnoteText"/>
      </w:pPr>
      <w:r>
        <w:rPr>
          <w:rStyle w:val="FootnoteReference"/>
        </w:rPr>
        <w:footnoteRef/>
      </w:r>
      <w:r>
        <w:t xml:space="preserve"> RRAN</w:t>
      </w:r>
      <w:r w:rsidR="007E30AB">
        <w:t xml:space="preserve"> i</w:t>
      </w:r>
      <w:r>
        <w:t>, no.29, p.9.</w:t>
      </w:r>
    </w:p>
  </w:footnote>
  <w:footnote w:id="29">
    <w:p w:rsidR="00B306E8" w:rsidRDefault="00B306E8" w:rsidP="00B306E8">
      <w:pPr>
        <w:pStyle w:val="FootnoteText"/>
      </w:pPr>
      <w:r>
        <w:rPr>
          <w:rStyle w:val="FootnoteReference"/>
        </w:rPr>
        <w:footnoteRef/>
      </w:r>
      <w:r>
        <w:t xml:space="preserve"> In his survey of Norman Ducal acta, 996-1135, Mark Hagger shows only eleven of William’s post-1066 acts contain anathema clauses, compared to thirty-eight pre-1066. See M. Hagger, </w:t>
      </w:r>
      <w:r w:rsidRPr="0026299D">
        <w:t>Norman Rule in Normandy, 911-1144</w:t>
      </w:r>
      <w:r>
        <w:t xml:space="preserve"> (Woodbridge: Boydell Press, 2017), Table 7, p.406.</w:t>
      </w:r>
    </w:p>
  </w:footnote>
  <w:footnote w:id="30">
    <w:p w:rsidR="00C412D8" w:rsidRDefault="00C412D8">
      <w:pPr>
        <w:pStyle w:val="FootnoteText"/>
      </w:pPr>
      <w:r>
        <w:rPr>
          <w:rStyle w:val="FootnoteReference"/>
        </w:rPr>
        <w:footnoteRef/>
      </w:r>
      <w:r>
        <w:t xml:space="preserve"> RRAN</w:t>
      </w:r>
      <w:r w:rsidR="005704BB">
        <w:t xml:space="preserve"> i</w:t>
      </w:r>
      <w:r>
        <w:t>, no.9, p.3</w:t>
      </w:r>
      <w:r w:rsidR="009307AF">
        <w:t>, no. 86, p.22 and no.162, p.44.</w:t>
      </w:r>
    </w:p>
  </w:footnote>
  <w:footnote w:id="31">
    <w:p w:rsidR="00C412D8" w:rsidRDefault="00C412D8">
      <w:pPr>
        <w:pStyle w:val="FootnoteText"/>
      </w:pPr>
      <w:r w:rsidRPr="00F14FA5">
        <w:rPr>
          <w:rStyle w:val="FootnoteReference"/>
        </w:rPr>
        <w:footnoteRef/>
      </w:r>
      <w:r w:rsidRPr="00F14FA5">
        <w:t xml:space="preserve"> </w:t>
      </w:r>
      <w:r w:rsidR="009307AF" w:rsidRPr="00F14FA5">
        <w:t xml:space="preserve">As George Garnett suggests </w:t>
      </w:r>
      <w:r w:rsidRPr="00F14FA5">
        <w:t xml:space="preserve">‘Harold’s usurpation made no difference to that’ (G. Garnett, </w:t>
      </w:r>
      <w:r w:rsidRPr="00F14FA5">
        <w:rPr>
          <w:i/>
        </w:rPr>
        <w:t>Conquered England</w:t>
      </w:r>
      <w:r w:rsidRPr="00F14FA5">
        <w:t>, p.33).</w:t>
      </w:r>
    </w:p>
  </w:footnote>
  <w:footnote w:id="32">
    <w:p w:rsidR="00DD245A" w:rsidRDefault="00DD245A">
      <w:pPr>
        <w:pStyle w:val="FootnoteText"/>
      </w:pPr>
      <w:r>
        <w:rPr>
          <w:rStyle w:val="FootnoteReference"/>
        </w:rPr>
        <w:footnoteRef/>
      </w:r>
      <w:r>
        <w:t xml:space="preserve"> T. Waldman, ‘Charters and Influences from Saint-Denis c. 1000-1070’</w:t>
      </w:r>
      <w:r w:rsidRPr="00F14FA5">
        <w:t xml:space="preserve">, in T. Licence, ed., </w:t>
      </w:r>
      <w:r w:rsidRPr="00F14FA5">
        <w:rPr>
          <w:i/>
        </w:rPr>
        <w:t>Bury St Edmund</w:t>
      </w:r>
      <w:r w:rsidR="00F14FA5" w:rsidRPr="00F14FA5">
        <w:rPr>
          <w:i/>
        </w:rPr>
        <w:t>s and the Norman Conquest</w:t>
      </w:r>
      <w:r w:rsidR="00F14FA5">
        <w:t>,</w:t>
      </w:r>
      <w:r w:rsidR="00C95C42">
        <w:t xml:space="preserve"> pp.</w:t>
      </w:r>
      <w:r>
        <w:t>22-30 (p.29</w:t>
      </w:r>
      <w:r w:rsidRPr="00833E8E">
        <w:t>).</w:t>
      </w:r>
    </w:p>
  </w:footnote>
  <w:footnote w:id="33">
    <w:p w:rsidR="00DD245A" w:rsidRDefault="00DD245A" w:rsidP="000B1D42">
      <w:pPr>
        <w:pStyle w:val="FootnoteText"/>
      </w:pPr>
      <w:r>
        <w:rPr>
          <w:rStyle w:val="FootnoteReference"/>
        </w:rPr>
        <w:footnoteRef/>
      </w:r>
      <w:r>
        <w:t xml:space="preserve"> R. Sharpe, ‘The Use of Writs</w:t>
      </w:r>
      <w:r w:rsidR="00C95C42">
        <w:t>’, pp.</w:t>
      </w:r>
      <w:r w:rsidR="00B84AFA">
        <w:t>284-5</w:t>
      </w:r>
      <w:r>
        <w:t xml:space="preserve">. </w:t>
      </w:r>
    </w:p>
  </w:footnote>
  <w:footnote w:id="34">
    <w:p w:rsidR="001F5FA4" w:rsidRPr="00F14FA5" w:rsidRDefault="001F5FA4">
      <w:pPr>
        <w:pStyle w:val="FootnoteText"/>
      </w:pPr>
      <w:r w:rsidRPr="00F14FA5">
        <w:rPr>
          <w:rStyle w:val="FootnoteReference"/>
        </w:rPr>
        <w:footnoteRef/>
      </w:r>
      <w:r w:rsidRPr="00F14FA5">
        <w:t xml:space="preserve"> </w:t>
      </w:r>
      <w:r w:rsidR="00F14FA5" w:rsidRPr="00F14FA5">
        <w:t xml:space="preserve">This may </w:t>
      </w:r>
      <w:r w:rsidRPr="00F14FA5">
        <w:t>also help to explain the absence of Edwin and Morcar from the 1069 diploma.</w:t>
      </w:r>
      <w:r w:rsidR="00F14FA5" w:rsidRPr="00F14FA5">
        <w:t xml:space="preserve"> </w:t>
      </w:r>
      <w:r w:rsidR="00F14FA5">
        <w:t>It may also be possible to highlight any regional variations.</w:t>
      </w:r>
    </w:p>
  </w:footnote>
  <w:footnote w:id="35">
    <w:p w:rsidR="00342762" w:rsidRDefault="00342762">
      <w:pPr>
        <w:pStyle w:val="FootnoteText"/>
      </w:pPr>
      <w:r w:rsidRPr="00F14FA5">
        <w:rPr>
          <w:rStyle w:val="FootnoteReference"/>
        </w:rPr>
        <w:footnoteRef/>
      </w:r>
      <w:r w:rsidRPr="00F14FA5">
        <w:t xml:space="preserve"> </w:t>
      </w:r>
      <w:r w:rsidR="00F14FA5" w:rsidRPr="00F14FA5">
        <w:t>Address clauses often make distinction</w:t>
      </w:r>
      <w:r w:rsidR="002A585E">
        <w:t>s</w:t>
      </w:r>
      <w:r w:rsidR="00F14FA5" w:rsidRPr="00F14FA5">
        <w:t xml:space="preserve"> between French and English, as with the b</w:t>
      </w:r>
      <w:r w:rsidRPr="00F14FA5">
        <w:t>oroughmen of London</w:t>
      </w:r>
      <w:r w:rsidR="00F14FA5" w:rsidRPr="00F14FA5">
        <w:t xml:space="preserve"> (</w:t>
      </w:r>
      <w:r w:rsidRPr="00F14FA5">
        <w:t xml:space="preserve">RRAN </w:t>
      </w:r>
      <w:r w:rsidR="005704BB" w:rsidRPr="00F14FA5">
        <w:t xml:space="preserve">i, </w:t>
      </w:r>
      <w:r w:rsidRPr="00F14FA5">
        <w:t>no.15, p.4</w:t>
      </w:r>
      <w:r w:rsidR="00F14FA5" w:rsidRPr="00F14FA5">
        <w:t>) or the t</w:t>
      </w:r>
      <w:r w:rsidRPr="00F14FA5">
        <w:t xml:space="preserve">hegns in Yorkshire </w:t>
      </w:r>
      <w:r w:rsidR="00F14FA5" w:rsidRPr="00F14FA5">
        <w:t>(</w:t>
      </w:r>
      <w:r w:rsidRPr="00F14FA5">
        <w:t>RRAN</w:t>
      </w:r>
      <w:r w:rsidR="005704BB" w:rsidRPr="00F14FA5">
        <w:t xml:space="preserve"> i,</w:t>
      </w:r>
      <w:r w:rsidRPr="00F14FA5">
        <w:t xml:space="preserve"> no.31, p.9</w:t>
      </w:r>
      <w:r w:rsidR="00F14FA5" w:rsidRPr="00F14FA5">
        <w:t>)</w:t>
      </w:r>
      <w:r w:rsidRPr="00F14FA5">
        <w:t>.</w:t>
      </w:r>
    </w:p>
  </w:footnote>
  <w:footnote w:id="36">
    <w:p w:rsidR="00342762" w:rsidRDefault="00342762">
      <w:pPr>
        <w:pStyle w:val="FootnoteText"/>
      </w:pPr>
      <w:r>
        <w:rPr>
          <w:rStyle w:val="FootnoteReference"/>
        </w:rPr>
        <w:footnoteRef/>
      </w:r>
      <w:r>
        <w:t xml:space="preserve"> </w:t>
      </w:r>
      <w:r w:rsidR="002A585E">
        <w:t xml:space="preserve">There are differing views on whether </w:t>
      </w:r>
      <w:r w:rsidR="002A585E" w:rsidRPr="002A585E">
        <w:rPr>
          <w:i/>
        </w:rPr>
        <w:t>Murdrum</w:t>
      </w:r>
      <w:r w:rsidR="002A585E">
        <w:t xml:space="preserve"> was </w:t>
      </w:r>
      <w:r>
        <w:t>Anglicizing the l</w:t>
      </w:r>
      <w:r w:rsidR="0095219D">
        <w:t>aw or Anglicizing the Normans by</w:t>
      </w:r>
      <w:r>
        <w:t xml:space="preserve"> applying English law to them.</w:t>
      </w:r>
    </w:p>
  </w:footnote>
  <w:footnote w:id="37">
    <w:p w:rsidR="00342762" w:rsidRDefault="00342762">
      <w:pPr>
        <w:pStyle w:val="FootnoteText"/>
      </w:pPr>
      <w:r>
        <w:rPr>
          <w:rStyle w:val="FootnoteReference"/>
        </w:rPr>
        <w:footnoteRef/>
      </w:r>
      <w:r>
        <w:t xml:space="preserve"> B. O'Brien, ‘From Morðor to Murdrum: The Preconquest Origin and Norman Revival of the Murder Fine’, </w:t>
      </w:r>
      <w:r w:rsidRPr="00342762">
        <w:rPr>
          <w:i/>
        </w:rPr>
        <w:t>Speculum</w:t>
      </w:r>
      <w:r w:rsidR="00C95C42">
        <w:t>, 71: (1996), pp.</w:t>
      </w:r>
      <w:r>
        <w:t>321-357</w:t>
      </w:r>
      <w:bookmarkStart w:id="6" w:name="_GoBack"/>
      <w:bookmarkEnd w:id="6"/>
      <w:r>
        <w:t xml:space="preserve"> (p.354 and p.355).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AD4ECF"/>
    <w:multiLevelType w:val="hybridMultilevel"/>
    <w:tmpl w:val="52AC201A"/>
    <w:lvl w:ilvl="0" w:tplc="A05A0738">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73F31316"/>
    <w:multiLevelType w:val="multilevel"/>
    <w:tmpl w:val="EC2E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041"/>
    <w:rsid w:val="000063A2"/>
    <w:rsid w:val="000100AB"/>
    <w:rsid w:val="000175B3"/>
    <w:rsid w:val="00030D51"/>
    <w:rsid w:val="00050BAF"/>
    <w:rsid w:val="000553EE"/>
    <w:rsid w:val="000838FF"/>
    <w:rsid w:val="000B1D42"/>
    <w:rsid w:val="000B22E9"/>
    <w:rsid w:val="000B2D0A"/>
    <w:rsid w:val="000B2DD2"/>
    <w:rsid w:val="000C17B3"/>
    <w:rsid w:val="001021DD"/>
    <w:rsid w:val="0010513A"/>
    <w:rsid w:val="00111B92"/>
    <w:rsid w:val="001122BE"/>
    <w:rsid w:val="00114363"/>
    <w:rsid w:val="00123A65"/>
    <w:rsid w:val="00151934"/>
    <w:rsid w:val="001700F8"/>
    <w:rsid w:val="00175AC6"/>
    <w:rsid w:val="00184F59"/>
    <w:rsid w:val="001858B3"/>
    <w:rsid w:val="001B465A"/>
    <w:rsid w:val="001C41D0"/>
    <w:rsid w:val="001C577C"/>
    <w:rsid w:val="001E7A95"/>
    <w:rsid w:val="001F5FA4"/>
    <w:rsid w:val="00205035"/>
    <w:rsid w:val="0022455E"/>
    <w:rsid w:val="0023724A"/>
    <w:rsid w:val="00246528"/>
    <w:rsid w:val="0026299D"/>
    <w:rsid w:val="002704EB"/>
    <w:rsid w:val="00280D9F"/>
    <w:rsid w:val="00285D81"/>
    <w:rsid w:val="00293465"/>
    <w:rsid w:val="002A25FC"/>
    <w:rsid w:val="002A585E"/>
    <w:rsid w:val="002C014B"/>
    <w:rsid w:val="002C0FFD"/>
    <w:rsid w:val="002E3B13"/>
    <w:rsid w:val="002F4DE2"/>
    <w:rsid w:val="00340B38"/>
    <w:rsid w:val="00340B53"/>
    <w:rsid w:val="00342762"/>
    <w:rsid w:val="00345989"/>
    <w:rsid w:val="0037744A"/>
    <w:rsid w:val="0038467A"/>
    <w:rsid w:val="00396F29"/>
    <w:rsid w:val="003A71F4"/>
    <w:rsid w:val="003B41B7"/>
    <w:rsid w:val="003B6B68"/>
    <w:rsid w:val="003D704B"/>
    <w:rsid w:val="003D726F"/>
    <w:rsid w:val="003E43EA"/>
    <w:rsid w:val="003F2038"/>
    <w:rsid w:val="004271E9"/>
    <w:rsid w:val="004448AE"/>
    <w:rsid w:val="0044626B"/>
    <w:rsid w:val="00475A23"/>
    <w:rsid w:val="004811A3"/>
    <w:rsid w:val="004A1AD1"/>
    <w:rsid w:val="004A5AF3"/>
    <w:rsid w:val="004F35AF"/>
    <w:rsid w:val="005348D0"/>
    <w:rsid w:val="00547CAC"/>
    <w:rsid w:val="00553FE6"/>
    <w:rsid w:val="00563F30"/>
    <w:rsid w:val="005651CE"/>
    <w:rsid w:val="005704BB"/>
    <w:rsid w:val="005A17D5"/>
    <w:rsid w:val="005A58CF"/>
    <w:rsid w:val="005D12B9"/>
    <w:rsid w:val="005F3D10"/>
    <w:rsid w:val="005F7584"/>
    <w:rsid w:val="0061169A"/>
    <w:rsid w:val="006147DD"/>
    <w:rsid w:val="00645CAB"/>
    <w:rsid w:val="006A0CED"/>
    <w:rsid w:val="006A3770"/>
    <w:rsid w:val="006B4466"/>
    <w:rsid w:val="006F4B7C"/>
    <w:rsid w:val="00722EBD"/>
    <w:rsid w:val="007460AF"/>
    <w:rsid w:val="007575BF"/>
    <w:rsid w:val="00783F2B"/>
    <w:rsid w:val="00794CE1"/>
    <w:rsid w:val="007B72C7"/>
    <w:rsid w:val="007D6F73"/>
    <w:rsid w:val="007D7D35"/>
    <w:rsid w:val="007E30AB"/>
    <w:rsid w:val="00815155"/>
    <w:rsid w:val="00833E8E"/>
    <w:rsid w:val="00833FE4"/>
    <w:rsid w:val="00837EEF"/>
    <w:rsid w:val="00843E97"/>
    <w:rsid w:val="00867099"/>
    <w:rsid w:val="00871585"/>
    <w:rsid w:val="00881EEE"/>
    <w:rsid w:val="00884120"/>
    <w:rsid w:val="008A4197"/>
    <w:rsid w:val="008A5B2F"/>
    <w:rsid w:val="008C4F6C"/>
    <w:rsid w:val="008E6314"/>
    <w:rsid w:val="008F23E8"/>
    <w:rsid w:val="00915CFA"/>
    <w:rsid w:val="009307AF"/>
    <w:rsid w:val="009418B9"/>
    <w:rsid w:val="00951F46"/>
    <w:rsid w:val="0095219D"/>
    <w:rsid w:val="00972AFD"/>
    <w:rsid w:val="00973AB4"/>
    <w:rsid w:val="0099048D"/>
    <w:rsid w:val="009A50E1"/>
    <w:rsid w:val="009E4AE9"/>
    <w:rsid w:val="009E7DEF"/>
    <w:rsid w:val="00A669EB"/>
    <w:rsid w:val="00AB50C7"/>
    <w:rsid w:val="00AD4AA4"/>
    <w:rsid w:val="00AE0B73"/>
    <w:rsid w:val="00B02C11"/>
    <w:rsid w:val="00B17776"/>
    <w:rsid w:val="00B306E8"/>
    <w:rsid w:val="00B44CAD"/>
    <w:rsid w:val="00B61C85"/>
    <w:rsid w:val="00B84AFA"/>
    <w:rsid w:val="00B90D61"/>
    <w:rsid w:val="00B97628"/>
    <w:rsid w:val="00BB311E"/>
    <w:rsid w:val="00BB6172"/>
    <w:rsid w:val="00BC1F1B"/>
    <w:rsid w:val="00BC3675"/>
    <w:rsid w:val="00C353D1"/>
    <w:rsid w:val="00C412D8"/>
    <w:rsid w:val="00C6162F"/>
    <w:rsid w:val="00C9131F"/>
    <w:rsid w:val="00C93556"/>
    <w:rsid w:val="00C959FC"/>
    <w:rsid w:val="00C95C42"/>
    <w:rsid w:val="00CA4686"/>
    <w:rsid w:val="00CA6D7D"/>
    <w:rsid w:val="00CA71DE"/>
    <w:rsid w:val="00CD6041"/>
    <w:rsid w:val="00D020F0"/>
    <w:rsid w:val="00D25254"/>
    <w:rsid w:val="00D34611"/>
    <w:rsid w:val="00D52BF0"/>
    <w:rsid w:val="00D55235"/>
    <w:rsid w:val="00D776D7"/>
    <w:rsid w:val="00D776EA"/>
    <w:rsid w:val="00D93F77"/>
    <w:rsid w:val="00DC5709"/>
    <w:rsid w:val="00DC5E99"/>
    <w:rsid w:val="00DD245A"/>
    <w:rsid w:val="00DD6C0A"/>
    <w:rsid w:val="00DE415D"/>
    <w:rsid w:val="00E01A5E"/>
    <w:rsid w:val="00E13137"/>
    <w:rsid w:val="00E17AA5"/>
    <w:rsid w:val="00E21070"/>
    <w:rsid w:val="00E22041"/>
    <w:rsid w:val="00E34AB8"/>
    <w:rsid w:val="00E533ED"/>
    <w:rsid w:val="00E53E26"/>
    <w:rsid w:val="00E56580"/>
    <w:rsid w:val="00E569F5"/>
    <w:rsid w:val="00E62F21"/>
    <w:rsid w:val="00E64A68"/>
    <w:rsid w:val="00E65DCA"/>
    <w:rsid w:val="00E817CE"/>
    <w:rsid w:val="00E874D4"/>
    <w:rsid w:val="00F14FA5"/>
    <w:rsid w:val="00F258C4"/>
    <w:rsid w:val="00F3429A"/>
    <w:rsid w:val="00F367E3"/>
    <w:rsid w:val="00F40E92"/>
    <w:rsid w:val="00F861A2"/>
    <w:rsid w:val="00F94135"/>
    <w:rsid w:val="00F94BEE"/>
    <w:rsid w:val="00FC2BFB"/>
    <w:rsid w:val="00FD19EE"/>
    <w:rsid w:val="00FD6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74C0B79-5BD1-446A-B95A-46905D58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5155"/>
    <w:rPr>
      <w:color w:val="0563C1" w:themeColor="hyperlink"/>
      <w:u w:val="single"/>
    </w:rPr>
  </w:style>
  <w:style w:type="character" w:styleId="FollowedHyperlink">
    <w:name w:val="FollowedHyperlink"/>
    <w:basedOn w:val="DefaultParagraphFont"/>
    <w:uiPriority w:val="99"/>
    <w:semiHidden/>
    <w:unhideWhenUsed/>
    <w:rsid w:val="00B61C85"/>
    <w:rPr>
      <w:color w:val="954F72" w:themeColor="followedHyperlink"/>
      <w:u w:val="single"/>
    </w:rPr>
  </w:style>
  <w:style w:type="paragraph" w:styleId="ListParagraph">
    <w:name w:val="List Paragraph"/>
    <w:basedOn w:val="Normal"/>
    <w:uiPriority w:val="34"/>
    <w:qFormat/>
    <w:rsid w:val="00CA6D7D"/>
    <w:pPr>
      <w:ind w:left="720"/>
      <w:contextualSpacing/>
    </w:pPr>
  </w:style>
  <w:style w:type="paragraph" w:styleId="NormalWeb">
    <w:name w:val="Normal (Web)"/>
    <w:basedOn w:val="Normal"/>
    <w:uiPriority w:val="99"/>
    <w:semiHidden/>
    <w:unhideWhenUsed/>
    <w:rsid w:val="00123A65"/>
    <w:rPr>
      <w:rFonts w:ascii="Times New Roman" w:hAnsi="Times New Roman" w:cs="Times New Roman"/>
      <w:sz w:val="24"/>
      <w:szCs w:val="24"/>
    </w:rPr>
  </w:style>
  <w:style w:type="paragraph" w:styleId="Header">
    <w:name w:val="header"/>
    <w:basedOn w:val="Normal"/>
    <w:link w:val="HeaderChar"/>
    <w:uiPriority w:val="99"/>
    <w:unhideWhenUsed/>
    <w:rsid w:val="00237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24A"/>
  </w:style>
  <w:style w:type="paragraph" w:styleId="Footer">
    <w:name w:val="footer"/>
    <w:basedOn w:val="Normal"/>
    <w:link w:val="FooterChar"/>
    <w:uiPriority w:val="99"/>
    <w:unhideWhenUsed/>
    <w:rsid w:val="00237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24A"/>
  </w:style>
  <w:style w:type="character" w:styleId="Emphasis">
    <w:name w:val="Emphasis"/>
    <w:basedOn w:val="DefaultParagraphFont"/>
    <w:uiPriority w:val="20"/>
    <w:qFormat/>
    <w:rsid w:val="001122BE"/>
    <w:rPr>
      <w:i/>
      <w:iCs/>
    </w:rPr>
  </w:style>
  <w:style w:type="paragraph" w:styleId="FootnoteText">
    <w:name w:val="footnote text"/>
    <w:basedOn w:val="Normal"/>
    <w:link w:val="FootnoteTextChar"/>
    <w:uiPriority w:val="99"/>
    <w:unhideWhenUsed/>
    <w:rsid w:val="00DE415D"/>
    <w:pPr>
      <w:spacing w:after="0" w:line="240" w:lineRule="auto"/>
    </w:pPr>
    <w:rPr>
      <w:sz w:val="20"/>
      <w:szCs w:val="20"/>
    </w:rPr>
  </w:style>
  <w:style w:type="character" w:customStyle="1" w:styleId="FootnoteTextChar">
    <w:name w:val="Footnote Text Char"/>
    <w:basedOn w:val="DefaultParagraphFont"/>
    <w:link w:val="FootnoteText"/>
    <w:uiPriority w:val="99"/>
    <w:rsid w:val="00DE415D"/>
    <w:rPr>
      <w:sz w:val="20"/>
      <w:szCs w:val="20"/>
    </w:rPr>
  </w:style>
  <w:style w:type="character" w:styleId="FootnoteReference">
    <w:name w:val="footnote reference"/>
    <w:basedOn w:val="DefaultParagraphFont"/>
    <w:uiPriority w:val="99"/>
    <w:semiHidden/>
    <w:unhideWhenUsed/>
    <w:rsid w:val="00DE415D"/>
    <w:rPr>
      <w:vertAlign w:val="superscript"/>
    </w:rPr>
  </w:style>
  <w:style w:type="paragraph" w:styleId="BalloonText">
    <w:name w:val="Balloon Text"/>
    <w:basedOn w:val="Normal"/>
    <w:link w:val="BalloonTextChar"/>
    <w:uiPriority w:val="99"/>
    <w:semiHidden/>
    <w:unhideWhenUsed/>
    <w:rsid w:val="007460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0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3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journals.openedition.org/tabularia/2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8997534-C1C8-4149-AE60-D4A62C8E7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7013</TotalTime>
  <Pages>8</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67</cp:revision>
  <cp:lastPrinted>2019-01-22T11:14:00Z</cp:lastPrinted>
  <dcterms:created xsi:type="dcterms:W3CDTF">2018-10-18T15:16:00Z</dcterms:created>
  <dcterms:modified xsi:type="dcterms:W3CDTF">2019-01-23T17:41:00Z</dcterms:modified>
</cp:coreProperties>
</file>