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3BC7A085" w14:textId="1A06ABD1" w:rsidR="00676E35" w:rsidRPr="000F6387" w:rsidRDefault="00676E35" w:rsidP="00FB75C3">
      <w:pPr>
        <w:spacing w:line="360" w:lineRule="auto"/>
        <w:jc w:val="center"/>
        <w:rPr>
          <w:rFonts w:ascii="Arial" w:hAnsi="Arial" w:cs="Arial"/>
          <w:b/>
          <w:bCs/>
        </w:rPr>
      </w:pPr>
      <w:r>
        <w:rPr>
          <w:rFonts w:ascii="Arial" w:hAnsi="Arial" w:cs="Arial"/>
          <w:b/>
          <w:bCs/>
        </w:rPr>
        <w:t>_______________________ Write down the topic here________________________</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0933CBDC"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____</w:t>
      </w:r>
      <w:r w:rsidR="00121C00">
        <w:rPr>
          <w:rFonts w:ascii="Arial" w:hAnsi="Arial" w:cs="Arial"/>
          <w:b/>
          <w:bCs/>
        </w:rPr>
        <w:t>Nicolette Ramsay</w:t>
      </w:r>
      <w:r w:rsidR="00676E35">
        <w:rPr>
          <w:rFonts w:ascii="Arial" w:hAnsi="Arial" w:cs="Arial"/>
          <w:b/>
          <w:bCs/>
        </w:rPr>
        <w:t>______________________</w:t>
      </w:r>
    </w:p>
    <w:p w14:paraId="6F60BD0E" w14:textId="3AC7D667"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___</w:t>
      </w:r>
      <w:r w:rsidR="00121C00">
        <w:rPr>
          <w:rFonts w:ascii="Arial" w:hAnsi="Arial" w:cs="Arial"/>
          <w:b/>
          <w:bCs/>
        </w:rPr>
        <w:t>2412969</w:t>
      </w:r>
      <w:r w:rsidR="00676E35">
        <w:rPr>
          <w:rFonts w:ascii="Arial" w:hAnsi="Arial" w:cs="Arial"/>
          <w:b/>
          <w:bCs/>
        </w:rPr>
        <w:t>_______________</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1AD12D0F" w:rsidR="00D47902" w:rsidRDefault="003C1E35" w:rsidP="00FB75C3">
      <w:pPr>
        <w:spacing w:line="360" w:lineRule="auto"/>
        <w:jc w:val="center"/>
        <w:rPr>
          <w:rFonts w:ascii="Arial" w:hAnsi="Arial" w:cs="Arial"/>
          <w:b/>
          <w:bCs/>
        </w:rPr>
      </w:pPr>
      <w:r>
        <w:rPr>
          <w:rFonts w:ascii="Arial" w:hAnsi="Arial" w:cs="Arial"/>
          <w:b/>
          <w:bCs/>
        </w:rPr>
        <w:t xml:space="preserve">Date: </w:t>
      </w:r>
      <w:r w:rsidR="001C372A">
        <w:rPr>
          <w:rFonts w:ascii="Arial" w:hAnsi="Arial" w:cs="Arial"/>
          <w:b/>
          <w:bCs/>
        </w:rPr>
        <w:t>_________________</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3C1E35">
              <w:rPr>
                <w:noProof/>
                <w:webHidden/>
              </w:rPr>
              <w:t>3</w:t>
            </w:r>
            <w:r>
              <w:rPr>
                <w:noProof/>
                <w:webHidden/>
              </w:rPr>
              <w:fldChar w:fldCharType="end"/>
            </w:r>
          </w:hyperlink>
        </w:p>
        <w:p w14:paraId="2A76E766" w14:textId="72B1187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3C1E35">
              <w:rPr>
                <w:noProof/>
                <w:webHidden/>
              </w:rPr>
              <w:t>3</w:t>
            </w:r>
            <w:r>
              <w:rPr>
                <w:noProof/>
                <w:webHidden/>
              </w:rPr>
              <w:fldChar w:fldCharType="end"/>
            </w:r>
          </w:hyperlink>
        </w:p>
        <w:p w14:paraId="2E97F5EB" w14:textId="3511DBB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sidR="003C1E35">
              <w:rPr>
                <w:noProof/>
                <w:webHidden/>
              </w:rPr>
              <w:t>3</w:t>
            </w:r>
            <w:r>
              <w:rPr>
                <w:noProof/>
                <w:webHidden/>
              </w:rPr>
              <w:fldChar w:fldCharType="end"/>
            </w:r>
          </w:hyperlink>
        </w:p>
        <w:p w14:paraId="16C20540" w14:textId="76A4A9F9"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sidR="003C1E35">
              <w:rPr>
                <w:noProof/>
                <w:webHidden/>
              </w:rPr>
              <w:t>4</w:t>
            </w:r>
            <w:r>
              <w:rPr>
                <w:noProof/>
                <w:webHidden/>
              </w:rPr>
              <w:fldChar w:fldCharType="end"/>
            </w:r>
          </w:hyperlink>
        </w:p>
        <w:p w14:paraId="2C5029AA" w14:textId="23B7EBB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sidR="003C1E35">
              <w:rPr>
                <w:noProof/>
                <w:webHidden/>
              </w:rPr>
              <w:t>4</w:t>
            </w:r>
            <w:r>
              <w:rPr>
                <w:noProof/>
                <w:webHidden/>
              </w:rPr>
              <w:fldChar w:fldCharType="end"/>
            </w:r>
          </w:hyperlink>
        </w:p>
        <w:p w14:paraId="1A5B2831" w14:textId="01B4A9BB"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sidR="003C1E35">
              <w:rPr>
                <w:noProof/>
                <w:webHidden/>
              </w:rPr>
              <w:t>5</w:t>
            </w:r>
            <w:r>
              <w:rPr>
                <w:noProof/>
                <w:webHidden/>
              </w:rPr>
              <w:fldChar w:fldCharType="end"/>
            </w:r>
          </w:hyperlink>
        </w:p>
        <w:p w14:paraId="36219394" w14:textId="4F2D0A92"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sidR="003C1E35">
              <w:rPr>
                <w:noProof/>
                <w:webHidden/>
              </w:rPr>
              <w:t>5</w:t>
            </w:r>
            <w:r>
              <w:rPr>
                <w:noProof/>
                <w:webHidden/>
              </w:rPr>
              <w:fldChar w:fldCharType="end"/>
            </w:r>
          </w:hyperlink>
        </w:p>
        <w:p w14:paraId="41275BF3" w14:textId="4419FE2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sidR="003C1E35">
              <w:rPr>
                <w:noProof/>
                <w:webHidden/>
              </w:rPr>
              <w:t>5</w:t>
            </w:r>
            <w:r>
              <w:rPr>
                <w:noProof/>
                <w:webHidden/>
              </w:rPr>
              <w:fldChar w:fldCharType="end"/>
            </w:r>
          </w:hyperlink>
        </w:p>
        <w:p w14:paraId="1DFF422F" w14:textId="78DA0703"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sidR="003C1E35">
              <w:rPr>
                <w:noProof/>
                <w:webHidden/>
              </w:rPr>
              <w:t>5</w:t>
            </w:r>
            <w:r>
              <w:rPr>
                <w:noProof/>
                <w:webHidden/>
              </w:rPr>
              <w:fldChar w:fldCharType="end"/>
            </w:r>
          </w:hyperlink>
        </w:p>
        <w:p w14:paraId="649AD4CC" w14:textId="1D02161A"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sidR="003C1E35">
              <w:rPr>
                <w:noProof/>
                <w:webHidden/>
              </w:rPr>
              <w:t>5</w:t>
            </w:r>
            <w:r>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19A5B20C" w:rsidR="00C82FE1" w:rsidRPr="00137DD2" w:rsidRDefault="00D47902" w:rsidP="00FB75C3">
      <w:pPr>
        <w:spacing w:line="360" w:lineRule="auto"/>
        <w:rPr>
          <w:rFonts w:ascii="Arial" w:hAnsi="Arial" w:cs="Arial"/>
          <w:b/>
          <w:bCs/>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 xml:space="preserve">: </w:t>
      </w:r>
      <w:r w:rsidR="00BD0CEC">
        <w:rPr>
          <w:rFonts w:ascii="Arial" w:hAnsi="Arial" w:cs="Arial"/>
          <w:b/>
          <w:bCs/>
        </w:rPr>
        <w:t xml:space="preserve">Health  and social care support for vulnerable adults: </w:t>
      </w:r>
      <w:r w:rsidR="00BD0CEC">
        <w:rPr>
          <w:rFonts w:ascii="Arial" w:hAnsi="Arial" w:cs="Arial"/>
          <w:b/>
          <w:bCs/>
        </w:rPr>
        <w:t xml:space="preserve">The </w:t>
      </w:r>
      <w:r w:rsidR="00BD0CEC">
        <w:rPr>
          <w:rFonts w:ascii="Arial" w:hAnsi="Arial" w:cs="Arial"/>
          <w:b/>
          <w:bCs/>
        </w:rPr>
        <w:t>i</w:t>
      </w:r>
      <w:r w:rsidR="00BD0CEC">
        <w:rPr>
          <w:rFonts w:ascii="Arial" w:hAnsi="Arial" w:cs="Arial"/>
          <w:b/>
          <w:bCs/>
        </w:rPr>
        <w:t xml:space="preserve">mpact of the </w:t>
      </w:r>
      <w:r w:rsidR="00BD0CEC">
        <w:rPr>
          <w:rFonts w:ascii="Arial" w:hAnsi="Arial" w:cs="Arial"/>
          <w:b/>
          <w:bCs/>
        </w:rPr>
        <w:t>c</w:t>
      </w:r>
      <w:r w:rsidR="00BD0CEC">
        <w:rPr>
          <w:rFonts w:ascii="Arial" w:hAnsi="Arial" w:cs="Arial"/>
          <w:b/>
          <w:bCs/>
        </w:rPr>
        <w:t>ost-of-</w:t>
      </w:r>
      <w:r w:rsidR="00BD0CEC">
        <w:rPr>
          <w:rFonts w:ascii="Arial" w:hAnsi="Arial" w:cs="Arial"/>
          <w:b/>
          <w:bCs/>
        </w:rPr>
        <w:t>l</w:t>
      </w:r>
      <w:r w:rsidR="00BD0CEC">
        <w:rPr>
          <w:rFonts w:ascii="Arial" w:hAnsi="Arial" w:cs="Arial"/>
          <w:b/>
          <w:bCs/>
        </w:rPr>
        <w:t xml:space="preserve">iving </w:t>
      </w:r>
      <w:r w:rsidR="00BD0CEC">
        <w:rPr>
          <w:rFonts w:ascii="Arial" w:hAnsi="Arial" w:cs="Arial"/>
          <w:b/>
          <w:bCs/>
        </w:rPr>
        <w:t>c</w:t>
      </w:r>
      <w:r w:rsidR="00BD0CEC">
        <w:rPr>
          <w:rFonts w:ascii="Arial" w:hAnsi="Arial" w:cs="Arial"/>
          <w:b/>
          <w:bCs/>
        </w:rPr>
        <w:t>risis</w:t>
      </w:r>
      <w:r w:rsidR="00137DD2">
        <w:rPr>
          <w:rFonts w:ascii="Arial" w:hAnsi="Arial" w:cs="Arial"/>
          <w:b/>
          <w:bCs/>
        </w:rPr>
        <w:t>.</w:t>
      </w:r>
    </w:p>
    <w:p w14:paraId="7B5D35A2" w14:textId="77777777" w:rsidR="00322395" w:rsidRDefault="00322395" w:rsidP="00FB75C3">
      <w:pPr>
        <w:spacing w:line="360" w:lineRule="auto"/>
        <w:rPr>
          <w:rStyle w:val="Heading1Char"/>
        </w:rPr>
      </w:pPr>
      <w:bookmarkStart w:id="0" w:name="_Toc212640866"/>
    </w:p>
    <w:p w14:paraId="36E9590B" w14:textId="77777777" w:rsidR="00322395" w:rsidRDefault="00322395" w:rsidP="00FB75C3">
      <w:pPr>
        <w:spacing w:line="360" w:lineRule="auto"/>
        <w:rPr>
          <w:rStyle w:val="Heading1Char"/>
        </w:rPr>
      </w:pPr>
    </w:p>
    <w:p w14:paraId="729754A7" w14:textId="0F544542" w:rsidR="00C82FE1" w:rsidRPr="003702BA" w:rsidRDefault="00C82FE1" w:rsidP="003702BA">
      <w:pPr>
        <w:pStyle w:val="ListParagraph"/>
        <w:numPr>
          <w:ilvl w:val="0"/>
          <w:numId w:val="11"/>
        </w:numPr>
        <w:spacing w:line="360" w:lineRule="auto"/>
        <w:rPr>
          <w:rFonts w:ascii="Arial" w:hAnsi="Arial" w:cs="Arial"/>
          <w:b/>
          <w:bCs/>
        </w:rPr>
      </w:pPr>
      <w:r w:rsidRPr="00D47902">
        <w:rPr>
          <w:rStyle w:val="Heading1Char"/>
        </w:rPr>
        <w:t>Introduction</w:t>
      </w:r>
      <w:bookmarkEnd w:id="0"/>
      <w:r w:rsidRPr="003702BA">
        <w:rPr>
          <w:rFonts w:ascii="Arial" w:hAnsi="Arial" w:cs="Arial"/>
          <w:b/>
          <w:bCs/>
        </w:rPr>
        <w:t xml:space="preserve"> </w:t>
      </w:r>
    </w:p>
    <w:p w14:paraId="7B3D1D44" w14:textId="77777777" w:rsidR="00BD0CEC" w:rsidRDefault="003702BA" w:rsidP="003702BA">
      <w:pPr>
        <w:spacing w:line="360" w:lineRule="auto"/>
        <w:rPr>
          <w:rFonts w:ascii="Arial" w:hAnsi="Arial" w:cs="Arial"/>
        </w:rPr>
      </w:pPr>
      <w:r w:rsidRPr="003702BA">
        <w:rPr>
          <w:rFonts w:ascii="Arial" w:hAnsi="Arial" w:cs="Arial"/>
        </w:rPr>
        <w:t xml:space="preserve">The </w:t>
      </w:r>
      <w:r>
        <w:rPr>
          <w:rFonts w:ascii="Arial" w:hAnsi="Arial" w:cs="Arial"/>
        </w:rPr>
        <w:t>cost-of-living crisis has become one of the most pressing social issues in the United Kingdom, directly affecting the wellbeing of millions of people, particularly vulnerable adults. Rising energy bills, housing costs, and food prices have placed increased pressure on individuals who already rely heavily on health and social care services. Th</w:t>
      </w:r>
      <w:r w:rsidR="002C0121">
        <w:rPr>
          <w:rFonts w:ascii="Arial" w:hAnsi="Arial" w:cs="Arial"/>
        </w:rPr>
        <w:t xml:space="preserve">e aim of this research is to </w:t>
      </w:r>
      <w:r>
        <w:rPr>
          <w:rFonts w:ascii="Arial" w:hAnsi="Arial" w:cs="Arial"/>
        </w:rPr>
        <w:t>explore how ongoing economic hardship impacts vulnerable adults, focusing on their health outcomes, access to services</w:t>
      </w:r>
      <w:r w:rsidR="00F567A3">
        <w:rPr>
          <w:rFonts w:ascii="Arial" w:hAnsi="Arial" w:cs="Arial"/>
        </w:rPr>
        <w:t>,</w:t>
      </w:r>
      <w:r>
        <w:rPr>
          <w:rFonts w:ascii="Arial" w:hAnsi="Arial" w:cs="Arial"/>
        </w:rPr>
        <w:t xml:space="preserve"> and social care support</w:t>
      </w:r>
      <w:r w:rsidR="00F567A3">
        <w:rPr>
          <w:rFonts w:ascii="Arial" w:hAnsi="Arial" w:cs="Arial"/>
        </w:rPr>
        <w:t>.</w:t>
      </w:r>
    </w:p>
    <w:p w14:paraId="5D573408" w14:textId="2696221A" w:rsidR="00322395" w:rsidRPr="000F6387" w:rsidRDefault="00BD0CEC" w:rsidP="00FB75C3">
      <w:pPr>
        <w:spacing w:line="360" w:lineRule="auto"/>
        <w:rPr>
          <w:rFonts w:ascii="Arial" w:hAnsi="Arial" w:cs="Arial"/>
        </w:rPr>
      </w:pPr>
      <w:r>
        <w:rPr>
          <w:rFonts w:ascii="Arial" w:hAnsi="Arial" w:cs="Arial"/>
        </w:rPr>
        <w:t xml:space="preserve">This report is organised in several sections. First, the justification of the topic will be explained followed by reviewing relevant literature on this topic. Next, </w:t>
      </w:r>
      <w:r w:rsidR="002C0121">
        <w:rPr>
          <w:rFonts w:ascii="Arial" w:hAnsi="Arial" w:cs="Arial"/>
        </w:rPr>
        <w:t xml:space="preserve">I will provide details of the methodological choices </w:t>
      </w:r>
      <w:r w:rsidR="002C0121">
        <w:rPr>
          <w:rFonts w:ascii="Arial" w:hAnsi="Arial" w:cs="Arial"/>
        </w:rPr>
        <w:t>including the data collection plan</w:t>
      </w:r>
      <w:r w:rsidR="002C0121">
        <w:rPr>
          <w:rFonts w:ascii="Arial" w:hAnsi="Arial" w:cs="Arial"/>
        </w:rPr>
        <w:t xml:space="preserve"> </w:t>
      </w:r>
      <w:r w:rsidR="00F567A3">
        <w:rPr>
          <w:rFonts w:ascii="Arial" w:hAnsi="Arial" w:cs="Arial"/>
        </w:rPr>
        <w:t>suitable for investigating this issue</w:t>
      </w:r>
      <w:r w:rsidR="002C0121">
        <w:rPr>
          <w:rFonts w:ascii="Arial" w:hAnsi="Arial" w:cs="Arial"/>
        </w:rPr>
        <w:t>.</w:t>
      </w:r>
      <w:r>
        <w:rPr>
          <w:rFonts w:ascii="Arial" w:hAnsi="Arial" w:cs="Arial"/>
        </w:rPr>
        <w:t xml:space="preserve"> Finally, a brief conclusion section will summarise the contents of the report.</w:t>
      </w:r>
    </w:p>
    <w:p w14:paraId="4BF67C41" w14:textId="43525B3C" w:rsidR="00C82FE1" w:rsidRDefault="00C82FE1" w:rsidP="00F567A3">
      <w:pPr>
        <w:pStyle w:val="Heading1"/>
        <w:numPr>
          <w:ilvl w:val="0"/>
          <w:numId w:val="11"/>
        </w:numPr>
        <w:spacing w:line="360" w:lineRule="auto"/>
      </w:pPr>
      <w:bookmarkStart w:id="1" w:name="_Toc212640867"/>
      <w:r w:rsidRPr="000F6387">
        <w:t>Research topic identification</w:t>
      </w:r>
      <w:bookmarkEnd w:id="1"/>
    </w:p>
    <w:p w14:paraId="1BC3D86C" w14:textId="34933C52" w:rsidR="00F567A3" w:rsidRDefault="00F567A3" w:rsidP="00F567A3">
      <w:pPr>
        <w:rPr>
          <w:b/>
          <w:bCs/>
        </w:rPr>
      </w:pPr>
      <w:r w:rsidRPr="00F567A3">
        <w:rPr>
          <w:b/>
          <w:bCs/>
        </w:rPr>
        <w:t>Overview of the issue</w:t>
      </w:r>
    </w:p>
    <w:p w14:paraId="6C844EFD" w14:textId="77777777" w:rsidR="00F567A3" w:rsidRPr="00377769" w:rsidRDefault="00F567A3" w:rsidP="002536CF">
      <w:pPr>
        <w:rPr>
          <w:rFonts w:ascii="Arial" w:hAnsi="Arial" w:cs="Arial"/>
        </w:rPr>
      </w:pPr>
    </w:p>
    <w:p w14:paraId="3862FA50" w14:textId="03B07C3B" w:rsidR="00F567A3" w:rsidRPr="00377769" w:rsidRDefault="00F567A3" w:rsidP="002536CF">
      <w:pPr>
        <w:rPr>
          <w:rFonts w:ascii="Arial" w:hAnsi="Arial" w:cs="Arial"/>
        </w:rPr>
      </w:pPr>
      <w:r w:rsidRPr="00377769">
        <w:rPr>
          <w:rFonts w:ascii="Arial" w:hAnsi="Arial" w:cs="Arial"/>
        </w:rPr>
        <w:t>The cost-of-living crisis in the UK refers to</w:t>
      </w:r>
      <w:r w:rsidR="009E56A6" w:rsidRPr="00377769">
        <w:rPr>
          <w:rFonts w:ascii="Arial" w:hAnsi="Arial" w:cs="Arial"/>
        </w:rPr>
        <w:t xml:space="preserve"> the significant rise in the cost of essential goods and services, outpacing wage growth and social security benefits.</w:t>
      </w:r>
      <w:r w:rsidR="0098372B" w:rsidRPr="00377769">
        <w:rPr>
          <w:rFonts w:ascii="Arial" w:hAnsi="Arial" w:cs="Arial"/>
        </w:rPr>
        <w:t xml:space="preserve"> This has led to increased poverty levels</w:t>
      </w:r>
      <w:r w:rsidR="00B37DF9" w:rsidRPr="00377769">
        <w:rPr>
          <w:rFonts w:ascii="Arial" w:hAnsi="Arial" w:cs="Arial"/>
        </w:rPr>
        <w:t>, particularly among low-income and vulnerable groups such as older adults, disabled individuals, and those with long-term health conditions. According to the Office for National Statistics (2024), nearly half of adults reported difficulty affording energy bills or rent, while 60% reduced spending on essentials to cope with rising prices.</w:t>
      </w:r>
    </w:p>
    <w:p w14:paraId="155D2785" w14:textId="77777777" w:rsidR="00B37DF9" w:rsidRPr="00377769" w:rsidRDefault="00B37DF9" w:rsidP="002536CF">
      <w:pPr>
        <w:rPr>
          <w:rFonts w:ascii="Arial" w:hAnsi="Arial" w:cs="Arial"/>
        </w:rPr>
      </w:pPr>
    </w:p>
    <w:p w14:paraId="75D6F704" w14:textId="6823342A" w:rsidR="00B37DF9" w:rsidRPr="00377769" w:rsidRDefault="00B37DF9" w:rsidP="002536CF">
      <w:pPr>
        <w:rPr>
          <w:rFonts w:ascii="Arial" w:hAnsi="Arial" w:cs="Arial"/>
        </w:rPr>
      </w:pPr>
      <w:r w:rsidRPr="00377769">
        <w:rPr>
          <w:rFonts w:ascii="Arial" w:hAnsi="Arial" w:cs="Arial"/>
        </w:rPr>
        <w:t xml:space="preserve">The economic pressure has not only worsened financial insecurity but also deepened health inequalities. The Health Foundation (2023) </w:t>
      </w:r>
      <w:r w:rsidR="00803F9D" w:rsidRPr="00377769">
        <w:rPr>
          <w:rFonts w:ascii="Arial" w:hAnsi="Arial" w:cs="Arial"/>
        </w:rPr>
        <w:t>reports that people in deprived areas are more likely to suffer poor mental and physical health due to financial stress, poor nutrition, and limited access to quality healthcare. These factors place additional strain on the UK’S already stretched health and social care system.</w:t>
      </w:r>
    </w:p>
    <w:p w14:paraId="70FE11B8" w14:textId="725D267C" w:rsidR="00C82FE1" w:rsidRPr="00377769" w:rsidRDefault="00C82FE1" w:rsidP="00377769">
      <w:pPr>
        <w:spacing w:line="360" w:lineRule="auto"/>
        <w:rPr>
          <w:rFonts w:ascii="Arial" w:hAnsi="Arial" w:cs="Arial"/>
          <w:b/>
          <w:bCs/>
        </w:rPr>
      </w:pPr>
    </w:p>
    <w:p w14:paraId="410B04B5" w14:textId="77777777" w:rsidR="00AF492A" w:rsidRPr="00377769" w:rsidRDefault="00AF492A" w:rsidP="00FB75C3">
      <w:pPr>
        <w:spacing w:line="360" w:lineRule="auto"/>
        <w:rPr>
          <w:rFonts w:ascii="Arial" w:hAnsi="Arial" w:cs="Arial"/>
        </w:rPr>
      </w:pPr>
    </w:p>
    <w:p w14:paraId="6467DA77" w14:textId="77777777" w:rsidR="00377769" w:rsidRPr="00377769" w:rsidRDefault="00377769" w:rsidP="00FB75C3">
      <w:pPr>
        <w:spacing w:line="360" w:lineRule="auto"/>
        <w:rPr>
          <w:rFonts w:ascii="Arial" w:hAnsi="Arial" w:cs="Arial"/>
          <w:b/>
          <w:bCs/>
        </w:rPr>
      </w:pPr>
    </w:p>
    <w:p w14:paraId="2C0FB12D" w14:textId="77777777" w:rsidR="00377769" w:rsidRPr="00377769" w:rsidRDefault="00377769" w:rsidP="00FB75C3">
      <w:pPr>
        <w:spacing w:line="360" w:lineRule="auto"/>
        <w:rPr>
          <w:rFonts w:ascii="Arial" w:hAnsi="Arial" w:cs="Arial"/>
          <w:b/>
          <w:bCs/>
        </w:rPr>
      </w:pPr>
    </w:p>
    <w:p w14:paraId="149B7007" w14:textId="1AFC5338" w:rsidR="00AF492A" w:rsidRPr="00377769" w:rsidRDefault="00377769" w:rsidP="00FB75C3">
      <w:pPr>
        <w:spacing w:line="360" w:lineRule="auto"/>
        <w:rPr>
          <w:rFonts w:ascii="Arial" w:hAnsi="Arial" w:cs="Arial"/>
          <w:b/>
          <w:bCs/>
        </w:rPr>
      </w:pPr>
      <w:r w:rsidRPr="00377769">
        <w:rPr>
          <w:rFonts w:ascii="Arial" w:hAnsi="Arial" w:cs="Arial"/>
          <w:b/>
          <w:bCs/>
        </w:rPr>
        <w:lastRenderedPageBreak/>
        <w:t xml:space="preserve">2.1 </w:t>
      </w:r>
      <w:r w:rsidR="00AF492A" w:rsidRPr="00377769">
        <w:rPr>
          <w:rFonts w:ascii="Arial" w:hAnsi="Arial" w:cs="Arial"/>
          <w:b/>
          <w:bCs/>
        </w:rPr>
        <w:t>Current policy context</w:t>
      </w:r>
    </w:p>
    <w:p w14:paraId="1CBC797E" w14:textId="1ED468C8" w:rsidR="00D35E97" w:rsidRPr="00377769" w:rsidRDefault="00D35E97" w:rsidP="00FB75C3">
      <w:pPr>
        <w:spacing w:line="360" w:lineRule="auto"/>
        <w:rPr>
          <w:rFonts w:ascii="Arial" w:hAnsi="Arial" w:cs="Arial"/>
        </w:rPr>
      </w:pPr>
      <w:r w:rsidRPr="00377769">
        <w:rPr>
          <w:rFonts w:ascii="Arial" w:hAnsi="Arial" w:cs="Arial"/>
        </w:rPr>
        <w:t xml:space="preserve">Government measures such as the </w:t>
      </w:r>
      <w:r w:rsidRPr="00377769">
        <w:rPr>
          <w:rFonts w:ascii="Arial" w:hAnsi="Arial" w:cs="Arial"/>
          <w:b/>
          <w:bCs/>
        </w:rPr>
        <w:t xml:space="preserve">Cost </w:t>
      </w:r>
      <w:r w:rsidR="00F52ECF" w:rsidRPr="00377769">
        <w:rPr>
          <w:rFonts w:ascii="Arial" w:hAnsi="Arial" w:cs="Arial"/>
          <w:b/>
          <w:bCs/>
        </w:rPr>
        <w:t>o</w:t>
      </w:r>
      <w:r w:rsidRPr="00377769">
        <w:rPr>
          <w:rFonts w:ascii="Arial" w:hAnsi="Arial" w:cs="Arial"/>
          <w:b/>
          <w:bCs/>
        </w:rPr>
        <w:t xml:space="preserve">f </w:t>
      </w:r>
      <w:r w:rsidR="00F52ECF" w:rsidRPr="00377769">
        <w:rPr>
          <w:rFonts w:ascii="Arial" w:hAnsi="Arial" w:cs="Arial"/>
          <w:b/>
          <w:bCs/>
        </w:rPr>
        <w:t>L</w:t>
      </w:r>
      <w:r w:rsidRPr="00377769">
        <w:rPr>
          <w:rFonts w:ascii="Arial" w:hAnsi="Arial" w:cs="Arial"/>
          <w:b/>
          <w:bCs/>
        </w:rPr>
        <w:t xml:space="preserve">iving </w:t>
      </w:r>
      <w:r w:rsidR="00F52ECF" w:rsidRPr="00377769">
        <w:rPr>
          <w:rFonts w:ascii="Arial" w:hAnsi="Arial" w:cs="Arial"/>
          <w:b/>
          <w:bCs/>
        </w:rPr>
        <w:t>P</w:t>
      </w:r>
      <w:r w:rsidRPr="00377769">
        <w:rPr>
          <w:rFonts w:ascii="Arial" w:hAnsi="Arial" w:cs="Arial"/>
          <w:b/>
          <w:bCs/>
        </w:rPr>
        <w:t>ayments</w:t>
      </w:r>
      <w:r w:rsidRPr="00377769">
        <w:rPr>
          <w:rFonts w:ascii="Arial" w:hAnsi="Arial" w:cs="Arial"/>
        </w:rPr>
        <w:t xml:space="preserve"> and the </w:t>
      </w:r>
      <w:r w:rsidRPr="00377769">
        <w:rPr>
          <w:rFonts w:ascii="Arial" w:hAnsi="Arial" w:cs="Arial"/>
          <w:b/>
          <w:bCs/>
        </w:rPr>
        <w:t>House</w:t>
      </w:r>
      <w:r w:rsidR="00F52ECF" w:rsidRPr="00377769">
        <w:rPr>
          <w:rFonts w:ascii="Arial" w:hAnsi="Arial" w:cs="Arial"/>
          <w:b/>
          <w:bCs/>
        </w:rPr>
        <w:t xml:space="preserve">hold Support Fund </w:t>
      </w:r>
      <w:r w:rsidR="00F52ECF" w:rsidRPr="00377769">
        <w:rPr>
          <w:rFonts w:ascii="Arial" w:hAnsi="Arial" w:cs="Arial"/>
        </w:rPr>
        <w:t xml:space="preserve">have offered some relief, but these are temporary solutions. The </w:t>
      </w:r>
      <w:r w:rsidR="00F52ECF" w:rsidRPr="00377769">
        <w:rPr>
          <w:rFonts w:ascii="Arial" w:hAnsi="Arial" w:cs="Arial"/>
          <w:b/>
          <w:bCs/>
        </w:rPr>
        <w:t>Department of health and Social Care (2023)</w:t>
      </w:r>
      <w:r w:rsidR="00F52ECF" w:rsidRPr="00377769">
        <w:rPr>
          <w:rFonts w:ascii="Arial" w:hAnsi="Arial" w:cs="Arial"/>
        </w:rPr>
        <w:t xml:space="preserve"> has recognised the need for long-term investment in adult social care, but local authorities continue to face funding gaps. Many voluntary and community organisations have stepped in to provide emergency advice, yet demand often exceeds resources.</w:t>
      </w:r>
    </w:p>
    <w:p w14:paraId="5DFAC5BD" w14:textId="521E7E0A" w:rsidR="00C82FE1" w:rsidRDefault="00F52ECF" w:rsidP="004C43EE">
      <w:pPr>
        <w:rPr>
          <w:rFonts w:ascii="Arial" w:hAnsi="Arial" w:cs="Arial"/>
        </w:rPr>
      </w:pPr>
      <w:r w:rsidRPr="00377769">
        <w:rPr>
          <w:rFonts w:ascii="Arial" w:hAnsi="Arial" w:cs="Arial"/>
        </w:rPr>
        <w:t>Ultimately, the crises exposes deeper systemic inequalities and highlights the need for more resilient, person-centred care models. Ensuring that vulnerable adults can access the care and support they need requires coordinated action between government, local authorities</w:t>
      </w:r>
      <w:r w:rsidR="00B66B81" w:rsidRPr="00377769">
        <w:rPr>
          <w:rFonts w:ascii="Arial" w:hAnsi="Arial" w:cs="Arial"/>
        </w:rPr>
        <w:t>, and community-based providers.</w:t>
      </w:r>
    </w:p>
    <w:p w14:paraId="6A73A7DC" w14:textId="77777777" w:rsidR="00377769" w:rsidRPr="00377769" w:rsidRDefault="00377769" w:rsidP="004C43EE">
      <w:pPr>
        <w:rPr>
          <w:rFonts w:ascii="Arial" w:hAnsi="Arial" w:cs="Arial"/>
          <w:b/>
          <w:bCs/>
        </w:rPr>
      </w:pPr>
    </w:p>
    <w:p w14:paraId="28B7E271" w14:textId="21DEBC0A" w:rsidR="00AF492A" w:rsidRPr="00377769" w:rsidRDefault="00587662" w:rsidP="00FB75C3">
      <w:pPr>
        <w:spacing w:line="360" w:lineRule="auto"/>
        <w:rPr>
          <w:rFonts w:ascii="Arial" w:hAnsi="Arial" w:cs="Arial"/>
          <w:b/>
          <w:bCs/>
        </w:rPr>
      </w:pPr>
      <w:r w:rsidRPr="00377769">
        <w:rPr>
          <w:rFonts w:ascii="Arial" w:hAnsi="Arial" w:cs="Arial"/>
          <w:b/>
          <w:bCs/>
        </w:rPr>
        <w:t xml:space="preserve">2.2  </w:t>
      </w:r>
      <w:r w:rsidR="00AF492A" w:rsidRPr="00377769">
        <w:rPr>
          <w:rFonts w:ascii="Arial" w:hAnsi="Arial" w:cs="Arial"/>
          <w:b/>
          <w:bCs/>
        </w:rPr>
        <w:t>Relevance to health and social car</w:t>
      </w:r>
      <w:r w:rsidR="00F52ECF" w:rsidRPr="00377769">
        <w:rPr>
          <w:rFonts w:ascii="Arial" w:hAnsi="Arial" w:cs="Arial"/>
          <w:b/>
          <w:bCs/>
        </w:rPr>
        <w:t>e</w:t>
      </w:r>
    </w:p>
    <w:p w14:paraId="2F56F797" w14:textId="77777777" w:rsidR="00B66B81" w:rsidRPr="00377769" w:rsidRDefault="00B66B81" w:rsidP="00B66B81">
      <w:pPr>
        <w:spacing w:line="360" w:lineRule="auto"/>
        <w:rPr>
          <w:rFonts w:ascii="Arial" w:hAnsi="Arial" w:cs="Arial"/>
        </w:rPr>
      </w:pPr>
      <w:r w:rsidRPr="00377769">
        <w:rPr>
          <w:rFonts w:ascii="Arial" w:hAnsi="Arial" w:cs="Arial"/>
        </w:rPr>
        <w:t xml:space="preserve">The cost-of-living crisis is particularly relevant to the health and social care sector because vulnerable adults often depend on state-funded or community-based services for their wellbeing. Rising operational costs have made it more difficult for care providers to maintain adequate staffing levels and quality standards. </w:t>
      </w:r>
      <w:r w:rsidRPr="00377769">
        <w:rPr>
          <w:rFonts w:ascii="Arial" w:hAnsi="Arial" w:cs="Arial"/>
          <w:b/>
          <w:bCs/>
        </w:rPr>
        <w:t>The King’s Fund (2023)</w:t>
      </w:r>
      <w:r w:rsidRPr="00377769">
        <w:rPr>
          <w:rFonts w:ascii="Arial" w:hAnsi="Arial" w:cs="Arial"/>
        </w:rPr>
        <w:t xml:space="preserve"> notes that many social care workers faced shortages that directly affect service users.</w:t>
      </w:r>
    </w:p>
    <w:p w14:paraId="7880D446" w14:textId="37C1F30E" w:rsidR="00C82FE1" w:rsidRPr="00377769" w:rsidRDefault="00B66B81" w:rsidP="00FB75C3">
      <w:pPr>
        <w:spacing w:line="360" w:lineRule="auto"/>
        <w:rPr>
          <w:rFonts w:ascii="Arial" w:hAnsi="Arial" w:cs="Arial"/>
        </w:rPr>
      </w:pPr>
      <w:r w:rsidRPr="00377769">
        <w:rPr>
          <w:rFonts w:ascii="Arial" w:hAnsi="Arial" w:cs="Arial"/>
        </w:rPr>
        <w:t>Vulnerable adults, such as those with disabilities or chronic illnesses, are at higher risk of being unable to afford heating, healthy food, or medication. This can result in hospital readmissions, deterioration in physical health, and increased reliance on emergency care. Social workers also face greater challenges supporting clients who are struggling with financial instability and social isolation.</w:t>
      </w:r>
    </w:p>
    <w:p w14:paraId="229CDF02" w14:textId="6F248D7E" w:rsidR="00AF492A" w:rsidRPr="00377769" w:rsidRDefault="00AF492A" w:rsidP="00FB75C3">
      <w:pPr>
        <w:spacing w:line="360" w:lineRule="auto"/>
        <w:rPr>
          <w:rFonts w:ascii="Arial" w:hAnsi="Arial" w:cs="Arial"/>
          <w:b/>
          <w:bCs/>
        </w:rPr>
      </w:pPr>
      <w:r w:rsidRPr="00377769">
        <w:rPr>
          <w:rFonts w:ascii="Arial" w:hAnsi="Arial" w:cs="Arial"/>
          <w:b/>
          <w:bCs/>
        </w:rPr>
        <w:t>Impact on vulnerable</w:t>
      </w:r>
    </w:p>
    <w:p w14:paraId="5978E33C" w14:textId="11AEC325" w:rsidR="00B66B81" w:rsidRPr="00377769" w:rsidRDefault="00587662" w:rsidP="00FB75C3">
      <w:pPr>
        <w:spacing w:line="360" w:lineRule="auto"/>
        <w:rPr>
          <w:rFonts w:ascii="Arial" w:hAnsi="Arial" w:cs="Arial"/>
        </w:rPr>
      </w:pPr>
      <w:r w:rsidRPr="00377769">
        <w:rPr>
          <w:rFonts w:ascii="Arial" w:hAnsi="Arial" w:cs="Arial"/>
        </w:rPr>
        <w:t xml:space="preserve">2.3  </w:t>
      </w:r>
      <w:r w:rsidR="00B66B81" w:rsidRPr="00377769">
        <w:rPr>
          <w:rFonts w:ascii="Arial" w:hAnsi="Arial" w:cs="Arial"/>
        </w:rPr>
        <w:t xml:space="preserve">The </w:t>
      </w:r>
      <w:r w:rsidR="00B66B81" w:rsidRPr="00377769">
        <w:rPr>
          <w:rFonts w:ascii="Arial" w:hAnsi="Arial" w:cs="Arial"/>
          <w:b/>
          <w:bCs/>
        </w:rPr>
        <w:t>Joseph Rowntree Foundation (2024)</w:t>
      </w:r>
      <w:r w:rsidR="00B66B81" w:rsidRPr="00377769">
        <w:rPr>
          <w:rFonts w:ascii="Arial" w:hAnsi="Arial" w:cs="Arial"/>
        </w:rPr>
        <w:t xml:space="preserve"> highlights that more than 14 million people in the UK are living in poverty, including 3.8 million disabled individuals and 2 million pensioners. Many of these adults experience heightened anxiety, depression, and reduced quality of life due to economic stress. Limited income makes it harder for them to participate in community activities, maintain independence, or manage long-term conditions effectively.</w:t>
      </w:r>
    </w:p>
    <w:p w14:paraId="0BDB830A" w14:textId="2EBEC84A" w:rsidR="00B66B81" w:rsidRPr="00377769" w:rsidRDefault="00B66B81" w:rsidP="00FB75C3">
      <w:pPr>
        <w:spacing w:line="360" w:lineRule="auto"/>
        <w:rPr>
          <w:rFonts w:ascii="Arial" w:hAnsi="Arial" w:cs="Arial"/>
        </w:rPr>
      </w:pPr>
      <w:r w:rsidRPr="00377769">
        <w:rPr>
          <w:rFonts w:ascii="Arial" w:hAnsi="Arial" w:cs="Arial"/>
        </w:rPr>
        <w:t xml:space="preserve">In some areas, local councils have had to cut back on non-urgent care packages or increase fees for home care services. This further </w:t>
      </w:r>
      <w:r w:rsidR="002536CF" w:rsidRPr="00377769">
        <w:rPr>
          <w:rFonts w:ascii="Arial" w:hAnsi="Arial" w:cs="Arial"/>
        </w:rPr>
        <w:t xml:space="preserve">marginalises vulnerable adults, especially those who rely on personal assistance or carers. According to the </w:t>
      </w:r>
      <w:r w:rsidR="002536CF" w:rsidRPr="00377769">
        <w:rPr>
          <w:rFonts w:ascii="Arial" w:hAnsi="Arial" w:cs="Arial"/>
          <w:b/>
          <w:bCs/>
        </w:rPr>
        <w:t>Nuffield Trust (2024),</w:t>
      </w:r>
      <w:r w:rsidR="002536CF" w:rsidRPr="00377769">
        <w:rPr>
          <w:rFonts w:ascii="Arial" w:hAnsi="Arial" w:cs="Arial"/>
        </w:rPr>
        <w:t xml:space="preserve"> the combined pressures of workforce shortages and rising living costs have made adult social care “unsustainable without urgent reform.”</w:t>
      </w:r>
    </w:p>
    <w:p w14:paraId="7DF51176" w14:textId="77777777" w:rsidR="00FB75C3" w:rsidRPr="00377769" w:rsidRDefault="00FB75C3" w:rsidP="00FB75C3">
      <w:pPr>
        <w:spacing w:line="360" w:lineRule="auto"/>
        <w:rPr>
          <w:rStyle w:val="Heading2Char"/>
          <w:rFonts w:cs="Arial"/>
        </w:rPr>
      </w:pPr>
      <w:bookmarkStart w:id="2" w:name="_Toc212640869"/>
    </w:p>
    <w:p w14:paraId="49036953" w14:textId="7F2BE6BB" w:rsidR="00C82FE1" w:rsidRPr="00377769" w:rsidRDefault="00C82FE1" w:rsidP="00FB75C3">
      <w:pPr>
        <w:spacing w:line="360" w:lineRule="auto"/>
        <w:rPr>
          <w:rFonts w:ascii="Arial" w:hAnsi="Arial" w:cs="Arial"/>
          <w:b/>
          <w:bCs/>
        </w:rPr>
      </w:pPr>
      <w:bookmarkStart w:id="3" w:name="_Toc212640871"/>
      <w:bookmarkEnd w:id="2"/>
      <w:r w:rsidRPr="00377769">
        <w:rPr>
          <w:rStyle w:val="Heading2Char"/>
          <w:rFonts w:cs="Arial"/>
        </w:rPr>
        <w:t>2.4 Research methodology</w:t>
      </w:r>
      <w:bookmarkEnd w:id="3"/>
      <w:r w:rsidRPr="00377769">
        <w:rPr>
          <w:rFonts w:ascii="Arial" w:hAnsi="Arial" w:cs="Arial"/>
          <w:b/>
          <w:bCs/>
        </w:rPr>
        <w:t xml:space="preserve"> </w:t>
      </w:r>
    </w:p>
    <w:p w14:paraId="2CE1CADC" w14:textId="77777777" w:rsidR="0019029B" w:rsidRPr="00377769" w:rsidRDefault="0019029B" w:rsidP="00FB75C3">
      <w:pPr>
        <w:spacing w:line="360" w:lineRule="auto"/>
        <w:rPr>
          <w:rFonts w:ascii="Arial" w:hAnsi="Arial" w:cs="Arial"/>
          <w:b/>
          <w:bCs/>
        </w:rPr>
      </w:pPr>
    </w:p>
    <w:p w14:paraId="60BB2564" w14:textId="10E7E3E7" w:rsidR="0019029B" w:rsidRPr="00377769" w:rsidRDefault="0019029B" w:rsidP="00FB75C3">
      <w:pPr>
        <w:spacing w:line="360" w:lineRule="auto"/>
        <w:rPr>
          <w:rFonts w:ascii="Arial" w:hAnsi="Arial" w:cs="Arial"/>
        </w:rPr>
      </w:pPr>
      <w:r w:rsidRPr="00377769">
        <w:rPr>
          <w:rFonts w:ascii="Arial" w:hAnsi="Arial" w:cs="Arial"/>
        </w:rPr>
        <w:t xml:space="preserve">To investigate the impact of the cost-of-living crisis on vulnerable adults, both the </w:t>
      </w:r>
      <w:r w:rsidRPr="00377769">
        <w:rPr>
          <w:rFonts w:ascii="Arial" w:hAnsi="Arial" w:cs="Arial"/>
          <w:b/>
          <w:bCs/>
        </w:rPr>
        <w:t>quantitative</w:t>
      </w:r>
      <w:r w:rsidRPr="00377769">
        <w:rPr>
          <w:rFonts w:ascii="Arial" w:hAnsi="Arial" w:cs="Arial"/>
        </w:rPr>
        <w:t xml:space="preserve"> and </w:t>
      </w:r>
      <w:r w:rsidRPr="00377769">
        <w:rPr>
          <w:rFonts w:ascii="Arial" w:hAnsi="Arial" w:cs="Arial"/>
          <w:b/>
          <w:bCs/>
        </w:rPr>
        <w:t>qualitative</w:t>
      </w:r>
      <w:r w:rsidRPr="00377769">
        <w:rPr>
          <w:rFonts w:ascii="Arial" w:hAnsi="Arial" w:cs="Arial"/>
        </w:rPr>
        <w:t xml:space="preserve"> research methods are suitable. </w:t>
      </w:r>
      <w:r w:rsidRPr="00377769">
        <w:rPr>
          <w:rFonts w:ascii="Arial" w:hAnsi="Arial" w:cs="Arial"/>
          <w:b/>
          <w:bCs/>
        </w:rPr>
        <w:t>A mixed-method approach</w:t>
      </w:r>
      <w:r w:rsidRPr="00377769">
        <w:rPr>
          <w:rFonts w:ascii="Arial" w:hAnsi="Arial" w:cs="Arial"/>
        </w:rPr>
        <w:t xml:space="preserve"> allows for more comprehensive understanding of how economic pressures affect individuals and services.</w:t>
      </w:r>
    </w:p>
    <w:p w14:paraId="5A86F37F" w14:textId="77777777" w:rsidR="0019029B" w:rsidRPr="00377769" w:rsidRDefault="0019029B" w:rsidP="00FB75C3">
      <w:pPr>
        <w:spacing w:line="360" w:lineRule="auto"/>
        <w:rPr>
          <w:rFonts w:ascii="Arial" w:hAnsi="Arial" w:cs="Arial"/>
        </w:rPr>
      </w:pPr>
    </w:p>
    <w:p w14:paraId="33C80DA6" w14:textId="5ADBC3B0" w:rsidR="0019029B" w:rsidRPr="00377769" w:rsidRDefault="0019029B" w:rsidP="00FB75C3">
      <w:pPr>
        <w:spacing w:line="360" w:lineRule="auto"/>
        <w:rPr>
          <w:rFonts w:ascii="Arial" w:hAnsi="Arial" w:cs="Arial"/>
        </w:rPr>
      </w:pPr>
      <w:r w:rsidRPr="00377769">
        <w:rPr>
          <w:rFonts w:ascii="Arial" w:hAnsi="Arial" w:cs="Arial"/>
          <w:b/>
          <w:bCs/>
        </w:rPr>
        <w:t>Quantitative methods</w:t>
      </w:r>
      <w:r w:rsidRPr="00377769">
        <w:rPr>
          <w:rFonts w:ascii="Arial" w:hAnsi="Arial" w:cs="Arial"/>
        </w:rPr>
        <w:t xml:space="preserve">, such as surveys or statistical analysis, can measure the extent of financial hardship, service use, and health outcomes. Data from the </w:t>
      </w:r>
      <w:r w:rsidRPr="00377769">
        <w:rPr>
          <w:rFonts w:ascii="Arial" w:hAnsi="Arial" w:cs="Arial"/>
          <w:b/>
          <w:bCs/>
        </w:rPr>
        <w:t>Office for National Statistics</w:t>
      </w:r>
      <w:r w:rsidRPr="00377769">
        <w:rPr>
          <w:rFonts w:ascii="Arial" w:hAnsi="Arial" w:cs="Arial"/>
        </w:rPr>
        <w:t xml:space="preserve"> and local authorities can provide large-scale evidence of trends in poverty and wellbeing. For example, national surveys on health inequalities can reveal how socioeconomic status influences mental and physical health during the cost-of-living crisis.</w:t>
      </w:r>
    </w:p>
    <w:p w14:paraId="5F1B402D" w14:textId="77777777" w:rsidR="0019029B" w:rsidRPr="00377769" w:rsidRDefault="0019029B" w:rsidP="00FB75C3">
      <w:pPr>
        <w:spacing w:line="360" w:lineRule="auto"/>
        <w:rPr>
          <w:rFonts w:ascii="Arial" w:hAnsi="Arial" w:cs="Arial"/>
          <w:b/>
          <w:bCs/>
        </w:rPr>
      </w:pPr>
    </w:p>
    <w:p w14:paraId="6794F682" w14:textId="4D1EA093" w:rsidR="0019029B" w:rsidRPr="00377769" w:rsidRDefault="006B3867" w:rsidP="00FB75C3">
      <w:pPr>
        <w:spacing w:line="360" w:lineRule="auto"/>
        <w:rPr>
          <w:rFonts w:ascii="Arial" w:hAnsi="Arial" w:cs="Arial"/>
        </w:rPr>
      </w:pPr>
      <w:r w:rsidRPr="00377769">
        <w:rPr>
          <w:rFonts w:ascii="Arial" w:hAnsi="Arial" w:cs="Arial"/>
          <w:b/>
          <w:bCs/>
        </w:rPr>
        <w:t>Qualitative methods</w:t>
      </w:r>
      <w:r w:rsidRPr="00377769">
        <w:rPr>
          <w:rFonts w:ascii="Arial" w:hAnsi="Arial" w:cs="Arial"/>
        </w:rPr>
        <w:t>, such as interviews or focus groups, can provide insight into lived experiences. By speaking directly with vulnerable adults, social workers, and care staff, researchers can explore emotional, psychological, and practical effects that numbers alone cannot capture. This approach aligns with social care values of empathy, inclusion, and understanding individual perspectives.</w:t>
      </w:r>
    </w:p>
    <w:p w14:paraId="2B2B9207" w14:textId="48443071" w:rsidR="006B3867" w:rsidRPr="00377769" w:rsidRDefault="006B3867" w:rsidP="00FB75C3">
      <w:pPr>
        <w:spacing w:line="360" w:lineRule="auto"/>
        <w:rPr>
          <w:rFonts w:ascii="Arial" w:hAnsi="Arial" w:cs="Arial"/>
        </w:rPr>
      </w:pPr>
      <w:r w:rsidRPr="00377769">
        <w:rPr>
          <w:rFonts w:ascii="Arial" w:hAnsi="Arial" w:cs="Arial"/>
        </w:rPr>
        <w:t xml:space="preserve">A </w:t>
      </w:r>
      <w:r w:rsidRPr="00377769">
        <w:rPr>
          <w:rFonts w:ascii="Arial" w:hAnsi="Arial" w:cs="Arial"/>
          <w:b/>
          <w:bCs/>
        </w:rPr>
        <w:t>case study</w:t>
      </w:r>
      <w:r w:rsidRPr="00377769">
        <w:rPr>
          <w:rFonts w:ascii="Arial" w:hAnsi="Arial" w:cs="Arial"/>
        </w:rPr>
        <w:t xml:space="preserve"> design could be particularly useful, focusing on a local authority or care service that supports vulnerable adults affected by the crisis. Combining data from policy documents, financial reports, and personal narratives would strengthen the reliability and validity of the research. Ethical considerations</w:t>
      </w:r>
      <w:r w:rsidR="00F21E19" w:rsidRPr="00377769">
        <w:rPr>
          <w:rFonts w:ascii="Arial" w:hAnsi="Arial" w:cs="Arial"/>
        </w:rPr>
        <w:t>, including confidentiality, informed consent, and sensitivity to emotional distress, are essential throughout the research process.</w:t>
      </w:r>
    </w:p>
    <w:p w14:paraId="0E27135C" w14:textId="48F2081A" w:rsidR="00C82FE1" w:rsidRPr="00377769" w:rsidRDefault="00C82FE1" w:rsidP="00F21E19">
      <w:pPr>
        <w:spacing w:line="360" w:lineRule="auto"/>
        <w:rPr>
          <w:rFonts w:ascii="Arial" w:hAnsi="Arial" w:cs="Arial"/>
        </w:rPr>
      </w:pPr>
    </w:p>
    <w:p w14:paraId="0C1E5E82" w14:textId="47EDEE37" w:rsidR="00C82FE1" w:rsidRPr="00377769" w:rsidRDefault="00C82FE1" w:rsidP="00F21E19">
      <w:pPr>
        <w:pStyle w:val="Heading1"/>
        <w:numPr>
          <w:ilvl w:val="0"/>
          <w:numId w:val="11"/>
        </w:numPr>
        <w:spacing w:line="360" w:lineRule="auto"/>
        <w:rPr>
          <w:rFonts w:cs="Arial"/>
        </w:rPr>
      </w:pPr>
      <w:bookmarkStart w:id="4" w:name="_Toc212640872"/>
      <w:r w:rsidRPr="00377769">
        <w:rPr>
          <w:rFonts w:cs="Arial"/>
        </w:rPr>
        <w:t>Data collection</w:t>
      </w:r>
      <w:bookmarkEnd w:id="4"/>
    </w:p>
    <w:p w14:paraId="5CB93332" w14:textId="4E6498EA" w:rsidR="00F21E19" w:rsidRPr="00377769" w:rsidRDefault="00F21E19" w:rsidP="00F21E19">
      <w:pPr>
        <w:rPr>
          <w:rFonts w:ascii="Arial" w:hAnsi="Arial" w:cs="Arial"/>
        </w:rPr>
      </w:pPr>
      <w:r w:rsidRPr="00377769">
        <w:rPr>
          <w:rFonts w:ascii="Arial" w:hAnsi="Arial" w:cs="Arial"/>
        </w:rPr>
        <w:t xml:space="preserve">Effective data collection is critical to ensuring the accuracy and credibility of research findings. Both </w:t>
      </w:r>
      <w:r w:rsidRPr="00377769">
        <w:rPr>
          <w:rFonts w:ascii="Arial" w:hAnsi="Arial" w:cs="Arial"/>
          <w:b/>
          <w:bCs/>
        </w:rPr>
        <w:t>primary</w:t>
      </w:r>
      <w:r w:rsidRPr="00377769">
        <w:rPr>
          <w:rFonts w:ascii="Arial" w:hAnsi="Arial" w:cs="Arial"/>
        </w:rPr>
        <w:t xml:space="preserve"> and </w:t>
      </w:r>
      <w:r w:rsidRPr="00377769">
        <w:rPr>
          <w:rFonts w:ascii="Arial" w:hAnsi="Arial" w:cs="Arial"/>
          <w:b/>
          <w:bCs/>
        </w:rPr>
        <w:t>secondary</w:t>
      </w:r>
      <w:r w:rsidRPr="00377769">
        <w:rPr>
          <w:rFonts w:ascii="Arial" w:hAnsi="Arial" w:cs="Arial"/>
        </w:rPr>
        <w:t xml:space="preserve"> data can be used to explore the cost-of-living crisis.</w:t>
      </w:r>
    </w:p>
    <w:p w14:paraId="5234089D" w14:textId="77777777" w:rsidR="00F21E19" w:rsidRPr="00377769" w:rsidRDefault="00F21E19" w:rsidP="00F21E19">
      <w:pPr>
        <w:rPr>
          <w:rFonts w:ascii="Arial" w:hAnsi="Arial" w:cs="Arial"/>
        </w:rPr>
      </w:pPr>
    </w:p>
    <w:p w14:paraId="4CE88E35" w14:textId="6B04E87C" w:rsidR="00F21E19" w:rsidRPr="00377769" w:rsidRDefault="00587662" w:rsidP="00F21E19">
      <w:pPr>
        <w:rPr>
          <w:rFonts w:ascii="Arial" w:hAnsi="Arial" w:cs="Arial"/>
        </w:rPr>
      </w:pPr>
      <w:r w:rsidRPr="00377769">
        <w:rPr>
          <w:rFonts w:ascii="Arial" w:hAnsi="Arial" w:cs="Arial"/>
          <w:b/>
          <w:bCs/>
        </w:rPr>
        <w:t xml:space="preserve">3.1  </w:t>
      </w:r>
      <w:r w:rsidR="00F21E19" w:rsidRPr="00377769">
        <w:rPr>
          <w:rFonts w:ascii="Arial" w:hAnsi="Arial" w:cs="Arial"/>
          <w:b/>
          <w:bCs/>
        </w:rPr>
        <w:t>Primary data</w:t>
      </w:r>
      <w:r w:rsidR="00F21E19" w:rsidRPr="00377769">
        <w:rPr>
          <w:rFonts w:ascii="Arial" w:hAnsi="Arial" w:cs="Arial"/>
        </w:rPr>
        <w:t xml:space="preserve"> could be gathered through structured interviews, questionnaires, or online surveys with participants such as social care users, carers, and service providers. Questions might focus on financial difficulties, changes in service access, or emotional wellbeing. The </w:t>
      </w:r>
      <w:r w:rsidR="00F21E19" w:rsidRPr="00377769">
        <w:rPr>
          <w:rFonts w:ascii="Arial" w:hAnsi="Arial" w:cs="Arial"/>
        </w:rPr>
        <w:lastRenderedPageBreak/>
        <w:t>advantage of this approach is that it provides firsthand, current experiences. However, it requires ethical approval, careful sampling, and sensitivity to vulnerable participants’ needs.</w:t>
      </w:r>
    </w:p>
    <w:p w14:paraId="771EACF4" w14:textId="40574DFD" w:rsidR="00FB7392" w:rsidRPr="00377769" w:rsidRDefault="00587662" w:rsidP="00F21E19">
      <w:pPr>
        <w:rPr>
          <w:rFonts w:ascii="Arial" w:hAnsi="Arial" w:cs="Arial"/>
        </w:rPr>
      </w:pPr>
      <w:r w:rsidRPr="00377769">
        <w:rPr>
          <w:rFonts w:ascii="Arial" w:hAnsi="Arial" w:cs="Arial"/>
          <w:b/>
          <w:bCs/>
        </w:rPr>
        <w:t xml:space="preserve">3.2  </w:t>
      </w:r>
      <w:r w:rsidR="00FB7392" w:rsidRPr="00377769">
        <w:rPr>
          <w:rFonts w:ascii="Arial" w:hAnsi="Arial" w:cs="Arial"/>
          <w:b/>
          <w:bCs/>
        </w:rPr>
        <w:t>Secondary data</w:t>
      </w:r>
      <w:r w:rsidR="00FB7392" w:rsidRPr="00377769">
        <w:rPr>
          <w:rFonts w:ascii="Arial" w:hAnsi="Arial" w:cs="Arial"/>
        </w:rPr>
        <w:t xml:space="preserve"> includes reports and statistics from reliable organisations like the </w:t>
      </w:r>
      <w:r w:rsidR="00FB7392" w:rsidRPr="00377769">
        <w:rPr>
          <w:rFonts w:ascii="Arial" w:hAnsi="Arial" w:cs="Arial"/>
          <w:b/>
          <w:bCs/>
        </w:rPr>
        <w:t>King’s Fund, Joseph Rowntree Foundation</w:t>
      </w:r>
      <w:r w:rsidR="00FB7392" w:rsidRPr="00377769">
        <w:rPr>
          <w:rFonts w:ascii="Arial" w:hAnsi="Arial" w:cs="Arial"/>
        </w:rPr>
        <w:t xml:space="preserve">, and </w:t>
      </w:r>
      <w:r w:rsidR="00FB7392" w:rsidRPr="00377769">
        <w:rPr>
          <w:rFonts w:ascii="Arial" w:hAnsi="Arial" w:cs="Arial"/>
          <w:b/>
          <w:bCs/>
        </w:rPr>
        <w:t>ONS</w:t>
      </w:r>
      <w:r w:rsidR="00FB7392" w:rsidRPr="00377769">
        <w:rPr>
          <w:rFonts w:ascii="Arial" w:hAnsi="Arial" w:cs="Arial"/>
        </w:rPr>
        <w:t>. This data is already publicly available and provides a trusted evidence base to compare with primary findings. Secondary sources help validate patterns, reveal national trends, and provide historical context.</w:t>
      </w:r>
    </w:p>
    <w:p w14:paraId="1510B74F" w14:textId="41CD3E4E" w:rsidR="00FB7392" w:rsidRPr="00377769" w:rsidRDefault="00FB7392" w:rsidP="00F21E19">
      <w:pPr>
        <w:rPr>
          <w:rFonts w:ascii="Arial" w:hAnsi="Arial" w:cs="Arial"/>
        </w:rPr>
      </w:pPr>
      <w:r w:rsidRPr="00377769">
        <w:rPr>
          <w:rFonts w:ascii="Arial" w:hAnsi="Arial" w:cs="Arial"/>
        </w:rPr>
        <w:t>Data analysis could combine descriptive statistics (for numerical data) and thematic analysis (for qualitative responses). This would help identify key themes such as increased poverty, reduced access to care, or mental health strain.</w:t>
      </w:r>
      <w:r w:rsidR="00BC6587" w:rsidRPr="00377769">
        <w:rPr>
          <w:rFonts w:ascii="Arial" w:hAnsi="Arial" w:cs="Arial"/>
        </w:rPr>
        <w:t xml:space="preserve"> Triangulating data from  multiple sources strengthens validity and ensures a balanced conclusion.</w:t>
      </w:r>
    </w:p>
    <w:p w14:paraId="09B0482C" w14:textId="693D6F07" w:rsidR="00BC6587" w:rsidRPr="00377769" w:rsidRDefault="00BC6587" w:rsidP="00F21E19">
      <w:pPr>
        <w:rPr>
          <w:rFonts w:ascii="Arial" w:hAnsi="Arial" w:cs="Arial"/>
        </w:rPr>
      </w:pPr>
      <w:r w:rsidRPr="00377769">
        <w:rPr>
          <w:rFonts w:ascii="Arial" w:hAnsi="Arial" w:cs="Arial"/>
        </w:rPr>
        <w:t>Researchers must also consider data protection laws, such as the UK GDPR, to maintain privacy and safeguard participants’ information. Transparency in how data is collected, stored, and analysed is essential to maintain public trust and academic integrity.</w:t>
      </w:r>
    </w:p>
    <w:p w14:paraId="2AB80310" w14:textId="4875235D" w:rsidR="00C82FE1" w:rsidRPr="00377769" w:rsidRDefault="00C82FE1" w:rsidP="00BC6587">
      <w:pPr>
        <w:spacing w:line="360" w:lineRule="auto"/>
        <w:rPr>
          <w:rFonts w:ascii="Arial" w:hAnsi="Arial" w:cs="Arial"/>
          <w:b/>
          <w:bCs/>
        </w:rPr>
      </w:pPr>
    </w:p>
    <w:p w14:paraId="7F00B31F" w14:textId="77777777" w:rsidR="00FB75C3" w:rsidRPr="00377769" w:rsidRDefault="00FB75C3" w:rsidP="00FB75C3">
      <w:pPr>
        <w:spacing w:line="360" w:lineRule="auto"/>
        <w:rPr>
          <w:rStyle w:val="Heading1Char"/>
          <w:rFonts w:cs="Arial"/>
        </w:rPr>
      </w:pPr>
      <w:bookmarkStart w:id="5" w:name="_Toc212640875"/>
    </w:p>
    <w:p w14:paraId="705A57FF" w14:textId="721DB65D" w:rsidR="00C82FE1" w:rsidRPr="00377769" w:rsidRDefault="00C82FE1" w:rsidP="00BC6587">
      <w:pPr>
        <w:pStyle w:val="ListParagraph"/>
        <w:numPr>
          <w:ilvl w:val="0"/>
          <w:numId w:val="11"/>
        </w:numPr>
        <w:spacing w:line="360" w:lineRule="auto"/>
        <w:rPr>
          <w:rFonts w:ascii="Arial" w:hAnsi="Arial" w:cs="Arial"/>
        </w:rPr>
      </w:pPr>
      <w:r w:rsidRPr="00377769">
        <w:rPr>
          <w:rStyle w:val="Heading1Char"/>
          <w:rFonts w:cs="Arial"/>
        </w:rPr>
        <w:t>Conclusion</w:t>
      </w:r>
      <w:bookmarkEnd w:id="5"/>
      <w:r w:rsidRPr="00377769">
        <w:rPr>
          <w:rFonts w:ascii="Arial" w:hAnsi="Arial" w:cs="Arial"/>
          <w:b/>
          <w:bCs/>
        </w:rPr>
        <w:t xml:space="preserve"> </w:t>
      </w:r>
    </w:p>
    <w:p w14:paraId="505AE9A8" w14:textId="4D3279A4" w:rsidR="00BC6587" w:rsidRPr="00377769" w:rsidRDefault="00BC6587" w:rsidP="00BC6587">
      <w:pPr>
        <w:spacing w:line="360" w:lineRule="auto"/>
        <w:rPr>
          <w:rFonts w:ascii="Arial" w:hAnsi="Arial" w:cs="Arial"/>
        </w:rPr>
      </w:pPr>
      <w:r w:rsidRPr="00377769">
        <w:rPr>
          <w:rFonts w:ascii="Arial" w:hAnsi="Arial" w:cs="Arial"/>
        </w:rPr>
        <w:t>The</w:t>
      </w:r>
      <w:r w:rsidRPr="00377769">
        <w:rPr>
          <w:rFonts w:ascii="Arial" w:hAnsi="Arial" w:cs="Arial"/>
          <w:b/>
          <w:bCs/>
        </w:rPr>
        <w:t xml:space="preserve"> </w:t>
      </w:r>
      <w:r w:rsidRPr="00377769">
        <w:rPr>
          <w:rFonts w:ascii="Arial" w:hAnsi="Arial" w:cs="Arial"/>
        </w:rPr>
        <w:t xml:space="preserve">cost-of-living crisis continues to deepen inequalities within the UK health and social care sector, disproportionately affecting vulnerable adults. Rising costs have led to worsening mental and physical health outcomes, reduced access to essential services, and </w:t>
      </w:r>
      <w:r w:rsidR="004D0636" w:rsidRPr="00377769">
        <w:rPr>
          <w:rFonts w:ascii="Arial" w:hAnsi="Arial" w:cs="Arial"/>
        </w:rPr>
        <w:t>growing pressure on an overstretched social care system</w:t>
      </w:r>
    </w:p>
    <w:p w14:paraId="2F8595C4" w14:textId="147AF7D7" w:rsidR="004D0636" w:rsidRPr="00377769" w:rsidRDefault="004D0636" w:rsidP="00BC6587">
      <w:pPr>
        <w:spacing w:line="360" w:lineRule="auto"/>
        <w:rPr>
          <w:rFonts w:ascii="Arial" w:hAnsi="Arial" w:cs="Arial"/>
        </w:rPr>
      </w:pPr>
      <w:r w:rsidRPr="00377769">
        <w:rPr>
          <w:rFonts w:ascii="Arial" w:hAnsi="Arial" w:cs="Arial"/>
        </w:rPr>
        <w:t xml:space="preserve">A mixed-method research approach can effectively explore both the measurable and emotional impacts of this issue, highlighting the urgent need for policy reform and better  funding for social care. The evidence from reputable organisations such as the </w:t>
      </w:r>
      <w:r w:rsidRPr="00377769">
        <w:rPr>
          <w:rFonts w:ascii="Arial" w:hAnsi="Arial" w:cs="Arial"/>
          <w:b/>
          <w:bCs/>
        </w:rPr>
        <w:t xml:space="preserve">King’s Fund, ONS, </w:t>
      </w:r>
      <w:r w:rsidRPr="00377769">
        <w:rPr>
          <w:rFonts w:ascii="Arial" w:hAnsi="Arial" w:cs="Arial"/>
        </w:rPr>
        <w:t>and</w:t>
      </w:r>
      <w:r w:rsidRPr="00377769">
        <w:rPr>
          <w:rFonts w:ascii="Arial" w:hAnsi="Arial" w:cs="Arial"/>
          <w:b/>
          <w:bCs/>
        </w:rPr>
        <w:t xml:space="preserve"> JRF </w:t>
      </w:r>
      <w:r w:rsidRPr="00377769">
        <w:rPr>
          <w:rFonts w:ascii="Arial" w:hAnsi="Arial" w:cs="Arial"/>
        </w:rPr>
        <w:t>underscores the link between poverty and poor health outcomes.</w:t>
      </w:r>
    </w:p>
    <w:p w14:paraId="26AD34B0" w14:textId="06D29941" w:rsidR="004D0636" w:rsidRPr="00377769" w:rsidRDefault="004D0636" w:rsidP="00BC6587">
      <w:pPr>
        <w:spacing w:line="360" w:lineRule="auto"/>
        <w:rPr>
          <w:rFonts w:ascii="Arial" w:hAnsi="Arial" w:cs="Arial"/>
        </w:rPr>
      </w:pPr>
      <w:r w:rsidRPr="00377769">
        <w:rPr>
          <w:rFonts w:ascii="Arial" w:hAnsi="Arial" w:cs="Arial"/>
        </w:rPr>
        <w:t>Addressing these challenges requires collaborative action from government, policymakers, and local care providers to build a fairer and more resilient support system for vulnerable adults. The findings of such research could help shape a more sustainable and compassionate social care practices across the UK.</w:t>
      </w:r>
    </w:p>
    <w:p w14:paraId="49F8A26A" w14:textId="77777777" w:rsidR="004D0636" w:rsidRDefault="004D0636" w:rsidP="00BC6587">
      <w:pPr>
        <w:spacing w:line="360" w:lineRule="auto"/>
        <w:rPr>
          <w:rFonts w:ascii="Arial" w:hAnsi="Arial" w:cs="Arial"/>
        </w:rPr>
      </w:pPr>
    </w:p>
    <w:p w14:paraId="3AFE7D99" w14:textId="77777777" w:rsidR="004D0636" w:rsidRDefault="004D0636" w:rsidP="00BC6587">
      <w:pPr>
        <w:spacing w:line="360" w:lineRule="auto"/>
        <w:rPr>
          <w:rFonts w:ascii="Arial" w:hAnsi="Arial" w:cs="Arial"/>
        </w:rPr>
      </w:pPr>
    </w:p>
    <w:p w14:paraId="3DC81085" w14:textId="77777777" w:rsidR="004D0636" w:rsidRDefault="004D0636" w:rsidP="00BC6587">
      <w:pPr>
        <w:spacing w:line="360" w:lineRule="auto"/>
        <w:rPr>
          <w:rFonts w:ascii="Arial" w:hAnsi="Arial" w:cs="Arial"/>
        </w:rPr>
      </w:pPr>
    </w:p>
    <w:p w14:paraId="77A47E51" w14:textId="77777777" w:rsidR="004D0636" w:rsidRDefault="004D0636" w:rsidP="00BC6587">
      <w:pPr>
        <w:spacing w:line="360" w:lineRule="auto"/>
        <w:rPr>
          <w:rFonts w:ascii="Arial" w:hAnsi="Arial" w:cs="Arial"/>
        </w:rPr>
      </w:pPr>
    </w:p>
    <w:p w14:paraId="0DF3E1DD" w14:textId="77777777" w:rsidR="004D0636" w:rsidRPr="004D0636" w:rsidRDefault="004D0636" w:rsidP="00BC6587">
      <w:pPr>
        <w:spacing w:line="360" w:lineRule="auto"/>
        <w:rPr>
          <w:rFonts w:ascii="Arial" w:hAnsi="Arial" w:cs="Arial"/>
        </w:rPr>
      </w:pPr>
    </w:p>
    <w:p w14:paraId="16A60884" w14:textId="61C5929E" w:rsidR="00C82FE1" w:rsidRDefault="00C82FE1" w:rsidP="00FB75C3">
      <w:pPr>
        <w:spacing w:line="360" w:lineRule="auto"/>
        <w:rPr>
          <w:rFonts w:ascii="Arial" w:hAnsi="Arial" w:cs="Arial"/>
        </w:rPr>
      </w:pPr>
    </w:p>
    <w:p w14:paraId="6EDD4E93" w14:textId="77777777" w:rsidR="00322395" w:rsidRPr="000F6387" w:rsidRDefault="00322395" w:rsidP="00FB75C3">
      <w:pPr>
        <w:spacing w:line="360" w:lineRule="auto"/>
        <w:rPr>
          <w:rFonts w:ascii="Arial" w:hAnsi="Arial" w:cs="Arial"/>
        </w:rPr>
      </w:pPr>
    </w:p>
    <w:p w14:paraId="7AA162AD" w14:textId="6AE6D250" w:rsidR="00C82FE1" w:rsidRDefault="00C82FE1" w:rsidP="004C43EE">
      <w:pPr>
        <w:pStyle w:val="Heading1"/>
        <w:numPr>
          <w:ilvl w:val="0"/>
          <w:numId w:val="11"/>
        </w:numPr>
        <w:spacing w:line="360" w:lineRule="auto"/>
      </w:pPr>
      <w:bookmarkStart w:id="6" w:name="_Toc212640876"/>
      <w:r w:rsidRPr="000F6387">
        <w:t>References</w:t>
      </w:r>
      <w:bookmarkEnd w:id="6"/>
    </w:p>
    <w:p w14:paraId="7D4F6BC8" w14:textId="7C2F41B4" w:rsidR="004C43EE" w:rsidRDefault="004C43EE" w:rsidP="004C43EE">
      <w:r>
        <w:t xml:space="preserve">Department of Health and Social Carer (2023) </w:t>
      </w:r>
      <w:r w:rsidRPr="004C43EE">
        <w:rPr>
          <w:i/>
          <w:iCs/>
        </w:rPr>
        <w:t>Adult social care reform</w:t>
      </w:r>
      <w:r>
        <w:t>. London: DHSC.</w:t>
      </w:r>
    </w:p>
    <w:p w14:paraId="2619C532" w14:textId="77777777" w:rsidR="004C43EE" w:rsidRDefault="004C43EE" w:rsidP="004C43EE"/>
    <w:p w14:paraId="61DA40C9" w14:textId="612EE521" w:rsidR="004C43EE" w:rsidRDefault="004C43EE" w:rsidP="004C43EE">
      <w:r>
        <w:t xml:space="preserve">Health Foundation (2023) </w:t>
      </w:r>
      <w:r w:rsidRPr="00011414">
        <w:rPr>
          <w:i/>
          <w:iCs/>
        </w:rPr>
        <w:t>Health inequalities and cost of living</w:t>
      </w:r>
      <w:r>
        <w:t>. Available at</w:t>
      </w:r>
      <w:r w:rsidR="00011414">
        <w:t>:</w:t>
      </w:r>
      <w:r>
        <w:t xml:space="preserve"> </w:t>
      </w:r>
      <w:hyperlink r:id="rId9" w:history="1">
        <w:r w:rsidRPr="00BD7B89">
          <w:rPr>
            <w:rStyle w:val="Hyperlink"/>
          </w:rPr>
          <w:t>https://www.health.org.uk</w:t>
        </w:r>
      </w:hyperlink>
      <w:r>
        <w:t xml:space="preserve"> </w:t>
      </w:r>
    </w:p>
    <w:p w14:paraId="4A293D61" w14:textId="77777777" w:rsidR="004C43EE" w:rsidRDefault="004C43EE" w:rsidP="004C43EE"/>
    <w:p w14:paraId="31E8666A" w14:textId="7CA16961" w:rsidR="004C43EE" w:rsidRDefault="00011414" w:rsidP="004C43EE">
      <w:r>
        <w:t xml:space="preserve">Joseph Rowntree Foundation (2024) </w:t>
      </w:r>
      <w:r w:rsidRPr="00011414">
        <w:rPr>
          <w:i/>
          <w:iCs/>
        </w:rPr>
        <w:t>Uk Poverty 2024 Report</w:t>
      </w:r>
      <w:r>
        <w:t>. York: JRF.</w:t>
      </w:r>
    </w:p>
    <w:p w14:paraId="6FDB7298" w14:textId="77777777" w:rsidR="00011414" w:rsidRDefault="00011414" w:rsidP="004C43EE"/>
    <w:p w14:paraId="28960B28" w14:textId="7EE39A3F" w:rsidR="00011414" w:rsidRDefault="00011414" w:rsidP="004C43EE">
      <w:r>
        <w:t xml:space="preserve">King’s Fund (2023) </w:t>
      </w:r>
      <w:r w:rsidRPr="00011414">
        <w:rPr>
          <w:i/>
          <w:iCs/>
        </w:rPr>
        <w:t>The impact of the cost-of-living crisis on social services</w:t>
      </w:r>
      <w:r>
        <w:t>. London: The King’s Fund.</w:t>
      </w:r>
    </w:p>
    <w:p w14:paraId="66F9F3B1" w14:textId="77777777" w:rsidR="00011414" w:rsidRDefault="00011414" w:rsidP="004C43EE"/>
    <w:p w14:paraId="386DD1C7" w14:textId="77777777" w:rsidR="00876C4E" w:rsidRDefault="00011414" w:rsidP="004C43EE">
      <w:r>
        <w:t xml:space="preserve">Nuffield Trust (2024) </w:t>
      </w:r>
      <w:r w:rsidRPr="00011414">
        <w:rPr>
          <w:i/>
          <w:iCs/>
        </w:rPr>
        <w:t>Workforce  pressures in adult social care</w:t>
      </w:r>
      <w:r>
        <w:t>. London: Nuffield Trust.</w:t>
      </w:r>
    </w:p>
    <w:p w14:paraId="20D41130" w14:textId="77777777" w:rsidR="00876C4E" w:rsidRDefault="00876C4E" w:rsidP="004C43EE"/>
    <w:p w14:paraId="03ADDA91" w14:textId="6E274EF5" w:rsidR="00011414" w:rsidRDefault="00011414" w:rsidP="004C43EE">
      <w:r w:rsidRPr="00011414">
        <w:t>Office for National Statistics</w:t>
      </w:r>
      <w:r w:rsidRPr="00011414">
        <w:t xml:space="preserve"> </w:t>
      </w:r>
      <w:r>
        <w:t xml:space="preserve">(2024) </w:t>
      </w:r>
      <w:r w:rsidRPr="00876C4E">
        <w:rPr>
          <w:i/>
          <w:iCs/>
        </w:rPr>
        <w:t>Impact of the cost of living on adults in Great Britain</w:t>
      </w:r>
      <w:r>
        <w:t>. London: ONS</w:t>
      </w:r>
      <w:r w:rsidR="00876C4E">
        <w:t>.</w:t>
      </w:r>
      <w:r>
        <w:t xml:space="preserve"> Available at: </w:t>
      </w:r>
      <w:hyperlink r:id="rId10" w:history="1">
        <w:r w:rsidRPr="00BD7B89">
          <w:rPr>
            <w:rStyle w:val="Hyperlink"/>
          </w:rPr>
          <w:t>https://www.ons.gov.uk</w:t>
        </w:r>
      </w:hyperlink>
      <w:r>
        <w:t xml:space="preserve"> </w:t>
      </w:r>
    </w:p>
    <w:p w14:paraId="00109216" w14:textId="77777777" w:rsidR="00011414" w:rsidRDefault="00011414" w:rsidP="004C43EE"/>
    <w:p w14:paraId="04FA04C4" w14:textId="0A74F14F" w:rsidR="00222839" w:rsidRPr="00676E35" w:rsidRDefault="00222839" w:rsidP="00FB75C3">
      <w:pPr>
        <w:spacing w:line="360" w:lineRule="auto"/>
        <w:rPr>
          <w:rFonts w:ascii="Arial" w:hAnsi="Arial" w:cs="Arial"/>
        </w:rPr>
      </w:pPr>
    </w:p>
    <w:p w14:paraId="6320F7FB" w14:textId="77777777" w:rsidR="00B83C72" w:rsidRPr="000F6387" w:rsidRDefault="00B83C72" w:rsidP="00FB75C3">
      <w:pPr>
        <w:spacing w:line="360" w:lineRule="auto"/>
        <w:rPr>
          <w:rFonts w:ascii="Arial" w:hAnsi="Arial" w:cs="Arial"/>
        </w:rPr>
      </w:pPr>
    </w:p>
    <w:sectPr w:rsidR="00B83C72" w:rsidRPr="000F638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E39D1" w14:textId="77777777" w:rsidR="00073E0B" w:rsidRDefault="00073E0B" w:rsidP="00C82FE1">
      <w:pPr>
        <w:spacing w:after="0" w:line="240" w:lineRule="auto"/>
      </w:pPr>
      <w:r>
        <w:separator/>
      </w:r>
    </w:p>
  </w:endnote>
  <w:endnote w:type="continuationSeparator" w:id="0">
    <w:p w14:paraId="74BE89B0" w14:textId="77777777" w:rsidR="00073E0B" w:rsidRDefault="00073E0B"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B847D" w14:textId="77777777" w:rsidR="00073E0B" w:rsidRDefault="00073E0B" w:rsidP="00C82FE1">
      <w:pPr>
        <w:spacing w:after="0" w:line="240" w:lineRule="auto"/>
      </w:pPr>
      <w:r>
        <w:separator/>
      </w:r>
    </w:p>
  </w:footnote>
  <w:footnote w:type="continuationSeparator" w:id="0">
    <w:p w14:paraId="72721D92" w14:textId="77777777" w:rsidR="00073E0B" w:rsidRDefault="00073E0B"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C0DC9"/>
    <w:multiLevelType w:val="multilevel"/>
    <w:tmpl w:val="31086422"/>
    <w:lvl w:ilvl="0">
      <w:start w:val="1"/>
      <w:numFmt w:val="decimal"/>
      <w:lvlText w:val="%1."/>
      <w:lvlJc w:val="left"/>
      <w:pPr>
        <w:ind w:left="720" w:hanging="360"/>
      </w:pPr>
      <w:rPr>
        <w:rFonts w:eastAsiaTheme="majorEastAsia" w:cstheme="majorBidi" w:hint="default"/>
        <w:color w:val="0F4761" w:themeColor="accent1" w:themeShade="BF"/>
      </w:rPr>
    </w:lvl>
    <w:lvl w:ilvl="1">
      <w:start w:val="1"/>
      <w:numFmt w:val="decimal"/>
      <w:isLgl/>
      <w:lvlText w:val="%1.%2"/>
      <w:lvlJc w:val="left"/>
      <w:pPr>
        <w:ind w:left="732" w:hanging="372"/>
      </w:pPr>
      <w:rPr>
        <w:rFonts w:eastAsiaTheme="majorEastAsia" w:cstheme="majorBidi" w:hint="default"/>
        <w:b w:val="0"/>
        <w:i/>
        <w:color w:val="0F4761" w:themeColor="accent1" w:themeShade="BF"/>
      </w:rPr>
    </w:lvl>
    <w:lvl w:ilvl="2">
      <w:start w:val="1"/>
      <w:numFmt w:val="decimal"/>
      <w:isLgl/>
      <w:lvlText w:val="%1.%2.%3"/>
      <w:lvlJc w:val="left"/>
      <w:pPr>
        <w:ind w:left="1080" w:hanging="720"/>
      </w:pPr>
      <w:rPr>
        <w:rFonts w:eastAsiaTheme="majorEastAsia" w:cstheme="majorBidi" w:hint="default"/>
        <w:b w:val="0"/>
        <w:i/>
        <w:color w:val="0F4761" w:themeColor="accent1" w:themeShade="BF"/>
      </w:rPr>
    </w:lvl>
    <w:lvl w:ilvl="3">
      <w:start w:val="1"/>
      <w:numFmt w:val="decimal"/>
      <w:isLgl/>
      <w:lvlText w:val="%1.%2.%3.%4"/>
      <w:lvlJc w:val="left"/>
      <w:pPr>
        <w:ind w:left="1080" w:hanging="720"/>
      </w:pPr>
      <w:rPr>
        <w:rFonts w:eastAsiaTheme="majorEastAsia" w:cstheme="majorBidi" w:hint="default"/>
        <w:b w:val="0"/>
        <w:i/>
        <w:color w:val="0F4761" w:themeColor="accent1" w:themeShade="BF"/>
      </w:rPr>
    </w:lvl>
    <w:lvl w:ilvl="4">
      <w:start w:val="1"/>
      <w:numFmt w:val="decimal"/>
      <w:isLgl/>
      <w:lvlText w:val="%1.%2.%3.%4.%5"/>
      <w:lvlJc w:val="left"/>
      <w:pPr>
        <w:ind w:left="1440" w:hanging="1080"/>
      </w:pPr>
      <w:rPr>
        <w:rFonts w:eastAsiaTheme="majorEastAsia" w:cstheme="majorBidi" w:hint="default"/>
        <w:b w:val="0"/>
        <w:i/>
        <w:color w:val="0F4761" w:themeColor="accent1" w:themeShade="BF"/>
      </w:rPr>
    </w:lvl>
    <w:lvl w:ilvl="5">
      <w:start w:val="1"/>
      <w:numFmt w:val="decimal"/>
      <w:isLgl/>
      <w:lvlText w:val="%1.%2.%3.%4.%5.%6"/>
      <w:lvlJc w:val="left"/>
      <w:pPr>
        <w:ind w:left="1440" w:hanging="1080"/>
      </w:pPr>
      <w:rPr>
        <w:rFonts w:eastAsiaTheme="majorEastAsia" w:cstheme="majorBidi" w:hint="default"/>
        <w:b w:val="0"/>
        <w:i/>
        <w:color w:val="0F4761" w:themeColor="accent1" w:themeShade="BF"/>
      </w:rPr>
    </w:lvl>
    <w:lvl w:ilvl="6">
      <w:start w:val="1"/>
      <w:numFmt w:val="decimal"/>
      <w:isLgl/>
      <w:lvlText w:val="%1.%2.%3.%4.%5.%6.%7"/>
      <w:lvlJc w:val="left"/>
      <w:pPr>
        <w:ind w:left="1800" w:hanging="1440"/>
      </w:pPr>
      <w:rPr>
        <w:rFonts w:eastAsiaTheme="majorEastAsia" w:cstheme="majorBidi" w:hint="default"/>
        <w:b w:val="0"/>
        <w:i/>
        <w:color w:val="0F4761" w:themeColor="accent1" w:themeShade="BF"/>
      </w:rPr>
    </w:lvl>
    <w:lvl w:ilvl="7">
      <w:start w:val="1"/>
      <w:numFmt w:val="decimal"/>
      <w:isLgl/>
      <w:lvlText w:val="%1.%2.%3.%4.%5.%6.%7.%8"/>
      <w:lvlJc w:val="left"/>
      <w:pPr>
        <w:ind w:left="1800" w:hanging="1440"/>
      </w:pPr>
      <w:rPr>
        <w:rFonts w:eastAsiaTheme="majorEastAsia" w:cstheme="majorBidi" w:hint="default"/>
        <w:b w:val="0"/>
        <w:i/>
        <w:color w:val="0F4761" w:themeColor="accent1" w:themeShade="BF"/>
      </w:rPr>
    </w:lvl>
    <w:lvl w:ilvl="8">
      <w:start w:val="1"/>
      <w:numFmt w:val="decimal"/>
      <w:isLgl/>
      <w:lvlText w:val="%1.%2.%3.%4.%5.%6.%7.%8.%9"/>
      <w:lvlJc w:val="left"/>
      <w:pPr>
        <w:ind w:left="2160" w:hanging="1800"/>
      </w:pPr>
      <w:rPr>
        <w:rFonts w:eastAsiaTheme="majorEastAsia" w:cstheme="majorBidi" w:hint="default"/>
        <w:b w:val="0"/>
        <w:i/>
        <w:color w:val="0F4761" w:themeColor="accent1" w:themeShade="BF"/>
      </w:r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5"/>
  </w:num>
  <w:num w:numId="2" w16cid:durableId="142504706">
    <w:abstractNumId w:val="8"/>
  </w:num>
  <w:num w:numId="3" w16cid:durableId="1084103864">
    <w:abstractNumId w:val="9"/>
  </w:num>
  <w:num w:numId="4" w16cid:durableId="134375611">
    <w:abstractNumId w:val="10"/>
  </w:num>
  <w:num w:numId="5" w16cid:durableId="1915161953">
    <w:abstractNumId w:val="3"/>
  </w:num>
  <w:num w:numId="6" w16cid:durableId="306203730">
    <w:abstractNumId w:val="0"/>
  </w:num>
  <w:num w:numId="7" w16cid:durableId="947128791">
    <w:abstractNumId w:val="6"/>
  </w:num>
  <w:num w:numId="8" w16cid:durableId="693842974">
    <w:abstractNumId w:val="7"/>
  </w:num>
  <w:num w:numId="9" w16cid:durableId="584269751">
    <w:abstractNumId w:val="4"/>
  </w:num>
  <w:num w:numId="10" w16cid:durableId="1716348778">
    <w:abstractNumId w:val="1"/>
  </w:num>
  <w:num w:numId="11" w16cid:durableId="18790777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11414"/>
    <w:rsid w:val="00073E0B"/>
    <w:rsid w:val="00075320"/>
    <w:rsid w:val="000F6387"/>
    <w:rsid w:val="00121C00"/>
    <w:rsid w:val="00137DD2"/>
    <w:rsid w:val="0019029B"/>
    <w:rsid w:val="001C372A"/>
    <w:rsid w:val="002037BB"/>
    <w:rsid w:val="00222839"/>
    <w:rsid w:val="002536CF"/>
    <w:rsid w:val="002A0A3D"/>
    <w:rsid w:val="002C0121"/>
    <w:rsid w:val="002E1784"/>
    <w:rsid w:val="00322395"/>
    <w:rsid w:val="003702BA"/>
    <w:rsid w:val="00377769"/>
    <w:rsid w:val="003C1E35"/>
    <w:rsid w:val="004C43EE"/>
    <w:rsid w:val="004D0636"/>
    <w:rsid w:val="004D4C67"/>
    <w:rsid w:val="00512D76"/>
    <w:rsid w:val="00547694"/>
    <w:rsid w:val="00587662"/>
    <w:rsid w:val="00676E35"/>
    <w:rsid w:val="006A6F65"/>
    <w:rsid w:val="006B3867"/>
    <w:rsid w:val="007A078E"/>
    <w:rsid w:val="007F4D37"/>
    <w:rsid w:val="00803F9D"/>
    <w:rsid w:val="00811DD7"/>
    <w:rsid w:val="00876C4E"/>
    <w:rsid w:val="008775D1"/>
    <w:rsid w:val="00897B3B"/>
    <w:rsid w:val="00905DE6"/>
    <w:rsid w:val="00982720"/>
    <w:rsid w:val="0098372B"/>
    <w:rsid w:val="009C6657"/>
    <w:rsid w:val="009E56A6"/>
    <w:rsid w:val="00A97A7C"/>
    <w:rsid w:val="00AF492A"/>
    <w:rsid w:val="00B37DF9"/>
    <w:rsid w:val="00B66B81"/>
    <w:rsid w:val="00B83C72"/>
    <w:rsid w:val="00BC6587"/>
    <w:rsid w:val="00BD0CEC"/>
    <w:rsid w:val="00C82FE1"/>
    <w:rsid w:val="00D35E97"/>
    <w:rsid w:val="00D47902"/>
    <w:rsid w:val="00D57220"/>
    <w:rsid w:val="00E57497"/>
    <w:rsid w:val="00F21E19"/>
    <w:rsid w:val="00F52ECF"/>
    <w:rsid w:val="00F567A3"/>
    <w:rsid w:val="00FB5D7C"/>
    <w:rsid w:val="00FB7392"/>
    <w:rsid w:val="00FB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4C4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hyperlink" Target="https://www.health.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1628</Words>
  <Characters>9285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Nicolette Franchesta Ramsay (2412969)</cp:lastModifiedBy>
  <cp:revision>3</cp:revision>
  <cp:lastPrinted>2025-03-06T15:22:00Z</cp:lastPrinted>
  <dcterms:created xsi:type="dcterms:W3CDTF">2025-11-02T21:16:00Z</dcterms:created>
  <dcterms:modified xsi:type="dcterms:W3CDTF">2025-11-09T21:39:00Z</dcterms:modified>
</cp:coreProperties>
</file>