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3982E9AB" w:rsidR="00EB12BC" w:rsidRPr="00ED060A" w:rsidRDefault="00EB12BC" w:rsidP="00ED060A">
      <w:pPr>
        <w:tabs>
          <w:tab w:val="left" w:pos="6540"/>
        </w:tabs>
        <w:spacing w:line="360" w:lineRule="auto"/>
        <w:rPr>
          <w:rFonts w:ascii="Arial" w:hAnsi="Arial" w:cs="Arial"/>
          <w:szCs w:val="24"/>
          <w:lang w:val="nl-NL"/>
        </w:rPr>
      </w:pPr>
      <w:r w:rsidRPr="00ED060A">
        <w:rPr>
          <w:rFonts w:ascii="Arial" w:hAnsi="Arial" w:cs="Arial"/>
          <w:b/>
          <w:bCs/>
          <w:szCs w:val="24"/>
          <w:lang w:val="nl-NL"/>
        </w:rPr>
        <w:t>Student name</w:t>
      </w:r>
      <w:r w:rsidRPr="00ED060A">
        <w:rPr>
          <w:rFonts w:ascii="Arial" w:hAnsi="Arial" w:cs="Arial"/>
          <w:szCs w:val="24"/>
          <w:lang w:val="nl-NL"/>
        </w:rPr>
        <w:t>:</w:t>
      </w:r>
      <w:r w:rsidR="00462993" w:rsidRPr="00ED060A">
        <w:rPr>
          <w:rFonts w:ascii="Arial" w:hAnsi="Arial" w:cs="Arial"/>
          <w:szCs w:val="24"/>
          <w:lang w:val="nl-NL"/>
        </w:rPr>
        <w:t xml:space="preserve"> Aissata Camara</w:t>
      </w:r>
    </w:p>
    <w:p w14:paraId="3C83A8A7" w14:textId="6773506D" w:rsidR="00EB12BC" w:rsidRPr="00ED060A" w:rsidRDefault="00EB12BC" w:rsidP="00ED060A">
      <w:pPr>
        <w:tabs>
          <w:tab w:val="left" w:pos="6540"/>
        </w:tabs>
        <w:spacing w:line="360" w:lineRule="auto"/>
        <w:rPr>
          <w:rFonts w:ascii="Arial" w:hAnsi="Arial" w:cs="Arial"/>
          <w:szCs w:val="24"/>
          <w:lang w:val="nl-NL"/>
        </w:rPr>
      </w:pPr>
      <w:r w:rsidRPr="00ED060A">
        <w:rPr>
          <w:rFonts w:ascii="Arial" w:hAnsi="Arial" w:cs="Arial"/>
          <w:b/>
          <w:bCs/>
          <w:szCs w:val="24"/>
          <w:lang w:val="nl-NL"/>
        </w:rPr>
        <w:t>Student ID</w:t>
      </w:r>
      <w:r w:rsidRPr="00ED060A">
        <w:rPr>
          <w:rFonts w:ascii="Arial" w:hAnsi="Arial" w:cs="Arial"/>
          <w:szCs w:val="24"/>
          <w:lang w:val="nl-NL"/>
        </w:rPr>
        <w:t>:</w:t>
      </w:r>
      <w:r w:rsidR="00462993" w:rsidRPr="00ED060A">
        <w:rPr>
          <w:rFonts w:ascii="Arial" w:hAnsi="Arial" w:cs="Arial"/>
          <w:szCs w:val="24"/>
          <w:lang w:val="nl-NL"/>
        </w:rPr>
        <w:t xml:space="preserve"> 2424904</w:t>
      </w:r>
    </w:p>
    <w:p w14:paraId="21E9DC72" w14:textId="77777777" w:rsidR="00EB12BC" w:rsidRPr="00ED060A" w:rsidRDefault="00EB12BC" w:rsidP="00ED060A">
      <w:pPr>
        <w:tabs>
          <w:tab w:val="left" w:pos="6540"/>
        </w:tabs>
        <w:spacing w:line="360" w:lineRule="auto"/>
        <w:rPr>
          <w:rFonts w:ascii="Arial" w:hAnsi="Arial" w:cs="Arial"/>
          <w:szCs w:val="24"/>
          <w:lang w:val="nl-NL"/>
        </w:rPr>
      </w:pPr>
    </w:p>
    <w:p w14:paraId="23BAC9B9" w14:textId="0632DE38" w:rsidR="00EB12BC" w:rsidRPr="00ED060A" w:rsidRDefault="00EB12BC" w:rsidP="00ED060A">
      <w:pPr>
        <w:tabs>
          <w:tab w:val="left" w:pos="6540"/>
        </w:tabs>
        <w:spacing w:line="360" w:lineRule="auto"/>
        <w:rPr>
          <w:rFonts w:ascii="Arial" w:hAnsi="Arial" w:cs="Arial"/>
          <w:szCs w:val="24"/>
          <w:lang w:val="nl-NL"/>
        </w:rPr>
      </w:pPr>
      <w:r w:rsidRPr="00ED060A">
        <w:rPr>
          <w:rFonts w:ascii="Arial" w:hAnsi="Arial" w:cs="Arial"/>
          <w:b/>
          <w:bCs/>
          <w:szCs w:val="24"/>
          <w:lang w:val="nl-NL"/>
        </w:rPr>
        <w:t>Module name</w:t>
      </w:r>
      <w:r w:rsidRPr="00ED060A">
        <w:rPr>
          <w:rFonts w:ascii="Arial" w:hAnsi="Arial" w:cs="Arial"/>
          <w:szCs w:val="24"/>
          <w:lang w:val="nl-NL"/>
        </w:rPr>
        <w:t xml:space="preserve">: </w:t>
      </w:r>
      <w:r w:rsidR="00462993" w:rsidRPr="00ED060A">
        <w:rPr>
          <w:rFonts w:ascii="Arial" w:hAnsi="Arial" w:cs="Arial"/>
          <w:szCs w:val="24"/>
          <w:lang w:val="nl-NL"/>
        </w:rPr>
        <w:t>Introduction to physiology</w:t>
      </w:r>
    </w:p>
    <w:p w14:paraId="4FD97C8C" w14:textId="26262BEB" w:rsidR="00EB12BC" w:rsidRPr="00ED060A" w:rsidRDefault="00EB12BC" w:rsidP="00ED060A">
      <w:pPr>
        <w:tabs>
          <w:tab w:val="left" w:pos="6540"/>
        </w:tabs>
        <w:spacing w:line="360" w:lineRule="auto"/>
        <w:rPr>
          <w:rFonts w:ascii="Arial" w:hAnsi="Arial" w:cs="Arial"/>
          <w:szCs w:val="24"/>
        </w:rPr>
      </w:pPr>
      <w:r w:rsidRPr="00ED060A">
        <w:rPr>
          <w:rFonts w:ascii="Arial" w:hAnsi="Arial" w:cs="Arial"/>
          <w:b/>
          <w:bCs/>
          <w:szCs w:val="24"/>
        </w:rPr>
        <w:t>Module code</w:t>
      </w:r>
      <w:r w:rsidRPr="00ED060A">
        <w:rPr>
          <w:rFonts w:ascii="Arial" w:hAnsi="Arial" w:cs="Arial"/>
          <w:szCs w:val="24"/>
        </w:rPr>
        <w:t>:</w:t>
      </w:r>
      <w:r w:rsidR="00462993" w:rsidRPr="00ED060A">
        <w:rPr>
          <w:rFonts w:ascii="Arial" w:hAnsi="Arial" w:cs="Arial"/>
          <w:szCs w:val="24"/>
        </w:rPr>
        <w:t xml:space="preserve"> BMHP5023</w:t>
      </w:r>
    </w:p>
    <w:p w14:paraId="658BE57E" w14:textId="25CDB7CE" w:rsidR="00EB12BC" w:rsidRPr="00ED060A" w:rsidRDefault="00EB12BC" w:rsidP="00ED060A">
      <w:pPr>
        <w:tabs>
          <w:tab w:val="left" w:pos="6540"/>
        </w:tabs>
        <w:spacing w:line="360" w:lineRule="auto"/>
        <w:rPr>
          <w:rFonts w:ascii="Arial" w:hAnsi="Arial" w:cs="Arial"/>
          <w:szCs w:val="24"/>
        </w:rPr>
      </w:pPr>
      <w:r w:rsidRPr="00ED060A">
        <w:rPr>
          <w:rFonts w:ascii="Arial" w:hAnsi="Arial" w:cs="Arial"/>
          <w:b/>
          <w:bCs/>
          <w:szCs w:val="24"/>
        </w:rPr>
        <w:t>Lecturer name</w:t>
      </w:r>
      <w:r w:rsidRPr="00ED060A">
        <w:rPr>
          <w:rFonts w:ascii="Arial" w:hAnsi="Arial" w:cs="Arial"/>
          <w:szCs w:val="24"/>
        </w:rPr>
        <w:t>:</w:t>
      </w:r>
      <w:r w:rsidR="00462993" w:rsidRPr="00ED060A">
        <w:rPr>
          <w:rFonts w:ascii="Arial" w:hAnsi="Arial" w:cs="Arial"/>
          <w:szCs w:val="24"/>
        </w:rPr>
        <w:t xml:space="preserve"> Shaila Hussain </w:t>
      </w:r>
    </w:p>
    <w:p w14:paraId="5AFF31F9" w14:textId="77777777" w:rsidR="001B7A40" w:rsidRPr="00ED060A" w:rsidRDefault="001B7A40" w:rsidP="00ED060A">
      <w:pPr>
        <w:tabs>
          <w:tab w:val="left" w:pos="6540"/>
        </w:tabs>
        <w:spacing w:line="360" w:lineRule="auto"/>
        <w:rPr>
          <w:rFonts w:ascii="Arial" w:hAnsi="Arial" w:cs="Arial"/>
          <w:b/>
          <w:bCs/>
          <w:szCs w:val="24"/>
        </w:rPr>
      </w:pPr>
    </w:p>
    <w:p w14:paraId="07A117DB" w14:textId="77777777" w:rsidR="00ED060A" w:rsidRDefault="00ED060A" w:rsidP="00ED060A">
      <w:pPr>
        <w:tabs>
          <w:tab w:val="left" w:pos="6540"/>
        </w:tabs>
        <w:spacing w:line="360" w:lineRule="auto"/>
        <w:rPr>
          <w:rFonts w:ascii="Arial" w:hAnsi="Arial" w:cs="Arial"/>
          <w:b/>
          <w:bCs/>
          <w:szCs w:val="24"/>
        </w:rPr>
      </w:pPr>
    </w:p>
    <w:p w14:paraId="4E3F084C" w14:textId="77777777" w:rsidR="00ED060A" w:rsidRDefault="00ED060A" w:rsidP="00ED060A">
      <w:pPr>
        <w:tabs>
          <w:tab w:val="left" w:pos="6540"/>
        </w:tabs>
        <w:spacing w:line="360" w:lineRule="auto"/>
        <w:rPr>
          <w:rFonts w:ascii="Arial" w:hAnsi="Arial" w:cs="Arial"/>
          <w:b/>
          <w:bCs/>
          <w:szCs w:val="24"/>
        </w:rPr>
      </w:pPr>
    </w:p>
    <w:p w14:paraId="7E8485BF" w14:textId="77777777" w:rsidR="00ED060A" w:rsidRDefault="00ED060A" w:rsidP="00ED060A">
      <w:pPr>
        <w:tabs>
          <w:tab w:val="left" w:pos="6540"/>
        </w:tabs>
        <w:spacing w:line="360" w:lineRule="auto"/>
        <w:rPr>
          <w:rFonts w:ascii="Arial" w:hAnsi="Arial" w:cs="Arial"/>
          <w:b/>
          <w:bCs/>
          <w:szCs w:val="24"/>
        </w:rPr>
      </w:pPr>
    </w:p>
    <w:p w14:paraId="0B0EA594" w14:textId="77777777" w:rsidR="00ED060A" w:rsidRDefault="00ED060A" w:rsidP="00ED060A">
      <w:pPr>
        <w:tabs>
          <w:tab w:val="left" w:pos="6540"/>
        </w:tabs>
        <w:spacing w:line="360" w:lineRule="auto"/>
        <w:rPr>
          <w:rFonts w:ascii="Arial" w:hAnsi="Arial" w:cs="Arial"/>
          <w:b/>
          <w:bCs/>
          <w:szCs w:val="24"/>
        </w:rPr>
      </w:pPr>
    </w:p>
    <w:p w14:paraId="3E0AFF9A" w14:textId="77777777" w:rsidR="00ED060A" w:rsidRDefault="00ED060A" w:rsidP="00ED060A">
      <w:pPr>
        <w:tabs>
          <w:tab w:val="left" w:pos="6540"/>
        </w:tabs>
        <w:spacing w:line="360" w:lineRule="auto"/>
        <w:rPr>
          <w:rFonts w:ascii="Arial" w:hAnsi="Arial" w:cs="Arial"/>
          <w:b/>
          <w:bCs/>
          <w:szCs w:val="24"/>
        </w:rPr>
      </w:pPr>
    </w:p>
    <w:p w14:paraId="5F79C127" w14:textId="77777777" w:rsidR="00ED060A" w:rsidRDefault="00ED060A" w:rsidP="00ED060A">
      <w:pPr>
        <w:tabs>
          <w:tab w:val="left" w:pos="6540"/>
        </w:tabs>
        <w:spacing w:line="360" w:lineRule="auto"/>
        <w:rPr>
          <w:rFonts w:ascii="Arial" w:hAnsi="Arial" w:cs="Arial"/>
          <w:b/>
          <w:bCs/>
          <w:szCs w:val="24"/>
        </w:rPr>
      </w:pPr>
    </w:p>
    <w:p w14:paraId="101174A3" w14:textId="77777777" w:rsidR="00ED060A" w:rsidRDefault="00ED060A" w:rsidP="00ED060A">
      <w:pPr>
        <w:tabs>
          <w:tab w:val="left" w:pos="6540"/>
        </w:tabs>
        <w:spacing w:line="360" w:lineRule="auto"/>
        <w:rPr>
          <w:rFonts w:ascii="Arial" w:hAnsi="Arial" w:cs="Arial"/>
          <w:b/>
          <w:bCs/>
          <w:szCs w:val="24"/>
        </w:rPr>
      </w:pPr>
    </w:p>
    <w:p w14:paraId="04DC0193" w14:textId="77777777" w:rsidR="00ED060A" w:rsidRDefault="00ED060A" w:rsidP="00ED060A">
      <w:pPr>
        <w:tabs>
          <w:tab w:val="left" w:pos="6540"/>
        </w:tabs>
        <w:spacing w:line="360" w:lineRule="auto"/>
        <w:rPr>
          <w:rFonts w:ascii="Arial" w:hAnsi="Arial" w:cs="Arial"/>
          <w:b/>
          <w:bCs/>
          <w:szCs w:val="24"/>
        </w:rPr>
      </w:pPr>
    </w:p>
    <w:p w14:paraId="1A778933" w14:textId="77777777" w:rsidR="00ED060A" w:rsidRDefault="00ED060A" w:rsidP="00ED060A">
      <w:pPr>
        <w:tabs>
          <w:tab w:val="left" w:pos="6540"/>
        </w:tabs>
        <w:spacing w:line="360" w:lineRule="auto"/>
        <w:rPr>
          <w:rFonts w:ascii="Arial" w:hAnsi="Arial" w:cs="Arial"/>
          <w:b/>
          <w:bCs/>
          <w:szCs w:val="24"/>
        </w:rPr>
      </w:pPr>
    </w:p>
    <w:p w14:paraId="3549E37E" w14:textId="77777777" w:rsidR="00ED060A" w:rsidRDefault="00ED060A" w:rsidP="00ED060A">
      <w:pPr>
        <w:tabs>
          <w:tab w:val="left" w:pos="6540"/>
        </w:tabs>
        <w:spacing w:line="360" w:lineRule="auto"/>
        <w:rPr>
          <w:rFonts w:ascii="Arial" w:hAnsi="Arial" w:cs="Arial"/>
          <w:b/>
          <w:bCs/>
          <w:szCs w:val="24"/>
        </w:rPr>
      </w:pPr>
    </w:p>
    <w:p w14:paraId="6C3580A3" w14:textId="77777777" w:rsidR="00ED060A" w:rsidRDefault="00ED060A" w:rsidP="00ED060A">
      <w:pPr>
        <w:tabs>
          <w:tab w:val="left" w:pos="6540"/>
        </w:tabs>
        <w:spacing w:line="360" w:lineRule="auto"/>
        <w:rPr>
          <w:rFonts w:ascii="Arial" w:hAnsi="Arial" w:cs="Arial"/>
          <w:b/>
          <w:bCs/>
          <w:szCs w:val="24"/>
        </w:rPr>
      </w:pPr>
    </w:p>
    <w:p w14:paraId="7737A3B9" w14:textId="77777777" w:rsidR="00ED060A" w:rsidRDefault="00ED060A" w:rsidP="00ED060A">
      <w:pPr>
        <w:tabs>
          <w:tab w:val="left" w:pos="6540"/>
        </w:tabs>
        <w:spacing w:line="360" w:lineRule="auto"/>
        <w:rPr>
          <w:rFonts w:ascii="Arial" w:hAnsi="Arial" w:cs="Arial"/>
          <w:b/>
          <w:bCs/>
          <w:szCs w:val="24"/>
        </w:rPr>
      </w:pPr>
    </w:p>
    <w:p w14:paraId="53B923F4" w14:textId="5B94D18B" w:rsidR="001B7A40" w:rsidRPr="00ED060A" w:rsidRDefault="001B7A40" w:rsidP="00ED060A">
      <w:pPr>
        <w:tabs>
          <w:tab w:val="left" w:pos="6540"/>
        </w:tabs>
        <w:spacing w:line="360" w:lineRule="auto"/>
        <w:rPr>
          <w:rFonts w:ascii="Arial" w:hAnsi="Arial" w:cs="Arial"/>
          <w:b/>
          <w:bCs/>
          <w:szCs w:val="24"/>
        </w:rPr>
      </w:pPr>
      <w:r w:rsidRPr="00ED060A">
        <w:rPr>
          <w:rFonts w:ascii="Arial" w:hAnsi="Arial" w:cs="Arial"/>
          <w:b/>
          <w:bCs/>
          <w:szCs w:val="24"/>
        </w:rPr>
        <w:t xml:space="preserve">Assessment: </w:t>
      </w:r>
    </w:p>
    <w:p w14:paraId="77C325A7" w14:textId="77777777" w:rsidR="00462993" w:rsidRPr="002D27FB" w:rsidRDefault="00462993" w:rsidP="00ED060A">
      <w:pPr>
        <w:tabs>
          <w:tab w:val="left" w:pos="6540"/>
        </w:tabs>
        <w:spacing w:line="360" w:lineRule="auto"/>
        <w:rPr>
          <w:rFonts w:ascii="Arial" w:hAnsi="Arial" w:cs="Arial"/>
          <w:szCs w:val="24"/>
        </w:rPr>
      </w:pPr>
    </w:p>
    <w:p w14:paraId="7EA480E8" w14:textId="2AA22957" w:rsidR="00462993" w:rsidRPr="002D27FB" w:rsidRDefault="00462993" w:rsidP="00ED060A">
      <w:pPr>
        <w:spacing w:line="360" w:lineRule="auto"/>
        <w:rPr>
          <w:rFonts w:ascii="Arial" w:hAnsi="Arial" w:cs="Arial"/>
          <w:szCs w:val="24"/>
        </w:rPr>
      </w:pPr>
      <w:r w:rsidRPr="002D27FB">
        <w:rPr>
          <w:rFonts w:ascii="Arial" w:hAnsi="Arial" w:cs="Arial"/>
          <w:szCs w:val="24"/>
        </w:rPr>
        <w:t>Diabetes mellitus is a chronic metabolic disorder characterised by elevated blood glucose levels resulting from inadequate insulin production, impaired insulin action, or both. Type 2 diabetes mellitus (T2DM) is the most common form, accounting for approximately 90–95% of diabetes cases worldwide. It develops when body tissues become resistant to insulin and the pancreas cannot produce enough insulin to maintain normal blood glucose levels. Persistent hyperglycaemia can damage blood vessels, nerves, kidneys, eyes and the cardiovascular system, increasing the risk of serious health complications (NICE, 2022; Diabetes UK, 2024</w:t>
      </w:r>
      <w:r w:rsidR="00DA6194" w:rsidRPr="002D27FB">
        <w:rPr>
          <w:rFonts w:ascii="Arial" w:hAnsi="Arial" w:cs="Arial"/>
          <w:szCs w:val="24"/>
        </w:rPr>
        <w:t>; World Health Organization, 2025).</w:t>
      </w:r>
    </w:p>
    <w:p w14:paraId="07F236C7" w14:textId="77777777" w:rsidR="00462993" w:rsidRPr="002D27FB" w:rsidRDefault="00462993" w:rsidP="00ED060A">
      <w:pPr>
        <w:spacing w:line="360" w:lineRule="auto"/>
        <w:rPr>
          <w:rFonts w:ascii="Arial" w:hAnsi="Arial" w:cs="Arial"/>
          <w:szCs w:val="24"/>
        </w:rPr>
      </w:pPr>
    </w:p>
    <w:p w14:paraId="722C1262"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In the case study, the practice nurse recognises that many patients require greater knowledge of diabetes and the factors affecting blood glucose control. Patient education is essential because it improves understanding of the condition, encourages adherence to treatment and supports informed lifestyle choices. Effective education enables patients to participate in self-management and achieve better glycaemic control.</w:t>
      </w:r>
    </w:p>
    <w:p w14:paraId="1FCA2C3E" w14:textId="77777777" w:rsidR="00462993" w:rsidRPr="002D27FB" w:rsidRDefault="00462993" w:rsidP="00ED060A">
      <w:pPr>
        <w:spacing w:line="360" w:lineRule="auto"/>
        <w:rPr>
          <w:rFonts w:ascii="Arial" w:hAnsi="Arial" w:cs="Arial"/>
          <w:szCs w:val="24"/>
        </w:rPr>
      </w:pPr>
    </w:p>
    <w:p w14:paraId="2A101CEB"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Risk factors for T2DM include obesity, physical inactivity, unhealthy diets, smoking and increasing age, while family history, ethnicity and previous gestational diabetes also increase susceptibility. By educating patients about these risk factors and promoting healthy behaviours such as balanced nutrition, weight management and regular physical activity, the practice nurse can help reduce disease progression, minimise complications and improve long-term health outcomes.</w:t>
      </w:r>
    </w:p>
    <w:p w14:paraId="47322768" w14:textId="77777777" w:rsidR="00462993" w:rsidRPr="002D27FB" w:rsidRDefault="00462993" w:rsidP="00ED060A">
      <w:pPr>
        <w:spacing w:line="360" w:lineRule="auto"/>
        <w:rPr>
          <w:rFonts w:ascii="Arial" w:hAnsi="Arial" w:cs="Arial"/>
          <w:szCs w:val="24"/>
        </w:rPr>
      </w:pPr>
    </w:p>
    <w:p w14:paraId="6A1E97EC"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 xml:space="preserve">Maintaining blood glucose within a normal physiological range is essential because glucose is the body’s primary source of energy, particularly for the brain, muscles and other vital organs. Blood glucose levels are regulated through homeostasis by </w:t>
      </w:r>
      <w:r w:rsidRPr="002D27FB">
        <w:rPr>
          <w:rFonts w:ascii="Arial" w:hAnsi="Arial" w:cs="Arial"/>
          <w:szCs w:val="24"/>
        </w:rPr>
        <w:lastRenderedPageBreak/>
        <w:t xml:space="preserve">the </w:t>
      </w:r>
      <w:proofErr w:type="gramStart"/>
      <w:r w:rsidRPr="002D27FB">
        <w:rPr>
          <w:rFonts w:ascii="Arial" w:hAnsi="Arial" w:cs="Arial"/>
          <w:szCs w:val="24"/>
        </w:rPr>
        <w:t>hormones</w:t>
      </w:r>
      <w:proofErr w:type="gramEnd"/>
      <w:r w:rsidRPr="002D27FB">
        <w:rPr>
          <w:rFonts w:ascii="Arial" w:hAnsi="Arial" w:cs="Arial"/>
          <w:szCs w:val="24"/>
        </w:rPr>
        <w:t xml:space="preserve"> insulin and glucagon, both produced by the pancreas. These hormones work together to ensure that cells receive enough glucose for energy while preventing blood glucose from becoming too high or too low (NHS, 2023).</w:t>
      </w:r>
    </w:p>
    <w:p w14:paraId="32B71C17" w14:textId="6AF5026F" w:rsidR="00462993" w:rsidRPr="002D27FB" w:rsidRDefault="00E500D8" w:rsidP="00ED060A">
      <w:pPr>
        <w:spacing w:line="360" w:lineRule="auto"/>
      </w:pPr>
      <w:r w:rsidRPr="002D27FB">
        <w:fldChar w:fldCharType="begin"/>
      </w:r>
      <w:r w:rsidRPr="002D27FB">
        <w:instrText xml:space="preserve"> INCLUDEPICTURE "https://www.niddk.nih.gov/-/media/Images/Health-Information/Diabetes/BloodGlucoseImage2Feb231200x800.jpg" \* MERGEFORMATINET </w:instrText>
      </w:r>
      <w:r w:rsidRPr="002D27FB">
        <w:fldChar w:fldCharType="separate"/>
      </w:r>
      <w:r w:rsidRPr="002D27FB">
        <w:rPr>
          <w:noProof/>
        </w:rPr>
        <w:drawing>
          <wp:inline distT="0" distB="0" distL="0" distR="0" wp14:anchorId="634475AE" wp14:editId="12FF60A1">
            <wp:extent cx="2976667" cy="1984664"/>
            <wp:effectExtent l="0" t="0" r="0" b="0"/>
            <wp:docPr id="1379353551" name="Picture 2" descr="On the left, a diagram of a blood vessel that has a normal blood glucose level and contains fewer glucose molecules. On the right, a diagram of a blood vessel that has a high blood glucose level and contains more glucose molecu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 the left, a diagram of a blood vessel that has a normal blood glucose level and contains fewer glucose molecules. On the right, a diagram of a blood vessel that has a high blood glucose level and contains more glucose molecu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31290" cy="2021083"/>
                    </a:xfrm>
                    <a:prstGeom prst="rect">
                      <a:avLst/>
                    </a:prstGeom>
                    <a:noFill/>
                    <a:ln>
                      <a:noFill/>
                    </a:ln>
                  </pic:spPr>
                </pic:pic>
              </a:graphicData>
            </a:graphic>
          </wp:inline>
        </w:drawing>
      </w:r>
      <w:r w:rsidRPr="002D27FB">
        <w:fldChar w:fldCharType="end"/>
      </w:r>
    </w:p>
    <w:p w14:paraId="2BD27152" w14:textId="0216F2B8" w:rsidR="00E500D8" w:rsidRPr="002D27FB" w:rsidRDefault="008A4A8B" w:rsidP="00E500D8">
      <w:pPr>
        <w:pStyle w:val="ListParagraph"/>
        <w:numPr>
          <w:ilvl w:val="0"/>
          <w:numId w:val="5"/>
        </w:numPr>
        <w:spacing w:line="360" w:lineRule="auto"/>
        <w:rPr>
          <w:rFonts w:ascii="Arial" w:hAnsi="Arial" w:cs="Arial"/>
          <w:szCs w:val="24"/>
        </w:rPr>
      </w:pPr>
      <w:proofErr w:type="spellStart"/>
      <w:r w:rsidRPr="002D27FB">
        <w:rPr>
          <w:rFonts w:ascii="Arial" w:hAnsi="Arial" w:cs="Arial"/>
          <w:szCs w:val="24"/>
        </w:rPr>
        <w:t>Bessesen</w:t>
      </w:r>
      <w:proofErr w:type="spellEnd"/>
      <w:r w:rsidRPr="002D27FB">
        <w:rPr>
          <w:rFonts w:ascii="Arial" w:hAnsi="Arial" w:cs="Arial"/>
          <w:szCs w:val="24"/>
        </w:rPr>
        <w:t xml:space="preserve"> (2023)</w:t>
      </w:r>
    </w:p>
    <w:p w14:paraId="5F60EE94" w14:textId="77777777" w:rsidR="008A4A8B" w:rsidRPr="002D27FB" w:rsidRDefault="008A4A8B" w:rsidP="00ED060A">
      <w:pPr>
        <w:spacing w:line="360" w:lineRule="auto"/>
        <w:rPr>
          <w:rFonts w:ascii="Arial" w:hAnsi="Arial" w:cs="Arial"/>
          <w:szCs w:val="24"/>
        </w:rPr>
      </w:pPr>
    </w:p>
    <w:p w14:paraId="35BD72A7" w14:textId="55560093" w:rsidR="00462993" w:rsidRPr="002D27FB" w:rsidRDefault="00462993" w:rsidP="00ED060A">
      <w:pPr>
        <w:spacing w:line="360" w:lineRule="auto"/>
        <w:rPr>
          <w:rFonts w:ascii="Arial" w:hAnsi="Arial" w:cs="Arial"/>
          <w:szCs w:val="24"/>
        </w:rPr>
      </w:pPr>
      <w:r w:rsidRPr="002D27FB">
        <w:rPr>
          <w:rFonts w:ascii="Arial" w:hAnsi="Arial" w:cs="Arial"/>
          <w:szCs w:val="24"/>
        </w:rPr>
        <w:t xml:space="preserve">Following a meal, carbohydrates are digested into glucose, which is absorbed into the bloodstream. As blood glucose levels rise, beta cells in the islets of Langerhans release insulin. Insulin binds to receptors on muscle, fat and liver cells, enabling glucose to enter the cells through glucose transporter proteins (GLUT4). Inside the cells, glucose is used to produce energy through cellular respiration. Any excess glucose is stored as glycogen in the liver and muscles or converted into fat for long-term energy storage (OpenStax, </w:t>
      </w:r>
      <w:r w:rsidR="00DA6194" w:rsidRPr="002D27FB">
        <w:rPr>
          <w:rFonts w:ascii="Arial" w:hAnsi="Arial" w:cs="Arial"/>
          <w:szCs w:val="24"/>
        </w:rPr>
        <w:t>2023; National Institute of Diabetes and Digestive and Kidney Diseases (NIDDK), 2023)</w:t>
      </w:r>
      <w:r w:rsidRPr="002D27FB">
        <w:rPr>
          <w:rFonts w:ascii="Arial" w:hAnsi="Arial" w:cs="Arial"/>
          <w:szCs w:val="24"/>
        </w:rPr>
        <w:t>.</w:t>
      </w:r>
    </w:p>
    <w:p w14:paraId="3FE43168"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When blood glucose levels fall between meals or during exercise, alpha cells in the pancreas release glucagon. Glucagon stimulates the liver to break down glycogen into glucose (glycogenolysis) and produce new glucose through gluconeogenesis. This glucose is released into the bloodstream, restoring blood glucose levels. Together, insulin and glucagon operate through a negative feedback mechanism, maintaining blood glucose within a safe range (NHS, 2023).</w:t>
      </w:r>
    </w:p>
    <w:p w14:paraId="30483A39" w14:textId="77777777" w:rsidR="00462993" w:rsidRPr="002D27FB" w:rsidRDefault="00462993" w:rsidP="00ED060A">
      <w:pPr>
        <w:spacing w:line="360" w:lineRule="auto"/>
        <w:rPr>
          <w:rFonts w:ascii="Arial" w:hAnsi="Arial" w:cs="Arial"/>
          <w:szCs w:val="24"/>
        </w:rPr>
      </w:pPr>
    </w:p>
    <w:p w14:paraId="5DEE7592"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 xml:space="preserve">In people with Type 2 diabetes mellitus, this homeostatic process is disrupted due to insulin resistance. Although the pancreas may initially produce sufficient insulin, body cells do not respond effectively. Over time, insulin production may also decline, </w:t>
      </w:r>
      <w:r w:rsidRPr="002D27FB">
        <w:rPr>
          <w:rFonts w:ascii="Arial" w:hAnsi="Arial" w:cs="Arial"/>
          <w:szCs w:val="24"/>
        </w:rPr>
        <w:lastRenderedPageBreak/>
        <w:t>resulting in persistent hyperglycaemia. Long-term elevated blood glucose damages blood vessels and nerves, increasing the risk of complications such as cardiovascular disease, diabetic retinopathy, nephropathy and peripheral neuropathy (NICE, 2022).</w:t>
      </w:r>
    </w:p>
    <w:p w14:paraId="20214C37"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In the case study, the practice nurse has an important role in educating patients about how insulin, glucagon and lifestyle choices influence blood glucose regulation. Explaining these processes helps patients understand why following prescribed treatment, attending regular diabetes reviews and adopting healthier lifestyle behaviours are essential. A balanced diet, regular physical activity and maintaining a healthy weight improve insulin sensitivity and support effective blood glucose control, while smoking cessation further reduces the risk of cardiovascular complications (Diabetes UK, 2024). By understanding these mechanisms, patients are better equipped to manage their diabetes and reduce the risk of long-term complications.</w:t>
      </w:r>
    </w:p>
    <w:p w14:paraId="38759C38" w14:textId="77777777" w:rsidR="00462993" w:rsidRPr="002D27FB" w:rsidRDefault="00462993" w:rsidP="00ED060A">
      <w:pPr>
        <w:spacing w:line="360" w:lineRule="auto"/>
        <w:rPr>
          <w:rFonts w:ascii="Arial" w:hAnsi="Arial" w:cs="Arial"/>
          <w:szCs w:val="24"/>
        </w:rPr>
      </w:pPr>
    </w:p>
    <w:p w14:paraId="12F6D9B4"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 xml:space="preserve">Glucose and oxygen are essential for cellular metabolism because they enable the body to produce adenosine triphosphate (ATP), the main source of energy for cellular activities. Organs such as the brain, heart and skeletal muscles depend on ATP to function effectively. In the case study, the practice nurse should explain this process to patients with Type 2 </w:t>
      </w:r>
      <w:proofErr w:type="gramStart"/>
      <w:r w:rsidRPr="002D27FB">
        <w:rPr>
          <w:rFonts w:ascii="Arial" w:hAnsi="Arial" w:cs="Arial"/>
          <w:szCs w:val="24"/>
        </w:rPr>
        <w:t>diabetes</w:t>
      </w:r>
      <w:proofErr w:type="gramEnd"/>
      <w:r w:rsidRPr="002D27FB">
        <w:rPr>
          <w:rFonts w:ascii="Arial" w:hAnsi="Arial" w:cs="Arial"/>
          <w:szCs w:val="24"/>
        </w:rPr>
        <w:t xml:space="preserve"> so they understand why maintaining stable blood glucose levels is essential for health.</w:t>
      </w:r>
    </w:p>
    <w:p w14:paraId="230A7B33" w14:textId="77777777" w:rsidR="00462993" w:rsidRPr="002D27FB" w:rsidRDefault="00462993" w:rsidP="00ED060A">
      <w:pPr>
        <w:spacing w:line="360" w:lineRule="auto"/>
        <w:rPr>
          <w:rFonts w:ascii="Arial" w:hAnsi="Arial" w:cs="Arial"/>
          <w:szCs w:val="24"/>
        </w:rPr>
      </w:pPr>
    </w:p>
    <w:p w14:paraId="64251ED4"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Following the digestion of carbohydrates, glucose is absorbed into the bloodstream from the small intestine. Insulin, produced by the beta cells of the pancreas, allows glucose to enter body cells by binding to insulin receptors. Once inside the cell, glucose undergoes cellular respiration. Oxygen, transported by the blood after gas exchange in the lungs, is required for this process to produce energy efficiently (NHS, 2023).</w:t>
      </w:r>
    </w:p>
    <w:p w14:paraId="182FC74C" w14:textId="1DBC6BFA" w:rsidR="00362D2F" w:rsidRPr="002D27FB" w:rsidRDefault="00E804DA" w:rsidP="00ED060A">
      <w:pPr>
        <w:spacing w:line="360" w:lineRule="auto"/>
        <w:rPr>
          <w:rFonts w:ascii="Arial" w:hAnsi="Arial" w:cs="Arial"/>
          <w:szCs w:val="24"/>
        </w:rPr>
      </w:pPr>
      <w:r w:rsidRPr="002D27FB">
        <w:rPr>
          <w:rFonts w:ascii="Arial" w:hAnsi="Arial" w:cs="Arial"/>
          <w:noProof/>
          <w:szCs w:val="24"/>
        </w:rPr>
        <w:lastRenderedPageBreak/>
        <w:drawing>
          <wp:inline distT="0" distB="0" distL="0" distR="0" wp14:anchorId="6087271E" wp14:editId="6722B188">
            <wp:extent cx="4069017" cy="1683327"/>
            <wp:effectExtent l="0" t="0" r="0" b="6350"/>
            <wp:docPr id="588869495" name="Picture 3" descr="A diagram of energy and energy rele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69495" name="Picture 3" descr="A diagram of energy and energy releas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97978" cy="1695308"/>
                    </a:xfrm>
                    <a:prstGeom prst="rect">
                      <a:avLst/>
                    </a:prstGeom>
                  </pic:spPr>
                </pic:pic>
              </a:graphicData>
            </a:graphic>
          </wp:inline>
        </w:drawing>
      </w:r>
    </w:p>
    <w:p w14:paraId="5C0C2A4C" w14:textId="3BB78170" w:rsidR="00E804DA" w:rsidRPr="002D27FB" w:rsidRDefault="00EB04A3" w:rsidP="00E804DA">
      <w:pPr>
        <w:pStyle w:val="ListParagraph"/>
        <w:numPr>
          <w:ilvl w:val="0"/>
          <w:numId w:val="5"/>
        </w:numPr>
        <w:spacing w:line="360" w:lineRule="auto"/>
        <w:rPr>
          <w:rFonts w:ascii="Arial" w:hAnsi="Arial" w:cs="Arial"/>
          <w:szCs w:val="24"/>
        </w:rPr>
      </w:pPr>
      <w:r w:rsidRPr="002D27FB">
        <w:rPr>
          <w:rFonts w:ascii="Arial" w:hAnsi="Arial" w:cs="Arial"/>
          <w:szCs w:val="24"/>
        </w:rPr>
        <w:t>Ency</w:t>
      </w:r>
      <w:r w:rsidR="000D4C58" w:rsidRPr="002D27FB">
        <w:rPr>
          <w:rFonts w:ascii="Arial" w:hAnsi="Arial" w:cs="Arial"/>
          <w:szCs w:val="24"/>
        </w:rPr>
        <w:t>clopaedia Britannica</w:t>
      </w:r>
      <w:r w:rsidR="009747FA" w:rsidRPr="002D27FB">
        <w:rPr>
          <w:rFonts w:ascii="Arial" w:hAnsi="Arial" w:cs="Arial"/>
          <w:szCs w:val="24"/>
        </w:rPr>
        <w:t xml:space="preserve">, </w:t>
      </w:r>
      <w:r w:rsidR="006415A8" w:rsidRPr="002D27FB">
        <w:rPr>
          <w:rFonts w:ascii="Arial" w:hAnsi="Arial" w:cs="Arial"/>
          <w:szCs w:val="24"/>
        </w:rPr>
        <w:t>2022</w:t>
      </w:r>
    </w:p>
    <w:p w14:paraId="7F1C99E8" w14:textId="77777777" w:rsidR="00462993" w:rsidRPr="002D27FB" w:rsidRDefault="00462993" w:rsidP="00ED060A">
      <w:pPr>
        <w:spacing w:line="360" w:lineRule="auto"/>
        <w:rPr>
          <w:rFonts w:ascii="Arial" w:hAnsi="Arial" w:cs="Arial"/>
          <w:szCs w:val="24"/>
        </w:rPr>
      </w:pPr>
    </w:p>
    <w:p w14:paraId="074952E5" w14:textId="0376192E" w:rsidR="00462993" w:rsidRPr="002D27FB" w:rsidRDefault="00462993" w:rsidP="00ED060A">
      <w:pPr>
        <w:spacing w:line="360" w:lineRule="auto"/>
        <w:rPr>
          <w:rFonts w:ascii="Arial" w:hAnsi="Arial" w:cs="Arial"/>
          <w:szCs w:val="24"/>
        </w:rPr>
      </w:pPr>
      <w:r w:rsidRPr="002D27FB">
        <w:rPr>
          <w:rFonts w:ascii="Arial" w:hAnsi="Arial" w:cs="Arial"/>
          <w:szCs w:val="24"/>
        </w:rPr>
        <w:t>Cellular respiration occurs mainly in the mitochondria and has three stages: glycolysis, the Krebs cycle and oxidative phosphorylation. During glycolysis, glucose is broken down into pyruvate, producing a small amount of ATP. In the presence of oxygen, pyruvate enters the mitochondria, where further reactions release carbon dioxide and transfer high-energy electrons to the electron transport chain. Oxygen acts as the final electron acceptor, allowing oxidative phosphorylation to generate approximately 30–32 molecules of ATP from one glucose molecule</w:t>
      </w:r>
      <w:r w:rsidR="00D80D52" w:rsidRPr="002D27FB">
        <w:rPr>
          <w:rFonts w:ascii="Arial" w:hAnsi="Arial" w:cs="Arial"/>
          <w:szCs w:val="24"/>
        </w:rPr>
        <w:t>, (Alberts et al., 2002)</w:t>
      </w:r>
      <w:r w:rsidRPr="002D27FB">
        <w:rPr>
          <w:rFonts w:ascii="Arial" w:hAnsi="Arial" w:cs="Arial"/>
          <w:szCs w:val="24"/>
        </w:rPr>
        <w:t>. Water is produced as a by-product (OpenStax, 2023).</w:t>
      </w:r>
    </w:p>
    <w:p w14:paraId="22FDC72D"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In people with Type 2 diabetes, insulin resistance reduces the uptake of glucose into body cells. Although glucose remains in the bloodstream, cells cannot use it efficiently to produce ATP. This may cause fatigue and reduced energy while prolonged hyperglycaemia increases the risk of cardiovascular disease, diabetic nephropathy and retinopathy (NICE, 2022).</w:t>
      </w:r>
    </w:p>
    <w:p w14:paraId="7CCED4B9"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Within the case study, the practice nurse should explain that healthy eating, regular physical activity and prescribed medication improve glucose uptake and ATP production. Exercise increases insulin sensitivity, allowing muscles to use glucose more effectively, while smoking cessation supports oxygen delivery and cardiovascular health. Educating patients about these processes encourages effective self-management, improves blood glucose control and reduces the risk of long-term diabetes complications.</w:t>
      </w:r>
    </w:p>
    <w:p w14:paraId="25C3B312" w14:textId="77777777" w:rsidR="00462993" w:rsidRPr="002D27FB" w:rsidRDefault="00462993" w:rsidP="00ED060A">
      <w:pPr>
        <w:spacing w:line="360" w:lineRule="auto"/>
        <w:rPr>
          <w:rFonts w:ascii="Arial" w:hAnsi="Arial" w:cs="Arial"/>
          <w:szCs w:val="24"/>
        </w:rPr>
      </w:pPr>
    </w:p>
    <w:p w14:paraId="5FB988BD" w14:textId="77777777" w:rsidR="00462993" w:rsidRPr="002D27FB" w:rsidRDefault="00462993" w:rsidP="00ED060A">
      <w:pPr>
        <w:spacing w:line="360" w:lineRule="auto"/>
        <w:rPr>
          <w:rFonts w:ascii="Arial" w:hAnsi="Arial" w:cs="Arial"/>
          <w:szCs w:val="24"/>
        </w:rPr>
      </w:pPr>
      <w:r w:rsidRPr="002D27FB">
        <w:rPr>
          <w:rFonts w:ascii="Arial" w:hAnsi="Arial" w:cs="Arial"/>
          <w:szCs w:val="24"/>
        </w:rPr>
        <w:lastRenderedPageBreak/>
        <w:t>Monitoring and recording blood glucose levels is a key aspect of managing Type 2 diabetes mellitus (T2DM). Regular monitoring enables healthcare professionals and patients to assess how effectively blood glucose is being controlled and whether current treatment strategies are achieving their intended outcomes. In the case study, the practice nurse is responsible for educating patients about the importance of monitoring their blood glucose levels to improve their understanding of diabetes and support effective self-management.</w:t>
      </w:r>
    </w:p>
    <w:p w14:paraId="6BBF9446"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Blood glucose levels fluctuate throughout the day in response to food intake, physical activity, stress, illness and medication. Recording these levels helps identify patterns that may not be recognised from a single reading. For example, consistently high blood glucose after meals may indicate the need for dietary changes or medication adjustments. Likewise, low blood glucose levels may suggest that medication doses require review. Identifying these trends enables healthcare professionals to make evidence-based decisions regarding treatment and lifestyle interventions (NICE, 2022).</w:t>
      </w:r>
    </w:p>
    <w:p w14:paraId="2FA82490" w14:textId="77777777" w:rsidR="00462993" w:rsidRPr="002D27FB" w:rsidRDefault="00462993" w:rsidP="00ED060A">
      <w:pPr>
        <w:spacing w:line="360" w:lineRule="auto"/>
        <w:rPr>
          <w:rFonts w:ascii="Arial" w:hAnsi="Arial" w:cs="Arial"/>
          <w:szCs w:val="24"/>
        </w:rPr>
      </w:pPr>
    </w:p>
    <w:p w14:paraId="608F67C6"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An important measure of long-term blood glucose control is the glycated haemoglobin (HbA1c) test. Unlike a finger-prick blood glucose test, HbA1c reflects the average blood glucose level over the previous two to three months because glucose binds to haemoglobin within red blood cells. Regular HbA1c testing enables healthcare professionals to evaluate treatment effectiveness and assess the risk of diabetes-related complications (Diabetes UK, 2024).</w:t>
      </w:r>
    </w:p>
    <w:p w14:paraId="788D115C" w14:textId="77777777" w:rsidR="00462993" w:rsidRPr="002D27FB" w:rsidRDefault="00462993" w:rsidP="00ED060A">
      <w:pPr>
        <w:spacing w:line="360" w:lineRule="auto"/>
        <w:rPr>
          <w:rFonts w:ascii="Arial" w:hAnsi="Arial" w:cs="Arial"/>
          <w:szCs w:val="24"/>
        </w:rPr>
      </w:pPr>
    </w:p>
    <w:p w14:paraId="56DFEEFB"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Self-monitoring of blood glucose may also benefit individuals taking insulin or medications associated with hypoglycaemia. Finger-prick testing helps patients understand how meals, exercise, illness and medication affect blood glucose levels. Some individuals may also use continuous glucose monitoring systems, which provide detailed information about glucose trends throughout the day and night (NHS, 2023).</w:t>
      </w:r>
    </w:p>
    <w:p w14:paraId="67DFF710" w14:textId="0FA7AFC1" w:rsidR="00462993" w:rsidRPr="002D27FB" w:rsidRDefault="00462993" w:rsidP="00ED060A">
      <w:pPr>
        <w:spacing w:line="360" w:lineRule="auto"/>
        <w:rPr>
          <w:rFonts w:ascii="Arial" w:hAnsi="Arial" w:cs="Arial"/>
          <w:szCs w:val="24"/>
        </w:rPr>
      </w:pPr>
      <w:r w:rsidRPr="002D27FB">
        <w:rPr>
          <w:rFonts w:ascii="Arial" w:hAnsi="Arial" w:cs="Arial"/>
          <w:szCs w:val="24"/>
        </w:rPr>
        <w:t xml:space="preserve">Within the case study, the practice nurse should teach patients how to interpret their blood glucose results and use this information to make informed decisions about </w:t>
      </w:r>
      <w:r w:rsidRPr="002D27FB">
        <w:rPr>
          <w:rFonts w:ascii="Arial" w:hAnsi="Arial" w:cs="Arial"/>
          <w:szCs w:val="24"/>
        </w:rPr>
        <w:lastRenderedPageBreak/>
        <w:t>diet, physical activity and medication adherence. Accurate monitoring also improves communication during diabetes reviews, enabling personalised care and early intervention if blood glucose control deteriorates. Regular monitoring, combined with patient education, supports improved glycaemic control</w:t>
      </w:r>
      <w:r w:rsidR="00D774EB" w:rsidRPr="002D27FB">
        <w:rPr>
          <w:rFonts w:ascii="Arial" w:hAnsi="Arial" w:cs="Arial"/>
          <w:szCs w:val="24"/>
        </w:rPr>
        <w:t xml:space="preserve"> (International Diabetes Federation, 2025)</w:t>
      </w:r>
      <w:r w:rsidRPr="002D27FB">
        <w:rPr>
          <w:rFonts w:ascii="Arial" w:hAnsi="Arial" w:cs="Arial"/>
          <w:szCs w:val="24"/>
        </w:rPr>
        <w:t>, reduces the risk of long-term complications and promotes better overall health.</w:t>
      </w:r>
    </w:p>
    <w:p w14:paraId="1615FF86" w14:textId="77777777" w:rsidR="00462993" w:rsidRPr="002D27FB" w:rsidRDefault="00462993" w:rsidP="00ED060A">
      <w:pPr>
        <w:spacing w:line="360" w:lineRule="auto"/>
        <w:rPr>
          <w:rFonts w:ascii="Arial" w:hAnsi="Arial" w:cs="Arial"/>
          <w:szCs w:val="24"/>
        </w:rPr>
      </w:pPr>
    </w:p>
    <w:p w14:paraId="64F881EF"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Effective management of Type 2 diabetes mellitus (T2DM) requires healthy lifestyle behaviours, medication adherence and regular monitoring. Evidence-based recommendations aim to improve glycaemic control while reducing the risk of complications such as cardiovascular disease, kidney disease, diabetic retinopathy and peripheral neuropathy. In the case study, the practice nurse plays an important role in educating patients about these recommendations and supporting them to make sustainable lifestyle changes.</w:t>
      </w:r>
    </w:p>
    <w:p w14:paraId="2C9D87E4" w14:textId="77777777" w:rsidR="00462993" w:rsidRPr="002D27FB" w:rsidRDefault="00462993" w:rsidP="00ED060A">
      <w:pPr>
        <w:spacing w:line="360" w:lineRule="auto"/>
        <w:rPr>
          <w:rFonts w:ascii="Arial" w:hAnsi="Arial" w:cs="Arial"/>
          <w:szCs w:val="24"/>
        </w:rPr>
      </w:pPr>
    </w:p>
    <w:p w14:paraId="3272F60B"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A healthy, balanced diet is one of the most effective ways to manage blood glucose levels. NICE recommends consuming vegetables, wholegrains, fruit, legumes and lean sources of protein while limiting foods high in saturated fat, added sugar and refined carbohydrates (NICE, 2022). Wholegrain carbohydrates release glucose more slowly into the bloodstream, helping to prevent rapid increases in blood glucose. High-fibre foods also promote satiety, supporting weight management. The practice nurse should advise patients about portion control, healthy food choices and reducing sugary foods and drinks.</w:t>
      </w:r>
    </w:p>
    <w:p w14:paraId="7F55D105"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Maintaining a healthy weight is another important recommendation. Excess body weight, particularly abdominal obesity, increases insulin resistance, making it more difficult for glucose to enter body cells. Research shows that losing 5–10% of body weight can improve insulin sensitivity, reduce HbA1c levels and lower cardiovascular risk (Diabetes UK, 2024). The practice nurse should encourage realistic weight-loss goals and support patients in making gradual, sustainable dietary and lifestyle changes.</w:t>
      </w:r>
    </w:p>
    <w:p w14:paraId="1A40A288" w14:textId="77777777" w:rsidR="00462993" w:rsidRPr="002D27FB" w:rsidRDefault="00462993" w:rsidP="00ED060A">
      <w:pPr>
        <w:spacing w:line="360" w:lineRule="auto"/>
        <w:rPr>
          <w:rFonts w:ascii="Arial" w:hAnsi="Arial" w:cs="Arial"/>
          <w:szCs w:val="24"/>
        </w:rPr>
      </w:pPr>
      <w:r w:rsidRPr="002D27FB">
        <w:rPr>
          <w:rFonts w:ascii="Arial" w:hAnsi="Arial" w:cs="Arial"/>
          <w:szCs w:val="24"/>
        </w:rPr>
        <w:lastRenderedPageBreak/>
        <w:t>Regular physical activity also improves blood glucose control by increasing insulin sensitivity and helping muscles absorb glucose more effectively. NICE recommends at least 150 minutes of moderate-intensity aerobic exercise each week, together with muscle-strengthening activities on two or more days (NICE, 2022). Activities such as brisk walking, cycling or swimming improve cardiovascular health while helping maintain healthy blood glucose levels. Encouraging patients to choose enjoyable activities increases the likelihood of long-term participation.</w:t>
      </w:r>
    </w:p>
    <w:p w14:paraId="3CA7FCAB" w14:textId="77777777" w:rsidR="00462993" w:rsidRPr="002D27FB" w:rsidRDefault="00462993" w:rsidP="00ED060A">
      <w:pPr>
        <w:spacing w:line="360" w:lineRule="auto"/>
        <w:rPr>
          <w:rFonts w:ascii="Arial" w:hAnsi="Arial" w:cs="Arial"/>
          <w:szCs w:val="24"/>
        </w:rPr>
      </w:pPr>
    </w:p>
    <w:p w14:paraId="13950DFB"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Smoking cessation should also be promoted because smoking increases insulin resistance and significantly raises the risk of cardiovascular disease, stroke and poor wound healing in people with diabetes (NHS, 2023). The practice nurse should explain these risks and direct patients towards appropriate smoking cessation support services.</w:t>
      </w:r>
    </w:p>
    <w:p w14:paraId="58461233"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Medication adherence remains essential for achieving good glycaemic control. Many individuals with T2DM require medicines such as metformin, while others may eventually need additional therapies or insulin. Patients should understand how and when to take their medication and the importance of following prescribed treatment. Regular attendance at diabetes reviews also enables healthcare professionals to monitor HbA1c, blood pressure, kidney function, foot health and eye health, allowing early identification and management of complications.</w:t>
      </w:r>
    </w:p>
    <w:p w14:paraId="13351B54" w14:textId="77777777" w:rsidR="00462993" w:rsidRPr="002D27FB" w:rsidRDefault="00462993" w:rsidP="00ED060A">
      <w:pPr>
        <w:spacing w:line="360" w:lineRule="auto"/>
        <w:rPr>
          <w:rFonts w:ascii="Arial" w:hAnsi="Arial" w:cs="Arial"/>
          <w:szCs w:val="24"/>
        </w:rPr>
      </w:pPr>
    </w:p>
    <w:p w14:paraId="77660F19"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Patient education underpins all aspects of diabetes management. The practice nurse should provide clear, personalised information that considers each patient’s needs, encouraging shared decision-making and confidence in self-management. When patients understand how diet, exercise, medication and regular monitoring affect blood glucose levels, they are more likely to adopt healthy behaviours and remain engaged with their treatment. Through ongoing education and support, patients can improve glycaemic control, reduce the risk of long-term complications and achieve better overall health outcomes.</w:t>
      </w:r>
    </w:p>
    <w:p w14:paraId="215E2B05" w14:textId="77777777" w:rsidR="00462993" w:rsidRPr="002D27FB" w:rsidRDefault="00462993" w:rsidP="00ED060A">
      <w:pPr>
        <w:spacing w:line="360" w:lineRule="auto"/>
        <w:rPr>
          <w:rFonts w:ascii="Arial" w:hAnsi="Arial" w:cs="Arial"/>
          <w:szCs w:val="24"/>
        </w:rPr>
      </w:pPr>
    </w:p>
    <w:p w14:paraId="34A518BD" w14:textId="77777777" w:rsidR="00462993" w:rsidRPr="002D27FB" w:rsidRDefault="00462993" w:rsidP="00ED060A">
      <w:pPr>
        <w:spacing w:line="360" w:lineRule="auto"/>
        <w:rPr>
          <w:rFonts w:ascii="Arial" w:hAnsi="Arial" w:cs="Arial"/>
          <w:szCs w:val="24"/>
        </w:rPr>
      </w:pPr>
      <w:r w:rsidRPr="002D27FB">
        <w:rPr>
          <w:rFonts w:ascii="Arial" w:hAnsi="Arial" w:cs="Arial"/>
          <w:szCs w:val="24"/>
        </w:rPr>
        <w:lastRenderedPageBreak/>
        <w:t>Type 2 diabetes mellitus is a long-term condition that requires effective self-management to maintain blood glucose levels and reduce the risk of serious complications. As discussed throughout this report, blood glucose is regulated by the hormones insulin and glucagon, while oxygen is essential for cellular respiration and the production of adenosine triphosphate (ATP), which provides energy for normal body functions. In individuals with Type 2 diabetes, insulin resistance disrupts these processes, resulting in persistent hyperglycaemia and an increased risk of cardiovascular disease, kidney disease, retinopathy and neuropathy.</w:t>
      </w:r>
    </w:p>
    <w:p w14:paraId="3CB2CDCC" w14:textId="77777777" w:rsidR="00462993" w:rsidRPr="002D27FB" w:rsidRDefault="00462993" w:rsidP="00ED060A">
      <w:pPr>
        <w:spacing w:line="360" w:lineRule="auto"/>
        <w:rPr>
          <w:rFonts w:ascii="Arial" w:hAnsi="Arial" w:cs="Arial"/>
          <w:szCs w:val="24"/>
        </w:rPr>
      </w:pPr>
    </w:p>
    <w:p w14:paraId="328DDB5C"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The case study demonstrates the important role of the practice nurse in educating patients about diabetes and supporting effective self-management. Explaining the importance of blood glucose monitoring, healthy eating, regular physical activity, medication adherence and routine diabetes reviews enables patients to make informed decisions about their health. Education also encourages patients to recognise factors affecting blood glucose levels and adopt behaviours that improve glycaemic control.</w:t>
      </w:r>
    </w:p>
    <w:p w14:paraId="07252082" w14:textId="77777777" w:rsidR="00462993" w:rsidRPr="002D27FB" w:rsidRDefault="00462993" w:rsidP="00ED060A">
      <w:pPr>
        <w:spacing w:line="360" w:lineRule="auto"/>
        <w:rPr>
          <w:rFonts w:ascii="Arial" w:hAnsi="Arial" w:cs="Arial"/>
          <w:szCs w:val="24"/>
        </w:rPr>
      </w:pPr>
      <w:r w:rsidRPr="002D27FB">
        <w:rPr>
          <w:rFonts w:ascii="Arial" w:hAnsi="Arial" w:cs="Arial"/>
          <w:szCs w:val="24"/>
        </w:rPr>
        <w:t>By providing evidence-based advice and ongoing support, the practice nurse empowers patients to manage their condition confidently. This person-centred approach promotes better blood glucose control, reduces the risk of long-term complications and improves overall health, wellbeing and quality of life for individuals living with Type 2 diabetes.</w:t>
      </w:r>
    </w:p>
    <w:p w14:paraId="20213CAE" w14:textId="77777777" w:rsidR="00D774EB" w:rsidRPr="002D27FB" w:rsidRDefault="00D774EB" w:rsidP="00ED060A">
      <w:pPr>
        <w:spacing w:line="360" w:lineRule="auto"/>
        <w:rPr>
          <w:rFonts w:ascii="Arial" w:hAnsi="Arial" w:cs="Arial"/>
          <w:szCs w:val="24"/>
        </w:rPr>
      </w:pPr>
    </w:p>
    <w:p w14:paraId="6C157D91" w14:textId="77777777" w:rsidR="00D224B3" w:rsidRPr="00D005E9" w:rsidRDefault="00D224B3" w:rsidP="00D224B3">
      <w:pPr>
        <w:spacing w:after="240" w:line="360" w:lineRule="auto"/>
        <w:rPr>
          <w:szCs w:val="24"/>
        </w:rPr>
      </w:pPr>
      <w:r w:rsidRPr="00D005E9">
        <w:rPr>
          <w:szCs w:val="24"/>
        </w:rPr>
        <w:t>Reference list</w:t>
      </w:r>
    </w:p>
    <w:p w14:paraId="0F7F1ABD" w14:textId="77777777" w:rsidR="00D224B3" w:rsidRPr="00D005E9" w:rsidRDefault="00D224B3" w:rsidP="00D224B3">
      <w:pPr>
        <w:spacing w:after="240" w:line="360" w:lineRule="auto"/>
        <w:rPr>
          <w:szCs w:val="24"/>
        </w:rPr>
      </w:pPr>
      <w:r w:rsidRPr="00D005E9">
        <w:rPr>
          <w:szCs w:val="24"/>
        </w:rPr>
        <w:t xml:space="preserve">Alberts, B., Johnson, A. and Lewis, J. (2002). </w:t>
      </w:r>
      <w:r w:rsidRPr="00D005E9">
        <w:rPr>
          <w:i/>
          <w:iCs/>
          <w:szCs w:val="24"/>
        </w:rPr>
        <w:t>molecular biology of the cell</w:t>
      </w:r>
      <w:r w:rsidRPr="00D005E9">
        <w:rPr>
          <w:szCs w:val="24"/>
        </w:rPr>
        <w:t xml:space="preserve">. 4th </w:t>
      </w:r>
      <w:proofErr w:type="spellStart"/>
      <w:r w:rsidRPr="00D005E9">
        <w:rPr>
          <w:szCs w:val="24"/>
        </w:rPr>
        <w:t>edn</w:t>
      </w:r>
      <w:proofErr w:type="spellEnd"/>
      <w:r w:rsidRPr="00D005E9">
        <w:rPr>
          <w:szCs w:val="24"/>
        </w:rPr>
        <w:t>. New York: Garland.</w:t>
      </w:r>
    </w:p>
    <w:p w14:paraId="1A319044" w14:textId="77777777" w:rsidR="00D224B3" w:rsidRPr="00D005E9" w:rsidRDefault="00D224B3" w:rsidP="00D224B3">
      <w:pPr>
        <w:spacing w:after="240" w:line="360" w:lineRule="auto"/>
        <w:rPr>
          <w:szCs w:val="24"/>
        </w:rPr>
      </w:pPr>
      <w:r w:rsidRPr="00D005E9">
        <w:rPr>
          <w:szCs w:val="24"/>
        </w:rPr>
        <w:t xml:space="preserve">American Diabetes Association (2024). </w:t>
      </w:r>
      <w:r w:rsidRPr="00D005E9">
        <w:rPr>
          <w:i/>
          <w:iCs/>
          <w:szCs w:val="24"/>
        </w:rPr>
        <w:t>Diabetes care</w:t>
      </w:r>
      <w:r w:rsidRPr="00D005E9">
        <w:rPr>
          <w:szCs w:val="24"/>
        </w:rPr>
        <w:t xml:space="preserve">. [online] </w:t>
      </w:r>
      <w:r w:rsidRPr="00D005E9">
        <w:rPr>
          <w:i/>
          <w:iCs/>
          <w:szCs w:val="24"/>
        </w:rPr>
        <w:t>American Diabetes Association</w:t>
      </w:r>
      <w:r w:rsidRPr="00D005E9">
        <w:rPr>
          <w:szCs w:val="24"/>
        </w:rPr>
        <w:t>. Available at: https://diabetesjournals.org/care/issue/47/Supplement_1 [Accessed 31 July 2026].</w:t>
      </w:r>
    </w:p>
    <w:p w14:paraId="7A783EBE" w14:textId="77777777" w:rsidR="00D224B3" w:rsidRPr="00D005E9" w:rsidRDefault="00D224B3" w:rsidP="00D224B3">
      <w:pPr>
        <w:spacing w:after="240" w:line="360" w:lineRule="auto"/>
        <w:rPr>
          <w:szCs w:val="24"/>
        </w:rPr>
      </w:pPr>
      <w:proofErr w:type="spellStart"/>
      <w:r w:rsidRPr="00D005E9">
        <w:rPr>
          <w:szCs w:val="24"/>
        </w:rPr>
        <w:lastRenderedPageBreak/>
        <w:t>Bessesen</w:t>
      </w:r>
      <w:proofErr w:type="spellEnd"/>
      <w:r w:rsidRPr="00D005E9">
        <w:rPr>
          <w:szCs w:val="24"/>
        </w:rPr>
        <w:t xml:space="preserve">, D. (2023). </w:t>
      </w:r>
      <w:r w:rsidRPr="00D005E9">
        <w:rPr>
          <w:i/>
          <w:iCs/>
          <w:szCs w:val="24"/>
        </w:rPr>
        <w:t>What is diabetes?</w:t>
      </w:r>
      <w:r w:rsidRPr="00D005E9">
        <w:rPr>
          <w:szCs w:val="24"/>
        </w:rPr>
        <w:t xml:space="preserve"> [online] </w:t>
      </w:r>
      <w:r w:rsidRPr="00D005E9">
        <w:rPr>
          <w:i/>
          <w:iCs/>
          <w:szCs w:val="24"/>
        </w:rPr>
        <w:t>National Institute of Diabetes and Digestive and Kidney Diseases</w:t>
      </w:r>
      <w:r w:rsidRPr="00D005E9">
        <w:rPr>
          <w:szCs w:val="24"/>
        </w:rPr>
        <w:t>. Available at: https://www.niddk.nih.gov/health-information/diabetes/overview/what-is-diabetes [Accessed 2 Aug. 2026].</w:t>
      </w:r>
    </w:p>
    <w:p w14:paraId="720BE825" w14:textId="77777777" w:rsidR="00D224B3" w:rsidRPr="00D005E9" w:rsidRDefault="00D224B3" w:rsidP="00D224B3">
      <w:pPr>
        <w:spacing w:after="240" w:line="360" w:lineRule="auto"/>
        <w:rPr>
          <w:szCs w:val="24"/>
        </w:rPr>
      </w:pPr>
      <w:r w:rsidRPr="00D005E9">
        <w:rPr>
          <w:szCs w:val="24"/>
        </w:rPr>
        <w:t xml:space="preserve">Betts, J.G. (2022). </w:t>
      </w:r>
      <w:r w:rsidRPr="00D005E9">
        <w:rPr>
          <w:i/>
          <w:iCs/>
          <w:szCs w:val="24"/>
        </w:rPr>
        <w:t>Anatomy and Physiology 2e</w:t>
      </w:r>
      <w:r w:rsidRPr="00D005E9">
        <w:rPr>
          <w:szCs w:val="24"/>
        </w:rPr>
        <w:t xml:space="preserve">. [online] </w:t>
      </w:r>
      <w:r w:rsidRPr="00D005E9">
        <w:rPr>
          <w:i/>
          <w:iCs/>
          <w:szCs w:val="24"/>
        </w:rPr>
        <w:t>openstax.org</w:t>
      </w:r>
      <w:r w:rsidRPr="00D005E9">
        <w:rPr>
          <w:szCs w:val="24"/>
        </w:rPr>
        <w:t>. Available at: https://openstax.org/details/books/anatomy-and-physiology-2e [Accessed 31 July 2026].</w:t>
      </w:r>
    </w:p>
    <w:p w14:paraId="4DD5CDA6" w14:textId="77777777" w:rsidR="00D224B3" w:rsidRPr="00D005E9" w:rsidRDefault="00D224B3" w:rsidP="00D224B3">
      <w:pPr>
        <w:spacing w:after="240" w:line="360" w:lineRule="auto"/>
        <w:rPr>
          <w:szCs w:val="24"/>
        </w:rPr>
      </w:pPr>
      <w:r w:rsidRPr="00D005E9">
        <w:rPr>
          <w:szCs w:val="24"/>
        </w:rPr>
        <w:t xml:space="preserve">Britannica (2022). </w:t>
      </w:r>
      <w:r w:rsidRPr="00D005E9">
        <w:rPr>
          <w:i/>
          <w:iCs/>
          <w:szCs w:val="24"/>
        </w:rPr>
        <w:t>Cellular respiration</w:t>
      </w:r>
      <w:r w:rsidRPr="00D005E9">
        <w:rPr>
          <w:szCs w:val="24"/>
        </w:rPr>
        <w:t xml:space="preserve">. [online] </w:t>
      </w:r>
      <w:proofErr w:type="spellStart"/>
      <w:r w:rsidRPr="00D005E9">
        <w:rPr>
          <w:i/>
          <w:iCs/>
          <w:szCs w:val="24"/>
        </w:rPr>
        <w:t>Encyclopædia</w:t>
      </w:r>
      <w:proofErr w:type="spellEnd"/>
      <w:r w:rsidRPr="00D005E9">
        <w:rPr>
          <w:i/>
          <w:iCs/>
          <w:szCs w:val="24"/>
        </w:rPr>
        <w:t xml:space="preserve"> Britannica</w:t>
      </w:r>
      <w:r w:rsidRPr="00D005E9">
        <w:rPr>
          <w:szCs w:val="24"/>
        </w:rPr>
        <w:t>. Available at: https://www.britannica.com/science/cellular-respiration [Accessed 2 Aug. 2026].</w:t>
      </w:r>
    </w:p>
    <w:p w14:paraId="1E3F3D09" w14:textId="77777777" w:rsidR="00D224B3" w:rsidRPr="00D005E9" w:rsidRDefault="00D224B3" w:rsidP="00D224B3">
      <w:pPr>
        <w:spacing w:after="240" w:line="360" w:lineRule="auto"/>
        <w:rPr>
          <w:szCs w:val="24"/>
        </w:rPr>
      </w:pPr>
      <w:r w:rsidRPr="00D005E9">
        <w:rPr>
          <w:szCs w:val="24"/>
        </w:rPr>
        <w:t xml:space="preserve">Diabetes UK (2024). </w:t>
      </w:r>
      <w:r w:rsidRPr="00D005E9">
        <w:rPr>
          <w:i/>
          <w:iCs/>
          <w:szCs w:val="24"/>
        </w:rPr>
        <w:t>Living with Diabetes</w:t>
      </w:r>
      <w:r w:rsidRPr="00D005E9">
        <w:rPr>
          <w:szCs w:val="24"/>
        </w:rPr>
        <w:t xml:space="preserve">. [online] </w:t>
      </w:r>
      <w:r w:rsidRPr="00D005E9">
        <w:rPr>
          <w:i/>
          <w:iCs/>
          <w:szCs w:val="24"/>
        </w:rPr>
        <w:t>Diabetes UK</w:t>
      </w:r>
      <w:r w:rsidRPr="00D005E9">
        <w:rPr>
          <w:szCs w:val="24"/>
        </w:rPr>
        <w:t>. Available at: https://www.diabetes.org.uk/living-with-diabetes [Accessed 31 July 2026].</w:t>
      </w:r>
    </w:p>
    <w:p w14:paraId="7B15530A" w14:textId="77777777" w:rsidR="00D224B3" w:rsidRPr="00D005E9" w:rsidRDefault="00D224B3" w:rsidP="00D224B3">
      <w:pPr>
        <w:spacing w:after="240" w:line="360" w:lineRule="auto"/>
        <w:rPr>
          <w:szCs w:val="24"/>
        </w:rPr>
      </w:pPr>
      <w:r w:rsidRPr="00D005E9">
        <w:rPr>
          <w:szCs w:val="24"/>
        </w:rPr>
        <w:t xml:space="preserve">ElSayed, N.A., Grazia Aleppo, </w:t>
      </w:r>
      <w:proofErr w:type="spellStart"/>
      <w:r w:rsidRPr="00D005E9">
        <w:rPr>
          <w:szCs w:val="24"/>
        </w:rPr>
        <w:t>Bannuru</w:t>
      </w:r>
      <w:proofErr w:type="spellEnd"/>
      <w:r w:rsidRPr="00D005E9">
        <w:rPr>
          <w:szCs w:val="24"/>
        </w:rPr>
        <w:t xml:space="preserve">, R.R., Beverly, E.A., Bruemmer, D., Collins, B., Cusi, K., Darville, A., Das, S.R., Laya Ekhlaspour, Fleming, T.K., Gaglia, J.L., Galindo, R.J., Gibbons, C.H., Giurini, J.M., Hassanein, M., Hilliard, M.E., Johnson, E.L., Kamlesh Khunti, Mikhail Kosiborod, Kushner, R.F., Ildiko Lingvay, Matfin, G., McCoy, R.G., Murdock, L., Napoli, N., Mary Lou Perry, Pilla, S.J., Polsky, S., Priya Prahalad, Pratley, R.E., Segal, A.R., Jane Jeffrie Seley, Selvin, E., Silva, P.S., Stanton, R.C., Verduzco‐Gutierrez, M., Woodward, C.C., </w:t>
      </w:r>
      <w:proofErr w:type="spellStart"/>
      <w:r w:rsidRPr="00D005E9">
        <w:rPr>
          <w:szCs w:val="24"/>
        </w:rPr>
        <w:t>Younossi</w:t>
      </w:r>
      <w:proofErr w:type="spellEnd"/>
      <w:r w:rsidRPr="00D005E9">
        <w:rPr>
          <w:szCs w:val="24"/>
        </w:rPr>
        <w:t xml:space="preserve">, Z.M. and Gabbay, R.A. (2023). Introduction and methodology: standards of care in diabetes—2024. </w:t>
      </w:r>
      <w:r w:rsidRPr="00D005E9">
        <w:rPr>
          <w:i/>
          <w:iCs/>
          <w:szCs w:val="24"/>
        </w:rPr>
        <w:t>Diabetes Care</w:t>
      </w:r>
      <w:r w:rsidRPr="00D005E9">
        <w:rPr>
          <w:szCs w:val="24"/>
        </w:rPr>
        <w:t xml:space="preserve">, 47(Supplement_1), </w:t>
      </w:r>
      <w:proofErr w:type="gramStart"/>
      <w:r w:rsidRPr="00D005E9">
        <w:rPr>
          <w:szCs w:val="24"/>
        </w:rPr>
        <w:t>pp.S</w:t>
      </w:r>
      <w:proofErr w:type="gramEnd"/>
      <w:r w:rsidRPr="00D005E9">
        <w:rPr>
          <w:szCs w:val="24"/>
        </w:rPr>
        <w:t>1-S4. doi:10.2337/dc24-sint.</w:t>
      </w:r>
    </w:p>
    <w:p w14:paraId="7C1F9F7D" w14:textId="77777777" w:rsidR="00D224B3" w:rsidRPr="00D005E9" w:rsidRDefault="00D224B3" w:rsidP="00D224B3">
      <w:pPr>
        <w:spacing w:after="240" w:line="360" w:lineRule="auto"/>
        <w:rPr>
          <w:szCs w:val="24"/>
        </w:rPr>
      </w:pPr>
      <w:r w:rsidRPr="00D005E9">
        <w:rPr>
          <w:szCs w:val="24"/>
        </w:rPr>
        <w:t xml:space="preserve">Google.com. (2026). </w:t>
      </w:r>
      <w:r w:rsidRPr="00D005E9">
        <w:rPr>
          <w:i/>
          <w:iCs/>
          <w:szCs w:val="24"/>
        </w:rPr>
        <w:t>Google Scholar</w:t>
      </w:r>
      <w:r w:rsidRPr="00D005E9">
        <w:rPr>
          <w:szCs w:val="24"/>
        </w:rPr>
        <w:t>. [online] Available at: https://scholar.google.com/scholar?q=NICE+NG28+Type+2+diabetes+management [Accessed 31 July 2026].</w:t>
      </w:r>
    </w:p>
    <w:p w14:paraId="64367E29" w14:textId="77777777" w:rsidR="00D224B3" w:rsidRPr="00D005E9" w:rsidRDefault="00D224B3" w:rsidP="00D224B3">
      <w:pPr>
        <w:spacing w:after="240" w:line="360" w:lineRule="auto"/>
        <w:rPr>
          <w:szCs w:val="24"/>
        </w:rPr>
      </w:pPr>
      <w:r w:rsidRPr="00D005E9">
        <w:rPr>
          <w:szCs w:val="24"/>
        </w:rPr>
        <w:t xml:space="preserve">International Diabetes Federation (2025a). </w:t>
      </w:r>
      <w:r w:rsidRPr="00D005E9">
        <w:rPr>
          <w:i/>
          <w:iCs/>
          <w:szCs w:val="24"/>
        </w:rPr>
        <w:t>Diabetes around the world in 2025</w:t>
      </w:r>
      <w:r w:rsidRPr="00D005E9">
        <w:rPr>
          <w:szCs w:val="24"/>
        </w:rPr>
        <w:t xml:space="preserve">. [online] </w:t>
      </w:r>
      <w:r w:rsidRPr="00D005E9">
        <w:rPr>
          <w:i/>
          <w:iCs/>
          <w:szCs w:val="24"/>
        </w:rPr>
        <w:t>IDF Diabetes Atlas</w:t>
      </w:r>
      <w:r w:rsidRPr="00D005E9">
        <w:rPr>
          <w:szCs w:val="24"/>
        </w:rPr>
        <w:t>. International Diabetes Federation. Available at: https://diabetesatlas.org/ [Accessed 2 Aug. 2026].</w:t>
      </w:r>
    </w:p>
    <w:p w14:paraId="1992DF90" w14:textId="77777777" w:rsidR="00D224B3" w:rsidRPr="00D005E9" w:rsidRDefault="00D224B3" w:rsidP="00D224B3">
      <w:pPr>
        <w:spacing w:after="240" w:line="360" w:lineRule="auto"/>
        <w:rPr>
          <w:szCs w:val="24"/>
        </w:rPr>
      </w:pPr>
      <w:r w:rsidRPr="00D005E9">
        <w:rPr>
          <w:szCs w:val="24"/>
        </w:rPr>
        <w:t xml:space="preserve">International Diabetes Federation (2025b). </w:t>
      </w:r>
      <w:r w:rsidRPr="00D005E9">
        <w:rPr>
          <w:i/>
          <w:iCs/>
          <w:szCs w:val="24"/>
        </w:rPr>
        <w:t>Diabetes around the world in 2025</w:t>
      </w:r>
      <w:r w:rsidRPr="00D005E9">
        <w:rPr>
          <w:szCs w:val="24"/>
        </w:rPr>
        <w:t xml:space="preserve">. [online] </w:t>
      </w:r>
      <w:r w:rsidRPr="00D005E9">
        <w:rPr>
          <w:i/>
          <w:iCs/>
          <w:szCs w:val="24"/>
        </w:rPr>
        <w:t>IDF Diabetes Atlas</w:t>
      </w:r>
      <w:r w:rsidRPr="00D005E9">
        <w:rPr>
          <w:szCs w:val="24"/>
        </w:rPr>
        <w:t>. International Diabetes Federation. Available at: https://diabetesatlas.org/ [Accessed 2 Aug. 2026].</w:t>
      </w:r>
    </w:p>
    <w:p w14:paraId="329743AC" w14:textId="77777777" w:rsidR="00D224B3" w:rsidRPr="00D005E9" w:rsidRDefault="00D224B3" w:rsidP="00D224B3">
      <w:pPr>
        <w:spacing w:after="240" w:line="360" w:lineRule="auto"/>
        <w:rPr>
          <w:szCs w:val="24"/>
        </w:rPr>
      </w:pPr>
      <w:r w:rsidRPr="00D005E9">
        <w:rPr>
          <w:szCs w:val="24"/>
        </w:rPr>
        <w:t xml:space="preserve">National Institute of Diabetes and Digestive and Kidney Diseases (2018). </w:t>
      </w:r>
      <w:r w:rsidRPr="00D005E9">
        <w:rPr>
          <w:i/>
          <w:iCs/>
          <w:szCs w:val="24"/>
        </w:rPr>
        <w:t>Insulin resistance &amp; prediabetes</w:t>
      </w:r>
      <w:r w:rsidRPr="00D005E9">
        <w:rPr>
          <w:szCs w:val="24"/>
        </w:rPr>
        <w:t xml:space="preserve">. [online] </w:t>
      </w:r>
      <w:r w:rsidRPr="00D005E9">
        <w:rPr>
          <w:i/>
          <w:iCs/>
          <w:szCs w:val="24"/>
        </w:rPr>
        <w:t>National Institute of Diabetes and Digestive and Kidney Diseases</w:t>
      </w:r>
      <w:r w:rsidRPr="00D005E9">
        <w:rPr>
          <w:szCs w:val="24"/>
        </w:rPr>
        <w:t xml:space="preserve">. </w:t>
      </w:r>
      <w:r w:rsidRPr="00D005E9">
        <w:rPr>
          <w:szCs w:val="24"/>
        </w:rPr>
        <w:lastRenderedPageBreak/>
        <w:t>Available at: https://www.niddk.nih.gov/health-information/diabetes/overview/what-is-diabetes/prediabetes-insulin-resistance [Accessed 2 Aug. 2026].</w:t>
      </w:r>
    </w:p>
    <w:p w14:paraId="700BE557" w14:textId="77777777" w:rsidR="00D224B3" w:rsidRPr="00D005E9" w:rsidRDefault="00D224B3" w:rsidP="00D224B3">
      <w:pPr>
        <w:spacing w:after="240" w:line="360" w:lineRule="auto"/>
        <w:rPr>
          <w:szCs w:val="24"/>
        </w:rPr>
      </w:pPr>
      <w:r w:rsidRPr="00D005E9">
        <w:rPr>
          <w:szCs w:val="24"/>
        </w:rPr>
        <w:t xml:space="preserve">NHS (2023). </w:t>
      </w:r>
      <w:r w:rsidRPr="00D005E9">
        <w:rPr>
          <w:i/>
          <w:iCs/>
          <w:szCs w:val="24"/>
        </w:rPr>
        <w:t>What is Type 2 Diabetes?</w:t>
      </w:r>
      <w:r w:rsidRPr="00D005E9">
        <w:rPr>
          <w:szCs w:val="24"/>
        </w:rPr>
        <w:t xml:space="preserve"> [online] </w:t>
      </w:r>
      <w:r w:rsidRPr="00D005E9">
        <w:rPr>
          <w:i/>
          <w:iCs/>
          <w:szCs w:val="24"/>
        </w:rPr>
        <w:t>NHS</w:t>
      </w:r>
      <w:r w:rsidRPr="00D005E9">
        <w:rPr>
          <w:szCs w:val="24"/>
        </w:rPr>
        <w:t>. NHS. Available at: https://www.nhs.uk/conditions/type-2-diabetes/ [Accessed 31 July 2026].</w:t>
      </w:r>
    </w:p>
    <w:p w14:paraId="136A1BDE" w14:textId="77777777" w:rsidR="00D224B3" w:rsidRPr="00D005E9" w:rsidRDefault="00D224B3" w:rsidP="00D224B3">
      <w:pPr>
        <w:spacing w:after="240" w:line="360" w:lineRule="auto"/>
        <w:rPr>
          <w:szCs w:val="24"/>
        </w:rPr>
      </w:pPr>
      <w:r w:rsidRPr="00D005E9">
        <w:rPr>
          <w:szCs w:val="24"/>
        </w:rPr>
        <w:t xml:space="preserve">NICE (2022). </w:t>
      </w:r>
      <w:r w:rsidRPr="00D005E9">
        <w:rPr>
          <w:i/>
          <w:iCs/>
          <w:szCs w:val="24"/>
        </w:rPr>
        <w:t>Type 2 Diabetes in Adults: Management</w:t>
      </w:r>
      <w:r w:rsidRPr="00D005E9">
        <w:rPr>
          <w:szCs w:val="24"/>
        </w:rPr>
        <w:t xml:space="preserve">. [online] </w:t>
      </w:r>
      <w:r w:rsidRPr="00D005E9">
        <w:rPr>
          <w:i/>
          <w:iCs/>
          <w:szCs w:val="24"/>
        </w:rPr>
        <w:t>Nice.org.uk</w:t>
      </w:r>
      <w:r w:rsidRPr="00D005E9">
        <w:rPr>
          <w:szCs w:val="24"/>
        </w:rPr>
        <w:t>. NICE. Available at: https://www.nice.org.uk/guidance/ng28 [Accessed 31 July 2026].</w:t>
      </w:r>
    </w:p>
    <w:p w14:paraId="68BBBE6E" w14:textId="77777777" w:rsidR="00D224B3" w:rsidRPr="00D005E9" w:rsidRDefault="00D224B3" w:rsidP="00D224B3">
      <w:pPr>
        <w:spacing w:after="240" w:line="360" w:lineRule="auto"/>
        <w:rPr>
          <w:szCs w:val="24"/>
        </w:rPr>
      </w:pPr>
      <w:r w:rsidRPr="00D005E9">
        <w:rPr>
          <w:szCs w:val="24"/>
        </w:rPr>
        <w:t xml:space="preserve">World Health Organization (2024). </w:t>
      </w:r>
      <w:r w:rsidRPr="00D005E9">
        <w:rPr>
          <w:i/>
          <w:iCs/>
          <w:szCs w:val="24"/>
        </w:rPr>
        <w:t>Diabetes</w:t>
      </w:r>
      <w:r w:rsidRPr="00D005E9">
        <w:rPr>
          <w:szCs w:val="24"/>
        </w:rPr>
        <w:t xml:space="preserve">. [online] </w:t>
      </w:r>
      <w:r w:rsidRPr="00D005E9">
        <w:rPr>
          <w:i/>
          <w:iCs/>
          <w:szCs w:val="24"/>
        </w:rPr>
        <w:t>World Health Organization</w:t>
      </w:r>
      <w:r w:rsidRPr="00D005E9">
        <w:rPr>
          <w:szCs w:val="24"/>
        </w:rPr>
        <w:t>. Available at: https://www.who.int/news-room/fact-sheets/detail/diabetes [Accessed 2 Aug. 2026].</w:t>
      </w:r>
    </w:p>
    <w:p w14:paraId="43AE7CF6" w14:textId="77777777" w:rsidR="00D774EB" w:rsidRDefault="00D774EB" w:rsidP="00462993">
      <w:pPr>
        <w:spacing w:line="360" w:lineRule="auto"/>
        <w:rPr>
          <w:rFonts w:ascii="Arial" w:hAnsi="Arial" w:cs="Arial"/>
          <w:szCs w:val="24"/>
        </w:rPr>
      </w:pPr>
    </w:p>
    <w:p w14:paraId="5AEE8828" w14:textId="77777777" w:rsidR="009A58CF" w:rsidRPr="00026928" w:rsidRDefault="009A58CF" w:rsidP="00462993">
      <w:pPr>
        <w:spacing w:line="360" w:lineRule="auto"/>
        <w:rPr>
          <w:rFonts w:ascii="Arial" w:hAnsi="Arial" w:cs="Arial"/>
          <w:szCs w:val="24"/>
        </w:rPr>
      </w:pPr>
    </w:p>
    <w:p w14:paraId="365CC4AA" w14:textId="77777777" w:rsidR="00462993" w:rsidRPr="00026928" w:rsidRDefault="00462993" w:rsidP="00462993">
      <w:pPr>
        <w:spacing w:line="360" w:lineRule="auto"/>
        <w:rPr>
          <w:rFonts w:ascii="Arial" w:hAnsi="Arial" w:cs="Arial"/>
          <w:szCs w:val="24"/>
        </w:rPr>
      </w:pPr>
    </w:p>
    <w:sectPr w:rsidR="00462993" w:rsidRPr="00026928" w:rsidSect="00370282">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9AFB3" w14:textId="77777777" w:rsidR="008C75E2" w:rsidRDefault="008C75E2" w:rsidP="00C03A91">
      <w:pPr>
        <w:spacing w:after="0" w:line="240" w:lineRule="auto"/>
      </w:pPr>
      <w:r>
        <w:separator/>
      </w:r>
    </w:p>
  </w:endnote>
  <w:endnote w:type="continuationSeparator" w:id="0">
    <w:p w14:paraId="439F62F7" w14:textId="77777777" w:rsidR="008C75E2" w:rsidRDefault="008C75E2"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69955173"/>
      <w:docPartObj>
        <w:docPartGallery w:val="Page Numbers (Bottom of Page)"/>
        <w:docPartUnique/>
      </w:docPartObj>
    </w:sdtPr>
    <w:sdtEndPr>
      <w:rPr>
        <w:rStyle w:val="PageNumber"/>
      </w:rPr>
    </w:sdtEndPr>
    <w:sdtContent>
      <w:p w14:paraId="5FA42615" w14:textId="7472C6D6" w:rsidR="009F345C" w:rsidRDefault="009F345C" w:rsidP="005721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C6C5EF" w14:textId="77777777" w:rsidR="009F345C" w:rsidRDefault="009F345C" w:rsidP="009F34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52729445"/>
      <w:docPartObj>
        <w:docPartGallery w:val="Page Numbers (Bottom of Page)"/>
        <w:docPartUnique/>
      </w:docPartObj>
    </w:sdtPr>
    <w:sdtEndPr>
      <w:rPr>
        <w:rStyle w:val="PageNumber"/>
      </w:rPr>
    </w:sdtEndPr>
    <w:sdtContent>
      <w:p w14:paraId="25B2CC3D" w14:textId="0EB33138" w:rsidR="009F345C" w:rsidRDefault="009F345C" w:rsidP="005721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7A430F9" w14:textId="3977269E" w:rsidR="00C03A91" w:rsidRPr="00C03A91" w:rsidRDefault="00C03A91" w:rsidP="009F345C">
    <w:pPr>
      <w:pStyle w:val="Footer"/>
      <w:ind w:right="360"/>
      <w:jc w:val="center"/>
      <w:rPr>
        <w:rFonts w:ascii="Arial" w:hAnsi="Arial" w:cs="Arial"/>
        <w:sz w:val="22"/>
      </w:rPr>
    </w:pPr>
  </w:p>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32DC7" w14:textId="77777777" w:rsidR="008C75E2" w:rsidRDefault="008C75E2" w:rsidP="00C03A91">
      <w:pPr>
        <w:spacing w:after="0" w:line="240" w:lineRule="auto"/>
      </w:pPr>
      <w:r>
        <w:separator/>
      </w:r>
    </w:p>
  </w:footnote>
  <w:footnote w:type="continuationSeparator" w:id="0">
    <w:p w14:paraId="6004B199" w14:textId="77777777" w:rsidR="008C75E2" w:rsidRDefault="008C75E2"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F61D12"/>
    <w:multiLevelType w:val="hybridMultilevel"/>
    <w:tmpl w:val="5EC6362A"/>
    <w:lvl w:ilvl="0" w:tplc="2ADC97C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2"/>
  </w:num>
  <w:num w:numId="2" w16cid:durableId="1940680655">
    <w:abstractNumId w:val="1"/>
  </w:num>
  <w:num w:numId="3" w16cid:durableId="342167121">
    <w:abstractNumId w:val="4"/>
  </w:num>
  <w:num w:numId="4" w16cid:durableId="848447299">
    <w:abstractNumId w:val="3"/>
  </w:num>
  <w:num w:numId="5" w16cid:durableId="582488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26928"/>
    <w:rsid w:val="00076AC0"/>
    <w:rsid w:val="00097E97"/>
    <w:rsid w:val="000B17F2"/>
    <w:rsid w:val="000C4EDA"/>
    <w:rsid w:val="000D4C58"/>
    <w:rsid w:val="001B7A40"/>
    <w:rsid w:val="001F6DDB"/>
    <w:rsid w:val="00216C85"/>
    <w:rsid w:val="00273EDD"/>
    <w:rsid w:val="002C3965"/>
    <w:rsid w:val="002D27FB"/>
    <w:rsid w:val="002D5EDB"/>
    <w:rsid w:val="00321C4C"/>
    <w:rsid w:val="00362D2F"/>
    <w:rsid w:val="00370282"/>
    <w:rsid w:val="003B3BB3"/>
    <w:rsid w:val="004577F7"/>
    <w:rsid w:val="00462993"/>
    <w:rsid w:val="004B6357"/>
    <w:rsid w:val="005078D9"/>
    <w:rsid w:val="005247B0"/>
    <w:rsid w:val="00532923"/>
    <w:rsid w:val="00563AF8"/>
    <w:rsid w:val="0057616D"/>
    <w:rsid w:val="005851AD"/>
    <w:rsid w:val="005C5F3B"/>
    <w:rsid w:val="005D7E92"/>
    <w:rsid w:val="006155CC"/>
    <w:rsid w:val="006415A8"/>
    <w:rsid w:val="0067190D"/>
    <w:rsid w:val="007A7297"/>
    <w:rsid w:val="007E7745"/>
    <w:rsid w:val="008353D4"/>
    <w:rsid w:val="008942A0"/>
    <w:rsid w:val="008A4A8B"/>
    <w:rsid w:val="008C75E2"/>
    <w:rsid w:val="00940407"/>
    <w:rsid w:val="009747FA"/>
    <w:rsid w:val="00980FD0"/>
    <w:rsid w:val="00986F78"/>
    <w:rsid w:val="00995C46"/>
    <w:rsid w:val="009A58CF"/>
    <w:rsid w:val="009D1D1E"/>
    <w:rsid w:val="009F345C"/>
    <w:rsid w:val="00A035FD"/>
    <w:rsid w:val="00A6798F"/>
    <w:rsid w:val="00AA4DD8"/>
    <w:rsid w:val="00B215B2"/>
    <w:rsid w:val="00BA4C65"/>
    <w:rsid w:val="00BE6943"/>
    <w:rsid w:val="00BF7262"/>
    <w:rsid w:val="00C03A91"/>
    <w:rsid w:val="00C07BF9"/>
    <w:rsid w:val="00C64D7F"/>
    <w:rsid w:val="00CA564E"/>
    <w:rsid w:val="00CD2863"/>
    <w:rsid w:val="00CD73C3"/>
    <w:rsid w:val="00CE7A90"/>
    <w:rsid w:val="00D224B3"/>
    <w:rsid w:val="00D73FB0"/>
    <w:rsid w:val="00D774EB"/>
    <w:rsid w:val="00D80D52"/>
    <w:rsid w:val="00D870AB"/>
    <w:rsid w:val="00DA2A1E"/>
    <w:rsid w:val="00DA6194"/>
    <w:rsid w:val="00DB6D4B"/>
    <w:rsid w:val="00DE477A"/>
    <w:rsid w:val="00E2038D"/>
    <w:rsid w:val="00E500D8"/>
    <w:rsid w:val="00E804DA"/>
    <w:rsid w:val="00E92200"/>
    <w:rsid w:val="00EB04A3"/>
    <w:rsid w:val="00EB12BC"/>
    <w:rsid w:val="00ED060A"/>
    <w:rsid w:val="00F137E3"/>
    <w:rsid w:val="00F23281"/>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PageNumber">
    <w:name w:val="page number"/>
    <w:basedOn w:val="DefaultParagraphFont"/>
    <w:uiPriority w:val="99"/>
    <w:semiHidden/>
    <w:unhideWhenUsed/>
    <w:rsid w:val="009F34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569df091-b013-40e3-86ee-bd9cb9e25814}" enabled="0" method="" siteId="{569df091-b013-40e3-86ee-bd9cb9e25814}"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11</Pages>
  <Words>2688</Words>
  <Characters>15327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Aissata Camara (2424904)</cp:lastModifiedBy>
  <cp:revision>2</cp:revision>
  <dcterms:created xsi:type="dcterms:W3CDTF">2026-08-02T14:33:00Z</dcterms:created>
  <dcterms:modified xsi:type="dcterms:W3CDTF">2026-08-02T14:33:00Z</dcterms:modified>
</cp:coreProperties>
</file>