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128FCAC3"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E23C93">
              <w:rPr>
                <w:rFonts w:ascii="Arial" w:hAnsi="Arial" w:cs="Arial"/>
                <w:b/>
                <w:sz w:val="22"/>
                <w:szCs w:val="22"/>
              </w:rPr>
              <w:t>TESSA JAY WALTHER</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957282A" w:rsidR="003B3F9D" w:rsidRPr="009601B8" w:rsidRDefault="00F1005E" w:rsidP="001E57C1">
            <w:pPr>
              <w:spacing w:before="120" w:after="120"/>
              <w:jc w:val="both"/>
              <w:rPr>
                <w:rFonts w:ascii="Arial" w:hAnsi="Arial" w:cs="Arial"/>
                <w:b/>
                <w:sz w:val="22"/>
                <w:szCs w:val="22"/>
              </w:rPr>
            </w:pPr>
            <w:r>
              <w:rPr>
                <w:rFonts w:ascii="Arial" w:hAnsi="Arial" w:cs="Arial"/>
                <w:b/>
                <w:sz w:val="22"/>
                <w:szCs w:val="22"/>
              </w:rPr>
              <w:t>1920978</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58648EC8" w:rsidR="008F359C" w:rsidRPr="00A406E5" w:rsidRDefault="008F359C" w:rsidP="00273FEE">
            <w:pPr>
              <w:rPr>
                <w:rFonts w:ascii="Arial" w:hAnsi="Arial" w:cs="Arial"/>
                <w:sz w:val="22"/>
                <w:szCs w:val="22"/>
              </w:rPr>
            </w:pPr>
          </w:p>
        </w:tc>
      </w:tr>
    </w:tbl>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6731D3" w14:textId="5C9563BA" w:rsidR="00454735" w:rsidRDefault="00454735" w:rsidP="00454735">
      <w:pPr>
        <w:spacing w:line="257" w:lineRule="auto"/>
        <w:rPr>
          <w:rFonts w:ascii="Calibri" w:eastAsia="Calibri" w:hAnsi="Calibri" w:cs="Calibri"/>
          <w:b/>
          <w:bCs/>
          <w:sz w:val="28"/>
          <w:szCs w:val="28"/>
        </w:rPr>
      </w:pPr>
      <w:r w:rsidRPr="00454735">
        <w:rPr>
          <w:rFonts w:ascii="Calibri" w:eastAsia="Calibri" w:hAnsi="Calibri" w:cs="Calibri"/>
          <w:b/>
          <w:bCs/>
          <w:sz w:val="28"/>
          <w:szCs w:val="28"/>
        </w:rPr>
        <w:t>Understanding the role of Constable/Maintaining Professional Standards</w:t>
      </w:r>
    </w:p>
    <w:p w14:paraId="6EF1828D" w14:textId="61A14CB5" w:rsidR="00A969B0" w:rsidRPr="004D6DF5" w:rsidRDefault="00A969B0" w:rsidP="00A969B0">
      <w:pPr>
        <w:rPr>
          <w:rFonts w:cstheme="minorHAnsi"/>
          <w:color w:val="000000"/>
          <w:sz w:val="24"/>
          <w:szCs w:val="24"/>
        </w:rPr>
      </w:pPr>
      <w:r w:rsidRPr="004D6DF5">
        <w:rPr>
          <w:rFonts w:cstheme="minorHAnsi"/>
          <w:color w:val="000000"/>
          <w:sz w:val="24"/>
          <w:szCs w:val="24"/>
        </w:rPr>
        <w:t xml:space="preserve">This essay critically evaluates the concept of ‘professionalising the police service’. </w:t>
      </w:r>
    </w:p>
    <w:p w14:paraId="422A458C" w14:textId="77777777" w:rsidR="00A969B0" w:rsidRPr="004D6DF5" w:rsidRDefault="00A969B0" w:rsidP="00A969B0">
      <w:pPr>
        <w:rPr>
          <w:rFonts w:cstheme="minorHAnsi"/>
          <w:color w:val="000000"/>
          <w:sz w:val="24"/>
          <w:szCs w:val="24"/>
        </w:rPr>
      </w:pPr>
      <w:r w:rsidRPr="004D6DF5">
        <w:rPr>
          <w:rFonts w:cstheme="minorHAnsi"/>
          <w:color w:val="000000"/>
          <w:sz w:val="24"/>
          <w:szCs w:val="24"/>
        </w:rPr>
        <w:t>This concept has been brought about by the introduction of the Policing Education Qualifications Framework (PEQF) to develop a more sophisticated approach in policing to meet the needs of increasingly complex crimes, as noted by the National Police Chief’s Council (NPCC) (</w:t>
      </w:r>
      <w:hyperlink r:id="rId12" w:history="1">
        <w:r w:rsidRPr="004D6DF5">
          <w:rPr>
            <w:rStyle w:val="Hyperlink"/>
            <w:rFonts w:cstheme="minorHAnsi"/>
            <w:sz w:val="24"/>
            <w:szCs w:val="24"/>
          </w:rPr>
          <w:t>http://www.npcc.police.uk/documents/policing%20vision.pdf/</w:t>
        </w:r>
      </w:hyperlink>
      <w:r w:rsidRPr="004D6DF5">
        <w:rPr>
          <w:rFonts w:cstheme="minorHAnsi"/>
          <w:color w:val="000000"/>
          <w:sz w:val="24"/>
          <w:szCs w:val="24"/>
        </w:rPr>
        <w:t xml:space="preserve"> no date),</w:t>
      </w:r>
    </w:p>
    <w:p w14:paraId="6ABADC1B" w14:textId="3176165B" w:rsidR="00A969B0" w:rsidRPr="004D6DF5" w:rsidRDefault="00A969B0" w:rsidP="00A969B0">
      <w:pPr>
        <w:rPr>
          <w:rFonts w:cstheme="minorHAnsi"/>
          <w:color w:val="000000"/>
          <w:sz w:val="24"/>
          <w:szCs w:val="24"/>
        </w:rPr>
      </w:pPr>
      <w:r w:rsidRPr="004D6DF5">
        <w:rPr>
          <w:rFonts w:cstheme="minorHAnsi"/>
          <w:color w:val="000000"/>
          <w:sz w:val="24"/>
          <w:szCs w:val="24"/>
        </w:rPr>
        <w:t xml:space="preserve">Brown (2018) further references studies that have taken place in Australia, America and the United Kingdom of which highlight that levels of police misconduct can be altered through participation in higher education, of which further allows for improved services and knowledge base to adhere to an ever-changing, complex society. Brown (2018) describes this as an effort to reform and modernize the police occupational culture and improve ethical standards as outlined within the Code of Ethics whereby </w:t>
      </w:r>
      <w:r w:rsidR="009C3C14">
        <w:rPr>
          <w:rFonts w:cstheme="minorHAnsi"/>
          <w:color w:val="000000"/>
          <w:sz w:val="24"/>
          <w:szCs w:val="24"/>
        </w:rPr>
        <w:t>T</w:t>
      </w:r>
      <w:r w:rsidRPr="004D6DF5">
        <w:rPr>
          <w:rFonts w:cstheme="minorHAnsi"/>
          <w:color w:val="000000"/>
          <w:sz w:val="24"/>
          <w:szCs w:val="24"/>
        </w:rPr>
        <w:t xml:space="preserve">he College of </w:t>
      </w:r>
      <w:r w:rsidRPr="004D6DF5">
        <w:rPr>
          <w:rFonts w:cstheme="minorHAnsi"/>
          <w:color w:val="000000"/>
          <w:sz w:val="24"/>
          <w:szCs w:val="24"/>
        </w:rPr>
        <w:lastRenderedPageBreak/>
        <w:t xml:space="preserve">Policing (2021) describe the introduction of such in 2014 as the professional body for policing, setting standards of exemplary behaviour expected of those employed by the organisation. In specific, the value of ‘integrity’ is explored within this essay. </w:t>
      </w:r>
    </w:p>
    <w:p w14:paraId="1D9AE641" w14:textId="767011DA" w:rsidR="00A969B0" w:rsidRPr="004D6DF5" w:rsidRDefault="00A969B0" w:rsidP="00A969B0">
      <w:pPr>
        <w:rPr>
          <w:rFonts w:cstheme="minorHAnsi"/>
          <w:color w:val="000000"/>
          <w:sz w:val="24"/>
          <w:szCs w:val="24"/>
        </w:rPr>
      </w:pPr>
      <w:r w:rsidRPr="004D6DF5">
        <w:rPr>
          <w:rFonts w:cstheme="minorHAnsi"/>
          <w:color w:val="000000"/>
          <w:sz w:val="24"/>
          <w:szCs w:val="24"/>
        </w:rPr>
        <w:t>The College of Policing (2021</w:t>
      </w:r>
      <w:r w:rsidR="003F2325">
        <w:rPr>
          <w:rFonts w:cstheme="minorHAnsi"/>
          <w:color w:val="000000"/>
          <w:sz w:val="24"/>
          <w:szCs w:val="24"/>
        </w:rPr>
        <w:t>a</w:t>
      </w:r>
      <w:r w:rsidRPr="004D6DF5">
        <w:rPr>
          <w:rFonts w:cstheme="minorHAnsi"/>
          <w:color w:val="000000"/>
          <w:sz w:val="24"/>
          <w:szCs w:val="24"/>
        </w:rPr>
        <w:t xml:space="preserve">) outline integrity as the ability to maintain professionalism in delivering a modern and effective service with the aim to uphold public trust. Upon taking this into consideration of the development of the PEQF, Ramshaw and </w:t>
      </w:r>
      <w:proofErr w:type="spellStart"/>
      <w:r w:rsidRPr="004D6DF5">
        <w:rPr>
          <w:rFonts w:cstheme="minorHAnsi"/>
          <w:color w:val="000000"/>
          <w:sz w:val="24"/>
          <w:szCs w:val="24"/>
        </w:rPr>
        <w:t>Soppitt</w:t>
      </w:r>
      <w:proofErr w:type="spellEnd"/>
      <w:r w:rsidRPr="004D6DF5">
        <w:rPr>
          <w:rFonts w:cstheme="minorHAnsi"/>
          <w:color w:val="000000"/>
          <w:sz w:val="24"/>
          <w:szCs w:val="24"/>
        </w:rPr>
        <w:t xml:space="preserve"> (2018) highlight the importance in the reinforcement of integrity </w:t>
      </w:r>
      <w:proofErr w:type="gramStart"/>
      <w:r w:rsidRPr="004D6DF5">
        <w:rPr>
          <w:rFonts w:cstheme="minorHAnsi"/>
          <w:color w:val="000000"/>
          <w:sz w:val="24"/>
          <w:szCs w:val="24"/>
        </w:rPr>
        <w:t>through the use of</w:t>
      </w:r>
      <w:proofErr w:type="gramEnd"/>
      <w:r w:rsidRPr="004D6DF5">
        <w:rPr>
          <w:rFonts w:cstheme="minorHAnsi"/>
          <w:color w:val="000000"/>
          <w:sz w:val="24"/>
          <w:szCs w:val="24"/>
        </w:rPr>
        <w:t xml:space="preserve"> the PEQF whereby students are more knowledgeable of the term through lessons in academic misconduct as well as workplace misconduct. </w:t>
      </w:r>
      <w:proofErr w:type="spellStart"/>
      <w:r w:rsidRPr="004D6DF5">
        <w:rPr>
          <w:rFonts w:cstheme="minorHAnsi"/>
          <w:color w:val="000000"/>
          <w:sz w:val="24"/>
          <w:szCs w:val="24"/>
        </w:rPr>
        <w:t>Charman</w:t>
      </w:r>
      <w:proofErr w:type="spellEnd"/>
      <w:r w:rsidRPr="004D6DF5">
        <w:rPr>
          <w:rFonts w:cstheme="minorHAnsi"/>
          <w:color w:val="000000"/>
          <w:sz w:val="24"/>
          <w:szCs w:val="24"/>
        </w:rPr>
        <w:t xml:space="preserve"> (2018) conducted a study which highlights the differences in ethical standards between those of a student level to those of longer-serving officers, describing student officers as a ‘new breed’ who were increasingly intolerant of unprofessional behaviours and aim to perform their roles with integrity. In addition to this, </w:t>
      </w:r>
      <w:proofErr w:type="spellStart"/>
      <w:r w:rsidRPr="004D6DF5">
        <w:rPr>
          <w:rFonts w:cstheme="minorHAnsi"/>
          <w:color w:val="000000"/>
          <w:sz w:val="24"/>
          <w:szCs w:val="24"/>
        </w:rPr>
        <w:t>Charman</w:t>
      </w:r>
      <w:proofErr w:type="spellEnd"/>
      <w:r w:rsidRPr="004D6DF5">
        <w:rPr>
          <w:rFonts w:cstheme="minorHAnsi"/>
          <w:color w:val="000000"/>
          <w:sz w:val="24"/>
          <w:szCs w:val="24"/>
        </w:rPr>
        <w:t xml:space="preserve"> (2018) identified the fact that young, student officers recognised that policing is not just about crime fighting and that it is a lot to do with safeguarding </w:t>
      </w:r>
      <w:proofErr w:type="gramStart"/>
      <w:r w:rsidRPr="004D6DF5">
        <w:rPr>
          <w:rFonts w:cstheme="minorHAnsi"/>
          <w:color w:val="000000"/>
          <w:sz w:val="24"/>
          <w:szCs w:val="24"/>
        </w:rPr>
        <w:t>in an attempt to</w:t>
      </w:r>
      <w:proofErr w:type="gramEnd"/>
      <w:r w:rsidRPr="004D6DF5">
        <w:rPr>
          <w:rFonts w:cstheme="minorHAnsi"/>
          <w:color w:val="000000"/>
          <w:sz w:val="24"/>
          <w:szCs w:val="24"/>
        </w:rPr>
        <w:t xml:space="preserve"> prevent re-victimisation. This is as a result of the PEQF highlighting the importance in evidence-based policing of which is described by Brown </w:t>
      </w:r>
      <w:r w:rsidRPr="004D6DF5">
        <w:rPr>
          <w:rFonts w:cstheme="minorHAnsi"/>
          <w:i/>
          <w:iCs/>
          <w:color w:val="000000"/>
          <w:sz w:val="24"/>
          <w:szCs w:val="24"/>
        </w:rPr>
        <w:t>et al.</w:t>
      </w:r>
      <w:r w:rsidRPr="004D6DF5">
        <w:rPr>
          <w:rFonts w:cstheme="minorHAnsi"/>
          <w:color w:val="000000"/>
          <w:sz w:val="24"/>
          <w:szCs w:val="24"/>
        </w:rPr>
        <w:t xml:space="preserve"> (2018) as, “an integral constituent of the PEQF”, referring to the ability to identify what intervention is most suitable and what can be achieved from this. Brown </w:t>
      </w:r>
      <w:r w:rsidRPr="004D6DF5">
        <w:rPr>
          <w:rFonts w:cstheme="minorHAnsi"/>
          <w:i/>
          <w:iCs/>
          <w:color w:val="000000"/>
          <w:sz w:val="24"/>
          <w:szCs w:val="24"/>
        </w:rPr>
        <w:t>et al</w:t>
      </w:r>
      <w:r w:rsidRPr="004D6DF5">
        <w:rPr>
          <w:rFonts w:cstheme="minorHAnsi"/>
          <w:color w:val="000000"/>
          <w:sz w:val="24"/>
          <w:szCs w:val="24"/>
        </w:rPr>
        <w:t>. (2018) continue to cite Sharman (2009) in describing the use of evidence-based policing as providing an ability to make well-informed decisions and assessing the results in order to improve policies, thus providing an improved service to its service users.</w:t>
      </w:r>
    </w:p>
    <w:p w14:paraId="5A801B69" w14:textId="77777777" w:rsidR="00A969B0" w:rsidRPr="004D6DF5" w:rsidRDefault="00A969B0" w:rsidP="00A969B0">
      <w:pPr>
        <w:rPr>
          <w:rFonts w:cstheme="minorHAnsi"/>
          <w:color w:val="000000"/>
          <w:sz w:val="24"/>
          <w:szCs w:val="24"/>
        </w:rPr>
      </w:pPr>
      <w:r w:rsidRPr="004D6DF5">
        <w:rPr>
          <w:rFonts w:cstheme="minorHAnsi"/>
          <w:color w:val="000000"/>
          <w:sz w:val="24"/>
          <w:szCs w:val="24"/>
        </w:rPr>
        <w:t xml:space="preserve">However, research has shown that influences from the resistance to change within the policing organisational culture can have an impact on a students’ perspective of the police </w:t>
      </w:r>
      <w:proofErr w:type="gramStart"/>
      <w:r w:rsidRPr="004D6DF5">
        <w:rPr>
          <w:rFonts w:cstheme="minorHAnsi"/>
          <w:color w:val="000000"/>
          <w:sz w:val="24"/>
          <w:szCs w:val="24"/>
        </w:rPr>
        <w:t>and also</w:t>
      </w:r>
      <w:proofErr w:type="gramEnd"/>
      <w:r w:rsidRPr="004D6DF5">
        <w:rPr>
          <w:rFonts w:cstheme="minorHAnsi"/>
          <w:color w:val="000000"/>
          <w:sz w:val="24"/>
          <w:szCs w:val="24"/>
        </w:rPr>
        <w:t xml:space="preserve"> their own integrity and efforts within their role. </w:t>
      </w:r>
    </w:p>
    <w:p w14:paraId="7FA87623" w14:textId="77777777" w:rsidR="00A969B0" w:rsidRPr="004D6DF5" w:rsidRDefault="00A969B0" w:rsidP="00A969B0">
      <w:pPr>
        <w:rPr>
          <w:rFonts w:cstheme="minorHAnsi"/>
          <w:color w:val="000000"/>
          <w:sz w:val="24"/>
          <w:szCs w:val="24"/>
        </w:rPr>
      </w:pPr>
      <w:r w:rsidRPr="004D6DF5">
        <w:rPr>
          <w:rFonts w:cstheme="minorHAnsi"/>
          <w:color w:val="000000"/>
          <w:sz w:val="24"/>
          <w:szCs w:val="24"/>
        </w:rPr>
        <w:t xml:space="preserve">King and Lawley (2013) define organisational culture as the comprising of values, beliefs and practices which can be interpreted as ‘the way that things are done around here’. Smith </w:t>
      </w:r>
      <w:r w:rsidRPr="004D6DF5">
        <w:rPr>
          <w:rFonts w:cstheme="minorHAnsi"/>
          <w:i/>
          <w:iCs/>
          <w:color w:val="000000"/>
          <w:sz w:val="24"/>
          <w:szCs w:val="24"/>
        </w:rPr>
        <w:t>et al.</w:t>
      </w:r>
      <w:r w:rsidRPr="004D6DF5">
        <w:rPr>
          <w:rFonts w:cstheme="minorHAnsi"/>
          <w:color w:val="000000"/>
          <w:sz w:val="24"/>
          <w:szCs w:val="24"/>
        </w:rPr>
        <w:t xml:space="preserve"> (2012) identify the cultural ‘glue’ that can form within an organisation which causes reluctance to appropriately change to </w:t>
      </w:r>
      <w:r w:rsidRPr="004D6DF5">
        <w:rPr>
          <w:rFonts w:cstheme="minorHAnsi"/>
          <w:color w:val="000000"/>
          <w:sz w:val="24"/>
          <w:szCs w:val="24"/>
        </w:rPr>
        <w:lastRenderedPageBreak/>
        <w:t>satisfy the ever-changing requirements and expectations of a complex society. Heslop (2019) identifies the impacts of influence of those longer in service in relation to the process of ‘socialising’ of a probationary officer into the police through influences of those more experienced, this arguing that behaviours were learnt and passed through to new cohorts as a chain of normality, thus forcing a student to adapt to undesirable practices of which may not adhere to professional standards. This is a further element of which the PEQF aims to prevent in that, as previously discussed, policing is required to become more sophisticated and professional standards improved within the organisation.</w:t>
      </w:r>
    </w:p>
    <w:p w14:paraId="7CC92B9A" w14:textId="77777777" w:rsidR="00A969B0" w:rsidRPr="004D6DF5" w:rsidRDefault="00A969B0" w:rsidP="00A969B0">
      <w:pPr>
        <w:rPr>
          <w:rFonts w:cstheme="minorHAnsi"/>
          <w:color w:val="000000"/>
          <w:sz w:val="24"/>
          <w:szCs w:val="24"/>
        </w:rPr>
      </w:pPr>
      <w:r w:rsidRPr="004D6DF5">
        <w:rPr>
          <w:rFonts w:cstheme="minorHAnsi"/>
          <w:color w:val="000000"/>
          <w:sz w:val="24"/>
          <w:szCs w:val="24"/>
        </w:rPr>
        <w:t xml:space="preserve">Reiner (2010) expands on this argument in identifying the historical police culture as one that, ‘you cannot play it by the book’ with reference to the principles of ‘the ways and means act’. The House of Commons (1998) identify the use of the ‘ways and means’ act as an old-fashioned practice whereby police officers would obtain confessions through their own ways and means with the belief that they were acting in the interests of justice in securing convictions, and therefore believed that they would not be subject to scrutiny. Ultimately, officers would fall below professional standards to obtain such admissions. As such, it would be recognised that there are organisational cultural differences among those of experience and those at a graduate level in that professional standards are upheld more so by a refusal to turn a blind eye to faults within policing in ensuring to challenge unprofessional behaviour and maintain integrity. </w:t>
      </w:r>
      <w:proofErr w:type="spellStart"/>
      <w:r w:rsidRPr="004D6DF5">
        <w:rPr>
          <w:rFonts w:cstheme="minorHAnsi"/>
          <w:color w:val="000000"/>
          <w:sz w:val="24"/>
          <w:szCs w:val="24"/>
        </w:rPr>
        <w:t>Charman</w:t>
      </w:r>
      <w:proofErr w:type="spellEnd"/>
      <w:r w:rsidRPr="004D6DF5">
        <w:rPr>
          <w:rFonts w:cstheme="minorHAnsi"/>
          <w:color w:val="000000"/>
          <w:sz w:val="24"/>
          <w:szCs w:val="24"/>
        </w:rPr>
        <w:t xml:space="preserve"> (2018), as discussed previously supports the implementation of the PEQF in relation to a change in culture with a lack of tolerance to unprofessional behaviours, thus abiding by the Police Code of Ethics.</w:t>
      </w:r>
    </w:p>
    <w:p w14:paraId="6256B2E6" w14:textId="41F0893B" w:rsidR="00A969B0" w:rsidRPr="004D6DF5" w:rsidRDefault="00A969B0" w:rsidP="00A969B0">
      <w:pPr>
        <w:rPr>
          <w:rFonts w:cstheme="minorHAnsi"/>
          <w:color w:val="000000"/>
          <w:sz w:val="24"/>
          <w:szCs w:val="24"/>
        </w:rPr>
      </w:pPr>
      <w:r w:rsidRPr="004D6DF5">
        <w:rPr>
          <w:rFonts w:cstheme="minorHAnsi"/>
          <w:color w:val="000000"/>
          <w:sz w:val="24"/>
          <w:szCs w:val="24"/>
        </w:rPr>
        <w:t xml:space="preserve">In conclusion, there is insufficient evidence to review the effects of the introduction of the PEQF. As discussed previously, there are many positives to the PEQF however also negative perspectives from its implementation. Brown (2018) identifies that educated police officers are useful in the complexity of modern challenges however there is a lack of evidence to support that the PEQF has made a difference, with the author identifying that some studies have found no difference at all. This is further supported by Cox and Kirby (2018) who argue that by moving the police training site to a university campus does not change the culture. Heslop (2019, p.2) further acknowledges that, “universities are no more ethical than the police” and </w:t>
      </w:r>
      <w:r w:rsidRPr="004D6DF5">
        <w:rPr>
          <w:rFonts w:cstheme="minorHAnsi"/>
          <w:color w:val="000000"/>
          <w:sz w:val="24"/>
          <w:szCs w:val="24"/>
        </w:rPr>
        <w:lastRenderedPageBreak/>
        <w:t>as such cautions against the assumption that a university input within policing education will lead to improvements in officer integrity and standards of professional behaviour. However, it is evident that the policing culture is shifting to a more professional organisation with the ability to recognise and challenge unprofessional behaviour, thereby upholding the Code of Ethics and subsequently maintaining public confidence within the police.</w:t>
      </w:r>
    </w:p>
    <w:p w14:paraId="602C57C6" w14:textId="4CFB75D2" w:rsidR="00454735" w:rsidRPr="00CD1F36" w:rsidRDefault="00654397" w:rsidP="00CD1F36">
      <w:pPr>
        <w:rPr>
          <w:rFonts w:cstheme="minorHAnsi"/>
          <w:color w:val="000000"/>
          <w:sz w:val="24"/>
          <w:szCs w:val="24"/>
        </w:rPr>
      </w:pPr>
      <w:r w:rsidRPr="004D6DF5">
        <w:rPr>
          <w:rFonts w:cstheme="minorHAnsi"/>
          <w:color w:val="000000"/>
          <w:sz w:val="24"/>
          <w:szCs w:val="24"/>
        </w:rPr>
        <w:t>Word Count: 979</w:t>
      </w:r>
    </w:p>
    <w:p w14:paraId="203020D9" w14:textId="56584100"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Community/Response Policing/Policing roads/Conducting Investigations /Digital Policing</w:t>
      </w:r>
    </w:p>
    <w:p w14:paraId="46CAE3D0" w14:textId="0966E084"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 xml:space="preserve">Community Policing has become a policing priority since the development and recognition of the requirement of a National Reassurance Policing Programme (NRPP). Innes </w:t>
      </w:r>
      <w:r w:rsidRPr="0064225F">
        <w:rPr>
          <w:i/>
          <w:iCs/>
          <w:sz w:val="24"/>
          <w:szCs w:val="24"/>
        </w:rPr>
        <w:t>et al.</w:t>
      </w:r>
      <w:r w:rsidRPr="0064225F">
        <w:rPr>
          <w:sz w:val="24"/>
          <w:szCs w:val="24"/>
        </w:rPr>
        <w:t xml:space="preserve"> (2020) discusses the introduction of such in depth, stating that the development of the NRPP tackles the public’s concerns in relation to police priorities to tackle ‘priority’ crimes and overlooking the more talked about crimes within the community such as anti-social behaviour, labelled ‘signal crimes’. Innes </w:t>
      </w:r>
      <w:r w:rsidRPr="0064225F">
        <w:rPr>
          <w:i/>
          <w:iCs/>
          <w:sz w:val="24"/>
          <w:szCs w:val="24"/>
        </w:rPr>
        <w:t>et al.</w:t>
      </w:r>
      <w:r w:rsidRPr="0064225F">
        <w:rPr>
          <w:sz w:val="24"/>
          <w:szCs w:val="24"/>
        </w:rPr>
        <w:t xml:space="preserve"> (2020) continues to describe the NRPP as bridging the gap in reassurance of which response police officers were falling short on. Hough (2021) discusses the fact that perceptions of the police may be developed through personal experiences or through the influence of social media as such, a perception of trust, or distrust, is developed </w:t>
      </w:r>
      <w:r w:rsidR="004C7A40">
        <w:rPr>
          <w:sz w:val="24"/>
          <w:szCs w:val="24"/>
        </w:rPr>
        <w:t xml:space="preserve">toward </w:t>
      </w:r>
      <w:r w:rsidRPr="0064225F">
        <w:rPr>
          <w:sz w:val="24"/>
          <w:szCs w:val="24"/>
        </w:rPr>
        <w:t xml:space="preserve">the police. The theory of community engagement is to enhance police-public relations </w:t>
      </w:r>
      <w:proofErr w:type="gramStart"/>
      <w:r w:rsidRPr="0064225F">
        <w:rPr>
          <w:sz w:val="24"/>
          <w:szCs w:val="24"/>
        </w:rPr>
        <w:t>in an effort to</w:t>
      </w:r>
      <w:proofErr w:type="gramEnd"/>
      <w:r w:rsidRPr="0064225F">
        <w:rPr>
          <w:sz w:val="24"/>
          <w:szCs w:val="24"/>
        </w:rPr>
        <w:t xml:space="preserve"> improve public confidence in the service and ultimately work together to reduce levels of crime and disorder, as depicted by the National Policing Improvement Agency (NPIA) (2012). </w:t>
      </w:r>
    </w:p>
    <w:p w14:paraId="709284B7" w14:textId="77777777"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Community Policing strive to achieve this through the development of community cohesion. The NPIA (</w:t>
      </w:r>
      <w:hyperlink r:id="rId13" w:history="1">
        <w:r w:rsidRPr="00D56426">
          <w:rPr>
            <w:rStyle w:val="Hyperlink"/>
            <w:sz w:val="24"/>
            <w:szCs w:val="24"/>
          </w:rPr>
          <w:t>http://library.college.police.uk/docs/npia/CohesionGuide.pdf</w:t>
        </w:r>
        <w:r w:rsidRPr="0064225F">
          <w:rPr>
            <w:rStyle w:val="Hyperlink"/>
            <w:sz w:val="24"/>
            <w:szCs w:val="24"/>
          </w:rPr>
          <w:t>/</w:t>
        </w:r>
      </w:hyperlink>
      <w:r w:rsidRPr="0064225F">
        <w:rPr>
          <w:sz w:val="24"/>
          <w:szCs w:val="24"/>
        </w:rPr>
        <w:t xml:space="preserve">, no date) describe this as enabling a sense of belonging whereby neighbourhoods feel safe and secure, this being achieved through improved trust and confidence in the police as an organisation. This, in turn tackling the theory of community tension. </w:t>
      </w:r>
    </w:p>
    <w:p w14:paraId="3FFA5EBC" w14:textId="77777777"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 xml:space="preserve">Community tension is defined by the Institute of Community Cohesion (2010, p.53) as, “a state of community dynamics which may lead to disorder, threaten the peace and stability of communities, or raise the levels of </w:t>
      </w:r>
      <w:r w:rsidRPr="0064225F">
        <w:rPr>
          <w:sz w:val="24"/>
          <w:szCs w:val="24"/>
        </w:rPr>
        <w:lastRenderedPageBreak/>
        <w:t xml:space="preserve">fear and anxiety in the whole, or part of, the local community”. As such, the role of community policing aims to tackle this through achieving reassurance as discussed previously in improving a sense of security, reducing anti-social behaviour, improving confidence in policing therefore increasing social capital, this interpretation argued by Hughes and Rowe (2007). </w:t>
      </w:r>
    </w:p>
    <w:p w14:paraId="03112EB0" w14:textId="474074F0"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 xml:space="preserve">One of the most notable events that caused for a change in the way that the police address community issues relates to the Brixton Riots in 1981. </w:t>
      </w:r>
      <w:proofErr w:type="spellStart"/>
      <w:r w:rsidRPr="0064225F">
        <w:rPr>
          <w:sz w:val="24"/>
          <w:szCs w:val="24"/>
        </w:rPr>
        <w:t>Purbrick</w:t>
      </w:r>
      <w:proofErr w:type="spellEnd"/>
      <w:r w:rsidRPr="0064225F">
        <w:rPr>
          <w:sz w:val="24"/>
          <w:szCs w:val="24"/>
        </w:rPr>
        <w:t xml:space="preserve"> and Schofield (2009) describe the Brixton Riots an event of violent conflict between black communities and the police. Purdy-Moore (2021) expand</w:t>
      </w:r>
      <w:r w:rsidR="002B2E4C">
        <w:rPr>
          <w:sz w:val="24"/>
          <w:szCs w:val="24"/>
        </w:rPr>
        <w:t>s</w:t>
      </w:r>
      <w:r w:rsidRPr="0064225F">
        <w:rPr>
          <w:sz w:val="24"/>
          <w:szCs w:val="24"/>
        </w:rPr>
        <w:t xml:space="preserve"> on this, stating that the riots took place as an act of the community responding to police oppression, inequality and marginalisation. This was highly documented in newspapers, of which caused for an impact on police perception, identifying the police as ‘institutionally racist’ and in need of ‘radical reform’, this as referenced by Neal (2003). As such, Fielding (2005) discusses the importance in placing an emphasis on community policing in order to develop improved police-public relations and improve confidence in the police, </w:t>
      </w:r>
      <w:proofErr w:type="gramStart"/>
      <w:r w:rsidRPr="0064225F">
        <w:rPr>
          <w:sz w:val="24"/>
          <w:szCs w:val="24"/>
        </w:rPr>
        <w:t>in an attempt to</w:t>
      </w:r>
      <w:proofErr w:type="gramEnd"/>
      <w:r w:rsidRPr="0064225F">
        <w:rPr>
          <w:sz w:val="24"/>
          <w:szCs w:val="24"/>
        </w:rPr>
        <w:t xml:space="preserve"> avoid history repeating itself.</w:t>
      </w:r>
    </w:p>
    <w:p w14:paraId="4538C7FD" w14:textId="6AA9BD45"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One strategy utilised in achieving this refers to Gwent Police (2021) strategy in relation to Community Cohesion Groups. This is described by Gwent Police (2021) as a strategy aimed to increase police-public relations in tackling issues that have impacts on communities within</w:t>
      </w:r>
      <w:r w:rsidR="006766B4">
        <w:rPr>
          <w:sz w:val="24"/>
          <w:szCs w:val="24"/>
        </w:rPr>
        <w:t xml:space="preserve"> their force area</w:t>
      </w:r>
      <w:r w:rsidRPr="0064225F">
        <w:rPr>
          <w:sz w:val="24"/>
          <w:szCs w:val="24"/>
        </w:rPr>
        <w:t>. This group is said to aim in achieving and improving organisational policies, practices and procedures through liaising with members of the community on a quarterly basis to share knowledge of the current issues faced and advise on how best to overcome this. The Gwent Police and Crime Panel (2013) discuss this in accompany to ‘The Community Engagement Strategy’ whereby it is set out that the commissioner is required to make arrangements to obtain the views of the community in regards to policing whilst the Chief Constable is to make arrangements to obtain the views of the neighbourhoods in the community in relation to crime and disorder (</w:t>
      </w:r>
      <w:r w:rsidRPr="0064225F">
        <w:rPr>
          <w:i/>
          <w:iCs/>
          <w:sz w:val="24"/>
          <w:szCs w:val="24"/>
        </w:rPr>
        <w:t>Great Britain. Police and Crime Act 2012</w:t>
      </w:r>
      <w:r w:rsidRPr="0064225F">
        <w:rPr>
          <w:sz w:val="24"/>
          <w:szCs w:val="24"/>
        </w:rPr>
        <w:t xml:space="preserve">), these in effort to achieve a thorough understanding of the impacts within that community and appropriately and strategically plan how to overcome these. </w:t>
      </w:r>
    </w:p>
    <w:p w14:paraId="2E5D1BA4" w14:textId="16D3EB99"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lastRenderedPageBreak/>
        <w:t xml:space="preserve">Gwent Police (2021) identify these strategies as a response to recommendations set out within the Stephen Lawrence Enquiry of 1999 whereby Macpherson (1999) identified that police failures into the investigation of the racial attack and subsequent death of Stephen Lawrence led to a harm in the relationship between the police and the black community. One of the key priorities laid out within </w:t>
      </w:r>
      <w:proofErr w:type="spellStart"/>
      <w:r w:rsidRPr="0064225F">
        <w:rPr>
          <w:sz w:val="24"/>
          <w:szCs w:val="24"/>
        </w:rPr>
        <w:t>Machperson</w:t>
      </w:r>
      <w:proofErr w:type="spellEnd"/>
      <w:r w:rsidRPr="0064225F">
        <w:rPr>
          <w:sz w:val="24"/>
          <w:szCs w:val="24"/>
        </w:rPr>
        <w:t xml:space="preserve"> (1999, p. 375) recommendations is, “to increase trust and confidence in policing in amongst minority ethnic communities”.</w:t>
      </w:r>
    </w:p>
    <w:p w14:paraId="44FA2E2E" w14:textId="329801E5"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 xml:space="preserve">Thus far, the Office of the Police and Crime Commissioner for Gwent (OPCC) (2020) review of this </w:t>
      </w:r>
      <w:r w:rsidR="00804A0A">
        <w:rPr>
          <w:sz w:val="24"/>
          <w:szCs w:val="24"/>
        </w:rPr>
        <w:t>s</w:t>
      </w:r>
      <w:r w:rsidRPr="0064225F">
        <w:rPr>
          <w:sz w:val="24"/>
          <w:szCs w:val="24"/>
        </w:rPr>
        <w:t>trategy describe it as having a positive impact within communities, especially when working in developing cohesion in multi-cultural communities. This has been done through the effective engagement with communities in identifying issues regarding anti-social behaviour and the tackling of hate crime.</w:t>
      </w:r>
    </w:p>
    <w:p w14:paraId="4CCA7F1D" w14:textId="77777777" w:rsidR="0064225F" w:rsidRPr="0064225F" w:rsidRDefault="0064225F" w:rsidP="0064225F">
      <w:pPr>
        <w:overflowPunct w:val="0"/>
        <w:autoSpaceDE w:val="0"/>
        <w:autoSpaceDN w:val="0"/>
        <w:adjustRightInd w:val="0"/>
        <w:spacing w:before="240"/>
        <w:jc w:val="both"/>
        <w:textAlignment w:val="baseline"/>
        <w:rPr>
          <w:sz w:val="24"/>
          <w:szCs w:val="24"/>
        </w:rPr>
      </w:pPr>
      <w:r w:rsidRPr="0064225F">
        <w:rPr>
          <w:sz w:val="24"/>
          <w:szCs w:val="24"/>
        </w:rPr>
        <w:t xml:space="preserve">However, despite efforts in improving police-public relations through community policing, the media can still have an impact on the public perception of the police.  A recent article by The Guardian (2020) references the ‘Black Lives Matter’ Movement, following police brutality against a black male in the United States of America. The Guardian (2020) argues that institutional racism still exists within British Police Forces, quoting, “from who gets stopped and searched, to who gets arrested, to who gets charged, to who gets convicted”. Media publications such as this can damage the reputation of the police, with Mullis (2009) describing the impact of media publications as sometimes a biased representation of one side of events, thus influencing the publics opinion on the police. Mullis (2009) continues to argue that with an average person’s knowledge and understanding of investigations being limited, they will begin to rely on media sources to develop their opinions, this then influencing a biased opinion either for or against the police, dependant on the content of information viewed. </w:t>
      </w:r>
    </w:p>
    <w:p w14:paraId="0F7B64AA" w14:textId="68C7EA9D" w:rsidR="0064225F" w:rsidRDefault="0064225F" w:rsidP="0064225F">
      <w:pPr>
        <w:overflowPunct w:val="0"/>
        <w:autoSpaceDE w:val="0"/>
        <w:autoSpaceDN w:val="0"/>
        <w:adjustRightInd w:val="0"/>
        <w:spacing w:before="240"/>
        <w:jc w:val="both"/>
        <w:textAlignment w:val="baseline"/>
        <w:rPr>
          <w:rFonts w:ascii="Arial" w:hAnsi="Arial" w:cs="Arial"/>
          <w:sz w:val="24"/>
          <w:szCs w:val="24"/>
        </w:rPr>
      </w:pPr>
      <w:r w:rsidRPr="0064225F">
        <w:rPr>
          <w:sz w:val="24"/>
          <w:szCs w:val="24"/>
        </w:rPr>
        <w:t>Overall, this emphasises the positive impacts in the enforcement of community policing in ensuring to appropriately liaise with communities, build trust and partnerships in an attempt to mitigate negative police-public relations caused from personal experiences or media influences and ultimately making communities feel more safe and secure with reduced crime and disorder</w:t>
      </w:r>
      <w:r>
        <w:rPr>
          <w:rFonts w:ascii="Arial" w:hAnsi="Arial" w:cs="Arial"/>
          <w:sz w:val="24"/>
          <w:szCs w:val="24"/>
        </w:rPr>
        <w:t>.</w:t>
      </w:r>
    </w:p>
    <w:p w14:paraId="7F9B3EE1" w14:textId="473D011F" w:rsidR="00454735" w:rsidRPr="002C68E6" w:rsidRDefault="00C44990" w:rsidP="002C68E6">
      <w:r>
        <w:lastRenderedPageBreak/>
        <w:t xml:space="preserve">Word Count: </w:t>
      </w:r>
      <w:r w:rsidR="005B0968">
        <w:t>992</w:t>
      </w: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5068248B" w14:textId="77777777" w:rsidR="00CF1598" w:rsidRDefault="00CF1598" w:rsidP="00CF1598">
      <w:pPr>
        <w:rPr>
          <w:sz w:val="24"/>
          <w:szCs w:val="24"/>
        </w:rPr>
      </w:pPr>
      <w:r w:rsidRPr="00501BEA">
        <w:rPr>
          <w:sz w:val="24"/>
          <w:szCs w:val="24"/>
        </w:rPr>
        <w:t xml:space="preserve">This essay critically evaluates the methods used by police in gathering information and intelligence, as well as how this information contributes to the ‘tasking and coordinating’ process and how it is communicated. </w:t>
      </w:r>
    </w:p>
    <w:p w14:paraId="464EC089" w14:textId="77777777" w:rsidR="00CF1598" w:rsidRDefault="00CF1598" w:rsidP="00CF1598">
      <w:pPr>
        <w:rPr>
          <w:sz w:val="24"/>
          <w:szCs w:val="24"/>
        </w:rPr>
      </w:pPr>
      <w:r w:rsidRPr="00501BEA">
        <w:rPr>
          <w:sz w:val="24"/>
          <w:szCs w:val="24"/>
        </w:rPr>
        <w:t xml:space="preserve">Innes and </w:t>
      </w:r>
      <w:proofErr w:type="spellStart"/>
      <w:r w:rsidRPr="00501BEA">
        <w:rPr>
          <w:sz w:val="24"/>
          <w:szCs w:val="24"/>
        </w:rPr>
        <w:t>Sheptycki</w:t>
      </w:r>
      <w:proofErr w:type="spellEnd"/>
      <w:r w:rsidRPr="00501BEA">
        <w:rPr>
          <w:sz w:val="24"/>
          <w:szCs w:val="24"/>
        </w:rPr>
        <w:t xml:space="preserve"> (2004) describe the difference in information and intelligence as information providing bits of data </w:t>
      </w:r>
      <w:r>
        <w:rPr>
          <w:sz w:val="24"/>
          <w:szCs w:val="24"/>
        </w:rPr>
        <w:t xml:space="preserve">whether this be from a member of the public or a police informant, </w:t>
      </w:r>
      <w:r w:rsidRPr="00501BEA">
        <w:rPr>
          <w:sz w:val="24"/>
          <w:szCs w:val="24"/>
        </w:rPr>
        <w:t xml:space="preserve">where it is then </w:t>
      </w:r>
      <w:proofErr w:type="gramStart"/>
      <w:r w:rsidRPr="00501BEA">
        <w:rPr>
          <w:sz w:val="24"/>
          <w:szCs w:val="24"/>
        </w:rPr>
        <w:t>combined together</w:t>
      </w:r>
      <w:proofErr w:type="gramEnd"/>
      <w:r w:rsidRPr="00501BEA">
        <w:rPr>
          <w:sz w:val="24"/>
          <w:szCs w:val="24"/>
        </w:rPr>
        <w:t xml:space="preserve"> and viewed with relevant knowledge</w:t>
      </w:r>
      <w:r>
        <w:rPr>
          <w:sz w:val="24"/>
          <w:szCs w:val="24"/>
        </w:rPr>
        <w:t xml:space="preserve"> within the police thus</w:t>
      </w:r>
      <w:r w:rsidRPr="00501BEA">
        <w:rPr>
          <w:sz w:val="24"/>
          <w:szCs w:val="24"/>
        </w:rPr>
        <w:t xml:space="preserve"> producing intelligence. </w:t>
      </w:r>
      <w:r>
        <w:rPr>
          <w:sz w:val="24"/>
          <w:szCs w:val="24"/>
        </w:rPr>
        <w:t>For example, an informant is described by Dabney and Tewksbury (2016) as enabling the police the ability to identify and know a lot quicker about crimes that take place within that community, such as identifying a pattern of times and addresses in a neighbourhood of which a drug dealer frequents. This information is then stored and reviewed alongside relevant knowledge, as described above, of which then forms intelligence.</w:t>
      </w:r>
      <w:r w:rsidRPr="008451F4">
        <w:rPr>
          <w:sz w:val="24"/>
          <w:szCs w:val="24"/>
        </w:rPr>
        <w:t xml:space="preserve"> </w:t>
      </w:r>
    </w:p>
    <w:p w14:paraId="563D3204" w14:textId="77777777" w:rsidR="00CF1598" w:rsidRDefault="00CF1598" w:rsidP="00CF1598">
      <w:pPr>
        <w:rPr>
          <w:sz w:val="24"/>
          <w:szCs w:val="24"/>
        </w:rPr>
      </w:pPr>
      <w:r w:rsidRPr="00501BEA">
        <w:rPr>
          <w:sz w:val="24"/>
          <w:szCs w:val="24"/>
        </w:rPr>
        <w:t>Intelligence is</w:t>
      </w:r>
      <w:r>
        <w:rPr>
          <w:sz w:val="24"/>
          <w:szCs w:val="24"/>
        </w:rPr>
        <w:t xml:space="preserve"> </w:t>
      </w:r>
      <w:r w:rsidRPr="00501BEA">
        <w:rPr>
          <w:sz w:val="24"/>
          <w:szCs w:val="24"/>
        </w:rPr>
        <w:t xml:space="preserve">described by Brown </w:t>
      </w:r>
      <w:r w:rsidRPr="00501BEA">
        <w:rPr>
          <w:i/>
          <w:iCs/>
          <w:sz w:val="24"/>
          <w:szCs w:val="24"/>
        </w:rPr>
        <w:t>et al. (</w:t>
      </w:r>
      <w:r w:rsidRPr="00501BEA">
        <w:rPr>
          <w:sz w:val="24"/>
          <w:szCs w:val="24"/>
        </w:rPr>
        <w:t>2004)</w:t>
      </w:r>
      <w:r>
        <w:rPr>
          <w:sz w:val="24"/>
          <w:szCs w:val="24"/>
        </w:rPr>
        <w:t>,</w:t>
      </w:r>
      <w:r w:rsidRPr="00501BEA">
        <w:rPr>
          <w:sz w:val="24"/>
          <w:szCs w:val="24"/>
        </w:rPr>
        <w:t xml:space="preserve"> as cited by Gottschalk (2009)</w:t>
      </w:r>
      <w:r>
        <w:rPr>
          <w:sz w:val="24"/>
          <w:szCs w:val="24"/>
        </w:rPr>
        <w:t>,</w:t>
      </w:r>
      <w:r w:rsidRPr="00501BEA">
        <w:rPr>
          <w:sz w:val="24"/>
          <w:szCs w:val="24"/>
        </w:rPr>
        <w:t xml:space="preserve"> as a systematic approach in collecting information with the intention of tracking and predicting crime, improving law enforcement.</w:t>
      </w:r>
    </w:p>
    <w:p w14:paraId="04B4B306" w14:textId="2C75FFDE" w:rsidR="00CF1598" w:rsidRDefault="00CF1598" w:rsidP="00CF1598">
      <w:pPr>
        <w:rPr>
          <w:sz w:val="24"/>
          <w:szCs w:val="24"/>
        </w:rPr>
      </w:pPr>
      <w:r>
        <w:rPr>
          <w:sz w:val="24"/>
          <w:szCs w:val="24"/>
        </w:rPr>
        <w:t xml:space="preserve">The process of submitting information into intelligence is conducted </w:t>
      </w:r>
      <w:proofErr w:type="gramStart"/>
      <w:r>
        <w:rPr>
          <w:sz w:val="24"/>
          <w:szCs w:val="24"/>
        </w:rPr>
        <w:t>through the use of</w:t>
      </w:r>
      <w:proofErr w:type="gramEnd"/>
      <w:r>
        <w:rPr>
          <w:sz w:val="24"/>
          <w:szCs w:val="24"/>
        </w:rPr>
        <w:t xml:space="preserve"> an Intelligence Report, described by The College of Policing (2021</w:t>
      </w:r>
      <w:r w:rsidR="00077F13">
        <w:rPr>
          <w:sz w:val="24"/>
          <w:szCs w:val="24"/>
        </w:rPr>
        <w:t>b</w:t>
      </w:r>
      <w:r>
        <w:rPr>
          <w:sz w:val="24"/>
          <w:szCs w:val="24"/>
        </w:rPr>
        <w:t>) as a material that provides an evaluation process using a 3x5x2 system. Watson (2017) identifies this system as having three layers, firstly the reliability of the source graded between a 1 and a 3, with ‘1 being reliable, 2 being untested and 3 being not reliable’. The author continues to highlight the second phase as how the intelligence was obtained using letters A to E, with ‘A being known directly, B being known indirectly but corroborated, C being known indirectly, D being not known and E being suspected to be false’. Lastly, Watson (2017) identifies the handling codes for this intelligence out of two options, being ‘P whereby lawful sharing is permitted or C whereby lawful sharing is permitted however with conditions.’</w:t>
      </w:r>
    </w:p>
    <w:p w14:paraId="2344B26A" w14:textId="77777777" w:rsidR="00CF1598" w:rsidRDefault="00CF1598" w:rsidP="00CF1598">
      <w:pPr>
        <w:rPr>
          <w:sz w:val="24"/>
          <w:szCs w:val="24"/>
        </w:rPr>
      </w:pPr>
      <w:r>
        <w:rPr>
          <w:sz w:val="24"/>
          <w:szCs w:val="24"/>
        </w:rPr>
        <w:t xml:space="preserve">All intelligence submitted via this report assists in developing intelligence-led policing, of which Burcher and Whelan (2019) describe as the shift from reactive policing to proactive crime prevention, whereby </w:t>
      </w:r>
      <w:r>
        <w:rPr>
          <w:sz w:val="24"/>
          <w:szCs w:val="24"/>
        </w:rPr>
        <w:lastRenderedPageBreak/>
        <w:t xml:space="preserve">police intend to use the information provided to create actions in disrupting and tackling crime. Intelligence-led policing is further defined by Carter and Carter (2009, p. 317) as, “collection and analysis of information related to crime and conditions that contribute to crime, resulting in an actionable intelligence product intended to aid law enforcement in developing tactical responses”. Intelligence-led policing also links very closely to the theory of Community Orientated Policing (COP), described by </w:t>
      </w:r>
      <w:proofErr w:type="spellStart"/>
      <w:r>
        <w:rPr>
          <w:sz w:val="24"/>
          <w:szCs w:val="24"/>
        </w:rPr>
        <w:t>Crous</w:t>
      </w:r>
      <w:proofErr w:type="spellEnd"/>
      <w:r>
        <w:rPr>
          <w:sz w:val="24"/>
          <w:szCs w:val="24"/>
        </w:rPr>
        <w:t xml:space="preserve"> (2012) as the process of engaging with local communities to define local problems in order to affectively tackle the issues highlighted. It is the process of collaborative working among the police and the public. Overall, information and intelligence </w:t>
      </w:r>
      <w:proofErr w:type="gramStart"/>
      <w:r>
        <w:rPr>
          <w:sz w:val="24"/>
          <w:szCs w:val="24"/>
        </w:rPr>
        <w:t>provides</w:t>
      </w:r>
      <w:proofErr w:type="gramEnd"/>
      <w:r>
        <w:rPr>
          <w:sz w:val="24"/>
          <w:szCs w:val="24"/>
        </w:rPr>
        <w:t xml:space="preserve"> the police with improved knowledge of criminal activity and patterns within an area of which assists in appropriate resourcing and responses to tackle these offences directly. </w:t>
      </w:r>
    </w:p>
    <w:p w14:paraId="1D7D600E" w14:textId="257D364E" w:rsidR="00CF1598" w:rsidRDefault="00CF1598" w:rsidP="00CF1598">
      <w:pPr>
        <w:rPr>
          <w:sz w:val="24"/>
          <w:szCs w:val="24"/>
        </w:rPr>
      </w:pPr>
      <w:r>
        <w:rPr>
          <w:sz w:val="24"/>
          <w:szCs w:val="24"/>
        </w:rPr>
        <w:t xml:space="preserve">However, arguments presented by intelligence analysts report that often data is incorrectly stored onto the systems, thereby creating false hot-spots and hindering the process of targeting the subjects of which the information was intended to disrupt, as </w:t>
      </w:r>
      <w:r w:rsidR="00AF750F">
        <w:rPr>
          <w:sz w:val="24"/>
          <w:szCs w:val="24"/>
        </w:rPr>
        <w:t>suggested</w:t>
      </w:r>
      <w:r>
        <w:rPr>
          <w:sz w:val="24"/>
          <w:szCs w:val="24"/>
        </w:rPr>
        <w:t xml:space="preserve"> by Cope (2004). This can therefore halter intelligence-led policing. In addition to this, Dabney and Tewksbury (2016) continue to outline that informants of whom provide information to the police can sometimes pose a major risk to safety or to case integrity by reporting incomplete and inaccurate information and therefore be rendered an unreliable source.</w:t>
      </w:r>
    </w:p>
    <w:p w14:paraId="6DDAC0DD" w14:textId="22F7E43A" w:rsidR="00CF1598" w:rsidRDefault="00763F7D" w:rsidP="00CF1598">
      <w:pPr>
        <w:rPr>
          <w:sz w:val="24"/>
          <w:szCs w:val="24"/>
        </w:rPr>
      </w:pPr>
      <w:r>
        <w:rPr>
          <w:sz w:val="24"/>
          <w:szCs w:val="24"/>
        </w:rPr>
        <w:t>Therefore, w</w:t>
      </w:r>
      <w:r w:rsidR="00CF1598">
        <w:rPr>
          <w:sz w:val="24"/>
          <w:szCs w:val="24"/>
        </w:rPr>
        <w:t xml:space="preserve">hen considering information and intelligence in a policing capacity, consideration is given to the National Intelligence Model (NIM), described by </w:t>
      </w:r>
      <w:proofErr w:type="spellStart"/>
      <w:r w:rsidR="00CF1598">
        <w:rPr>
          <w:sz w:val="24"/>
          <w:szCs w:val="24"/>
        </w:rPr>
        <w:t>Keningale</w:t>
      </w:r>
      <w:proofErr w:type="spellEnd"/>
      <w:r w:rsidR="00CF1598">
        <w:rPr>
          <w:sz w:val="24"/>
          <w:szCs w:val="24"/>
        </w:rPr>
        <w:t xml:space="preserve"> (2020) as a process of decision making. </w:t>
      </w:r>
      <w:proofErr w:type="spellStart"/>
      <w:r w:rsidR="00CF1598">
        <w:rPr>
          <w:sz w:val="24"/>
          <w:szCs w:val="24"/>
        </w:rPr>
        <w:t>Keningale</w:t>
      </w:r>
      <w:proofErr w:type="spellEnd"/>
      <w:r w:rsidR="00CF1598">
        <w:rPr>
          <w:sz w:val="24"/>
          <w:szCs w:val="24"/>
        </w:rPr>
        <w:t xml:space="preserve"> (2020) suggests that the first process of decision making relates to the 3x5x2 model, as discussed previously, as an indication of the reliability of the information. </w:t>
      </w:r>
      <w:proofErr w:type="spellStart"/>
      <w:r w:rsidR="00CF1598">
        <w:rPr>
          <w:sz w:val="24"/>
          <w:szCs w:val="24"/>
        </w:rPr>
        <w:t>Keningale</w:t>
      </w:r>
      <w:proofErr w:type="spellEnd"/>
      <w:r w:rsidR="00CF1598">
        <w:rPr>
          <w:sz w:val="24"/>
          <w:szCs w:val="24"/>
        </w:rPr>
        <w:t xml:space="preserve"> (2020) states that when adopting the NIM, resources can be appropriately allocated with tactical plans to tackle the issues raised within the information and intelligence. Kirby and McPherson (2004) highlight</w:t>
      </w:r>
      <w:r w:rsidR="008700DB">
        <w:rPr>
          <w:sz w:val="24"/>
          <w:szCs w:val="24"/>
        </w:rPr>
        <w:t xml:space="preserve"> </w:t>
      </w:r>
      <w:r w:rsidR="00CF1598">
        <w:rPr>
          <w:sz w:val="24"/>
          <w:szCs w:val="24"/>
        </w:rPr>
        <w:t>the three levels of analysis to NIM, whereby level one focuses on issues surrounding neighbourhood and local community issues whereas level two studies that of cross borders and neighbouring forces, and level three aiming to tackle serious and organised crime at a national or international capacity. This moves onto the process of tasking and coordination.</w:t>
      </w:r>
    </w:p>
    <w:p w14:paraId="7C25DEEF" w14:textId="77777777" w:rsidR="00CF1598" w:rsidRDefault="00CF1598" w:rsidP="00CF1598">
      <w:pPr>
        <w:rPr>
          <w:sz w:val="24"/>
          <w:szCs w:val="24"/>
        </w:rPr>
      </w:pPr>
      <w:r>
        <w:rPr>
          <w:sz w:val="24"/>
          <w:szCs w:val="24"/>
        </w:rPr>
        <w:lastRenderedPageBreak/>
        <w:t xml:space="preserve">The College of Policing (2013) discuss the process of tasking and coordination whereby managers are required to adopt operational decision making at strategic levels, especially in the prioritising of resources, tactical plans and assessments. The College of Policing (2013) continue to explain that this process is contributed to between partner agencies, with the force chief constable or deputy chairing the meetings and decisions. These are often referred to as Tasking and Coordination Groups (TGCs) according to </w:t>
      </w:r>
      <w:proofErr w:type="spellStart"/>
      <w:r>
        <w:rPr>
          <w:sz w:val="24"/>
          <w:szCs w:val="24"/>
        </w:rPr>
        <w:t>Kleiven</w:t>
      </w:r>
      <w:proofErr w:type="spellEnd"/>
      <w:r>
        <w:rPr>
          <w:sz w:val="24"/>
          <w:szCs w:val="24"/>
        </w:rPr>
        <w:t xml:space="preserve"> (2007). Kirby and McPherson (2004) identify the process of tasking and coordination as adopting the SARA model by Scanning the information and intelligence to identify a problem, Analysing the cause of the problem, delivering a sustainable Response through a multi-agency approach to tackle the problem and Assessing how effective the process of implementation was. </w:t>
      </w:r>
    </w:p>
    <w:p w14:paraId="53E67261" w14:textId="77777777" w:rsidR="00CF1598" w:rsidRDefault="00CF1598" w:rsidP="00CF1598">
      <w:pPr>
        <w:rPr>
          <w:sz w:val="24"/>
          <w:szCs w:val="24"/>
        </w:rPr>
      </w:pPr>
      <w:r>
        <w:rPr>
          <w:sz w:val="24"/>
          <w:szCs w:val="24"/>
        </w:rPr>
        <w:t xml:space="preserve">However, </w:t>
      </w:r>
      <w:proofErr w:type="spellStart"/>
      <w:r>
        <w:rPr>
          <w:sz w:val="24"/>
          <w:szCs w:val="24"/>
        </w:rPr>
        <w:t>Kleiven</w:t>
      </w:r>
      <w:proofErr w:type="spellEnd"/>
      <w:r>
        <w:rPr>
          <w:sz w:val="24"/>
          <w:szCs w:val="24"/>
        </w:rPr>
        <w:t xml:space="preserve"> (2007) argues that the process of tasking and coordination is often affected by former detectives in the role of senior management who </w:t>
      </w:r>
      <w:proofErr w:type="gramStart"/>
      <w:r>
        <w:rPr>
          <w:sz w:val="24"/>
          <w:szCs w:val="24"/>
        </w:rPr>
        <w:t>have a tendency to</w:t>
      </w:r>
      <w:proofErr w:type="gramEnd"/>
      <w:r>
        <w:rPr>
          <w:sz w:val="24"/>
          <w:szCs w:val="24"/>
        </w:rPr>
        <w:t xml:space="preserve"> prioritise an investigation and fail to consider the element of intelligence. Subsequently, a lack of intelligence is offered to promote intelligence-led policing. In addition to this, Cope (2004) further highlights a tendency for operational officers to adopt ‘policing led intelligence’ in oppose to that of intelligence-led policing. Cope (2004) describes the theory of ‘policing led intelligence’ as targeting usual suspects with a lack of consideration to underlying causes and links to these persons offending. </w:t>
      </w:r>
    </w:p>
    <w:p w14:paraId="4ABEE14F" w14:textId="77777777" w:rsidR="00CF1598" w:rsidRDefault="00CF1598" w:rsidP="00CF1598">
      <w:pPr>
        <w:rPr>
          <w:sz w:val="24"/>
          <w:szCs w:val="24"/>
        </w:rPr>
      </w:pPr>
      <w:r>
        <w:rPr>
          <w:sz w:val="24"/>
          <w:szCs w:val="24"/>
        </w:rPr>
        <w:t xml:space="preserve">Overall, information and intelligence </w:t>
      </w:r>
      <w:proofErr w:type="gramStart"/>
      <w:r>
        <w:rPr>
          <w:sz w:val="24"/>
          <w:szCs w:val="24"/>
        </w:rPr>
        <w:t>is</w:t>
      </w:r>
      <w:proofErr w:type="gramEnd"/>
      <w:r>
        <w:rPr>
          <w:sz w:val="24"/>
          <w:szCs w:val="24"/>
        </w:rPr>
        <w:t xml:space="preserve"> generally obtained from the public and can assist in identifying crime patterns at a local or regional level. Information and intelligence </w:t>
      </w:r>
      <w:proofErr w:type="gramStart"/>
      <w:r>
        <w:rPr>
          <w:sz w:val="24"/>
          <w:szCs w:val="24"/>
        </w:rPr>
        <w:t>is</w:t>
      </w:r>
      <w:proofErr w:type="gramEnd"/>
      <w:r>
        <w:rPr>
          <w:sz w:val="24"/>
          <w:szCs w:val="24"/>
        </w:rPr>
        <w:t xml:space="preserve"> reviewed and processed according to NIM as to how this information is to be utilised and communicated locally, regionally, nationally or internationally dependant on the impacting factors of the intelligence. </w:t>
      </w:r>
    </w:p>
    <w:p w14:paraId="36B3A388" w14:textId="311705F1" w:rsidR="00454735" w:rsidRPr="00E6719C" w:rsidRDefault="00CF1598" w:rsidP="00E6719C">
      <w:pPr>
        <w:rPr>
          <w:sz w:val="24"/>
          <w:szCs w:val="24"/>
        </w:rPr>
      </w:pPr>
      <w:r>
        <w:rPr>
          <w:sz w:val="24"/>
          <w:szCs w:val="24"/>
        </w:rPr>
        <w:t>Word Count: 1014</w:t>
      </w:r>
    </w:p>
    <w:p w14:paraId="0CEE34C3" w14:textId="77777777" w:rsidR="00957B34" w:rsidRDefault="00454735" w:rsidP="00957B34">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2F53A78E" w14:textId="67F068B7" w:rsidR="00042616" w:rsidRPr="00957B34" w:rsidRDefault="00042616" w:rsidP="00957B34">
      <w:pPr>
        <w:spacing w:line="257" w:lineRule="auto"/>
        <w:rPr>
          <w:rFonts w:ascii="Calibri" w:hAnsi="Calibri" w:cs="Calibri"/>
          <w:sz w:val="28"/>
          <w:szCs w:val="28"/>
        </w:rPr>
      </w:pPr>
      <w:r w:rsidRPr="00042616">
        <w:rPr>
          <w:sz w:val="24"/>
          <w:szCs w:val="24"/>
        </w:rPr>
        <w:t>This essay seeks to critically evaluate policing strategies with regards to the impact of abuse on victims, the impact personal attitudes and values have on the investigative process as well as the association between Serious and Organised Crime Groups and Public Protection issues.</w:t>
      </w:r>
    </w:p>
    <w:p w14:paraId="374FCB3A" w14:textId="77777777" w:rsidR="00042616" w:rsidRPr="00042616" w:rsidRDefault="00042616" w:rsidP="00042616">
      <w:pPr>
        <w:rPr>
          <w:sz w:val="24"/>
          <w:szCs w:val="24"/>
        </w:rPr>
      </w:pPr>
      <w:r w:rsidRPr="00042616">
        <w:rPr>
          <w:sz w:val="24"/>
          <w:szCs w:val="24"/>
        </w:rPr>
        <w:lastRenderedPageBreak/>
        <w:t xml:space="preserve">According to the Serious Organised Crime Agency (SOCA) (2006), organised crime groups are described as being made up of family members, friends and persons of shared intentions in committing low level criminal or gang activities. SOCA (2006) further explains that in some cases, these groups can also be made up of vulnerable persons such as those in debt to these groups, drug dependant and people considered less likely to go to the police. </w:t>
      </w:r>
    </w:p>
    <w:p w14:paraId="0B344558" w14:textId="77777777" w:rsidR="00042616" w:rsidRPr="00042616" w:rsidRDefault="00042616" w:rsidP="00042616">
      <w:pPr>
        <w:rPr>
          <w:sz w:val="24"/>
          <w:szCs w:val="24"/>
        </w:rPr>
      </w:pPr>
      <w:r w:rsidRPr="00042616">
        <w:rPr>
          <w:sz w:val="24"/>
          <w:szCs w:val="24"/>
        </w:rPr>
        <w:t xml:space="preserve">Gallagher (2014) provides an example of a serious organised crime group relating to those who engage in terrorist activity as it is suggested there is a link between terrorist groups and those involved in organised crime. Gallagher (2014) continues to explain that this link is established through organised crime and terrorism sharing characteristics and operational mechanisms. The author uses the example of Abdullah Ocalan, the former leader of terrorist group PKK of whom allegedly stated that the organisation is heavily reliant on drug trafficking to finance the purchase of weapons. </w:t>
      </w:r>
    </w:p>
    <w:p w14:paraId="6F54E934" w14:textId="77777777" w:rsidR="00042616" w:rsidRPr="00042616" w:rsidRDefault="00042616" w:rsidP="00042616">
      <w:pPr>
        <w:rPr>
          <w:sz w:val="24"/>
          <w:szCs w:val="24"/>
        </w:rPr>
      </w:pPr>
      <w:r w:rsidRPr="00042616">
        <w:rPr>
          <w:sz w:val="24"/>
          <w:szCs w:val="24"/>
        </w:rPr>
        <w:t xml:space="preserve">Therefore, the Police and Serious Organised Crime Agencies work collaboratively in tackling these offences </w:t>
      </w:r>
      <w:proofErr w:type="gramStart"/>
      <w:r w:rsidRPr="00042616">
        <w:rPr>
          <w:sz w:val="24"/>
          <w:szCs w:val="24"/>
        </w:rPr>
        <w:t>through the use of</w:t>
      </w:r>
      <w:proofErr w:type="gramEnd"/>
      <w:r w:rsidRPr="00042616">
        <w:rPr>
          <w:sz w:val="24"/>
          <w:szCs w:val="24"/>
        </w:rPr>
        <w:t xml:space="preserve"> appropriate strategies. For example, that of the CONTEST Strategy. HM Government (2018, p.8) has developed the CONTEST Strategy comprised of a framework of four ‘P’s:</w:t>
      </w:r>
    </w:p>
    <w:p w14:paraId="27835E7D" w14:textId="77777777" w:rsidR="00042616" w:rsidRPr="00042616" w:rsidRDefault="00042616" w:rsidP="00042616">
      <w:pPr>
        <w:rPr>
          <w:sz w:val="24"/>
          <w:szCs w:val="24"/>
        </w:rPr>
      </w:pPr>
      <w:r w:rsidRPr="00042616">
        <w:rPr>
          <w:sz w:val="24"/>
          <w:szCs w:val="24"/>
        </w:rPr>
        <w:t xml:space="preserve">“Prevent: to stop people becoming terrorists or supporting terrorism. Pursue: to stop terrorist attacks. Protect: to strengthen our protection against a terrorist attack. Prepare: to mitigate the impact of a terrorist attack”. </w:t>
      </w:r>
    </w:p>
    <w:p w14:paraId="75CC98C7" w14:textId="77777777" w:rsidR="00042616" w:rsidRPr="00042616" w:rsidRDefault="00042616" w:rsidP="00042616">
      <w:pPr>
        <w:rPr>
          <w:sz w:val="24"/>
          <w:szCs w:val="24"/>
        </w:rPr>
      </w:pPr>
      <w:r w:rsidRPr="00042616">
        <w:rPr>
          <w:sz w:val="24"/>
          <w:szCs w:val="24"/>
        </w:rPr>
        <w:t>The CONTEST strategy is described by The Home Office (2009) as assisting in lessons to be learnt from the strategy in order to appropriately deal with serious organised crime as a whole, recognising the benefits of collaborative work among multi-agencies such as the Police, Security and Intelligence Agencies and Border Security Agencies as just a few examples. This again supports the argument represented by Gallagher (2014) whereby it is suggested that serious organised crime and terrorism link in the way that they are identified and tackled.</w:t>
      </w:r>
    </w:p>
    <w:p w14:paraId="450E1369" w14:textId="77777777" w:rsidR="00042616" w:rsidRPr="00042616" w:rsidRDefault="00042616" w:rsidP="00042616">
      <w:pPr>
        <w:rPr>
          <w:sz w:val="24"/>
          <w:szCs w:val="24"/>
        </w:rPr>
      </w:pPr>
      <w:r w:rsidRPr="00042616">
        <w:rPr>
          <w:sz w:val="24"/>
          <w:szCs w:val="24"/>
        </w:rPr>
        <w:lastRenderedPageBreak/>
        <w:t>To narrow the similarities of the strategy down, the HM Government (2018) state the responsibility of the Department for Education (DFE) in educating young persons to protect them from the risk of radicalisation in schools, thereby achieving the first strategy of preventing individuals from forming a terrorist perspective. This links very closely to the aim of controlling demand of serious organised crime groups by reducing the market for illegal goods and services through consumer educational campaigns, highlighting that the choice to not buy counterfeit goods can prevent criminal groups generating funds to invest their enterprise, as argued by The Home Office (2009).</w:t>
      </w:r>
    </w:p>
    <w:p w14:paraId="480B8C92" w14:textId="77777777" w:rsidR="00042616" w:rsidRPr="00042616" w:rsidRDefault="00042616" w:rsidP="00042616">
      <w:pPr>
        <w:rPr>
          <w:sz w:val="24"/>
          <w:szCs w:val="24"/>
        </w:rPr>
      </w:pPr>
      <w:r w:rsidRPr="00042616">
        <w:rPr>
          <w:sz w:val="24"/>
          <w:szCs w:val="24"/>
        </w:rPr>
        <w:t xml:space="preserve">Secondly, is the CONTEST strategy of ‘Pursue’ as previously mentioned. HM Government (2018) highlight Pursue as efforts in National Security Strategies and Defence, enabling the sharing of information and enriching of threat understanding. This is very similar to that outlined by The Home Office (2009, p.47) whereby it is highlighted that, “serious organised crime does not exist in a vacuum… interactions are recorded on organisations’ databases... this creates opportunities for us to find out more about organised criminals and to identify opportunities to take action against them”. Therefore, the overall collaboration of partnership working can enable the identification of suspects and disrupt criminal activity in which they participate.  The Home Office (2004) highlight these partnerships as Europol, the EU’s criminal intelligence agency, Eurojust who are responsible for co-ordinating prosecutions and the Police Chiefs Task Force. The Home Office (2004) further illustrate the use in an EU criminal intelligence model which assists in the exchanging and analysis of criminal intelligence. </w:t>
      </w:r>
    </w:p>
    <w:p w14:paraId="7E1C8651" w14:textId="77777777" w:rsidR="00042616" w:rsidRPr="00042616" w:rsidRDefault="00042616" w:rsidP="00042616">
      <w:pPr>
        <w:rPr>
          <w:sz w:val="24"/>
          <w:szCs w:val="24"/>
        </w:rPr>
      </w:pPr>
      <w:r w:rsidRPr="00042616">
        <w:rPr>
          <w:sz w:val="24"/>
          <w:szCs w:val="24"/>
        </w:rPr>
        <w:t xml:space="preserve">These are just two examples of how this strategy is utilised in combatting both terrorism and serious organised crime. </w:t>
      </w:r>
    </w:p>
    <w:p w14:paraId="2759C3FE" w14:textId="77777777" w:rsidR="00042616" w:rsidRPr="00042616" w:rsidRDefault="00042616" w:rsidP="00042616">
      <w:pPr>
        <w:rPr>
          <w:sz w:val="24"/>
          <w:szCs w:val="24"/>
        </w:rPr>
      </w:pPr>
      <w:r w:rsidRPr="00042616">
        <w:rPr>
          <w:sz w:val="24"/>
          <w:szCs w:val="24"/>
        </w:rPr>
        <w:t xml:space="preserve">The National Crime Agency (2018) state that these responses not only aim to disrupt and tackle these offences, but to also prevent the affects that these crimes have on citizens such as that of an increase in recorded child sexual offences and an increase in exploitation of young and vulnerable people, resulting in increased violent crime. </w:t>
      </w:r>
    </w:p>
    <w:p w14:paraId="39C0B6C6" w14:textId="77777777" w:rsidR="00042616" w:rsidRPr="00042616" w:rsidRDefault="00042616" w:rsidP="00042616">
      <w:pPr>
        <w:rPr>
          <w:sz w:val="24"/>
          <w:szCs w:val="24"/>
        </w:rPr>
      </w:pPr>
      <w:r w:rsidRPr="00042616">
        <w:rPr>
          <w:sz w:val="24"/>
          <w:szCs w:val="24"/>
        </w:rPr>
        <w:lastRenderedPageBreak/>
        <w:t>Despite the efforts in organisations to effectively disrupt and tackle serious organised crime, the UK Parliament (2019) argues that the CONTEST strategy utilised in combatting serious organised crime is not being used to its full potential, with police forces being solely committed to pursuing criminals after a crime has been committed in oppose to preventing it in the first instance, such as the education of the public about serious and organised crime which is paramount due to the fact that it is depicted a less ‘visible’ crime, of which potentially makes the public more vulnerable to these crimes.</w:t>
      </w:r>
    </w:p>
    <w:p w14:paraId="3130990E" w14:textId="77777777" w:rsidR="00042616" w:rsidRPr="00042616" w:rsidRDefault="00042616" w:rsidP="00042616">
      <w:pPr>
        <w:rPr>
          <w:sz w:val="24"/>
          <w:szCs w:val="24"/>
        </w:rPr>
      </w:pPr>
      <w:r w:rsidRPr="00042616">
        <w:rPr>
          <w:sz w:val="24"/>
          <w:szCs w:val="24"/>
        </w:rPr>
        <w:t xml:space="preserve">The Guardian (2009) reported that police felt that they lacked the resources and experience to tackle serious organised crime effectively with supporting agency SOCA being felt as solely focussed on the gathering of intelligence in oppose to the tackling of these offences. Therefore, serious organised crime was not being tackled appropriately and efficiently, thereby leading to an increased opportunity to commit these offences and more persons becoming victimised by human trafficking, drug trafficking and many more offences. </w:t>
      </w:r>
    </w:p>
    <w:p w14:paraId="306C80BC" w14:textId="77777777" w:rsidR="00042616" w:rsidRPr="00042616" w:rsidRDefault="00042616" w:rsidP="00042616">
      <w:pPr>
        <w:rPr>
          <w:sz w:val="24"/>
          <w:szCs w:val="24"/>
        </w:rPr>
      </w:pPr>
      <w:r w:rsidRPr="00042616">
        <w:rPr>
          <w:sz w:val="24"/>
          <w:szCs w:val="24"/>
        </w:rPr>
        <w:t xml:space="preserve">Without the effective use of the CONTEST strategy, serious organised crime is subject to increase. For example, in 2009 the UK Human Trafficking Centre (UKHTC) identified 527 cases of potential victims to trafficking with this figure rising to 557 in 2010, according to Ecclestone (2013). </w:t>
      </w:r>
    </w:p>
    <w:p w14:paraId="4D936D2F" w14:textId="08D9F619" w:rsidR="00042616" w:rsidRPr="00042616" w:rsidRDefault="00042616" w:rsidP="00042616">
      <w:pPr>
        <w:rPr>
          <w:sz w:val="24"/>
          <w:szCs w:val="24"/>
        </w:rPr>
      </w:pPr>
      <w:r w:rsidRPr="00042616">
        <w:rPr>
          <w:sz w:val="24"/>
          <w:szCs w:val="24"/>
        </w:rPr>
        <w:t>Looking at human trafficking in specific, Ecclestone (2013</w:t>
      </w:r>
      <w:r w:rsidR="00BC6ACD">
        <w:rPr>
          <w:sz w:val="24"/>
          <w:szCs w:val="24"/>
        </w:rPr>
        <w:t>, p. 40</w:t>
      </w:r>
      <w:r w:rsidRPr="00042616">
        <w:rPr>
          <w:sz w:val="24"/>
          <w:szCs w:val="24"/>
        </w:rPr>
        <w:t>) identifies this is as the “recruitment, transportation, transfer, harbouring or receipt of persons, by means of the threat or use of force</w:t>
      </w:r>
      <w:r w:rsidR="008561FF">
        <w:rPr>
          <w:sz w:val="24"/>
          <w:szCs w:val="24"/>
        </w:rPr>
        <w:t xml:space="preserve">… </w:t>
      </w:r>
      <w:r w:rsidRPr="00042616">
        <w:rPr>
          <w:sz w:val="24"/>
          <w:szCs w:val="24"/>
        </w:rPr>
        <w:t xml:space="preserve">for the purpose of exploitation”. Ecclestone (2013) continues to explain that these persons often reside in horrendous conditions and work long hours of the day without pay, whilst being deprived of essential needs and be subject of psychological impacts such as humiliation, insults and threatening behaviour. </w:t>
      </w:r>
    </w:p>
    <w:p w14:paraId="2BD08974" w14:textId="2EEF8C59" w:rsidR="00042616" w:rsidRDefault="00042616" w:rsidP="00042616">
      <w:pPr>
        <w:rPr>
          <w:sz w:val="24"/>
          <w:szCs w:val="24"/>
        </w:rPr>
      </w:pPr>
      <w:r w:rsidRPr="00042616">
        <w:rPr>
          <w:sz w:val="24"/>
          <w:szCs w:val="24"/>
        </w:rPr>
        <w:t>As such, public protection becomes at risk with increased opportunities of serious organised crime, therefore investigative processes conducted at a national scale between partner agencies including the Police, SOCA, the Crown Prosecution Service and Security Border Agencies require consistent reviews and change in order to tackle these everchanging, ever-expanding crimes.</w:t>
      </w:r>
    </w:p>
    <w:p w14:paraId="36E7F625" w14:textId="687BDA2F" w:rsidR="00815D01" w:rsidRPr="00042616" w:rsidRDefault="00815D01" w:rsidP="00042616">
      <w:pPr>
        <w:rPr>
          <w:sz w:val="24"/>
          <w:szCs w:val="24"/>
        </w:rPr>
      </w:pPr>
      <w:r>
        <w:rPr>
          <w:sz w:val="24"/>
          <w:szCs w:val="24"/>
        </w:rPr>
        <w:t>Word Count: 10</w:t>
      </w:r>
      <w:r w:rsidR="00D07EAF">
        <w:rPr>
          <w:sz w:val="24"/>
          <w:szCs w:val="24"/>
        </w:rPr>
        <w:t>51</w:t>
      </w:r>
    </w:p>
    <w:p w14:paraId="30F99270" w14:textId="77777777" w:rsidR="00454735" w:rsidRPr="00042616" w:rsidRDefault="00454735" w:rsidP="00454735">
      <w:pPr>
        <w:spacing w:line="257" w:lineRule="auto"/>
        <w:rPr>
          <w:rFonts w:ascii="Calibri" w:hAnsi="Calibri" w:cs="Calibri"/>
          <w:sz w:val="36"/>
          <w:szCs w:val="36"/>
        </w:rPr>
      </w:pPr>
      <w:r w:rsidRPr="00042616">
        <w:rPr>
          <w:rFonts w:ascii="Calibri" w:eastAsia="Calibri" w:hAnsi="Calibri" w:cs="Calibri"/>
          <w:sz w:val="36"/>
          <w:szCs w:val="36"/>
        </w:rPr>
        <w:lastRenderedPageBreak/>
        <w:t xml:space="preserve"> </w:t>
      </w:r>
    </w:p>
    <w:p w14:paraId="7173A6C1" w14:textId="297A3CDF"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Evidence based policing/criminology and crime prevention/criminal Justice</w:t>
      </w:r>
    </w:p>
    <w:p w14:paraId="6CD3B4F8" w14:textId="77777777" w:rsidR="0086526B" w:rsidRPr="0020657C" w:rsidRDefault="0086526B" w:rsidP="0086526B">
      <w:pPr>
        <w:rPr>
          <w:sz w:val="24"/>
          <w:szCs w:val="24"/>
        </w:rPr>
      </w:pPr>
      <w:r w:rsidRPr="0020657C">
        <w:rPr>
          <w:sz w:val="24"/>
          <w:szCs w:val="24"/>
        </w:rPr>
        <w:t xml:space="preserve">This is a study of evidence-based policing (EBP) and ‘what works’ in relation to crime prevention theories and strategies. </w:t>
      </w:r>
    </w:p>
    <w:p w14:paraId="10D28648" w14:textId="77777777" w:rsidR="0086526B" w:rsidRPr="0020657C" w:rsidRDefault="0086526B" w:rsidP="0086526B">
      <w:pPr>
        <w:rPr>
          <w:sz w:val="24"/>
          <w:szCs w:val="24"/>
        </w:rPr>
      </w:pPr>
      <w:r w:rsidRPr="0020657C">
        <w:rPr>
          <w:sz w:val="24"/>
          <w:szCs w:val="24"/>
        </w:rPr>
        <w:t xml:space="preserve">Evidence-based policing relates to methods of decision making within the identification of ‘what works’ in policing and the development or changes to existing strategies to tackle crime, according to Sherman (2013). Bryant and Bryant (2020) continue to outline that changes to existing strategies or the development of new initiatives allows for measurements to be made of the differences in such changes and their effectiveness, aiding decision making and strengthening policies among the police and partner organisations. </w:t>
      </w:r>
    </w:p>
    <w:p w14:paraId="7776391E" w14:textId="77777777" w:rsidR="0086526B" w:rsidRPr="0020657C" w:rsidRDefault="0086526B" w:rsidP="0086526B">
      <w:pPr>
        <w:rPr>
          <w:sz w:val="24"/>
          <w:szCs w:val="24"/>
        </w:rPr>
      </w:pPr>
      <w:r w:rsidRPr="0020657C">
        <w:rPr>
          <w:sz w:val="24"/>
          <w:szCs w:val="24"/>
        </w:rPr>
        <w:t xml:space="preserve">One concept utilised within the police </w:t>
      </w:r>
      <w:r>
        <w:rPr>
          <w:sz w:val="24"/>
          <w:szCs w:val="24"/>
        </w:rPr>
        <w:t>relates</w:t>
      </w:r>
      <w:r w:rsidRPr="0020657C">
        <w:rPr>
          <w:sz w:val="24"/>
          <w:szCs w:val="24"/>
        </w:rPr>
        <w:t xml:space="preserve"> to the five-step model of developing EBP research as listed by Bryant and Bryant (2020, p.52) of which consists of ‘stating the question or topic of which is to be explored; gathering existing evidence surrounding that question or topic; assessing the relevance and quality of the existing evidence and undertake research to suit new circumstances; implement these findings; and, evaluating the implementation of these findings in assessing whether this was successful in achieving the desired outcomes’.</w:t>
      </w:r>
    </w:p>
    <w:p w14:paraId="0D7A2040" w14:textId="77777777" w:rsidR="0086526B" w:rsidRPr="0020657C" w:rsidRDefault="0086526B" w:rsidP="0086526B">
      <w:pPr>
        <w:rPr>
          <w:sz w:val="24"/>
          <w:szCs w:val="24"/>
        </w:rPr>
      </w:pPr>
      <w:r w:rsidRPr="0020657C">
        <w:rPr>
          <w:sz w:val="24"/>
          <w:szCs w:val="24"/>
        </w:rPr>
        <w:t xml:space="preserve">One theory that has utilised the use of evidence-based policing relates to ‘broken </w:t>
      </w:r>
      <w:proofErr w:type="gramStart"/>
      <w:r w:rsidRPr="0020657C">
        <w:rPr>
          <w:sz w:val="24"/>
          <w:szCs w:val="24"/>
        </w:rPr>
        <w:t>windows’</w:t>
      </w:r>
      <w:proofErr w:type="gramEnd"/>
      <w:r w:rsidRPr="0020657C">
        <w:rPr>
          <w:sz w:val="24"/>
          <w:szCs w:val="24"/>
        </w:rPr>
        <w:t xml:space="preserve">. The broken windows theory is defined by Caudill </w:t>
      </w:r>
      <w:r w:rsidRPr="0020657C">
        <w:rPr>
          <w:i/>
          <w:iCs/>
          <w:sz w:val="24"/>
          <w:szCs w:val="24"/>
        </w:rPr>
        <w:t>et al.</w:t>
      </w:r>
      <w:r w:rsidRPr="0020657C">
        <w:rPr>
          <w:sz w:val="24"/>
          <w:szCs w:val="24"/>
        </w:rPr>
        <w:t xml:space="preserve"> (2013) as the process of identifying serious crimes as a product influenced by social disorder, and as such with the tackling of social disorder comes a decrease in serious crimes. </w:t>
      </w:r>
      <w:proofErr w:type="spellStart"/>
      <w:r w:rsidRPr="0020657C">
        <w:rPr>
          <w:sz w:val="24"/>
          <w:szCs w:val="24"/>
        </w:rPr>
        <w:t>Ortigueira</w:t>
      </w:r>
      <w:proofErr w:type="spellEnd"/>
      <w:r w:rsidRPr="0020657C">
        <w:rPr>
          <w:sz w:val="24"/>
          <w:szCs w:val="24"/>
        </w:rPr>
        <w:t xml:space="preserve">-Sanchez (2016) expands on this definition in stating that this process is the identification of its current crime statistics to establishing an idea of a desired situation and change through the understanding of what needs to be done, how it is to be achieved and when it is to be achieved. This links back to the first three questions outlined above within the five-step model of EBP as referenced by Bryant and Bryant (2020). </w:t>
      </w:r>
    </w:p>
    <w:p w14:paraId="2133DD8A" w14:textId="6128F937" w:rsidR="0086526B" w:rsidRPr="0020657C" w:rsidRDefault="0086526B" w:rsidP="0086526B">
      <w:pPr>
        <w:rPr>
          <w:sz w:val="24"/>
          <w:szCs w:val="24"/>
        </w:rPr>
      </w:pPr>
      <w:r w:rsidRPr="0020657C">
        <w:rPr>
          <w:sz w:val="24"/>
          <w:szCs w:val="24"/>
        </w:rPr>
        <w:lastRenderedPageBreak/>
        <w:t>The Broken Windows Theory was developed by Wilson and Kelling (1982) of whom recognised that disorderly conditions within neighbourhoods caused for stable families to move out of the area, leaving undesirables to cause an escalation in disorder and have a lack of engagement with the police</w:t>
      </w:r>
      <w:r w:rsidR="00B415E3">
        <w:rPr>
          <w:sz w:val="24"/>
          <w:szCs w:val="24"/>
        </w:rPr>
        <w:t>,</w:t>
      </w:r>
      <w:r w:rsidRPr="0020657C">
        <w:rPr>
          <w:sz w:val="24"/>
          <w:szCs w:val="24"/>
        </w:rPr>
        <w:t xml:space="preserve"> Welsh</w:t>
      </w:r>
      <w:r w:rsidRPr="0020657C">
        <w:rPr>
          <w:i/>
          <w:iCs/>
          <w:sz w:val="24"/>
          <w:szCs w:val="24"/>
        </w:rPr>
        <w:t xml:space="preserve"> et al</w:t>
      </w:r>
      <w:r w:rsidRPr="0020657C">
        <w:rPr>
          <w:sz w:val="24"/>
          <w:szCs w:val="24"/>
        </w:rPr>
        <w:t>. (2015, p.449) writes that, “Wilson and Kelling invoked the metaphor that a broken window left unrepaired will soon lead to the breaking of all other windows in a building”. Welsh</w:t>
      </w:r>
      <w:r w:rsidRPr="0020657C">
        <w:rPr>
          <w:i/>
          <w:iCs/>
          <w:sz w:val="24"/>
          <w:szCs w:val="24"/>
        </w:rPr>
        <w:t xml:space="preserve"> et al</w:t>
      </w:r>
      <w:r w:rsidRPr="0020657C">
        <w:rPr>
          <w:sz w:val="24"/>
          <w:szCs w:val="24"/>
        </w:rPr>
        <w:t xml:space="preserve">.  (2015) continues to expand on the meaning of this metaphor displaying a feeling that there is a lack of care, thereby allowing opportunity for other and escalating crimes to occur. </w:t>
      </w:r>
    </w:p>
    <w:p w14:paraId="5DC6CA01" w14:textId="77777777" w:rsidR="0086526B" w:rsidRDefault="0086526B" w:rsidP="0086526B">
      <w:pPr>
        <w:rPr>
          <w:sz w:val="24"/>
          <w:szCs w:val="24"/>
        </w:rPr>
      </w:pPr>
      <w:r w:rsidRPr="0020657C">
        <w:rPr>
          <w:sz w:val="24"/>
          <w:szCs w:val="24"/>
        </w:rPr>
        <w:t xml:space="preserve">Taking this theory into the context of British Policing, reference can be made to the changes in legislation regarding Anti-Social Behaviour. </w:t>
      </w:r>
    </w:p>
    <w:p w14:paraId="2E405E28" w14:textId="77777777" w:rsidR="0086526B" w:rsidRPr="0020657C" w:rsidRDefault="0086526B" w:rsidP="0086526B">
      <w:pPr>
        <w:rPr>
          <w:sz w:val="24"/>
          <w:szCs w:val="24"/>
        </w:rPr>
      </w:pPr>
      <w:r w:rsidRPr="0020657C">
        <w:rPr>
          <w:sz w:val="24"/>
          <w:szCs w:val="24"/>
        </w:rPr>
        <w:t xml:space="preserve">Anti-Social Behaviour is defined by the Home Office (2021) as any behaviour which causes or likely to cause harassment, alarm or distress to other members of the public. The House of Commons (2020) discuss the use in Anti-Social Behaviour Orders (ASBO) of which acted as a civil order applied by the courts for any individual over the age of 10 where the court were satisfied beyond reasonable doubt that the individual had behaved in a manner which caused, or was likely to cause harassment, alarm or distress. However, this was argued to be ineffective </w:t>
      </w:r>
      <w:proofErr w:type="gramStart"/>
      <w:r w:rsidRPr="0020657C">
        <w:rPr>
          <w:sz w:val="24"/>
          <w:szCs w:val="24"/>
        </w:rPr>
        <w:t>due to the fact that</w:t>
      </w:r>
      <w:proofErr w:type="gramEnd"/>
      <w:r w:rsidRPr="0020657C">
        <w:rPr>
          <w:sz w:val="24"/>
          <w:szCs w:val="24"/>
        </w:rPr>
        <w:t xml:space="preserve">, “a criminal standard of proof was used to determine when it was needed”, as cited by the House of Commons (2020). This ultimately suggests that the hinderance in ASBOs being issued due to requiring a criminal standard of proof may have left a lot of individuals feeling as though they had got away with their behaviour, and this then making the general community feeling as though these individuals were not being dealt with appropriately. </w:t>
      </w:r>
    </w:p>
    <w:p w14:paraId="7668FD8B" w14:textId="77777777" w:rsidR="0086526B" w:rsidRPr="0020657C" w:rsidRDefault="0086526B" w:rsidP="0086526B">
      <w:pPr>
        <w:rPr>
          <w:sz w:val="24"/>
          <w:szCs w:val="24"/>
        </w:rPr>
      </w:pPr>
      <w:r w:rsidRPr="0020657C">
        <w:rPr>
          <w:sz w:val="24"/>
          <w:szCs w:val="24"/>
        </w:rPr>
        <w:t xml:space="preserve">As such, with the recognition of the ineffectiveness of tackling anti-social behaviour and with victims and communities feeling a lack of support, the Anti-Social Behaviour, Crime and Policing Act 2014 was developed. The Home Office (2021) describe this updated legislation as allowing accessibility to police and local authorities to respond to anti-social behaviour to ensure that victim complaints are sufficiently dealt with. For example, one introductory procedure within this legislation relates to a ‘community trigger’. This </w:t>
      </w:r>
      <w:r w:rsidRPr="0020657C">
        <w:rPr>
          <w:sz w:val="24"/>
          <w:szCs w:val="24"/>
        </w:rPr>
        <w:lastRenderedPageBreak/>
        <w:t xml:space="preserve">is explained by Walton and Randall (2014) as the process of victims and communities demanding that agencies take action to tackle anti-social behaviour, with this starting with relevant bodies including police, councils and social housing </w:t>
      </w:r>
      <w:r>
        <w:rPr>
          <w:sz w:val="24"/>
          <w:szCs w:val="24"/>
        </w:rPr>
        <w:t>reviewing</w:t>
      </w:r>
      <w:r w:rsidRPr="0020657C">
        <w:rPr>
          <w:sz w:val="24"/>
          <w:szCs w:val="24"/>
        </w:rPr>
        <w:t xml:space="preserve"> the</w:t>
      </w:r>
      <w:r>
        <w:rPr>
          <w:sz w:val="24"/>
          <w:szCs w:val="24"/>
        </w:rPr>
        <w:t xml:space="preserve"> victims’</w:t>
      </w:r>
      <w:r w:rsidRPr="0020657C">
        <w:rPr>
          <w:sz w:val="24"/>
          <w:szCs w:val="24"/>
        </w:rPr>
        <w:t xml:space="preserve"> case. </w:t>
      </w:r>
    </w:p>
    <w:p w14:paraId="34D3B59B" w14:textId="77777777" w:rsidR="0086526B" w:rsidRDefault="0086526B" w:rsidP="0086526B">
      <w:pPr>
        <w:rPr>
          <w:sz w:val="24"/>
          <w:szCs w:val="24"/>
        </w:rPr>
      </w:pPr>
      <w:r w:rsidRPr="0020657C">
        <w:rPr>
          <w:sz w:val="24"/>
          <w:szCs w:val="24"/>
        </w:rPr>
        <w:t xml:space="preserve">The Home Office (2013) expand on these agencies’ duty to publish the number of community triggers received and how many resulted in further action. The Home Office (2013) continues to outline the research undertaken in relation to victim perspectives regarding the use of community triggers, whereby ten interviews were conducted of which most expressed the feeling that they had not received adequate support from the ‘relevant agencies’ prior to the community trigger. However, upon using this procedure and meeting the threshold for the further action, victims told the Home Office (2013) that </w:t>
      </w:r>
      <w:r>
        <w:rPr>
          <w:sz w:val="24"/>
          <w:szCs w:val="24"/>
        </w:rPr>
        <w:t xml:space="preserve">the use of community </w:t>
      </w:r>
      <w:r w:rsidRPr="0020657C">
        <w:rPr>
          <w:sz w:val="24"/>
          <w:szCs w:val="24"/>
        </w:rPr>
        <w:t>trigger</w:t>
      </w:r>
      <w:r>
        <w:rPr>
          <w:sz w:val="24"/>
          <w:szCs w:val="24"/>
        </w:rPr>
        <w:t>s</w:t>
      </w:r>
      <w:r w:rsidRPr="0020657C">
        <w:rPr>
          <w:sz w:val="24"/>
          <w:szCs w:val="24"/>
        </w:rPr>
        <w:t xml:space="preserve"> w</w:t>
      </w:r>
      <w:r>
        <w:rPr>
          <w:sz w:val="24"/>
          <w:szCs w:val="24"/>
        </w:rPr>
        <w:t>ere</w:t>
      </w:r>
      <w:r w:rsidRPr="0020657C">
        <w:rPr>
          <w:sz w:val="24"/>
          <w:szCs w:val="24"/>
        </w:rPr>
        <w:t xml:space="preserve"> straight</w:t>
      </w:r>
      <w:r>
        <w:rPr>
          <w:sz w:val="24"/>
          <w:szCs w:val="24"/>
        </w:rPr>
        <w:t>-</w:t>
      </w:r>
      <w:r w:rsidRPr="0020657C">
        <w:rPr>
          <w:sz w:val="24"/>
          <w:szCs w:val="24"/>
        </w:rPr>
        <w:t>forward and</w:t>
      </w:r>
      <w:r>
        <w:rPr>
          <w:sz w:val="24"/>
          <w:szCs w:val="24"/>
        </w:rPr>
        <w:t xml:space="preserve"> victims that themes and </w:t>
      </w:r>
      <w:r w:rsidRPr="0020657C">
        <w:rPr>
          <w:sz w:val="24"/>
          <w:szCs w:val="24"/>
        </w:rPr>
        <w:t xml:space="preserve">concerns </w:t>
      </w:r>
      <w:r>
        <w:rPr>
          <w:sz w:val="24"/>
          <w:szCs w:val="24"/>
        </w:rPr>
        <w:t>regarding anti-social behaviour were being resolved</w:t>
      </w:r>
      <w:r w:rsidRPr="0020657C">
        <w:rPr>
          <w:sz w:val="24"/>
          <w:szCs w:val="24"/>
        </w:rPr>
        <w:t xml:space="preserve">. </w:t>
      </w:r>
    </w:p>
    <w:p w14:paraId="38EADBBE" w14:textId="77777777" w:rsidR="0086526B" w:rsidRPr="0020657C" w:rsidRDefault="0086526B" w:rsidP="0086526B">
      <w:pPr>
        <w:rPr>
          <w:sz w:val="24"/>
          <w:szCs w:val="24"/>
        </w:rPr>
      </w:pPr>
      <w:r>
        <w:rPr>
          <w:sz w:val="24"/>
          <w:szCs w:val="24"/>
        </w:rPr>
        <w:t>However, despite the efforts in community triggers being victim-focused, a report conducted by Heap (2021) found that many victims felt subject to secondary victimisation by having to request a review of their case themselves. Many victims, according to Heap (2021) felt that authorities engaged in the procedure should be commencing these proceedings themselves, or ideally resolving the issue initially put to them satisfactorily. This study further indicates that this may cause victims to feel less supported, and subsequently disengage with the process due to feeling ignored. This perception will ultimately reverse ‘The Broken Windows Theory’ in that the public disengagement and feeling of lack of support from local authorities and the police will indicate that such offences will be tolerated and therefore opportunities for re-offending and escalation of offences can occur.</w:t>
      </w:r>
    </w:p>
    <w:p w14:paraId="24FCD919" w14:textId="39EDDA0D" w:rsidR="0086526B" w:rsidRDefault="0086526B" w:rsidP="0086526B">
      <w:pPr>
        <w:rPr>
          <w:sz w:val="24"/>
          <w:szCs w:val="24"/>
        </w:rPr>
      </w:pPr>
      <w:r>
        <w:rPr>
          <w:sz w:val="24"/>
          <w:szCs w:val="24"/>
        </w:rPr>
        <w:t>In conclusion</w:t>
      </w:r>
      <w:r w:rsidRPr="0020657C">
        <w:rPr>
          <w:sz w:val="24"/>
          <w:szCs w:val="24"/>
        </w:rPr>
        <w:t xml:space="preserve">, this research suggests that with consideration to EBP in relation to the ‘Broken Windows Theory’, both can be utilised in the identification of themes, patterns and behaviours relating to specific crimes as well as changes or developments required to tackle these specific crimes through the implementation of strengthened policies, thereby achieving the desired outcomes of lower crime statistics </w:t>
      </w:r>
      <w:r w:rsidRPr="0020657C">
        <w:rPr>
          <w:sz w:val="24"/>
          <w:szCs w:val="24"/>
        </w:rPr>
        <w:lastRenderedPageBreak/>
        <w:t xml:space="preserve">and improved customer satisfaction. </w:t>
      </w:r>
      <w:r>
        <w:rPr>
          <w:sz w:val="24"/>
          <w:szCs w:val="24"/>
        </w:rPr>
        <w:t xml:space="preserve">However, this is </w:t>
      </w:r>
      <w:proofErr w:type="spellStart"/>
      <w:r>
        <w:rPr>
          <w:sz w:val="24"/>
          <w:szCs w:val="24"/>
        </w:rPr>
        <w:t>dependant</w:t>
      </w:r>
      <w:proofErr w:type="spellEnd"/>
      <w:r>
        <w:rPr>
          <w:sz w:val="24"/>
          <w:szCs w:val="24"/>
        </w:rPr>
        <w:t xml:space="preserve"> on victim </w:t>
      </w:r>
      <w:r w:rsidR="00DD3B54">
        <w:rPr>
          <w:sz w:val="24"/>
          <w:szCs w:val="24"/>
        </w:rPr>
        <w:t>and</w:t>
      </w:r>
      <w:r>
        <w:rPr>
          <w:sz w:val="24"/>
          <w:szCs w:val="24"/>
        </w:rPr>
        <w:t xml:space="preserve"> community engagement to engage in the process and feel as though they are being supported by the police and secondary services to tackle these offences.</w:t>
      </w:r>
    </w:p>
    <w:p w14:paraId="13215C17" w14:textId="6352FE97" w:rsidR="0086526B" w:rsidRDefault="0086526B" w:rsidP="0086526B">
      <w:pPr>
        <w:rPr>
          <w:sz w:val="24"/>
          <w:szCs w:val="24"/>
        </w:rPr>
      </w:pPr>
      <w:r>
        <w:rPr>
          <w:sz w:val="24"/>
          <w:szCs w:val="24"/>
        </w:rPr>
        <w:t>Word count: 106</w:t>
      </w:r>
      <w:r w:rsidR="00DD3B54">
        <w:rPr>
          <w:sz w:val="24"/>
          <w:szCs w:val="24"/>
        </w:rPr>
        <w:t>4</w:t>
      </w:r>
    </w:p>
    <w:p w14:paraId="01FDE20B" w14:textId="77777777" w:rsidR="00815E5D" w:rsidRPr="00815E5D" w:rsidRDefault="00815E5D" w:rsidP="0086526B">
      <w:pPr>
        <w:rPr>
          <w:b/>
          <w:bCs/>
          <w:sz w:val="24"/>
          <w:szCs w:val="24"/>
        </w:rPr>
      </w:pPr>
      <w:bookmarkStart w:id="0" w:name="_GoBack"/>
    </w:p>
    <w:p w14:paraId="71150A53" w14:textId="77777777" w:rsidR="004256BB" w:rsidRPr="00815E5D" w:rsidRDefault="004256BB" w:rsidP="004256BB">
      <w:pPr>
        <w:spacing w:after="0" w:line="240" w:lineRule="auto"/>
        <w:rPr>
          <w:b/>
          <w:bCs/>
          <w:color w:val="000000"/>
          <w:sz w:val="24"/>
          <w:szCs w:val="24"/>
        </w:rPr>
      </w:pPr>
      <w:r w:rsidRPr="00815E5D">
        <w:rPr>
          <w:b/>
          <w:bCs/>
          <w:color w:val="000000"/>
          <w:sz w:val="24"/>
          <w:szCs w:val="24"/>
        </w:rPr>
        <w:t xml:space="preserve">Bibliography: </w:t>
      </w:r>
    </w:p>
    <w:bookmarkEnd w:id="0"/>
    <w:p w14:paraId="4F3A06BD" w14:textId="77777777" w:rsidR="004256BB" w:rsidRPr="00FE26BD" w:rsidRDefault="004256BB" w:rsidP="004256BB">
      <w:pPr>
        <w:spacing w:after="0" w:line="240" w:lineRule="auto"/>
        <w:rPr>
          <w:color w:val="000000"/>
          <w:sz w:val="24"/>
          <w:szCs w:val="24"/>
        </w:rPr>
      </w:pPr>
    </w:p>
    <w:p w14:paraId="002172C8" w14:textId="77777777" w:rsidR="004256BB" w:rsidRDefault="004256BB" w:rsidP="004256BB">
      <w:pPr>
        <w:spacing w:after="0" w:line="240" w:lineRule="auto"/>
        <w:rPr>
          <w:color w:val="000000"/>
          <w:sz w:val="24"/>
          <w:szCs w:val="24"/>
        </w:rPr>
      </w:pPr>
      <w:r w:rsidRPr="00FE26BD">
        <w:rPr>
          <w:color w:val="000000"/>
          <w:sz w:val="24"/>
          <w:szCs w:val="24"/>
        </w:rPr>
        <w:t xml:space="preserve">Brown, J. (2018) ‘Do Graduate Police Officers Make a Difference to Policing? Results of an </w:t>
      </w:r>
    </w:p>
    <w:p w14:paraId="1E3D0846" w14:textId="77777777" w:rsidR="004256BB" w:rsidRDefault="004256BB" w:rsidP="004256BB">
      <w:pPr>
        <w:spacing w:after="0" w:line="240" w:lineRule="auto"/>
        <w:rPr>
          <w:color w:val="000000"/>
          <w:sz w:val="24"/>
          <w:szCs w:val="24"/>
        </w:rPr>
      </w:pPr>
    </w:p>
    <w:p w14:paraId="26731FF4" w14:textId="77777777" w:rsidR="004256BB" w:rsidRDefault="004256BB" w:rsidP="004256BB">
      <w:pPr>
        <w:spacing w:after="0" w:line="240" w:lineRule="auto"/>
        <w:rPr>
          <w:color w:val="000000"/>
          <w:sz w:val="24"/>
          <w:szCs w:val="24"/>
        </w:rPr>
      </w:pPr>
      <w:r w:rsidRPr="00FE26BD">
        <w:rPr>
          <w:color w:val="000000"/>
          <w:sz w:val="24"/>
          <w:szCs w:val="24"/>
        </w:rPr>
        <w:t xml:space="preserve">Integrative Literature Review’, </w:t>
      </w:r>
      <w:r w:rsidRPr="00FE26BD">
        <w:rPr>
          <w:i/>
          <w:iCs/>
          <w:color w:val="000000"/>
          <w:sz w:val="24"/>
          <w:szCs w:val="24"/>
        </w:rPr>
        <w:t xml:space="preserve">Policing: A Journal of Police and Practice, </w:t>
      </w:r>
      <w:r w:rsidRPr="00FE26BD">
        <w:rPr>
          <w:color w:val="000000"/>
          <w:sz w:val="24"/>
          <w:szCs w:val="24"/>
        </w:rPr>
        <w:t>14(1), pp. 9-30.</w:t>
      </w:r>
    </w:p>
    <w:p w14:paraId="299D902F" w14:textId="77777777" w:rsidR="004256BB" w:rsidRDefault="004256BB" w:rsidP="004256BB">
      <w:pPr>
        <w:spacing w:after="0" w:line="240" w:lineRule="auto"/>
        <w:rPr>
          <w:color w:val="000000"/>
          <w:sz w:val="24"/>
          <w:szCs w:val="24"/>
        </w:rPr>
      </w:pPr>
    </w:p>
    <w:p w14:paraId="1CB12BED" w14:textId="77777777" w:rsidR="004256BB" w:rsidRPr="00FE26BD" w:rsidRDefault="004256BB" w:rsidP="004256BB">
      <w:pPr>
        <w:spacing w:after="0" w:line="240" w:lineRule="auto"/>
        <w:rPr>
          <w:color w:val="000000"/>
          <w:sz w:val="24"/>
          <w:szCs w:val="24"/>
        </w:rPr>
      </w:pPr>
    </w:p>
    <w:p w14:paraId="53EED633" w14:textId="77777777" w:rsidR="004256BB" w:rsidRDefault="004256BB" w:rsidP="004256BB">
      <w:pPr>
        <w:rPr>
          <w:sz w:val="24"/>
          <w:szCs w:val="24"/>
        </w:rPr>
      </w:pPr>
      <w:r w:rsidRPr="00FE26BD">
        <w:rPr>
          <w:sz w:val="24"/>
          <w:szCs w:val="24"/>
        </w:rPr>
        <w:t xml:space="preserve">Brown, J., </w:t>
      </w:r>
      <w:proofErr w:type="spellStart"/>
      <w:r w:rsidRPr="00FE26BD">
        <w:rPr>
          <w:sz w:val="24"/>
          <w:szCs w:val="24"/>
        </w:rPr>
        <w:t>Belur</w:t>
      </w:r>
      <w:proofErr w:type="spellEnd"/>
      <w:r w:rsidRPr="00FE26BD">
        <w:rPr>
          <w:sz w:val="24"/>
          <w:szCs w:val="24"/>
        </w:rPr>
        <w:t xml:space="preserve">, J., </w:t>
      </w:r>
      <w:proofErr w:type="spellStart"/>
      <w:r w:rsidRPr="00FE26BD">
        <w:rPr>
          <w:sz w:val="24"/>
          <w:szCs w:val="24"/>
        </w:rPr>
        <w:t>Tompson</w:t>
      </w:r>
      <w:proofErr w:type="spellEnd"/>
      <w:r w:rsidRPr="00FE26BD">
        <w:rPr>
          <w:sz w:val="24"/>
          <w:szCs w:val="24"/>
        </w:rPr>
        <w:t>, L., McDowall, A., Hunter, G. and May, T. (2018) ‘Extending the Remit of Evidence-Based Policing’,</w:t>
      </w:r>
      <w:r w:rsidRPr="00FE26BD">
        <w:rPr>
          <w:i/>
          <w:iCs/>
          <w:sz w:val="24"/>
          <w:szCs w:val="24"/>
        </w:rPr>
        <w:t xml:space="preserve"> International Journal of Police Science &amp; Management.</w:t>
      </w:r>
      <w:r w:rsidRPr="00FE26BD">
        <w:rPr>
          <w:sz w:val="24"/>
          <w:szCs w:val="24"/>
        </w:rPr>
        <w:t xml:space="preserve"> </w:t>
      </w:r>
      <w:r w:rsidRPr="00FE26BD">
        <w:rPr>
          <w:i/>
          <w:iCs/>
          <w:sz w:val="24"/>
          <w:szCs w:val="24"/>
        </w:rPr>
        <w:t xml:space="preserve">LSE Research Online </w:t>
      </w:r>
      <w:r w:rsidRPr="00FE26BD">
        <w:rPr>
          <w:sz w:val="24"/>
          <w:szCs w:val="24"/>
        </w:rPr>
        <w:t xml:space="preserve">[Online]. Available at: </w:t>
      </w:r>
      <w:hyperlink r:id="rId14" w:history="1">
        <w:r w:rsidRPr="00FE26BD">
          <w:rPr>
            <w:rStyle w:val="Hyperlink"/>
            <w:sz w:val="24"/>
            <w:szCs w:val="24"/>
          </w:rPr>
          <w:t>http://eprints.lse.ac.uk/86612/7/Brown_Extending%20the%20remit%20of%20evidence-based%20policing2_.pdf</w:t>
        </w:r>
      </w:hyperlink>
      <w:r w:rsidRPr="00FE26BD">
        <w:rPr>
          <w:sz w:val="24"/>
          <w:szCs w:val="24"/>
        </w:rPr>
        <w:t xml:space="preserve"> (Accessed: 22 August 2021)</w:t>
      </w:r>
    </w:p>
    <w:p w14:paraId="0C9C37B9" w14:textId="77777777" w:rsidR="004256BB" w:rsidRDefault="004256BB" w:rsidP="004256BB">
      <w:pPr>
        <w:rPr>
          <w:sz w:val="24"/>
          <w:szCs w:val="24"/>
        </w:rPr>
      </w:pPr>
      <w:r w:rsidRPr="00FE26BD">
        <w:rPr>
          <w:sz w:val="24"/>
          <w:szCs w:val="24"/>
        </w:rPr>
        <w:t xml:space="preserve">Bryant, R. and Bryant, S. (2020) </w:t>
      </w:r>
      <w:r w:rsidRPr="00FE26BD">
        <w:rPr>
          <w:i/>
          <w:iCs/>
          <w:sz w:val="24"/>
          <w:szCs w:val="24"/>
        </w:rPr>
        <w:t>Blackstone’s Handbook for Policing Students.</w:t>
      </w:r>
      <w:r w:rsidRPr="00FE26BD">
        <w:rPr>
          <w:sz w:val="24"/>
          <w:szCs w:val="24"/>
        </w:rPr>
        <w:t xml:space="preserve"> 4</w:t>
      </w:r>
      <w:r w:rsidRPr="00FE26BD">
        <w:rPr>
          <w:sz w:val="24"/>
          <w:szCs w:val="24"/>
          <w:vertAlign w:val="superscript"/>
        </w:rPr>
        <w:t>th</w:t>
      </w:r>
      <w:r w:rsidRPr="00FE26BD">
        <w:rPr>
          <w:sz w:val="24"/>
          <w:szCs w:val="24"/>
        </w:rPr>
        <w:t xml:space="preserve"> </w:t>
      </w:r>
      <w:proofErr w:type="spellStart"/>
      <w:r w:rsidRPr="00FE26BD">
        <w:rPr>
          <w:sz w:val="24"/>
          <w:szCs w:val="24"/>
        </w:rPr>
        <w:t>edn</w:t>
      </w:r>
      <w:proofErr w:type="spellEnd"/>
      <w:r w:rsidRPr="00FE26BD">
        <w:rPr>
          <w:sz w:val="24"/>
          <w:szCs w:val="24"/>
        </w:rPr>
        <w:t>. Oxford: Oxford University Press.</w:t>
      </w:r>
    </w:p>
    <w:p w14:paraId="60127BD6" w14:textId="77777777" w:rsidR="004256BB" w:rsidRDefault="004256BB" w:rsidP="004256BB">
      <w:pPr>
        <w:rPr>
          <w:sz w:val="24"/>
          <w:szCs w:val="24"/>
        </w:rPr>
      </w:pPr>
      <w:r w:rsidRPr="00FA2674">
        <w:rPr>
          <w:sz w:val="24"/>
          <w:szCs w:val="24"/>
        </w:rPr>
        <w:t xml:space="preserve">Bullock, K. and </w:t>
      </w:r>
      <w:proofErr w:type="spellStart"/>
      <w:r w:rsidRPr="00FA2674">
        <w:rPr>
          <w:sz w:val="24"/>
          <w:szCs w:val="24"/>
        </w:rPr>
        <w:t>Leeney</w:t>
      </w:r>
      <w:proofErr w:type="spellEnd"/>
      <w:r w:rsidRPr="00FA2674">
        <w:rPr>
          <w:sz w:val="24"/>
          <w:szCs w:val="24"/>
        </w:rPr>
        <w:t xml:space="preserve">, D. (2012) ‘Public Concern about Serious Organised Crime’, </w:t>
      </w:r>
      <w:r w:rsidRPr="00FA2674">
        <w:rPr>
          <w:i/>
          <w:iCs/>
          <w:sz w:val="24"/>
          <w:szCs w:val="24"/>
        </w:rPr>
        <w:t xml:space="preserve">Crime Prevention and Community Safety, </w:t>
      </w:r>
      <w:r w:rsidRPr="00FA2674">
        <w:rPr>
          <w:sz w:val="24"/>
          <w:szCs w:val="24"/>
        </w:rPr>
        <w:t>14(4), pp. 278-292.</w:t>
      </w:r>
    </w:p>
    <w:p w14:paraId="4025B375" w14:textId="77777777" w:rsidR="004256BB" w:rsidRPr="00FA2674" w:rsidRDefault="004256BB" w:rsidP="004256BB">
      <w:pPr>
        <w:rPr>
          <w:sz w:val="24"/>
          <w:szCs w:val="24"/>
        </w:rPr>
      </w:pPr>
      <w:r>
        <w:rPr>
          <w:sz w:val="24"/>
          <w:szCs w:val="24"/>
        </w:rPr>
        <w:t xml:space="preserve">Burcher, M. and Whelan, C. (2019) ‘Intelligence-Led Policing in Practice: Reflections from Intelligence Analysts’, </w:t>
      </w:r>
      <w:r w:rsidRPr="00097CEF">
        <w:rPr>
          <w:i/>
          <w:iCs/>
          <w:sz w:val="24"/>
          <w:szCs w:val="24"/>
        </w:rPr>
        <w:t>Police Quarterly</w:t>
      </w:r>
      <w:r>
        <w:rPr>
          <w:sz w:val="24"/>
          <w:szCs w:val="24"/>
        </w:rPr>
        <w:t>, 22(2), pp. 139-160.</w:t>
      </w:r>
    </w:p>
    <w:p w14:paraId="01626CDE" w14:textId="77777777" w:rsidR="004256BB" w:rsidRDefault="004256BB" w:rsidP="004256BB">
      <w:pPr>
        <w:rPr>
          <w:sz w:val="24"/>
          <w:szCs w:val="24"/>
        </w:rPr>
      </w:pPr>
    </w:p>
    <w:p w14:paraId="37F74090" w14:textId="77777777" w:rsidR="004256BB" w:rsidRPr="00EA083F" w:rsidRDefault="004256BB" w:rsidP="004256BB">
      <w:pPr>
        <w:rPr>
          <w:sz w:val="24"/>
          <w:szCs w:val="24"/>
        </w:rPr>
      </w:pPr>
      <w:r>
        <w:rPr>
          <w:sz w:val="24"/>
          <w:szCs w:val="24"/>
        </w:rPr>
        <w:t xml:space="preserve">Carter, D.L. and Carter, J.G. (2009) ‘Intelligence-led Policing: Conceptual and Functional Considerations for Public Policy’, </w:t>
      </w:r>
      <w:r w:rsidRPr="008451F4">
        <w:rPr>
          <w:i/>
          <w:iCs/>
          <w:sz w:val="24"/>
          <w:szCs w:val="24"/>
        </w:rPr>
        <w:t>Criminal Justice Policy Review,</w:t>
      </w:r>
      <w:r>
        <w:rPr>
          <w:sz w:val="24"/>
          <w:szCs w:val="24"/>
        </w:rPr>
        <w:t xml:space="preserve"> 20(3), pp. 310-325. </w:t>
      </w:r>
    </w:p>
    <w:p w14:paraId="2374ABD5" w14:textId="77777777" w:rsidR="004256BB" w:rsidRDefault="004256BB" w:rsidP="004256BB">
      <w:pPr>
        <w:rPr>
          <w:color w:val="000000"/>
          <w:sz w:val="24"/>
          <w:szCs w:val="24"/>
        </w:rPr>
      </w:pPr>
      <w:r>
        <w:rPr>
          <w:color w:val="000000"/>
          <w:sz w:val="24"/>
          <w:szCs w:val="24"/>
        </w:rPr>
        <w:lastRenderedPageBreak/>
        <w:t xml:space="preserve">Caudill, J.W., Getty, R., Smith, R., Patten, R., and </w:t>
      </w:r>
      <w:proofErr w:type="spellStart"/>
      <w:r>
        <w:rPr>
          <w:color w:val="000000"/>
          <w:sz w:val="24"/>
          <w:szCs w:val="24"/>
        </w:rPr>
        <w:t>Trulson</w:t>
      </w:r>
      <w:proofErr w:type="spellEnd"/>
      <w:r>
        <w:rPr>
          <w:color w:val="000000"/>
          <w:sz w:val="24"/>
          <w:szCs w:val="24"/>
        </w:rPr>
        <w:t xml:space="preserve">, C.R. (2013) ‘Discouraging Window Breakers: The Lagged Effects of Police Activity on Crime’, </w:t>
      </w:r>
      <w:r>
        <w:rPr>
          <w:i/>
          <w:iCs/>
          <w:color w:val="000000"/>
          <w:sz w:val="24"/>
          <w:szCs w:val="24"/>
        </w:rPr>
        <w:t>Journal of Criminal Justice</w:t>
      </w:r>
      <w:r>
        <w:rPr>
          <w:color w:val="000000"/>
          <w:sz w:val="24"/>
          <w:szCs w:val="24"/>
        </w:rPr>
        <w:t>, 41(1), pp.18-23.</w:t>
      </w:r>
    </w:p>
    <w:p w14:paraId="4DF0CF50" w14:textId="017F9758" w:rsidR="004256BB" w:rsidRDefault="004256BB" w:rsidP="004256BB">
      <w:pPr>
        <w:rPr>
          <w:color w:val="000000"/>
          <w:sz w:val="24"/>
          <w:szCs w:val="24"/>
        </w:rPr>
      </w:pPr>
      <w:proofErr w:type="spellStart"/>
      <w:r w:rsidRPr="00FE26BD">
        <w:rPr>
          <w:color w:val="000000"/>
          <w:sz w:val="24"/>
          <w:szCs w:val="24"/>
        </w:rPr>
        <w:t>Charman</w:t>
      </w:r>
      <w:proofErr w:type="spellEnd"/>
      <w:r w:rsidRPr="00FE26BD">
        <w:rPr>
          <w:color w:val="000000"/>
          <w:sz w:val="24"/>
          <w:szCs w:val="24"/>
        </w:rPr>
        <w:t xml:space="preserve">, S. (2018) </w:t>
      </w:r>
      <w:r w:rsidRPr="00A7590C">
        <w:rPr>
          <w:i/>
          <w:iCs/>
          <w:color w:val="000000"/>
          <w:sz w:val="24"/>
          <w:szCs w:val="24"/>
        </w:rPr>
        <w:t>How New Recruits are Changing Police Culture for the Better</w:t>
      </w:r>
      <w:r w:rsidR="00A7590C">
        <w:rPr>
          <w:color w:val="000000"/>
          <w:sz w:val="24"/>
          <w:szCs w:val="24"/>
        </w:rPr>
        <w:t xml:space="preserve">. </w:t>
      </w:r>
      <w:r w:rsidRPr="00FE26BD">
        <w:rPr>
          <w:color w:val="000000"/>
          <w:sz w:val="24"/>
          <w:szCs w:val="24"/>
        </w:rPr>
        <w:t xml:space="preserve">Available at: </w:t>
      </w:r>
      <w:hyperlink r:id="rId15" w:history="1">
        <w:r w:rsidRPr="00FE26BD">
          <w:rPr>
            <w:rStyle w:val="Hyperlink"/>
            <w:sz w:val="24"/>
            <w:szCs w:val="24"/>
          </w:rPr>
          <w:t>http://theconversation.com/how-new-recruits-are-changing-police-culture-for-the-better-85221</w:t>
        </w:r>
      </w:hyperlink>
      <w:r w:rsidRPr="00FE26BD">
        <w:rPr>
          <w:color w:val="000000"/>
          <w:sz w:val="24"/>
          <w:szCs w:val="24"/>
        </w:rPr>
        <w:t xml:space="preserve"> (Accessed: 22 August 2021)  </w:t>
      </w:r>
    </w:p>
    <w:p w14:paraId="2A4E0E19" w14:textId="77777777" w:rsidR="004256BB" w:rsidRPr="003007DF" w:rsidRDefault="004256BB" w:rsidP="004256BB">
      <w:pPr>
        <w:rPr>
          <w:sz w:val="24"/>
          <w:szCs w:val="24"/>
        </w:rPr>
      </w:pPr>
      <w:r>
        <w:rPr>
          <w:sz w:val="24"/>
          <w:szCs w:val="24"/>
        </w:rPr>
        <w:t xml:space="preserve">Cope, N. (2004) ‘Intelligence Led Policing or Policing Led Intelligence?’ </w:t>
      </w:r>
      <w:r w:rsidRPr="007B2832">
        <w:rPr>
          <w:i/>
          <w:iCs/>
          <w:sz w:val="24"/>
          <w:szCs w:val="24"/>
        </w:rPr>
        <w:t>British Journal of</w:t>
      </w:r>
      <w:r>
        <w:rPr>
          <w:sz w:val="24"/>
          <w:szCs w:val="24"/>
        </w:rPr>
        <w:t xml:space="preserve"> </w:t>
      </w:r>
      <w:r w:rsidRPr="003D566C">
        <w:rPr>
          <w:i/>
          <w:iCs/>
          <w:sz w:val="24"/>
          <w:szCs w:val="24"/>
        </w:rPr>
        <w:t xml:space="preserve">Criminology, </w:t>
      </w:r>
      <w:r w:rsidRPr="007B2832">
        <w:rPr>
          <w:sz w:val="24"/>
          <w:szCs w:val="24"/>
        </w:rPr>
        <w:t xml:space="preserve">44(2), </w:t>
      </w:r>
      <w:r>
        <w:rPr>
          <w:sz w:val="24"/>
          <w:szCs w:val="24"/>
        </w:rPr>
        <w:t>pp. 188-203.</w:t>
      </w:r>
    </w:p>
    <w:p w14:paraId="0F7FAD5A" w14:textId="77777777" w:rsidR="004256BB" w:rsidRDefault="004256BB" w:rsidP="004256BB">
      <w:pPr>
        <w:rPr>
          <w:color w:val="000000"/>
          <w:sz w:val="24"/>
          <w:szCs w:val="24"/>
        </w:rPr>
      </w:pPr>
      <w:r w:rsidRPr="00FE26BD">
        <w:rPr>
          <w:color w:val="000000"/>
          <w:sz w:val="24"/>
          <w:szCs w:val="24"/>
        </w:rPr>
        <w:t xml:space="preserve">Cox, C. and Kirby, S. (2018) ‘Can Higher Education Reduce the Negative Consequences of Police Occupational Culture Amongst New Recruits?’, </w:t>
      </w:r>
      <w:r w:rsidRPr="00FE26BD">
        <w:rPr>
          <w:i/>
          <w:iCs/>
          <w:color w:val="000000"/>
          <w:sz w:val="24"/>
          <w:szCs w:val="24"/>
        </w:rPr>
        <w:t xml:space="preserve">Policing: An International Journal of Police Strategies and Management. </w:t>
      </w:r>
      <w:r w:rsidRPr="00FE26BD">
        <w:rPr>
          <w:color w:val="000000"/>
          <w:sz w:val="24"/>
          <w:szCs w:val="24"/>
        </w:rPr>
        <w:t xml:space="preserve">Available at: </w:t>
      </w:r>
      <w:hyperlink r:id="rId16" w:history="1">
        <w:r w:rsidRPr="00FE26BD">
          <w:rPr>
            <w:rStyle w:val="Hyperlink"/>
            <w:sz w:val="24"/>
            <w:szCs w:val="24"/>
          </w:rPr>
          <w:t>http://clok.uclan.ac.uk/18267/8/18267%20CoxKirbyPoliceHE.pdf</w:t>
        </w:r>
      </w:hyperlink>
      <w:r w:rsidRPr="00FE26BD">
        <w:rPr>
          <w:color w:val="000000"/>
          <w:sz w:val="24"/>
          <w:szCs w:val="24"/>
        </w:rPr>
        <w:t xml:space="preserve"> (Accessed: 22 August 2021)</w:t>
      </w:r>
    </w:p>
    <w:p w14:paraId="302A0820" w14:textId="77777777" w:rsidR="004256BB" w:rsidRPr="00FE26BD" w:rsidRDefault="004256BB" w:rsidP="004256BB">
      <w:pPr>
        <w:rPr>
          <w:color w:val="000000"/>
          <w:sz w:val="24"/>
          <w:szCs w:val="24"/>
        </w:rPr>
      </w:pPr>
      <w:proofErr w:type="spellStart"/>
      <w:r>
        <w:rPr>
          <w:color w:val="000000"/>
          <w:sz w:val="24"/>
          <w:szCs w:val="24"/>
        </w:rPr>
        <w:t>Crous</w:t>
      </w:r>
      <w:proofErr w:type="spellEnd"/>
      <w:r>
        <w:rPr>
          <w:color w:val="000000"/>
          <w:sz w:val="24"/>
          <w:szCs w:val="24"/>
        </w:rPr>
        <w:t>, C. (2012)</w:t>
      </w:r>
      <w:r w:rsidRPr="00B610A9">
        <w:rPr>
          <w:i/>
          <w:iCs/>
          <w:color w:val="000000"/>
          <w:sz w:val="24"/>
          <w:szCs w:val="24"/>
        </w:rPr>
        <w:t xml:space="preserve"> Tasking &amp; Coordination: Effective Decision Making or Blind Men Feeling an Elephant?</w:t>
      </w:r>
      <w:r>
        <w:rPr>
          <w:color w:val="000000"/>
          <w:sz w:val="24"/>
          <w:szCs w:val="24"/>
        </w:rPr>
        <w:t xml:space="preserve"> Available at: </w:t>
      </w:r>
      <w:hyperlink r:id="rId17" w:history="1">
        <w:r w:rsidRPr="00994B74">
          <w:rPr>
            <w:rStyle w:val="Hyperlink"/>
            <w:sz w:val="24"/>
            <w:szCs w:val="24"/>
          </w:rPr>
          <w:t>https://www.researchgate.net/publication/273767075_TASKING_COORDINATION_EFFECTIVE_DECISION_MAKING_OR_BLIND_MEN_FEELING_AN_ELEPHANT</w:t>
        </w:r>
      </w:hyperlink>
      <w:r>
        <w:rPr>
          <w:color w:val="000000"/>
          <w:sz w:val="24"/>
          <w:szCs w:val="24"/>
        </w:rPr>
        <w:t xml:space="preserve"> (Accessed: 19 November 2021)</w:t>
      </w:r>
    </w:p>
    <w:p w14:paraId="57867077" w14:textId="77777777" w:rsidR="004256BB" w:rsidRDefault="004256BB" w:rsidP="004256BB">
      <w:pPr>
        <w:rPr>
          <w:sz w:val="24"/>
          <w:szCs w:val="24"/>
        </w:rPr>
      </w:pPr>
    </w:p>
    <w:p w14:paraId="5B9571F3" w14:textId="77777777" w:rsidR="004256BB" w:rsidRPr="003007DF" w:rsidRDefault="004256BB" w:rsidP="004256BB">
      <w:pPr>
        <w:rPr>
          <w:rFonts w:cstheme="minorBidi"/>
          <w:sz w:val="24"/>
          <w:szCs w:val="24"/>
        </w:rPr>
      </w:pPr>
      <w:r>
        <w:rPr>
          <w:sz w:val="24"/>
          <w:szCs w:val="24"/>
        </w:rPr>
        <w:t xml:space="preserve">Dabney, D.A. and Tewksbury, R. (2016) </w:t>
      </w:r>
      <w:r w:rsidRPr="005C45E0">
        <w:rPr>
          <w:i/>
          <w:iCs/>
          <w:sz w:val="24"/>
          <w:szCs w:val="24"/>
        </w:rPr>
        <w:t>Speaking Truth to Power: Confidential Informants and Police Investigations</w:t>
      </w:r>
      <w:r>
        <w:rPr>
          <w:sz w:val="24"/>
          <w:szCs w:val="24"/>
        </w:rPr>
        <w:t>. 1</w:t>
      </w:r>
      <w:r w:rsidRPr="005C45E0">
        <w:rPr>
          <w:sz w:val="24"/>
          <w:szCs w:val="24"/>
          <w:vertAlign w:val="superscript"/>
        </w:rPr>
        <w:t>st</w:t>
      </w:r>
      <w:r>
        <w:rPr>
          <w:sz w:val="24"/>
          <w:szCs w:val="24"/>
        </w:rPr>
        <w:t xml:space="preserve"> </w:t>
      </w:r>
      <w:proofErr w:type="spellStart"/>
      <w:r>
        <w:rPr>
          <w:sz w:val="24"/>
          <w:szCs w:val="24"/>
        </w:rPr>
        <w:t>edn</w:t>
      </w:r>
      <w:proofErr w:type="spellEnd"/>
      <w:r>
        <w:rPr>
          <w:sz w:val="24"/>
          <w:szCs w:val="24"/>
        </w:rPr>
        <w:t>. California: University of California Press.</w:t>
      </w:r>
    </w:p>
    <w:p w14:paraId="0F4166A0" w14:textId="77777777" w:rsidR="004256BB" w:rsidRDefault="004256BB" w:rsidP="004256BB">
      <w:pPr>
        <w:rPr>
          <w:sz w:val="24"/>
          <w:szCs w:val="24"/>
        </w:rPr>
      </w:pPr>
      <w:r w:rsidRPr="00FE26BD">
        <w:rPr>
          <w:sz w:val="24"/>
          <w:szCs w:val="24"/>
        </w:rPr>
        <w:t xml:space="preserve">Davis, R.C., Ortiz, C.W., Euler, S., and Kuykendall, L. (2015) ‘Revisiting “Measuring What Matters”: Developing a Suite of </w:t>
      </w:r>
      <w:proofErr w:type="spellStart"/>
      <w:r w:rsidRPr="00FE26BD">
        <w:rPr>
          <w:sz w:val="24"/>
          <w:szCs w:val="24"/>
        </w:rPr>
        <w:t>Strandardized</w:t>
      </w:r>
      <w:proofErr w:type="spellEnd"/>
      <w:r w:rsidRPr="00FE26BD">
        <w:rPr>
          <w:sz w:val="24"/>
          <w:szCs w:val="24"/>
        </w:rPr>
        <w:t xml:space="preserve"> Performance Measures for Policing’, </w:t>
      </w:r>
      <w:r w:rsidRPr="00FE26BD">
        <w:rPr>
          <w:i/>
          <w:iCs/>
          <w:sz w:val="24"/>
          <w:szCs w:val="24"/>
        </w:rPr>
        <w:t>Police Quarterly</w:t>
      </w:r>
      <w:r w:rsidRPr="00FE26BD">
        <w:rPr>
          <w:sz w:val="24"/>
          <w:szCs w:val="24"/>
        </w:rPr>
        <w:t xml:space="preserve">, 18(4), pp. 469-495. </w:t>
      </w:r>
      <w:r w:rsidRPr="00FE26BD">
        <w:rPr>
          <w:i/>
          <w:iCs/>
          <w:sz w:val="24"/>
          <w:szCs w:val="24"/>
        </w:rPr>
        <w:t>Sage Publications</w:t>
      </w:r>
      <w:r w:rsidRPr="00FE26BD">
        <w:rPr>
          <w:sz w:val="24"/>
          <w:szCs w:val="24"/>
        </w:rPr>
        <w:t xml:space="preserve"> [Online] Available at: </w:t>
      </w:r>
      <w:hyperlink r:id="rId18" w:history="1">
        <w:r w:rsidRPr="00FE26BD">
          <w:rPr>
            <w:rStyle w:val="Hyperlink"/>
            <w:sz w:val="24"/>
            <w:szCs w:val="24"/>
          </w:rPr>
          <w:t>https://journals-sagepub-com.ezproxy.uwtsd.ac.uk/doi/pdf/10.1177/1098611115598990</w:t>
        </w:r>
      </w:hyperlink>
      <w:r w:rsidRPr="00FE26BD">
        <w:rPr>
          <w:sz w:val="24"/>
          <w:szCs w:val="24"/>
        </w:rPr>
        <w:t xml:space="preserve"> (Accessed: 19 June 2021)</w:t>
      </w:r>
    </w:p>
    <w:p w14:paraId="5B0AB874" w14:textId="77777777" w:rsidR="004256BB" w:rsidRDefault="004256BB" w:rsidP="004256BB">
      <w:pPr>
        <w:rPr>
          <w:sz w:val="24"/>
          <w:szCs w:val="24"/>
        </w:rPr>
      </w:pPr>
    </w:p>
    <w:p w14:paraId="45531A0D" w14:textId="77777777" w:rsidR="004256BB" w:rsidRPr="00FE26BD" w:rsidRDefault="004256BB" w:rsidP="004256BB">
      <w:pPr>
        <w:rPr>
          <w:sz w:val="24"/>
          <w:szCs w:val="24"/>
        </w:rPr>
      </w:pPr>
      <w:r>
        <w:rPr>
          <w:sz w:val="24"/>
          <w:szCs w:val="24"/>
        </w:rPr>
        <w:lastRenderedPageBreak/>
        <w:t xml:space="preserve">Ecclestone, D. (2013) ‘Identifying Victims of Human Trafficking’, </w:t>
      </w:r>
      <w:r>
        <w:rPr>
          <w:i/>
          <w:iCs/>
          <w:sz w:val="24"/>
          <w:szCs w:val="24"/>
        </w:rPr>
        <w:t xml:space="preserve">The Journal of the Health Visitors’ Association, </w:t>
      </w:r>
      <w:r>
        <w:rPr>
          <w:sz w:val="24"/>
          <w:szCs w:val="24"/>
        </w:rPr>
        <w:t>86(5), pp. 40-42.</w:t>
      </w:r>
    </w:p>
    <w:p w14:paraId="201B2B62" w14:textId="77777777" w:rsidR="004256BB" w:rsidRDefault="004256BB" w:rsidP="004256BB">
      <w:pPr>
        <w:rPr>
          <w:sz w:val="24"/>
          <w:szCs w:val="24"/>
        </w:rPr>
      </w:pPr>
    </w:p>
    <w:p w14:paraId="4D5C0D17" w14:textId="77777777" w:rsidR="004256BB" w:rsidRDefault="004256BB" w:rsidP="004256BB">
      <w:pPr>
        <w:rPr>
          <w:sz w:val="24"/>
          <w:szCs w:val="24"/>
        </w:rPr>
      </w:pPr>
      <w:r>
        <w:rPr>
          <w:sz w:val="24"/>
          <w:szCs w:val="24"/>
        </w:rPr>
        <w:t xml:space="preserve">Fielding, N.G. (2005) ‘Concepts and Theory in Community Policing’, </w:t>
      </w:r>
      <w:r>
        <w:rPr>
          <w:i/>
          <w:iCs/>
          <w:sz w:val="24"/>
          <w:szCs w:val="24"/>
        </w:rPr>
        <w:t xml:space="preserve">The Howard Journal, </w:t>
      </w:r>
      <w:r>
        <w:rPr>
          <w:sz w:val="24"/>
          <w:szCs w:val="24"/>
        </w:rPr>
        <w:t xml:space="preserve">44(5), pp. 460-472. </w:t>
      </w:r>
    </w:p>
    <w:p w14:paraId="5F6F17ED" w14:textId="77777777" w:rsidR="004256BB" w:rsidRPr="009C5888" w:rsidRDefault="004256BB" w:rsidP="004256BB">
      <w:pPr>
        <w:rPr>
          <w:sz w:val="24"/>
          <w:szCs w:val="24"/>
        </w:rPr>
      </w:pPr>
      <w:r w:rsidRPr="009C5888">
        <w:rPr>
          <w:sz w:val="24"/>
          <w:szCs w:val="24"/>
        </w:rPr>
        <w:t xml:space="preserve">Fitzpatrick, D. (2005) ‘Advising the Serious Organised Crime Agency: The Role of the Specialist Prosecutors’, </w:t>
      </w:r>
      <w:r w:rsidRPr="009C5888">
        <w:rPr>
          <w:i/>
          <w:iCs/>
          <w:sz w:val="24"/>
          <w:szCs w:val="24"/>
        </w:rPr>
        <w:t xml:space="preserve">Journal of Financial Crime, </w:t>
      </w:r>
      <w:r w:rsidRPr="009C5888">
        <w:rPr>
          <w:sz w:val="24"/>
          <w:szCs w:val="24"/>
        </w:rPr>
        <w:t>12(3), pp. 251-263.</w:t>
      </w:r>
    </w:p>
    <w:p w14:paraId="43F5C081" w14:textId="77777777" w:rsidR="004256BB" w:rsidRPr="00F007D3" w:rsidRDefault="004256BB" w:rsidP="004256BB">
      <w:pPr>
        <w:rPr>
          <w:sz w:val="24"/>
          <w:szCs w:val="24"/>
        </w:rPr>
      </w:pPr>
    </w:p>
    <w:p w14:paraId="45E6F3CC" w14:textId="77777777" w:rsidR="004256BB" w:rsidRDefault="004256BB" w:rsidP="004256BB">
      <w:pPr>
        <w:rPr>
          <w:sz w:val="24"/>
          <w:szCs w:val="24"/>
        </w:rPr>
      </w:pPr>
      <w:r>
        <w:rPr>
          <w:sz w:val="24"/>
          <w:szCs w:val="24"/>
        </w:rPr>
        <w:t xml:space="preserve">Gallagher, M.J. (2014) ‘Terrorism and Organised Crime: Co-operative Endeavours in Scotland?’, </w:t>
      </w:r>
      <w:r w:rsidRPr="00101DC7">
        <w:rPr>
          <w:i/>
          <w:iCs/>
          <w:sz w:val="24"/>
          <w:szCs w:val="24"/>
        </w:rPr>
        <w:t>Terrorism and Political Violence</w:t>
      </w:r>
      <w:r>
        <w:rPr>
          <w:sz w:val="24"/>
          <w:szCs w:val="24"/>
        </w:rPr>
        <w:t xml:space="preserve">, 26, pp. 320-336. </w:t>
      </w:r>
    </w:p>
    <w:p w14:paraId="4823B845" w14:textId="77777777" w:rsidR="004256BB" w:rsidRDefault="004256BB" w:rsidP="004256BB">
      <w:pPr>
        <w:rPr>
          <w:sz w:val="24"/>
          <w:szCs w:val="24"/>
        </w:rPr>
      </w:pPr>
      <w:proofErr w:type="spellStart"/>
      <w:r w:rsidRPr="00FE26BD">
        <w:rPr>
          <w:sz w:val="24"/>
          <w:szCs w:val="24"/>
        </w:rPr>
        <w:t>Gorby</w:t>
      </w:r>
      <w:proofErr w:type="spellEnd"/>
      <w:r w:rsidRPr="00FE26BD">
        <w:rPr>
          <w:sz w:val="24"/>
          <w:szCs w:val="24"/>
        </w:rPr>
        <w:t xml:space="preserve">, D. M. (2013) ‘The Failure of Traditional Measures of Police Performance and The Rise of Broader Measures for Performance’, </w:t>
      </w:r>
      <w:r w:rsidRPr="00FE26BD">
        <w:rPr>
          <w:i/>
          <w:iCs/>
          <w:sz w:val="24"/>
          <w:szCs w:val="24"/>
        </w:rPr>
        <w:t>Policing,</w:t>
      </w:r>
      <w:r w:rsidRPr="00FE26BD">
        <w:rPr>
          <w:sz w:val="24"/>
          <w:szCs w:val="24"/>
        </w:rPr>
        <w:t xml:space="preserve"> 7, pp. 392-400.</w:t>
      </w:r>
    </w:p>
    <w:p w14:paraId="1D60FCC5" w14:textId="77777777" w:rsidR="004256BB" w:rsidRDefault="004256BB" w:rsidP="004256BB">
      <w:pPr>
        <w:rPr>
          <w:sz w:val="24"/>
          <w:szCs w:val="24"/>
        </w:rPr>
      </w:pPr>
      <w:r w:rsidRPr="00501BEA">
        <w:rPr>
          <w:sz w:val="24"/>
          <w:szCs w:val="24"/>
        </w:rPr>
        <w:t xml:space="preserve">Gottschalk, P. (2009) ‘Information Sources in Police Intelligence’, </w:t>
      </w:r>
      <w:r w:rsidRPr="00501BEA">
        <w:rPr>
          <w:i/>
          <w:iCs/>
          <w:sz w:val="24"/>
          <w:szCs w:val="24"/>
        </w:rPr>
        <w:t>Police Journal</w:t>
      </w:r>
      <w:r w:rsidRPr="00501BEA">
        <w:rPr>
          <w:sz w:val="24"/>
          <w:szCs w:val="24"/>
        </w:rPr>
        <w:t xml:space="preserve">, 82(2), pp. 149-170. </w:t>
      </w:r>
    </w:p>
    <w:p w14:paraId="2CCDD2E8" w14:textId="77777777" w:rsidR="004256BB" w:rsidRDefault="004256BB" w:rsidP="004256BB">
      <w:pPr>
        <w:rPr>
          <w:sz w:val="24"/>
          <w:szCs w:val="24"/>
        </w:rPr>
      </w:pPr>
      <w:r>
        <w:rPr>
          <w:sz w:val="24"/>
          <w:szCs w:val="24"/>
        </w:rPr>
        <w:t>Great Britain.</w:t>
      </w:r>
      <w:r w:rsidRPr="001F60F2">
        <w:rPr>
          <w:i/>
          <w:iCs/>
          <w:sz w:val="24"/>
          <w:szCs w:val="24"/>
        </w:rPr>
        <w:t xml:space="preserve"> Police and Crime Act 2012: Elizabeth II. Chapter </w:t>
      </w:r>
      <w:r>
        <w:rPr>
          <w:sz w:val="24"/>
          <w:szCs w:val="24"/>
        </w:rPr>
        <w:t xml:space="preserve">(2012) London: The Stationary Office. </w:t>
      </w:r>
    </w:p>
    <w:p w14:paraId="6F20D0BD" w14:textId="77777777" w:rsidR="004256BB" w:rsidRDefault="004256BB" w:rsidP="004256BB">
      <w:pPr>
        <w:rPr>
          <w:sz w:val="24"/>
          <w:szCs w:val="24"/>
        </w:rPr>
      </w:pPr>
      <w:r>
        <w:rPr>
          <w:sz w:val="24"/>
          <w:szCs w:val="24"/>
        </w:rPr>
        <w:t xml:space="preserve">Great Britain. </w:t>
      </w:r>
      <w:r w:rsidRPr="00BC5809">
        <w:rPr>
          <w:i/>
          <w:iCs/>
          <w:sz w:val="24"/>
          <w:szCs w:val="24"/>
        </w:rPr>
        <w:t>Anti-Social Behaviour, Crime and Policing Act 2014: Elizabeth II. Chapter 12.</w:t>
      </w:r>
      <w:r>
        <w:rPr>
          <w:sz w:val="24"/>
          <w:szCs w:val="24"/>
        </w:rPr>
        <w:t xml:space="preserve"> (2014) London: The Stationary Office.</w:t>
      </w:r>
    </w:p>
    <w:p w14:paraId="58F4E748" w14:textId="77777777" w:rsidR="004256BB" w:rsidRPr="007549BF" w:rsidRDefault="004256BB" w:rsidP="004256BB">
      <w:pPr>
        <w:rPr>
          <w:sz w:val="24"/>
          <w:szCs w:val="24"/>
        </w:rPr>
      </w:pPr>
      <w:r>
        <w:rPr>
          <w:sz w:val="24"/>
          <w:szCs w:val="24"/>
        </w:rPr>
        <w:t xml:space="preserve">Gwent Police and Crime Panel (2013) </w:t>
      </w:r>
      <w:r>
        <w:rPr>
          <w:i/>
          <w:iCs/>
          <w:sz w:val="24"/>
          <w:szCs w:val="24"/>
        </w:rPr>
        <w:t xml:space="preserve">Minutes of the Meeting Held at Penallta House, </w:t>
      </w:r>
      <w:proofErr w:type="spellStart"/>
      <w:r>
        <w:rPr>
          <w:i/>
          <w:iCs/>
          <w:sz w:val="24"/>
          <w:szCs w:val="24"/>
        </w:rPr>
        <w:t>Ystrad</w:t>
      </w:r>
      <w:proofErr w:type="spellEnd"/>
      <w:r>
        <w:rPr>
          <w:i/>
          <w:iCs/>
          <w:sz w:val="24"/>
          <w:szCs w:val="24"/>
        </w:rPr>
        <w:t xml:space="preserve"> </w:t>
      </w:r>
      <w:proofErr w:type="spellStart"/>
      <w:r>
        <w:rPr>
          <w:i/>
          <w:iCs/>
          <w:sz w:val="24"/>
          <w:szCs w:val="24"/>
        </w:rPr>
        <w:t>Mynach</w:t>
      </w:r>
      <w:proofErr w:type="spellEnd"/>
      <w:r>
        <w:rPr>
          <w:i/>
          <w:iCs/>
          <w:sz w:val="24"/>
          <w:szCs w:val="24"/>
        </w:rPr>
        <w:t xml:space="preserve"> on Friday 15</w:t>
      </w:r>
      <w:r w:rsidRPr="007549BF">
        <w:rPr>
          <w:i/>
          <w:iCs/>
          <w:sz w:val="24"/>
          <w:szCs w:val="24"/>
          <w:vertAlign w:val="superscript"/>
        </w:rPr>
        <w:t>th</w:t>
      </w:r>
      <w:r>
        <w:rPr>
          <w:i/>
          <w:iCs/>
          <w:sz w:val="24"/>
          <w:szCs w:val="24"/>
        </w:rPr>
        <w:t xml:space="preserve"> February 2013 at 9.30 A.M.</w:t>
      </w:r>
      <w:r>
        <w:rPr>
          <w:sz w:val="24"/>
          <w:szCs w:val="24"/>
        </w:rPr>
        <w:t xml:space="preserve"> Available at: </w:t>
      </w:r>
      <w:hyperlink r:id="rId19" w:history="1">
        <w:r w:rsidRPr="005618F6">
          <w:rPr>
            <w:rStyle w:val="Hyperlink"/>
            <w:sz w:val="24"/>
            <w:szCs w:val="24"/>
          </w:rPr>
          <w:t>http://www.democracy.caerphilly.gov.uk/Data/Gwent%20Police%20and%20Crime%20Panel/201302150930/Agenda/Gwent%20Police%20and%20Crime%20Panel%20Minutes%2015-02-13%20-%20048707.pdf</w:t>
        </w:r>
      </w:hyperlink>
      <w:r>
        <w:rPr>
          <w:sz w:val="24"/>
          <w:szCs w:val="24"/>
        </w:rPr>
        <w:t xml:space="preserve"> (Accessed: 23 August 2021)</w:t>
      </w:r>
    </w:p>
    <w:p w14:paraId="4659A27A" w14:textId="77777777" w:rsidR="004256BB" w:rsidRDefault="004256BB" w:rsidP="004256BB">
      <w:pPr>
        <w:rPr>
          <w:sz w:val="24"/>
          <w:szCs w:val="24"/>
        </w:rPr>
      </w:pPr>
      <w:r>
        <w:rPr>
          <w:sz w:val="24"/>
          <w:szCs w:val="24"/>
        </w:rPr>
        <w:lastRenderedPageBreak/>
        <w:t xml:space="preserve">Gwent Police (2021) </w:t>
      </w:r>
      <w:r>
        <w:rPr>
          <w:i/>
          <w:iCs/>
          <w:sz w:val="24"/>
          <w:szCs w:val="24"/>
        </w:rPr>
        <w:t xml:space="preserve">Community Cohesion Group. </w:t>
      </w:r>
      <w:r>
        <w:rPr>
          <w:sz w:val="24"/>
          <w:szCs w:val="24"/>
        </w:rPr>
        <w:t xml:space="preserve">Available at: </w:t>
      </w:r>
      <w:hyperlink r:id="rId20" w:history="1">
        <w:r w:rsidRPr="005618F6">
          <w:rPr>
            <w:rStyle w:val="Hyperlink"/>
            <w:sz w:val="24"/>
            <w:szCs w:val="24"/>
          </w:rPr>
          <w:t>https://www.gwent.police.uk/police-forces/gwent-police/areas/about-us/about-us/community-cohesion-group/</w:t>
        </w:r>
      </w:hyperlink>
      <w:r>
        <w:rPr>
          <w:sz w:val="24"/>
          <w:szCs w:val="24"/>
        </w:rPr>
        <w:t xml:space="preserve"> (Accessed: 23 August 2021)</w:t>
      </w:r>
    </w:p>
    <w:p w14:paraId="77BAFCAE" w14:textId="77777777" w:rsidR="004256BB" w:rsidRDefault="004256BB" w:rsidP="004256BB">
      <w:pPr>
        <w:rPr>
          <w:sz w:val="24"/>
          <w:szCs w:val="24"/>
        </w:rPr>
      </w:pPr>
    </w:p>
    <w:p w14:paraId="5B7CA1A9" w14:textId="77777777" w:rsidR="004256BB" w:rsidRPr="001A2A49" w:rsidRDefault="004256BB" w:rsidP="004256BB">
      <w:pPr>
        <w:rPr>
          <w:sz w:val="24"/>
          <w:szCs w:val="24"/>
        </w:rPr>
      </w:pPr>
      <w:r>
        <w:rPr>
          <w:sz w:val="24"/>
          <w:szCs w:val="24"/>
        </w:rPr>
        <w:t xml:space="preserve">Heap, V. (2021) ‘Anti-Social Behaviour Victims’ Experiences of Activating the ‘Community Trigger’ Case Review’, </w:t>
      </w:r>
      <w:r>
        <w:rPr>
          <w:i/>
          <w:iCs/>
          <w:sz w:val="24"/>
          <w:szCs w:val="24"/>
        </w:rPr>
        <w:t>People, Place and Policy,</w:t>
      </w:r>
      <w:r>
        <w:rPr>
          <w:sz w:val="24"/>
          <w:szCs w:val="24"/>
        </w:rPr>
        <w:t xml:space="preserve"> 15(1), pp.19-32.</w:t>
      </w:r>
    </w:p>
    <w:p w14:paraId="5752B360" w14:textId="77777777" w:rsidR="004256BB" w:rsidRDefault="004256BB" w:rsidP="004256BB">
      <w:pPr>
        <w:rPr>
          <w:sz w:val="24"/>
          <w:szCs w:val="24"/>
        </w:rPr>
      </w:pPr>
      <w:r w:rsidRPr="00FE26BD">
        <w:rPr>
          <w:sz w:val="24"/>
          <w:szCs w:val="24"/>
        </w:rPr>
        <w:t xml:space="preserve">Heslop, R. (2019) ‘Are UK Universities More Ethical Than Police Organisations?’, </w:t>
      </w:r>
      <w:r w:rsidRPr="00FE26BD">
        <w:rPr>
          <w:i/>
          <w:iCs/>
          <w:sz w:val="24"/>
          <w:szCs w:val="24"/>
        </w:rPr>
        <w:t xml:space="preserve">Policing Research Conference. Bournemouth University </w:t>
      </w:r>
      <w:r w:rsidRPr="00FE26BD">
        <w:rPr>
          <w:sz w:val="24"/>
          <w:szCs w:val="24"/>
        </w:rPr>
        <w:t xml:space="preserve">[Online]. Available at: </w:t>
      </w:r>
      <w:hyperlink r:id="rId21" w:history="1">
        <w:r w:rsidRPr="00FE26BD">
          <w:rPr>
            <w:rStyle w:val="Hyperlink"/>
            <w:sz w:val="24"/>
            <w:szCs w:val="24"/>
          </w:rPr>
          <w:t>http://eprints.bournemouth.ac.uk/32438/1/Heslop_2019_Police_and_uneversity_ethics_%20final.pdf</w:t>
        </w:r>
      </w:hyperlink>
      <w:r w:rsidRPr="00FE26BD">
        <w:rPr>
          <w:sz w:val="24"/>
          <w:szCs w:val="24"/>
        </w:rPr>
        <w:t xml:space="preserve"> (Accessed: 22 August 2021) </w:t>
      </w:r>
    </w:p>
    <w:p w14:paraId="1AB841B2" w14:textId="77777777" w:rsidR="004256BB" w:rsidRDefault="004256BB" w:rsidP="004256BB">
      <w:pPr>
        <w:rPr>
          <w:sz w:val="24"/>
          <w:szCs w:val="24"/>
        </w:rPr>
      </w:pPr>
      <w:r>
        <w:rPr>
          <w:sz w:val="24"/>
          <w:szCs w:val="24"/>
        </w:rPr>
        <w:t xml:space="preserve">HM Government (2018) </w:t>
      </w:r>
      <w:r w:rsidRPr="000C7F6A">
        <w:rPr>
          <w:i/>
          <w:iCs/>
          <w:sz w:val="24"/>
          <w:szCs w:val="24"/>
        </w:rPr>
        <w:t>CONTEST: The United Kingdom’s Strategy for Countering Terrorism.</w:t>
      </w:r>
      <w:r>
        <w:rPr>
          <w:sz w:val="24"/>
          <w:szCs w:val="24"/>
        </w:rPr>
        <w:t xml:space="preserve"> Available at: </w:t>
      </w:r>
      <w:hyperlink r:id="rId22" w:history="1">
        <w:r w:rsidRPr="00B57D83">
          <w:rPr>
            <w:rStyle w:val="Hyperlink"/>
            <w:sz w:val="24"/>
            <w:szCs w:val="24"/>
          </w:rPr>
          <w:t>https://assets.publishing.service.gov.uk/government/uploads/system/uploads/attachment_data/file/716907/140618_CCS207_CCS0218929798-1_CONTEST_3.0_WEB.pdf</w:t>
        </w:r>
      </w:hyperlink>
      <w:r>
        <w:rPr>
          <w:sz w:val="24"/>
          <w:szCs w:val="24"/>
        </w:rPr>
        <w:t xml:space="preserve"> (Accessed: 10 November 2021)</w:t>
      </w:r>
    </w:p>
    <w:p w14:paraId="29BCF8A5" w14:textId="77777777" w:rsidR="004256BB" w:rsidRDefault="004256BB" w:rsidP="004256BB">
      <w:pPr>
        <w:rPr>
          <w:sz w:val="24"/>
          <w:szCs w:val="24"/>
        </w:rPr>
      </w:pPr>
      <w:r w:rsidRPr="00F84E63">
        <w:rPr>
          <w:i/>
          <w:iCs/>
          <w:sz w:val="24"/>
          <w:szCs w:val="24"/>
        </w:rPr>
        <w:t xml:space="preserve">Home Office </w:t>
      </w:r>
      <w:hyperlink r:id="rId23" w:history="1">
        <w:r w:rsidRPr="00B57D83">
          <w:rPr>
            <w:rStyle w:val="Hyperlink"/>
            <w:sz w:val="24"/>
            <w:szCs w:val="24"/>
          </w:rPr>
          <w:t>https://assets.publishing.service.gov.uk/government/uploads/system/uploads/attachment_data/file/118237/chapter-four.pdf/</w:t>
        </w:r>
      </w:hyperlink>
      <w:r>
        <w:rPr>
          <w:sz w:val="24"/>
          <w:szCs w:val="24"/>
        </w:rPr>
        <w:t xml:space="preserve"> (no date) (Accessed: 10 November 2021)</w:t>
      </w:r>
    </w:p>
    <w:p w14:paraId="519BA782" w14:textId="77777777" w:rsidR="004256BB" w:rsidRPr="00203DEB" w:rsidRDefault="004256BB" w:rsidP="004256BB">
      <w:pPr>
        <w:rPr>
          <w:sz w:val="24"/>
          <w:szCs w:val="24"/>
        </w:rPr>
      </w:pPr>
      <w:r>
        <w:rPr>
          <w:sz w:val="24"/>
          <w:szCs w:val="24"/>
        </w:rPr>
        <w:t xml:space="preserve">Home Office (2004) </w:t>
      </w:r>
      <w:r>
        <w:rPr>
          <w:i/>
          <w:iCs/>
          <w:sz w:val="24"/>
          <w:szCs w:val="24"/>
        </w:rPr>
        <w:t>One Step Ahead: A 21</w:t>
      </w:r>
      <w:r w:rsidRPr="00203DEB">
        <w:rPr>
          <w:i/>
          <w:iCs/>
          <w:sz w:val="24"/>
          <w:szCs w:val="24"/>
          <w:vertAlign w:val="superscript"/>
        </w:rPr>
        <w:t>st</w:t>
      </w:r>
      <w:r>
        <w:rPr>
          <w:i/>
          <w:iCs/>
          <w:sz w:val="24"/>
          <w:szCs w:val="24"/>
        </w:rPr>
        <w:t xml:space="preserve"> Century Strategy to Defeat Organised Crime. </w:t>
      </w:r>
      <w:r>
        <w:rPr>
          <w:sz w:val="24"/>
          <w:szCs w:val="24"/>
        </w:rPr>
        <w:t xml:space="preserve">Available at: </w:t>
      </w:r>
      <w:hyperlink r:id="rId24" w:history="1">
        <w:r w:rsidRPr="00B57D83">
          <w:rPr>
            <w:rStyle w:val="Hyperlink"/>
            <w:sz w:val="24"/>
            <w:szCs w:val="24"/>
          </w:rPr>
          <w:t>https://assets.publishing.service.gov.uk/government/uploads/system/uploads/attachment_data/file/251075/6167.pdf</w:t>
        </w:r>
      </w:hyperlink>
      <w:r>
        <w:rPr>
          <w:sz w:val="24"/>
          <w:szCs w:val="24"/>
        </w:rPr>
        <w:t xml:space="preserve"> (Accessed: 10 November 2021)</w:t>
      </w:r>
    </w:p>
    <w:p w14:paraId="5B7610B3" w14:textId="77777777" w:rsidR="004256BB" w:rsidRPr="00436BC5" w:rsidRDefault="004256BB" w:rsidP="004256BB">
      <w:pPr>
        <w:rPr>
          <w:sz w:val="24"/>
          <w:szCs w:val="24"/>
        </w:rPr>
      </w:pPr>
      <w:r>
        <w:rPr>
          <w:sz w:val="24"/>
          <w:szCs w:val="24"/>
        </w:rPr>
        <w:t xml:space="preserve">Home Office (2009) </w:t>
      </w:r>
      <w:r>
        <w:rPr>
          <w:i/>
          <w:iCs/>
          <w:sz w:val="24"/>
          <w:szCs w:val="24"/>
        </w:rPr>
        <w:t xml:space="preserve">Extending Our Reach: A Comprehensive Approach to Tackling Serious Organised Crime. </w:t>
      </w:r>
      <w:r>
        <w:rPr>
          <w:sz w:val="24"/>
          <w:szCs w:val="24"/>
        </w:rPr>
        <w:t xml:space="preserve">Available at: </w:t>
      </w:r>
      <w:hyperlink r:id="rId25" w:history="1">
        <w:r w:rsidRPr="00B57D83">
          <w:rPr>
            <w:rStyle w:val="Hyperlink"/>
            <w:sz w:val="24"/>
            <w:szCs w:val="24"/>
          </w:rPr>
          <w:t>https://assets.publishing.service.gov.uk/government/uploads/system/uploads/attachment_data/file/228946/7665.pdf</w:t>
        </w:r>
      </w:hyperlink>
      <w:r>
        <w:rPr>
          <w:sz w:val="24"/>
          <w:szCs w:val="24"/>
        </w:rPr>
        <w:t xml:space="preserve"> (Accessed: 10 November 2021)</w:t>
      </w:r>
    </w:p>
    <w:p w14:paraId="5B6B8123" w14:textId="77777777" w:rsidR="004256BB" w:rsidRDefault="004256BB" w:rsidP="004256BB">
      <w:pPr>
        <w:rPr>
          <w:sz w:val="24"/>
          <w:szCs w:val="24"/>
        </w:rPr>
      </w:pPr>
      <w:r>
        <w:rPr>
          <w:sz w:val="24"/>
          <w:szCs w:val="24"/>
        </w:rPr>
        <w:lastRenderedPageBreak/>
        <w:t xml:space="preserve">Home Office (2013) </w:t>
      </w:r>
      <w:r>
        <w:rPr>
          <w:i/>
          <w:iCs/>
          <w:sz w:val="24"/>
          <w:szCs w:val="24"/>
        </w:rPr>
        <w:t xml:space="preserve">Empowering Communities, Protecting Victims: Summary Report on the Community Trigger Trials. </w:t>
      </w:r>
      <w:r>
        <w:rPr>
          <w:sz w:val="24"/>
          <w:szCs w:val="24"/>
        </w:rPr>
        <w:t xml:space="preserve">Available at: </w:t>
      </w:r>
      <w:hyperlink r:id="rId26" w:history="1">
        <w:r w:rsidRPr="00FA4979">
          <w:rPr>
            <w:rStyle w:val="Hyperlink"/>
            <w:sz w:val="24"/>
            <w:szCs w:val="24"/>
          </w:rPr>
          <w:t>https://assets.publishing.service.gov.uk/government/uploads/system/uploads/attachment_data/file/207468/community-trigger-trials-report-v4.pdf</w:t>
        </w:r>
      </w:hyperlink>
      <w:r>
        <w:rPr>
          <w:sz w:val="24"/>
          <w:szCs w:val="24"/>
        </w:rPr>
        <w:t xml:space="preserve"> (Accessed: 23 August 2021)</w:t>
      </w:r>
    </w:p>
    <w:p w14:paraId="4645FAF3" w14:textId="77777777" w:rsidR="004256BB" w:rsidRPr="001B2487" w:rsidRDefault="004256BB" w:rsidP="004256BB">
      <w:pPr>
        <w:rPr>
          <w:sz w:val="24"/>
          <w:szCs w:val="24"/>
        </w:rPr>
      </w:pPr>
      <w:r>
        <w:rPr>
          <w:sz w:val="24"/>
          <w:szCs w:val="24"/>
        </w:rPr>
        <w:t xml:space="preserve">Home Office (2018) </w:t>
      </w:r>
      <w:r>
        <w:rPr>
          <w:i/>
          <w:iCs/>
          <w:sz w:val="24"/>
          <w:szCs w:val="24"/>
        </w:rPr>
        <w:t>Government launches new strategy to tackle serious and organised crime.</w:t>
      </w:r>
      <w:r>
        <w:rPr>
          <w:sz w:val="24"/>
          <w:szCs w:val="24"/>
        </w:rPr>
        <w:t xml:space="preserve"> Available at: </w:t>
      </w:r>
      <w:hyperlink r:id="rId27" w:history="1">
        <w:r w:rsidRPr="00B57D83">
          <w:rPr>
            <w:rStyle w:val="Hyperlink"/>
            <w:sz w:val="24"/>
            <w:szCs w:val="24"/>
          </w:rPr>
          <w:t>https://www.gov.uk/government/news/government-launches-new-strategy-to-tackle-serious-and-organised-crime</w:t>
        </w:r>
      </w:hyperlink>
      <w:r>
        <w:rPr>
          <w:sz w:val="24"/>
          <w:szCs w:val="24"/>
        </w:rPr>
        <w:t xml:space="preserve"> (Accessed: 10 November 2021)</w:t>
      </w:r>
    </w:p>
    <w:p w14:paraId="05B910F3" w14:textId="77777777" w:rsidR="004256BB" w:rsidRPr="004626DE" w:rsidRDefault="004256BB" w:rsidP="004256BB">
      <w:pPr>
        <w:rPr>
          <w:sz w:val="24"/>
          <w:szCs w:val="24"/>
        </w:rPr>
      </w:pPr>
      <w:r>
        <w:rPr>
          <w:sz w:val="24"/>
          <w:szCs w:val="24"/>
        </w:rPr>
        <w:t xml:space="preserve">Home Office (2021) </w:t>
      </w:r>
      <w:r>
        <w:rPr>
          <w:i/>
          <w:iCs/>
          <w:sz w:val="24"/>
          <w:szCs w:val="24"/>
        </w:rPr>
        <w:t xml:space="preserve">Government Strengthens Anti-Social Behaviour Guidance to Ensure Protection for Victims. </w:t>
      </w:r>
      <w:r>
        <w:rPr>
          <w:sz w:val="24"/>
          <w:szCs w:val="24"/>
        </w:rPr>
        <w:t xml:space="preserve">Available at: </w:t>
      </w:r>
      <w:hyperlink r:id="rId28" w:history="1">
        <w:r w:rsidRPr="00FA4979">
          <w:rPr>
            <w:rStyle w:val="Hyperlink"/>
            <w:sz w:val="24"/>
            <w:szCs w:val="24"/>
          </w:rPr>
          <w:t>https://www.gov.uk/government/news/government-strengthens-anti-social-behaviour-guidance-to-ensure-protection-for-victims</w:t>
        </w:r>
      </w:hyperlink>
      <w:r>
        <w:rPr>
          <w:sz w:val="24"/>
          <w:szCs w:val="24"/>
        </w:rPr>
        <w:t xml:space="preserve"> (Accessed: 23 August 2021)</w:t>
      </w:r>
    </w:p>
    <w:p w14:paraId="27CBF77F" w14:textId="77777777" w:rsidR="004256BB" w:rsidRPr="00FE26BD" w:rsidRDefault="004256BB" w:rsidP="004256BB">
      <w:pPr>
        <w:rPr>
          <w:sz w:val="24"/>
          <w:szCs w:val="24"/>
        </w:rPr>
      </w:pPr>
      <w:r w:rsidRPr="00FE26BD">
        <w:rPr>
          <w:sz w:val="24"/>
          <w:szCs w:val="24"/>
        </w:rPr>
        <w:t xml:space="preserve">Hough, J. M. (2021) </w:t>
      </w:r>
      <w:r w:rsidRPr="00FE26BD">
        <w:rPr>
          <w:i/>
          <w:iCs/>
          <w:sz w:val="24"/>
          <w:szCs w:val="24"/>
        </w:rPr>
        <w:t xml:space="preserve">Good Policing: Trust, Legitimacy and Authority. </w:t>
      </w:r>
      <w:r w:rsidRPr="00FE26BD">
        <w:rPr>
          <w:sz w:val="24"/>
          <w:szCs w:val="24"/>
        </w:rPr>
        <w:t>Bristol: Policy Press.</w:t>
      </w:r>
    </w:p>
    <w:p w14:paraId="56E285F9" w14:textId="77777777" w:rsidR="004256BB" w:rsidRDefault="004256BB" w:rsidP="004256BB">
      <w:pPr>
        <w:rPr>
          <w:sz w:val="24"/>
          <w:szCs w:val="24"/>
        </w:rPr>
      </w:pPr>
      <w:r w:rsidRPr="00FE26BD">
        <w:rPr>
          <w:sz w:val="24"/>
          <w:szCs w:val="24"/>
        </w:rPr>
        <w:t xml:space="preserve">House of Commons (1998) </w:t>
      </w:r>
      <w:r w:rsidRPr="00FE26BD">
        <w:rPr>
          <w:i/>
          <w:iCs/>
          <w:sz w:val="24"/>
          <w:szCs w:val="24"/>
        </w:rPr>
        <w:t xml:space="preserve">Bound Volume Hansard – Debate. </w:t>
      </w:r>
      <w:r w:rsidRPr="00FE26BD">
        <w:rPr>
          <w:sz w:val="24"/>
          <w:szCs w:val="24"/>
        </w:rPr>
        <w:t xml:space="preserve">Available at: </w:t>
      </w:r>
      <w:hyperlink r:id="rId29" w:history="1">
        <w:r w:rsidRPr="00FE26BD">
          <w:rPr>
            <w:rStyle w:val="Hyperlink"/>
            <w:sz w:val="24"/>
            <w:szCs w:val="24"/>
          </w:rPr>
          <w:t>https://publications.parliament.uk/pa/cm199798/cmhansrd/vo980902/debtext/80902-49.htm</w:t>
        </w:r>
      </w:hyperlink>
      <w:r w:rsidRPr="00FE26BD">
        <w:rPr>
          <w:sz w:val="24"/>
          <w:szCs w:val="24"/>
        </w:rPr>
        <w:t xml:space="preserve"> (Accessed: 22 August 2021)</w:t>
      </w:r>
    </w:p>
    <w:p w14:paraId="4B3A7C32" w14:textId="77777777" w:rsidR="004256BB" w:rsidRPr="000443B0" w:rsidRDefault="004256BB" w:rsidP="004256BB">
      <w:pPr>
        <w:rPr>
          <w:sz w:val="24"/>
          <w:szCs w:val="24"/>
        </w:rPr>
      </w:pPr>
      <w:r>
        <w:rPr>
          <w:sz w:val="24"/>
          <w:szCs w:val="24"/>
        </w:rPr>
        <w:t xml:space="preserve">House of Commons (2020) </w:t>
      </w:r>
      <w:r>
        <w:rPr>
          <w:i/>
          <w:iCs/>
          <w:sz w:val="24"/>
          <w:szCs w:val="24"/>
        </w:rPr>
        <w:t>Tackling Anti-Social Behaviour.</w:t>
      </w:r>
      <w:r>
        <w:rPr>
          <w:sz w:val="24"/>
          <w:szCs w:val="24"/>
        </w:rPr>
        <w:t xml:space="preserve"> Available at: </w:t>
      </w:r>
      <w:hyperlink r:id="rId30" w:history="1">
        <w:r w:rsidRPr="00FA4979">
          <w:rPr>
            <w:rStyle w:val="Hyperlink"/>
            <w:sz w:val="24"/>
            <w:szCs w:val="24"/>
          </w:rPr>
          <w:t>https://researchbriefings.files.parliament.uk/documents/CBP-7270/CBP-7270.pdf</w:t>
        </w:r>
      </w:hyperlink>
      <w:r>
        <w:rPr>
          <w:sz w:val="24"/>
          <w:szCs w:val="24"/>
        </w:rPr>
        <w:t xml:space="preserve"> (Accessed: 23 August 2021)</w:t>
      </w:r>
    </w:p>
    <w:p w14:paraId="1DBB62BB" w14:textId="6EC9BF84" w:rsidR="004256BB" w:rsidRDefault="004256BB" w:rsidP="004256BB">
      <w:pPr>
        <w:rPr>
          <w:sz w:val="24"/>
          <w:szCs w:val="24"/>
        </w:rPr>
      </w:pPr>
      <w:r>
        <w:rPr>
          <w:sz w:val="24"/>
          <w:szCs w:val="24"/>
        </w:rPr>
        <w:t>Hughes, G. and Rowe, M. (2007) ‘</w:t>
      </w:r>
      <w:r w:rsidRPr="00D76910">
        <w:rPr>
          <w:sz w:val="24"/>
          <w:szCs w:val="24"/>
        </w:rPr>
        <w:t>Neighbourhood Policing and Community Safety: Researching the Instabilities of the Local Governance of Crime, Disorder and Security in Contemporary UK</w:t>
      </w:r>
      <w:r>
        <w:rPr>
          <w:sz w:val="24"/>
          <w:szCs w:val="24"/>
        </w:rPr>
        <w:t xml:space="preserve">’, </w:t>
      </w:r>
      <w:r>
        <w:rPr>
          <w:i/>
          <w:iCs/>
          <w:sz w:val="24"/>
          <w:szCs w:val="24"/>
        </w:rPr>
        <w:t>Sage Journals</w:t>
      </w:r>
      <w:r>
        <w:rPr>
          <w:sz w:val="24"/>
          <w:szCs w:val="24"/>
        </w:rPr>
        <w:t>, 7(4), pp. 317-346.</w:t>
      </w:r>
    </w:p>
    <w:p w14:paraId="4CC50C36" w14:textId="77777777" w:rsidR="00E90E41" w:rsidRDefault="00E90E41" w:rsidP="004256BB">
      <w:pPr>
        <w:rPr>
          <w:sz w:val="24"/>
          <w:szCs w:val="24"/>
        </w:rPr>
      </w:pPr>
    </w:p>
    <w:p w14:paraId="38C76E3C" w14:textId="790E0769" w:rsidR="004256BB" w:rsidRDefault="00E90E41" w:rsidP="004256BB">
      <w:pPr>
        <w:rPr>
          <w:sz w:val="24"/>
          <w:szCs w:val="24"/>
        </w:rPr>
      </w:pPr>
      <w:r w:rsidRPr="00501BEA">
        <w:rPr>
          <w:sz w:val="24"/>
          <w:szCs w:val="24"/>
        </w:rPr>
        <w:t xml:space="preserve">Innes, M. and </w:t>
      </w:r>
      <w:proofErr w:type="spellStart"/>
      <w:r w:rsidRPr="00501BEA">
        <w:rPr>
          <w:sz w:val="24"/>
          <w:szCs w:val="24"/>
        </w:rPr>
        <w:t>Sheptycki</w:t>
      </w:r>
      <w:proofErr w:type="spellEnd"/>
      <w:r w:rsidRPr="00501BEA">
        <w:rPr>
          <w:sz w:val="24"/>
          <w:szCs w:val="24"/>
        </w:rPr>
        <w:t xml:space="preserve">, J.W.E. (2004) ‘From Detection to Disruption: Intelligence and the Changing Logic of Police Crime Control in the United Kingdom’, </w:t>
      </w:r>
      <w:r w:rsidRPr="00501BEA">
        <w:rPr>
          <w:i/>
          <w:iCs/>
          <w:sz w:val="24"/>
          <w:szCs w:val="24"/>
        </w:rPr>
        <w:t>International Criminal Justice Review</w:t>
      </w:r>
      <w:r w:rsidRPr="00501BEA">
        <w:rPr>
          <w:sz w:val="24"/>
          <w:szCs w:val="24"/>
        </w:rPr>
        <w:t>, 14, pp. 1-24</w:t>
      </w:r>
      <w:r>
        <w:rPr>
          <w:sz w:val="24"/>
          <w:szCs w:val="24"/>
        </w:rPr>
        <w:t>.</w:t>
      </w:r>
    </w:p>
    <w:p w14:paraId="55DCC684" w14:textId="77777777" w:rsidR="004256BB" w:rsidRDefault="004256BB" w:rsidP="004256BB">
      <w:pPr>
        <w:rPr>
          <w:sz w:val="24"/>
          <w:szCs w:val="24"/>
        </w:rPr>
      </w:pPr>
      <w:r w:rsidRPr="00FE26BD">
        <w:rPr>
          <w:sz w:val="24"/>
          <w:szCs w:val="24"/>
        </w:rPr>
        <w:lastRenderedPageBreak/>
        <w:t xml:space="preserve">Innes, M., Roberts, C., Lowe, T. and Innes, H. (2020) </w:t>
      </w:r>
      <w:r w:rsidRPr="00FE26BD">
        <w:rPr>
          <w:i/>
          <w:iCs/>
          <w:sz w:val="24"/>
          <w:szCs w:val="24"/>
        </w:rPr>
        <w:t xml:space="preserve">Neighbourhood Policing: The Rise and Fall of a Policing Model. </w:t>
      </w:r>
      <w:r w:rsidRPr="00FE26BD">
        <w:rPr>
          <w:sz w:val="24"/>
          <w:szCs w:val="24"/>
        </w:rPr>
        <w:t>Oxford: Oxford University Press.</w:t>
      </w:r>
    </w:p>
    <w:p w14:paraId="737F0D3D" w14:textId="77777777" w:rsidR="004256BB" w:rsidRDefault="004256BB" w:rsidP="004256BB">
      <w:pPr>
        <w:overflowPunct w:val="0"/>
        <w:autoSpaceDE w:val="0"/>
        <w:autoSpaceDN w:val="0"/>
        <w:adjustRightInd w:val="0"/>
        <w:spacing w:before="240"/>
        <w:jc w:val="both"/>
        <w:textAlignment w:val="baseline"/>
        <w:rPr>
          <w:sz w:val="24"/>
          <w:szCs w:val="24"/>
        </w:rPr>
      </w:pPr>
      <w:r w:rsidRPr="00FE26BD">
        <w:rPr>
          <w:sz w:val="24"/>
          <w:szCs w:val="24"/>
        </w:rPr>
        <w:t xml:space="preserve">Institute of Community Cohesion (2010) </w:t>
      </w:r>
      <w:r w:rsidRPr="00FE26BD">
        <w:rPr>
          <w:i/>
          <w:iCs/>
          <w:sz w:val="24"/>
          <w:szCs w:val="24"/>
        </w:rPr>
        <w:t>Understanding and Monitoring Tension and Conflict in Local Communities: A Practical Guide for Local Authorities, Police Service and Partner Agencies.</w:t>
      </w:r>
      <w:r w:rsidRPr="00FE26BD">
        <w:rPr>
          <w:sz w:val="24"/>
          <w:szCs w:val="24"/>
        </w:rPr>
        <w:t>2</w:t>
      </w:r>
      <w:r w:rsidRPr="00FE26BD">
        <w:rPr>
          <w:sz w:val="24"/>
          <w:szCs w:val="24"/>
          <w:vertAlign w:val="superscript"/>
        </w:rPr>
        <w:t>nd</w:t>
      </w:r>
      <w:r>
        <w:rPr>
          <w:sz w:val="24"/>
          <w:szCs w:val="24"/>
        </w:rPr>
        <w:t xml:space="preserve"> </w:t>
      </w:r>
      <w:proofErr w:type="spellStart"/>
      <w:r w:rsidRPr="00FE26BD">
        <w:rPr>
          <w:sz w:val="24"/>
          <w:szCs w:val="24"/>
        </w:rPr>
        <w:t>edn</w:t>
      </w:r>
      <w:proofErr w:type="spellEnd"/>
      <w:r w:rsidRPr="00FE26BD">
        <w:rPr>
          <w:sz w:val="24"/>
          <w:szCs w:val="24"/>
        </w:rPr>
        <w:t xml:space="preserve">. Available at: </w:t>
      </w:r>
      <w:hyperlink r:id="rId31" w:history="1">
        <w:r w:rsidRPr="00D56426">
          <w:rPr>
            <w:rStyle w:val="Hyperlink"/>
            <w:sz w:val="24"/>
            <w:szCs w:val="24"/>
          </w:rPr>
          <w:t>http://www.tedcantle.co.uk/publications/033%20Tension%20monitoring%20guidance%20iCoCo%202010.pdf</w:t>
        </w:r>
      </w:hyperlink>
      <w:r w:rsidRPr="00FE26BD">
        <w:rPr>
          <w:sz w:val="24"/>
          <w:szCs w:val="24"/>
        </w:rPr>
        <w:t xml:space="preserve"> (Accessed: 23 August 2021)</w:t>
      </w:r>
    </w:p>
    <w:p w14:paraId="6C2BD485" w14:textId="77777777" w:rsidR="004256BB" w:rsidRDefault="004256BB" w:rsidP="004256BB">
      <w:pPr>
        <w:overflowPunct w:val="0"/>
        <w:autoSpaceDE w:val="0"/>
        <w:autoSpaceDN w:val="0"/>
        <w:adjustRightInd w:val="0"/>
        <w:spacing w:before="240"/>
        <w:jc w:val="both"/>
        <w:textAlignment w:val="baseline"/>
        <w:rPr>
          <w:sz w:val="24"/>
          <w:szCs w:val="24"/>
        </w:rPr>
      </w:pPr>
    </w:p>
    <w:p w14:paraId="6884D9CA" w14:textId="77777777" w:rsidR="004256BB" w:rsidRPr="00FE26BD" w:rsidRDefault="004256BB" w:rsidP="004256BB">
      <w:pPr>
        <w:overflowPunct w:val="0"/>
        <w:autoSpaceDE w:val="0"/>
        <w:autoSpaceDN w:val="0"/>
        <w:adjustRightInd w:val="0"/>
        <w:spacing w:before="240"/>
        <w:jc w:val="both"/>
        <w:textAlignment w:val="baseline"/>
        <w:rPr>
          <w:sz w:val="24"/>
          <w:szCs w:val="24"/>
        </w:rPr>
      </w:pPr>
      <w:proofErr w:type="spellStart"/>
      <w:r>
        <w:rPr>
          <w:sz w:val="24"/>
          <w:szCs w:val="24"/>
        </w:rPr>
        <w:t>Keningale</w:t>
      </w:r>
      <w:proofErr w:type="spellEnd"/>
      <w:r>
        <w:rPr>
          <w:sz w:val="24"/>
          <w:szCs w:val="24"/>
        </w:rPr>
        <w:t xml:space="preserve">, P. (2020) </w:t>
      </w:r>
      <w:r w:rsidRPr="00F45CBC">
        <w:rPr>
          <w:i/>
          <w:iCs/>
          <w:sz w:val="24"/>
          <w:szCs w:val="24"/>
        </w:rPr>
        <w:t>The National Intelligence Model.</w:t>
      </w:r>
      <w:r>
        <w:rPr>
          <w:sz w:val="24"/>
          <w:szCs w:val="24"/>
        </w:rPr>
        <w:t xml:space="preserve"> Available at: </w:t>
      </w:r>
      <w:hyperlink r:id="rId32" w:history="1">
        <w:r w:rsidRPr="00994B74">
          <w:rPr>
            <w:rStyle w:val="Hyperlink"/>
            <w:sz w:val="24"/>
            <w:szCs w:val="24"/>
          </w:rPr>
          <w:t>https://bscpolicingnetwork.com/2020/05/26/the-national-intelligence-model/</w:t>
        </w:r>
      </w:hyperlink>
      <w:r>
        <w:rPr>
          <w:sz w:val="24"/>
          <w:szCs w:val="24"/>
        </w:rPr>
        <w:t xml:space="preserve"> (Accessed: 19 November 2021)</w:t>
      </w:r>
    </w:p>
    <w:p w14:paraId="4BA414BE" w14:textId="77777777" w:rsidR="004256BB" w:rsidRDefault="004256BB" w:rsidP="004256BB">
      <w:pPr>
        <w:rPr>
          <w:color w:val="000000"/>
          <w:sz w:val="24"/>
          <w:szCs w:val="24"/>
        </w:rPr>
      </w:pPr>
      <w:r w:rsidRPr="00FE26BD">
        <w:rPr>
          <w:color w:val="000000"/>
          <w:sz w:val="24"/>
          <w:szCs w:val="24"/>
        </w:rPr>
        <w:t xml:space="preserve">King, D. and Lawley, S. (2013) </w:t>
      </w:r>
      <w:r w:rsidRPr="00FE26BD">
        <w:rPr>
          <w:i/>
          <w:iCs/>
          <w:color w:val="000000"/>
          <w:sz w:val="24"/>
          <w:szCs w:val="24"/>
        </w:rPr>
        <w:t>Organizational Behaviour.</w:t>
      </w:r>
      <w:r w:rsidRPr="00FE26BD">
        <w:rPr>
          <w:color w:val="000000"/>
          <w:sz w:val="24"/>
          <w:szCs w:val="24"/>
        </w:rPr>
        <w:t xml:space="preserve"> Oxford: Oxford University Press.</w:t>
      </w:r>
    </w:p>
    <w:p w14:paraId="70BC8840" w14:textId="77777777" w:rsidR="004256BB" w:rsidRDefault="004256BB" w:rsidP="004256BB">
      <w:pPr>
        <w:rPr>
          <w:color w:val="000000"/>
          <w:sz w:val="24"/>
          <w:szCs w:val="24"/>
        </w:rPr>
      </w:pPr>
      <w:r>
        <w:rPr>
          <w:color w:val="000000"/>
          <w:sz w:val="24"/>
          <w:szCs w:val="24"/>
        </w:rPr>
        <w:t>Kirby, S. and McPherson, I. (2004) ‘Integrating the National Intelligence Model with a ‘Problem Solving’ Approach’</w:t>
      </w:r>
      <w:r w:rsidRPr="00384BBF">
        <w:rPr>
          <w:i/>
          <w:iCs/>
          <w:color w:val="000000"/>
          <w:sz w:val="24"/>
          <w:szCs w:val="24"/>
        </w:rPr>
        <w:t>, Community Safety Journal,</w:t>
      </w:r>
      <w:r>
        <w:rPr>
          <w:color w:val="000000"/>
          <w:sz w:val="24"/>
          <w:szCs w:val="24"/>
        </w:rPr>
        <w:t xml:space="preserve"> 3(2), pp. 36-46.</w:t>
      </w:r>
    </w:p>
    <w:p w14:paraId="0BC3E72E" w14:textId="77777777" w:rsidR="004256BB" w:rsidRDefault="004256BB" w:rsidP="004256BB">
      <w:pPr>
        <w:rPr>
          <w:color w:val="000000"/>
          <w:sz w:val="24"/>
          <w:szCs w:val="24"/>
        </w:rPr>
      </w:pPr>
      <w:proofErr w:type="spellStart"/>
      <w:r>
        <w:rPr>
          <w:color w:val="000000"/>
          <w:sz w:val="24"/>
          <w:szCs w:val="24"/>
        </w:rPr>
        <w:t>Kleiven</w:t>
      </w:r>
      <w:proofErr w:type="spellEnd"/>
      <w:r>
        <w:rPr>
          <w:color w:val="000000"/>
          <w:sz w:val="24"/>
          <w:szCs w:val="24"/>
        </w:rPr>
        <w:t xml:space="preserve">, M.E. (2007) ‘Where’s the Intelligence in the National Intelligence Model?’, </w:t>
      </w:r>
      <w:r w:rsidRPr="005D622E">
        <w:rPr>
          <w:i/>
          <w:iCs/>
          <w:color w:val="000000"/>
          <w:sz w:val="24"/>
          <w:szCs w:val="24"/>
        </w:rPr>
        <w:t>International Journal of Police Science &amp; Management,</w:t>
      </w:r>
      <w:r>
        <w:rPr>
          <w:color w:val="000000"/>
          <w:sz w:val="24"/>
          <w:szCs w:val="24"/>
        </w:rPr>
        <w:t xml:space="preserve"> 9(3), pp. 257-273.</w:t>
      </w:r>
    </w:p>
    <w:p w14:paraId="758880C9" w14:textId="77777777" w:rsidR="004256BB" w:rsidRDefault="004256BB" w:rsidP="004256BB">
      <w:pPr>
        <w:rPr>
          <w:color w:val="000000"/>
          <w:sz w:val="24"/>
          <w:szCs w:val="24"/>
        </w:rPr>
      </w:pPr>
    </w:p>
    <w:p w14:paraId="10C19E40" w14:textId="77777777" w:rsidR="004256BB" w:rsidRPr="00856A02" w:rsidRDefault="004256BB" w:rsidP="004256BB">
      <w:pPr>
        <w:rPr>
          <w:color w:val="000000"/>
          <w:sz w:val="24"/>
          <w:szCs w:val="24"/>
        </w:rPr>
      </w:pPr>
      <w:proofErr w:type="spellStart"/>
      <w:r>
        <w:rPr>
          <w:color w:val="000000"/>
          <w:sz w:val="24"/>
          <w:szCs w:val="24"/>
        </w:rPr>
        <w:t>Machperson</w:t>
      </w:r>
      <w:proofErr w:type="spellEnd"/>
      <w:r>
        <w:rPr>
          <w:color w:val="000000"/>
          <w:sz w:val="24"/>
          <w:szCs w:val="24"/>
        </w:rPr>
        <w:t xml:space="preserve">, W. (1999) </w:t>
      </w:r>
      <w:r>
        <w:rPr>
          <w:i/>
          <w:iCs/>
          <w:color w:val="000000"/>
          <w:sz w:val="24"/>
          <w:szCs w:val="24"/>
        </w:rPr>
        <w:t xml:space="preserve">The Stephen Lawrence Inquiry: Report of an Inquiry by Sir William Macpherson of Cluny. </w:t>
      </w:r>
      <w:r>
        <w:rPr>
          <w:color w:val="000000"/>
          <w:sz w:val="24"/>
          <w:szCs w:val="24"/>
        </w:rPr>
        <w:t xml:space="preserve">Available at: </w:t>
      </w:r>
      <w:hyperlink r:id="rId33" w:history="1">
        <w:r w:rsidRPr="005618F6">
          <w:rPr>
            <w:rStyle w:val="Hyperlink"/>
            <w:sz w:val="24"/>
            <w:szCs w:val="24"/>
          </w:rPr>
          <w:t>https://assets.publishing.service.gov.uk/government/uploads/system/uploads/attachment_data/file/277111/4262.pdf</w:t>
        </w:r>
      </w:hyperlink>
      <w:r>
        <w:rPr>
          <w:color w:val="000000"/>
          <w:sz w:val="24"/>
          <w:szCs w:val="24"/>
        </w:rPr>
        <w:t xml:space="preserve"> (Accessed: 23 August 2021)</w:t>
      </w:r>
    </w:p>
    <w:p w14:paraId="6EE0C135" w14:textId="77777777" w:rsidR="004256BB" w:rsidRDefault="004256BB" w:rsidP="004256BB">
      <w:pPr>
        <w:rPr>
          <w:color w:val="000000"/>
          <w:sz w:val="24"/>
          <w:szCs w:val="24"/>
        </w:rPr>
      </w:pPr>
      <w:r>
        <w:rPr>
          <w:color w:val="000000"/>
          <w:sz w:val="24"/>
          <w:szCs w:val="24"/>
        </w:rPr>
        <w:t xml:space="preserve">Mullis, J. (2009) </w:t>
      </w:r>
      <w:r>
        <w:rPr>
          <w:i/>
          <w:iCs/>
          <w:color w:val="000000"/>
          <w:sz w:val="24"/>
          <w:szCs w:val="24"/>
        </w:rPr>
        <w:t xml:space="preserve">The Impact of the Media on Public Opinion of the Police. </w:t>
      </w:r>
      <w:r>
        <w:rPr>
          <w:color w:val="000000"/>
          <w:sz w:val="24"/>
          <w:szCs w:val="24"/>
        </w:rPr>
        <w:t xml:space="preserve">California: ProQuest LLC. </w:t>
      </w:r>
    </w:p>
    <w:p w14:paraId="3F6104CA" w14:textId="77777777" w:rsidR="004256BB" w:rsidRDefault="004256BB" w:rsidP="004256BB">
      <w:pPr>
        <w:rPr>
          <w:color w:val="000000"/>
          <w:sz w:val="24"/>
          <w:szCs w:val="24"/>
        </w:rPr>
      </w:pPr>
    </w:p>
    <w:p w14:paraId="0801A103" w14:textId="77777777" w:rsidR="004256BB" w:rsidRPr="00A91444" w:rsidRDefault="004256BB" w:rsidP="004256BB">
      <w:pPr>
        <w:rPr>
          <w:color w:val="000000"/>
          <w:sz w:val="24"/>
          <w:szCs w:val="24"/>
        </w:rPr>
      </w:pPr>
      <w:r>
        <w:rPr>
          <w:color w:val="000000"/>
          <w:sz w:val="24"/>
          <w:szCs w:val="24"/>
        </w:rPr>
        <w:lastRenderedPageBreak/>
        <w:t xml:space="preserve">National Crime Agency (2018) </w:t>
      </w:r>
      <w:r>
        <w:rPr>
          <w:i/>
          <w:iCs/>
          <w:color w:val="000000"/>
          <w:sz w:val="24"/>
          <w:szCs w:val="24"/>
        </w:rPr>
        <w:t xml:space="preserve">National Strategic Assessment of Serious and Organised Crime. </w:t>
      </w:r>
      <w:r>
        <w:rPr>
          <w:color w:val="000000"/>
          <w:sz w:val="24"/>
          <w:szCs w:val="24"/>
        </w:rPr>
        <w:t xml:space="preserve">Available at: </w:t>
      </w:r>
      <w:hyperlink r:id="rId34" w:history="1">
        <w:r w:rsidRPr="00B57D83">
          <w:rPr>
            <w:rStyle w:val="Hyperlink"/>
            <w:sz w:val="24"/>
            <w:szCs w:val="24"/>
          </w:rPr>
          <w:t>https://www.nationalcrimeagency.gov.uk/who-we-are/publications/173-national-strategic-assessment-of-serious-and-organised-crime-2018/file</w:t>
        </w:r>
      </w:hyperlink>
      <w:r>
        <w:rPr>
          <w:color w:val="000000"/>
          <w:sz w:val="24"/>
          <w:szCs w:val="24"/>
        </w:rPr>
        <w:t xml:space="preserve"> (Accessed: 10 November 2021)</w:t>
      </w:r>
    </w:p>
    <w:p w14:paraId="6E30CD0C" w14:textId="77777777" w:rsidR="007D7E75" w:rsidRDefault="004256BB" w:rsidP="007D7E75">
      <w:pPr>
        <w:rPr>
          <w:i/>
          <w:iCs/>
          <w:color w:val="000000"/>
          <w:sz w:val="24"/>
          <w:szCs w:val="24"/>
        </w:rPr>
      </w:pPr>
      <w:r w:rsidRPr="00FE26BD">
        <w:rPr>
          <w:i/>
          <w:iCs/>
          <w:color w:val="000000"/>
          <w:sz w:val="24"/>
          <w:szCs w:val="24"/>
        </w:rPr>
        <w:t>National Police Chief’s Council (NPCC)</w:t>
      </w:r>
      <w:r w:rsidRPr="00FE26BD">
        <w:rPr>
          <w:color w:val="000000"/>
          <w:sz w:val="24"/>
          <w:szCs w:val="24"/>
        </w:rPr>
        <w:t xml:space="preserve"> </w:t>
      </w:r>
      <w:hyperlink r:id="rId35" w:history="1">
        <w:r w:rsidRPr="00FE26BD">
          <w:rPr>
            <w:rStyle w:val="Hyperlink"/>
            <w:sz w:val="24"/>
            <w:szCs w:val="24"/>
          </w:rPr>
          <w:t>http://www.npcc.police.uk/documents/policing%20vision.pdf</w:t>
        </w:r>
      </w:hyperlink>
      <w:r w:rsidRPr="00FE26BD">
        <w:rPr>
          <w:color w:val="000000"/>
          <w:sz w:val="24"/>
          <w:szCs w:val="24"/>
        </w:rPr>
        <w:t xml:space="preserve"> (no date) (Accessed: 22 August 2021)</w:t>
      </w:r>
      <w:r w:rsidR="007D7E75" w:rsidRPr="007D7E75">
        <w:rPr>
          <w:i/>
          <w:iCs/>
          <w:color w:val="000000"/>
          <w:sz w:val="24"/>
          <w:szCs w:val="24"/>
        </w:rPr>
        <w:t xml:space="preserve"> </w:t>
      </w:r>
    </w:p>
    <w:p w14:paraId="418AAB95" w14:textId="752DCADE" w:rsidR="004256BB" w:rsidRPr="007D7E75" w:rsidRDefault="007D7E75" w:rsidP="004256BB">
      <w:pPr>
        <w:rPr>
          <w:color w:val="000000"/>
          <w:sz w:val="24"/>
          <w:szCs w:val="24"/>
        </w:rPr>
      </w:pPr>
      <w:r w:rsidRPr="00FE26BD">
        <w:rPr>
          <w:i/>
          <w:iCs/>
          <w:color w:val="000000"/>
          <w:sz w:val="24"/>
          <w:szCs w:val="24"/>
        </w:rPr>
        <w:t>N</w:t>
      </w:r>
      <w:r>
        <w:rPr>
          <w:i/>
          <w:iCs/>
          <w:color w:val="000000"/>
          <w:sz w:val="24"/>
          <w:szCs w:val="24"/>
        </w:rPr>
        <w:t xml:space="preserve">ational Policing </w:t>
      </w:r>
      <w:r w:rsidRPr="00FE26BD">
        <w:rPr>
          <w:i/>
          <w:iCs/>
          <w:color w:val="000000"/>
          <w:sz w:val="24"/>
          <w:szCs w:val="24"/>
        </w:rPr>
        <w:t>I</w:t>
      </w:r>
      <w:r>
        <w:rPr>
          <w:i/>
          <w:iCs/>
          <w:color w:val="000000"/>
          <w:sz w:val="24"/>
          <w:szCs w:val="24"/>
        </w:rPr>
        <w:t xml:space="preserve">mprovement </w:t>
      </w:r>
      <w:r w:rsidRPr="00FE26BD">
        <w:rPr>
          <w:i/>
          <w:iCs/>
          <w:color w:val="000000"/>
          <w:sz w:val="24"/>
          <w:szCs w:val="24"/>
        </w:rPr>
        <w:t>A</w:t>
      </w:r>
      <w:r>
        <w:rPr>
          <w:i/>
          <w:iCs/>
          <w:color w:val="000000"/>
          <w:sz w:val="24"/>
          <w:szCs w:val="24"/>
        </w:rPr>
        <w:t>genc</w:t>
      </w:r>
      <w:r>
        <w:rPr>
          <w:i/>
          <w:iCs/>
          <w:color w:val="000000"/>
          <w:sz w:val="24"/>
          <w:szCs w:val="24"/>
        </w:rPr>
        <w:t xml:space="preserve">y (NPIA) </w:t>
      </w:r>
      <w:hyperlink r:id="rId36" w:history="1">
        <w:r w:rsidR="005B68B8" w:rsidRPr="001A1303">
          <w:rPr>
            <w:rStyle w:val="Hyperlink"/>
            <w:sz w:val="24"/>
            <w:szCs w:val="24"/>
          </w:rPr>
          <w:t>http://library.college.police.uk/docs/npia/CohesionGuide.pdf/</w:t>
        </w:r>
      </w:hyperlink>
      <w:r w:rsidRPr="00FE26BD">
        <w:rPr>
          <w:sz w:val="24"/>
          <w:szCs w:val="24"/>
        </w:rPr>
        <w:t xml:space="preserve"> (no date) (Accessed: 23 August 2021)</w:t>
      </w:r>
    </w:p>
    <w:p w14:paraId="7FE55582" w14:textId="77777777" w:rsidR="004256BB" w:rsidRDefault="004256BB" w:rsidP="004256BB">
      <w:pPr>
        <w:rPr>
          <w:color w:val="000000"/>
          <w:sz w:val="24"/>
          <w:szCs w:val="24"/>
        </w:rPr>
      </w:pPr>
      <w:r w:rsidRPr="00FE26BD">
        <w:rPr>
          <w:color w:val="000000"/>
          <w:sz w:val="24"/>
          <w:szCs w:val="24"/>
        </w:rPr>
        <w:t xml:space="preserve">National Policing Improvement Agency (NPIA) (2012) </w:t>
      </w:r>
      <w:r w:rsidRPr="00FE26BD">
        <w:rPr>
          <w:i/>
          <w:iCs/>
          <w:color w:val="000000"/>
          <w:sz w:val="24"/>
          <w:szCs w:val="24"/>
        </w:rPr>
        <w:t xml:space="preserve">Community Engagement in Policing: Lessons from the Literature. </w:t>
      </w:r>
      <w:r w:rsidRPr="00FE26BD">
        <w:rPr>
          <w:color w:val="000000"/>
          <w:sz w:val="24"/>
          <w:szCs w:val="24"/>
        </w:rPr>
        <w:t xml:space="preserve">Available at: </w:t>
      </w:r>
      <w:hyperlink r:id="rId37" w:history="1">
        <w:r w:rsidRPr="00FE26BD">
          <w:rPr>
            <w:rStyle w:val="Hyperlink"/>
            <w:sz w:val="24"/>
            <w:szCs w:val="24"/>
          </w:rPr>
          <w:t>https://whatworks.college.police.uk/Research/Documents/Community_engagement_lessons.pdf</w:t>
        </w:r>
      </w:hyperlink>
      <w:r w:rsidRPr="00FE26BD">
        <w:rPr>
          <w:color w:val="000000"/>
          <w:sz w:val="24"/>
          <w:szCs w:val="24"/>
        </w:rPr>
        <w:t xml:space="preserve"> (Accessed: 23 August 2021)</w:t>
      </w:r>
    </w:p>
    <w:p w14:paraId="1C0E4906" w14:textId="77777777" w:rsidR="004256BB" w:rsidRPr="001B2746" w:rsidRDefault="004256BB" w:rsidP="004256BB">
      <w:pPr>
        <w:rPr>
          <w:color w:val="000000"/>
          <w:sz w:val="24"/>
          <w:szCs w:val="24"/>
        </w:rPr>
      </w:pPr>
      <w:r>
        <w:rPr>
          <w:color w:val="000000"/>
          <w:sz w:val="24"/>
          <w:szCs w:val="24"/>
        </w:rPr>
        <w:t xml:space="preserve">Neal, S. (2003) ‘The Scarman Report, the Macpherson Report and the Media: How Newspapers Respond to Race-Centred Social Policy Interventions’, </w:t>
      </w:r>
      <w:r>
        <w:rPr>
          <w:i/>
          <w:iCs/>
          <w:color w:val="000000"/>
          <w:sz w:val="24"/>
          <w:szCs w:val="24"/>
        </w:rPr>
        <w:t>Cambridge University Press,</w:t>
      </w:r>
      <w:r>
        <w:rPr>
          <w:color w:val="000000"/>
          <w:sz w:val="24"/>
          <w:szCs w:val="24"/>
        </w:rPr>
        <w:t xml:space="preserve"> 32(1), pp. 55-74.</w:t>
      </w:r>
    </w:p>
    <w:p w14:paraId="022D3390" w14:textId="77777777" w:rsidR="004256BB" w:rsidRDefault="004256BB" w:rsidP="004256BB">
      <w:pPr>
        <w:rPr>
          <w:sz w:val="24"/>
          <w:szCs w:val="24"/>
        </w:rPr>
      </w:pPr>
    </w:p>
    <w:p w14:paraId="1B1FD562" w14:textId="77777777" w:rsidR="004256BB" w:rsidRPr="00D56426" w:rsidRDefault="004256BB" w:rsidP="004256BB">
      <w:pPr>
        <w:rPr>
          <w:color w:val="000000"/>
          <w:sz w:val="24"/>
          <w:szCs w:val="24"/>
        </w:rPr>
      </w:pPr>
      <w:r>
        <w:rPr>
          <w:sz w:val="24"/>
          <w:szCs w:val="24"/>
        </w:rPr>
        <w:t xml:space="preserve">Office of the Police and Crime Commissioner for Gwent (2020) </w:t>
      </w:r>
      <w:r>
        <w:rPr>
          <w:i/>
          <w:iCs/>
          <w:sz w:val="24"/>
          <w:szCs w:val="24"/>
        </w:rPr>
        <w:t>Strategic Equality Plan Annual Report 2019/2020.</w:t>
      </w:r>
      <w:r>
        <w:rPr>
          <w:sz w:val="24"/>
          <w:szCs w:val="24"/>
        </w:rPr>
        <w:t xml:space="preserve"> Available at: </w:t>
      </w:r>
      <w:hyperlink r:id="rId38" w:history="1">
        <w:r w:rsidRPr="005618F6">
          <w:rPr>
            <w:rStyle w:val="Hyperlink"/>
            <w:sz w:val="24"/>
            <w:szCs w:val="24"/>
          </w:rPr>
          <w:t>https://www.gwent.pcc.police.uk/media/kg5l1mhb/2020-029-opcc-equality-annual-report-2019_20-v4.pdf</w:t>
        </w:r>
      </w:hyperlink>
      <w:r>
        <w:rPr>
          <w:sz w:val="24"/>
          <w:szCs w:val="24"/>
        </w:rPr>
        <w:t xml:space="preserve"> (Accessed: 23 August 2021) </w:t>
      </w:r>
    </w:p>
    <w:p w14:paraId="2F49E1AD" w14:textId="77777777" w:rsidR="004256BB" w:rsidRPr="0080003D" w:rsidRDefault="004256BB" w:rsidP="004256BB">
      <w:pPr>
        <w:rPr>
          <w:color w:val="000000"/>
          <w:sz w:val="24"/>
          <w:szCs w:val="24"/>
        </w:rPr>
      </w:pPr>
      <w:proofErr w:type="spellStart"/>
      <w:r>
        <w:rPr>
          <w:color w:val="000000"/>
          <w:sz w:val="24"/>
          <w:szCs w:val="24"/>
        </w:rPr>
        <w:t>Ortigueira</w:t>
      </w:r>
      <w:proofErr w:type="spellEnd"/>
      <w:r>
        <w:rPr>
          <w:color w:val="000000"/>
          <w:sz w:val="24"/>
          <w:szCs w:val="24"/>
        </w:rPr>
        <w:t xml:space="preserve">-Sanchez, L.C. (2016) ‘Influencing Factors on Citizen Safety Perception: Systems and Broken Windows Theories’, </w:t>
      </w:r>
      <w:r>
        <w:rPr>
          <w:i/>
          <w:iCs/>
          <w:color w:val="000000"/>
          <w:sz w:val="24"/>
          <w:szCs w:val="24"/>
        </w:rPr>
        <w:t>Springer-Verlag Berlin Heidelberg</w:t>
      </w:r>
      <w:r>
        <w:rPr>
          <w:color w:val="000000"/>
          <w:sz w:val="24"/>
          <w:szCs w:val="24"/>
        </w:rPr>
        <w:t>, 14, pp. 95-111.</w:t>
      </w:r>
    </w:p>
    <w:p w14:paraId="406388DB" w14:textId="77777777" w:rsidR="004256BB" w:rsidRDefault="004256BB" w:rsidP="004256BB">
      <w:pPr>
        <w:rPr>
          <w:color w:val="000000"/>
          <w:sz w:val="24"/>
          <w:szCs w:val="24"/>
        </w:rPr>
      </w:pPr>
    </w:p>
    <w:p w14:paraId="45861FB0" w14:textId="77777777" w:rsidR="004256BB" w:rsidRDefault="004256BB" w:rsidP="004256BB">
      <w:pPr>
        <w:rPr>
          <w:color w:val="000000"/>
          <w:sz w:val="24"/>
          <w:szCs w:val="24"/>
        </w:rPr>
      </w:pPr>
      <w:proofErr w:type="spellStart"/>
      <w:r>
        <w:rPr>
          <w:color w:val="000000"/>
          <w:sz w:val="24"/>
          <w:szCs w:val="24"/>
        </w:rPr>
        <w:t>Purbrick</w:t>
      </w:r>
      <w:proofErr w:type="spellEnd"/>
      <w:r>
        <w:rPr>
          <w:color w:val="000000"/>
          <w:sz w:val="24"/>
          <w:szCs w:val="24"/>
        </w:rPr>
        <w:t>, L. and Schofield, J. (2009) ‘</w:t>
      </w:r>
      <w:r w:rsidRPr="00957BEF">
        <w:rPr>
          <w:color w:val="000000"/>
          <w:sz w:val="24"/>
          <w:szCs w:val="24"/>
        </w:rPr>
        <w:t>Brixton: Landscape of a Riot’</w:t>
      </w:r>
      <w:r>
        <w:rPr>
          <w:i/>
          <w:iCs/>
          <w:color w:val="000000"/>
          <w:sz w:val="24"/>
          <w:szCs w:val="24"/>
        </w:rPr>
        <w:t xml:space="preserve">, Routledge Taylor &amp; Francis Group, </w:t>
      </w:r>
      <w:r>
        <w:rPr>
          <w:color w:val="000000"/>
          <w:sz w:val="24"/>
          <w:szCs w:val="24"/>
        </w:rPr>
        <w:t>10(1)</w:t>
      </w:r>
      <w:r w:rsidRPr="000D3E74">
        <w:rPr>
          <w:color w:val="000000"/>
          <w:sz w:val="24"/>
          <w:szCs w:val="24"/>
        </w:rPr>
        <w:t xml:space="preserve"> </w:t>
      </w:r>
      <w:r>
        <w:rPr>
          <w:color w:val="000000"/>
          <w:sz w:val="24"/>
          <w:szCs w:val="24"/>
        </w:rPr>
        <w:t xml:space="preserve">[Online]. Available at: </w:t>
      </w:r>
      <w:hyperlink r:id="rId39" w:history="1">
        <w:r w:rsidRPr="005618F6">
          <w:rPr>
            <w:rStyle w:val="Hyperlink"/>
            <w:sz w:val="24"/>
            <w:szCs w:val="24"/>
          </w:rPr>
          <w:t>https://www-tandfonline-com.ezproxy.uwtsd.ac.uk/doi/pdf/10.1179/lan.2009.10.1.1?needAccess=true</w:t>
        </w:r>
      </w:hyperlink>
      <w:r>
        <w:rPr>
          <w:color w:val="000000"/>
          <w:sz w:val="24"/>
          <w:szCs w:val="24"/>
        </w:rPr>
        <w:t xml:space="preserve"> (Accessed: 23 August 2021) </w:t>
      </w:r>
    </w:p>
    <w:p w14:paraId="457A6C84" w14:textId="77777777" w:rsidR="004256BB" w:rsidRPr="00E431E2" w:rsidRDefault="004256BB" w:rsidP="004256BB">
      <w:pPr>
        <w:rPr>
          <w:color w:val="000000"/>
          <w:sz w:val="24"/>
          <w:szCs w:val="24"/>
        </w:rPr>
      </w:pPr>
      <w:r>
        <w:rPr>
          <w:color w:val="000000"/>
          <w:sz w:val="24"/>
          <w:szCs w:val="24"/>
        </w:rPr>
        <w:lastRenderedPageBreak/>
        <w:t xml:space="preserve">Purdy-Moore, S. (2021) </w:t>
      </w:r>
      <w:r w:rsidRPr="004E1CEA">
        <w:rPr>
          <w:i/>
          <w:iCs/>
          <w:color w:val="000000"/>
          <w:sz w:val="24"/>
          <w:szCs w:val="24"/>
        </w:rPr>
        <w:t>40 Years on from the Brixton Riots, the Police Bill could spark a summer of urban unrest</w:t>
      </w:r>
      <w:r>
        <w:rPr>
          <w:color w:val="000000"/>
          <w:sz w:val="24"/>
          <w:szCs w:val="24"/>
        </w:rPr>
        <w:t xml:space="preserve">. London: Canary Media Ltd. </w:t>
      </w:r>
    </w:p>
    <w:p w14:paraId="04A1EC08" w14:textId="77777777" w:rsidR="004256BB" w:rsidRDefault="004256BB" w:rsidP="004256BB">
      <w:pPr>
        <w:rPr>
          <w:color w:val="000000"/>
          <w:sz w:val="24"/>
          <w:szCs w:val="24"/>
        </w:rPr>
      </w:pPr>
    </w:p>
    <w:p w14:paraId="52E8ADD8" w14:textId="77777777" w:rsidR="004256BB" w:rsidRPr="00FE26BD" w:rsidRDefault="004256BB" w:rsidP="004256BB">
      <w:pPr>
        <w:rPr>
          <w:color w:val="000000"/>
          <w:sz w:val="24"/>
          <w:szCs w:val="24"/>
        </w:rPr>
      </w:pPr>
      <w:r w:rsidRPr="00FE26BD">
        <w:rPr>
          <w:color w:val="000000"/>
          <w:sz w:val="24"/>
          <w:szCs w:val="24"/>
        </w:rPr>
        <w:t xml:space="preserve">Ramshaw, P. and </w:t>
      </w:r>
      <w:proofErr w:type="spellStart"/>
      <w:r w:rsidRPr="00FE26BD">
        <w:rPr>
          <w:color w:val="000000"/>
          <w:sz w:val="24"/>
          <w:szCs w:val="24"/>
        </w:rPr>
        <w:t>Soppitt</w:t>
      </w:r>
      <w:proofErr w:type="spellEnd"/>
      <w:r w:rsidRPr="00FE26BD">
        <w:rPr>
          <w:color w:val="000000"/>
          <w:sz w:val="24"/>
          <w:szCs w:val="24"/>
        </w:rPr>
        <w:t xml:space="preserve">, S. (2018) ‘Educating the Recruited and Recruiting the Educated: Can the new Police Education Qualifications Framework in England and Wales Succeed Where Others Have Faltered’, </w:t>
      </w:r>
      <w:r w:rsidRPr="00FE26BD">
        <w:rPr>
          <w:i/>
          <w:iCs/>
          <w:color w:val="000000"/>
          <w:sz w:val="24"/>
          <w:szCs w:val="24"/>
        </w:rPr>
        <w:t xml:space="preserve">International Journal of Police Science &amp; Management, </w:t>
      </w:r>
      <w:r w:rsidRPr="00FE26BD">
        <w:rPr>
          <w:color w:val="000000"/>
          <w:sz w:val="24"/>
          <w:szCs w:val="24"/>
        </w:rPr>
        <w:t>20(4), pp. 243-250.</w:t>
      </w:r>
    </w:p>
    <w:p w14:paraId="4362277D" w14:textId="77777777" w:rsidR="004256BB" w:rsidRPr="00FE26BD" w:rsidRDefault="004256BB" w:rsidP="004256BB">
      <w:pPr>
        <w:rPr>
          <w:sz w:val="24"/>
          <w:szCs w:val="24"/>
        </w:rPr>
      </w:pPr>
      <w:r w:rsidRPr="00FE26BD">
        <w:rPr>
          <w:sz w:val="24"/>
          <w:szCs w:val="24"/>
        </w:rPr>
        <w:t xml:space="preserve">Reiner, R. (2010) </w:t>
      </w:r>
      <w:r w:rsidRPr="00FE26BD">
        <w:rPr>
          <w:i/>
          <w:iCs/>
          <w:sz w:val="24"/>
          <w:szCs w:val="24"/>
        </w:rPr>
        <w:t>The Politics of the Police.</w:t>
      </w:r>
      <w:r w:rsidRPr="00FE26BD">
        <w:rPr>
          <w:sz w:val="24"/>
          <w:szCs w:val="24"/>
        </w:rPr>
        <w:t xml:space="preserve"> 4</w:t>
      </w:r>
      <w:r w:rsidRPr="00FE26BD">
        <w:rPr>
          <w:sz w:val="24"/>
          <w:szCs w:val="24"/>
          <w:vertAlign w:val="superscript"/>
        </w:rPr>
        <w:t>th</w:t>
      </w:r>
      <w:r w:rsidRPr="00FE26BD">
        <w:rPr>
          <w:sz w:val="24"/>
          <w:szCs w:val="24"/>
        </w:rPr>
        <w:t xml:space="preserve"> </w:t>
      </w:r>
      <w:proofErr w:type="spellStart"/>
      <w:r w:rsidRPr="00FE26BD">
        <w:rPr>
          <w:sz w:val="24"/>
          <w:szCs w:val="24"/>
        </w:rPr>
        <w:t>edn</w:t>
      </w:r>
      <w:proofErr w:type="spellEnd"/>
      <w:r w:rsidRPr="00FE26BD">
        <w:rPr>
          <w:sz w:val="24"/>
          <w:szCs w:val="24"/>
        </w:rPr>
        <w:t>. Oxford: Oxford University Press.</w:t>
      </w:r>
    </w:p>
    <w:p w14:paraId="2791AF18" w14:textId="77777777" w:rsidR="004256BB" w:rsidRDefault="004256BB" w:rsidP="004256BB">
      <w:pPr>
        <w:rPr>
          <w:sz w:val="24"/>
          <w:szCs w:val="24"/>
        </w:rPr>
      </w:pPr>
    </w:p>
    <w:p w14:paraId="1AF6E68A" w14:textId="77777777" w:rsidR="004256BB" w:rsidRDefault="004256BB" w:rsidP="004256BB">
      <w:pPr>
        <w:rPr>
          <w:sz w:val="24"/>
          <w:szCs w:val="24"/>
        </w:rPr>
      </w:pPr>
      <w:r w:rsidRPr="001B66BA">
        <w:rPr>
          <w:sz w:val="24"/>
          <w:szCs w:val="24"/>
        </w:rPr>
        <w:t xml:space="preserve">Serious Organised Crime Agency (SOCA) (2006) ‘The United Kingdom Threat Assessment of Serious Organised Crime’, </w:t>
      </w:r>
      <w:r w:rsidRPr="001B66BA">
        <w:rPr>
          <w:i/>
          <w:iCs/>
          <w:sz w:val="24"/>
          <w:szCs w:val="24"/>
        </w:rPr>
        <w:t>Trends in Organized Crime</w:t>
      </w:r>
      <w:r w:rsidRPr="001B66BA">
        <w:rPr>
          <w:sz w:val="24"/>
          <w:szCs w:val="24"/>
        </w:rPr>
        <w:t xml:space="preserve">, 10, pp. 52-57. </w:t>
      </w:r>
      <w:r w:rsidRPr="001B66BA">
        <w:rPr>
          <w:i/>
          <w:iCs/>
          <w:sz w:val="24"/>
          <w:szCs w:val="24"/>
        </w:rPr>
        <w:t>Springer Journals</w:t>
      </w:r>
      <w:r w:rsidRPr="001B66BA">
        <w:rPr>
          <w:sz w:val="24"/>
          <w:szCs w:val="24"/>
        </w:rPr>
        <w:t xml:space="preserve"> [Online] Available at: </w:t>
      </w:r>
      <w:hyperlink r:id="rId40" w:history="1">
        <w:r w:rsidRPr="001B66BA">
          <w:rPr>
            <w:rStyle w:val="Hyperlink"/>
            <w:sz w:val="24"/>
            <w:szCs w:val="24"/>
          </w:rPr>
          <w:t>https://doi-org.ezproxy.uwtsd.ac.uk/10.1007/s12117-006-1028-1</w:t>
        </w:r>
      </w:hyperlink>
      <w:r w:rsidRPr="001B66BA">
        <w:rPr>
          <w:sz w:val="24"/>
          <w:szCs w:val="24"/>
        </w:rPr>
        <w:t xml:space="preserve"> (Accessed: 01 September 2021)</w:t>
      </w:r>
    </w:p>
    <w:p w14:paraId="0CF7062A" w14:textId="77777777" w:rsidR="004256BB" w:rsidRPr="00FE26BD" w:rsidRDefault="004256BB" w:rsidP="004256BB">
      <w:pPr>
        <w:rPr>
          <w:sz w:val="24"/>
          <w:szCs w:val="24"/>
        </w:rPr>
      </w:pPr>
      <w:r w:rsidRPr="00FE26BD">
        <w:rPr>
          <w:sz w:val="24"/>
          <w:szCs w:val="24"/>
        </w:rPr>
        <w:t xml:space="preserve">Sherman, L. W. (2013) ‘The Rise of Evidence-Based Policing: Targeting, Testing and Tracking,’ </w:t>
      </w:r>
      <w:r w:rsidRPr="00FE26BD">
        <w:rPr>
          <w:i/>
          <w:iCs/>
          <w:sz w:val="24"/>
          <w:szCs w:val="24"/>
        </w:rPr>
        <w:t>Crime and Justice,</w:t>
      </w:r>
      <w:r w:rsidRPr="00FE26BD">
        <w:rPr>
          <w:sz w:val="24"/>
          <w:szCs w:val="24"/>
        </w:rPr>
        <w:t xml:space="preserve"> 42(1), pp. 337-451.</w:t>
      </w:r>
    </w:p>
    <w:p w14:paraId="7BB43E6A" w14:textId="77777777" w:rsidR="004256BB" w:rsidRDefault="004256BB" w:rsidP="004256BB">
      <w:pPr>
        <w:rPr>
          <w:color w:val="000000"/>
          <w:sz w:val="24"/>
          <w:szCs w:val="24"/>
        </w:rPr>
      </w:pPr>
      <w:r w:rsidRPr="00FE26BD">
        <w:rPr>
          <w:color w:val="000000"/>
          <w:sz w:val="24"/>
          <w:szCs w:val="24"/>
        </w:rPr>
        <w:t xml:space="preserve">Smith, P., Farmer, M. and </w:t>
      </w:r>
      <w:proofErr w:type="spellStart"/>
      <w:r w:rsidRPr="00FE26BD">
        <w:rPr>
          <w:color w:val="000000"/>
          <w:sz w:val="24"/>
          <w:szCs w:val="24"/>
        </w:rPr>
        <w:t>Yellowley</w:t>
      </w:r>
      <w:proofErr w:type="spellEnd"/>
      <w:r w:rsidRPr="00FE26BD">
        <w:rPr>
          <w:color w:val="000000"/>
          <w:sz w:val="24"/>
          <w:szCs w:val="24"/>
        </w:rPr>
        <w:t xml:space="preserve">, W. (2012) </w:t>
      </w:r>
      <w:r w:rsidRPr="00FE26BD">
        <w:rPr>
          <w:i/>
          <w:iCs/>
          <w:color w:val="000000"/>
          <w:sz w:val="24"/>
          <w:szCs w:val="24"/>
        </w:rPr>
        <w:t>Organizational Behaviour.</w:t>
      </w:r>
      <w:r w:rsidRPr="00FE26BD">
        <w:rPr>
          <w:color w:val="000000"/>
          <w:sz w:val="24"/>
          <w:szCs w:val="24"/>
        </w:rPr>
        <w:t xml:space="preserve"> London: Hodder Education.</w:t>
      </w:r>
    </w:p>
    <w:p w14:paraId="4CCB5B73" w14:textId="77777777" w:rsidR="004256BB" w:rsidRDefault="004256BB" w:rsidP="004256BB">
      <w:pPr>
        <w:rPr>
          <w:sz w:val="24"/>
          <w:szCs w:val="24"/>
        </w:rPr>
      </w:pPr>
      <w:r>
        <w:rPr>
          <w:sz w:val="24"/>
          <w:szCs w:val="24"/>
        </w:rPr>
        <w:br/>
        <w:t xml:space="preserve">The College of Policing (2013) </w:t>
      </w:r>
      <w:r w:rsidRPr="00655C1C">
        <w:rPr>
          <w:i/>
          <w:iCs/>
          <w:sz w:val="24"/>
          <w:szCs w:val="24"/>
        </w:rPr>
        <w:t>Intelligence Management.</w:t>
      </w:r>
      <w:r>
        <w:rPr>
          <w:sz w:val="24"/>
          <w:szCs w:val="24"/>
        </w:rPr>
        <w:t xml:space="preserve"> Available at: </w:t>
      </w:r>
      <w:hyperlink r:id="rId41" w:history="1">
        <w:r w:rsidRPr="00994B74">
          <w:rPr>
            <w:rStyle w:val="Hyperlink"/>
            <w:sz w:val="24"/>
            <w:szCs w:val="24"/>
          </w:rPr>
          <w:t>https://www.app.college.police.uk/app-content/intelligence-management/governance/</w:t>
        </w:r>
      </w:hyperlink>
      <w:r>
        <w:rPr>
          <w:sz w:val="24"/>
          <w:szCs w:val="24"/>
        </w:rPr>
        <w:t xml:space="preserve"> (Accessed: 19 November 2021)</w:t>
      </w:r>
    </w:p>
    <w:p w14:paraId="308016D5" w14:textId="77777777" w:rsidR="004256BB" w:rsidRPr="00FE26BD" w:rsidRDefault="004256BB" w:rsidP="004256BB">
      <w:pPr>
        <w:rPr>
          <w:sz w:val="24"/>
          <w:szCs w:val="24"/>
        </w:rPr>
      </w:pPr>
      <w:r>
        <w:rPr>
          <w:sz w:val="24"/>
          <w:szCs w:val="24"/>
        </w:rPr>
        <w:t xml:space="preserve">The </w:t>
      </w:r>
      <w:r w:rsidRPr="00FE26BD">
        <w:rPr>
          <w:sz w:val="24"/>
          <w:szCs w:val="24"/>
        </w:rPr>
        <w:t xml:space="preserve">College of Policing (2021) </w:t>
      </w:r>
      <w:r w:rsidRPr="00FE26BD">
        <w:rPr>
          <w:i/>
          <w:iCs/>
          <w:sz w:val="24"/>
          <w:szCs w:val="24"/>
        </w:rPr>
        <w:t>Code of Ethics.</w:t>
      </w:r>
      <w:r w:rsidRPr="00FE26BD">
        <w:rPr>
          <w:sz w:val="24"/>
          <w:szCs w:val="24"/>
        </w:rPr>
        <w:t xml:space="preserve"> Available at: </w:t>
      </w:r>
      <w:hyperlink r:id="rId42" w:history="1">
        <w:r w:rsidRPr="00FE26BD">
          <w:rPr>
            <w:rStyle w:val="Hyperlink"/>
            <w:sz w:val="24"/>
            <w:szCs w:val="24"/>
          </w:rPr>
          <w:t>https://www.college.police.uk/ethics/code-of-ethics</w:t>
        </w:r>
      </w:hyperlink>
      <w:r w:rsidRPr="00FE26BD">
        <w:rPr>
          <w:sz w:val="24"/>
          <w:szCs w:val="24"/>
        </w:rPr>
        <w:t xml:space="preserve"> (Accessed: 22 August 2021)</w:t>
      </w:r>
    </w:p>
    <w:p w14:paraId="3CF8AADE" w14:textId="77777777" w:rsidR="004256BB" w:rsidRPr="00F97417" w:rsidRDefault="004256BB" w:rsidP="004256BB">
      <w:pPr>
        <w:rPr>
          <w:sz w:val="24"/>
          <w:szCs w:val="24"/>
        </w:rPr>
      </w:pPr>
      <w:r>
        <w:rPr>
          <w:sz w:val="24"/>
          <w:szCs w:val="24"/>
        </w:rPr>
        <w:t xml:space="preserve">The </w:t>
      </w:r>
      <w:r w:rsidRPr="00FE26BD">
        <w:rPr>
          <w:sz w:val="24"/>
          <w:szCs w:val="24"/>
        </w:rPr>
        <w:t>College of Policing (2021</w:t>
      </w:r>
      <w:r>
        <w:rPr>
          <w:sz w:val="24"/>
          <w:szCs w:val="24"/>
        </w:rPr>
        <w:t>a</w:t>
      </w:r>
      <w:r w:rsidRPr="00FE26BD">
        <w:rPr>
          <w:sz w:val="24"/>
          <w:szCs w:val="24"/>
        </w:rPr>
        <w:t xml:space="preserve">) </w:t>
      </w:r>
      <w:r w:rsidRPr="00FE26BD">
        <w:rPr>
          <w:i/>
          <w:iCs/>
          <w:sz w:val="24"/>
          <w:szCs w:val="24"/>
        </w:rPr>
        <w:t xml:space="preserve">Integrity. </w:t>
      </w:r>
      <w:r w:rsidRPr="00FE26BD">
        <w:rPr>
          <w:sz w:val="24"/>
          <w:szCs w:val="24"/>
        </w:rPr>
        <w:t xml:space="preserve">Available at: </w:t>
      </w:r>
      <w:hyperlink r:id="rId43" w:history="1">
        <w:r w:rsidRPr="00FE26BD">
          <w:rPr>
            <w:rStyle w:val="Hyperlink"/>
            <w:sz w:val="24"/>
            <w:szCs w:val="24"/>
          </w:rPr>
          <w:t>https://profdev.college.police.uk/competency-values/integrity/</w:t>
        </w:r>
      </w:hyperlink>
      <w:r w:rsidRPr="00FE26BD">
        <w:rPr>
          <w:sz w:val="24"/>
          <w:szCs w:val="24"/>
        </w:rPr>
        <w:t xml:space="preserve"> (Accessed: 22 August 2021)</w:t>
      </w:r>
    </w:p>
    <w:p w14:paraId="2ABFD70C" w14:textId="77777777" w:rsidR="004256BB" w:rsidRPr="00160411" w:rsidRDefault="004256BB" w:rsidP="004256BB">
      <w:pPr>
        <w:rPr>
          <w:sz w:val="24"/>
          <w:szCs w:val="24"/>
        </w:rPr>
      </w:pPr>
      <w:r w:rsidRPr="00160411">
        <w:rPr>
          <w:sz w:val="24"/>
          <w:szCs w:val="24"/>
        </w:rPr>
        <w:lastRenderedPageBreak/>
        <w:t>The College of Policing (2021</w:t>
      </w:r>
      <w:r>
        <w:rPr>
          <w:sz w:val="24"/>
          <w:szCs w:val="24"/>
        </w:rPr>
        <w:t>b</w:t>
      </w:r>
      <w:r w:rsidRPr="00160411">
        <w:rPr>
          <w:sz w:val="24"/>
          <w:szCs w:val="24"/>
        </w:rPr>
        <w:t xml:space="preserve">) </w:t>
      </w:r>
      <w:r w:rsidRPr="00160411">
        <w:rPr>
          <w:i/>
          <w:iCs/>
          <w:sz w:val="24"/>
          <w:szCs w:val="24"/>
        </w:rPr>
        <w:t xml:space="preserve">Intelligence Management. </w:t>
      </w:r>
      <w:r w:rsidRPr="00160411">
        <w:rPr>
          <w:sz w:val="24"/>
          <w:szCs w:val="24"/>
        </w:rPr>
        <w:t xml:space="preserve">Available at: </w:t>
      </w:r>
      <w:hyperlink r:id="rId44" w:history="1">
        <w:r w:rsidRPr="00160411">
          <w:rPr>
            <w:rStyle w:val="Hyperlink"/>
            <w:sz w:val="24"/>
            <w:szCs w:val="24"/>
          </w:rPr>
          <w:t>https://www.app.college.police.uk/app-content/intelligence-management/</w:t>
        </w:r>
      </w:hyperlink>
      <w:r w:rsidRPr="00160411">
        <w:rPr>
          <w:sz w:val="24"/>
          <w:szCs w:val="24"/>
        </w:rPr>
        <w:t xml:space="preserve"> (Accessed: 10 November 2021)</w:t>
      </w:r>
    </w:p>
    <w:p w14:paraId="1CA9BD61" w14:textId="77777777" w:rsidR="004256BB" w:rsidRPr="00FE26BD" w:rsidRDefault="004256BB" w:rsidP="004256BB">
      <w:pPr>
        <w:rPr>
          <w:sz w:val="24"/>
          <w:szCs w:val="24"/>
        </w:rPr>
      </w:pPr>
      <w:r w:rsidRPr="00EC0F79">
        <w:rPr>
          <w:sz w:val="24"/>
          <w:szCs w:val="24"/>
        </w:rPr>
        <w:t xml:space="preserve">The Guardian (2009) </w:t>
      </w:r>
      <w:r w:rsidRPr="0009548F">
        <w:rPr>
          <w:i/>
          <w:iCs/>
          <w:sz w:val="24"/>
          <w:szCs w:val="24"/>
        </w:rPr>
        <w:t>Gordon Brown steps in as agency fails to tackle organised crime gangs.</w:t>
      </w:r>
      <w:r w:rsidRPr="00EC0F79">
        <w:rPr>
          <w:sz w:val="24"/>
          <w:szCs w:val="24"/>
        </w:rPr>
        <w:t xml:space="preserve"> Available at: </w:t>
      </w:r>
      <w:hyperlink r:id="rId45" w:history="1">
        <w:r w:rsidRPr="00EC0F79">
          <w:rPr>
            <w:rStyle w:val="Hyperlink"/>
            <w:sz w:val="24"/>
            <w:szCs w:val="24"/>
          </w:rPr>
          <w:t>https://www.theguardian.com/uk/2009/apr/27/serious-organised-crime-agency-brown-failure-gangs</w:t>
        </w:r>
      </w:hyperlink>
      <w:r w:rsidRPr="00EC0F79">
        <w:rPr>
          <w:sz w:val="24"/>
          <w:szCs w:val="24"/>
        </w:rPr>
        <w:t xml:space="preserve"> (Accessed: 10 November 2021)</w:t>
      </w:r>
    </w:p>
    <w:p w14:paraId="36D2F9CC" w14:textId="77777777" w:rsidR="004256BB" w:rsidRDefault="004256BB" w:rsidP="004256BB">
      <w:pPr>
        <w:rPr>
          <w:sz w:val="24"/>
          <w:szCs w:val="24"/>
        </w:rPr>
      </w:pPr>
      <w:r>
        <w:rPr>
          <w:sz w:val="24"/>
          <w:szCs w:val="24"/>
        </w:rPr>
        <w:t xml:space="preserve">The Guardian (2020) </w:t>
      </w:r>
      <w:r>
        <w:rPr>
          <w:i/>
          <w:iCs/>
          <w:sz w:val="24"/>
          <w:szCs w:val="24"/>
        </w:rPr>
        <w:t xml:space="preserve">Systematic Racism and Police Brutality are British Problems Too. </w:t>
      </w:r>
      <w:r>
        <w:rPr>
          <w:sz w:val="24"/>
          <w:szCs w:val="24"/>
        </w:rPr>
        <w:t xml:space="preserve">Available at: </w:t>
      </w:r>
      <w:hyperlink r:id="rId46" w:history="1">
        <w:r w:rsidRPr="005618F6">
          <w:rPr>
            <w:rStyle w:val="Hyperlink"/>
            <w:sz w:val="24"/>
            <w:szCs w:val="24"/>
          </w:rPr>
          <w:t>https://www.theguardian.com/commentisfree/2020/jun/04/systemic-racism-police-brutality-british-problems-black-lives-matter</w:t>
        </w:r>
      </w:hyperlink>
      <w:r>
        <w:rPr>
          <w:sz w:val="24"/>
          <w:szCs w:val="24"/>
        </w:rPr>
        <w:t xml:space="preserve"> (Accessed: 23 August 2021)</w:t>
      </w:r>
    </w:p>
    <w:p w14:paraId="56C5CC7E" w14:textId="77777777" w:rsidR="004256BB" w:rsidRDefault="004256BB" w:rsidP="004256BB">
      <w:pPr>
        <w:rPr>
          <w:sz w:val="24"/>
          <w:szCs w:val="24"/>
        </w:rPr>
      </w:pPr>
    </w:p>
    <w:p w14:paraId="7D42DF40" w14:textId="77777777" w:rsidR="004256BB" w:rsidRDefault="004256BB" w:rsidP="004256BB">
      <w:pPr>
        <w:rPr>
          <w:sz w:val="24"/>
          <w:szCs w:val="24"/>
        </w:rPr>
      </w:pPr>
      <w:r>
        <w:rPr>
          <w:sz w:val="24"/>
          <w:szCs w:val="24"/>
        </w:rPr>
        <w:t xml:space="preserve">UK Parliament (2019) </w:t>
      </w:r>
      <w:r w:rsidRPr="0062587B">
        <w:rPr>
          <w:i/>
          <w:iCs/>
          <w:sz w:val="24"/>
          <w:szCs w:val="24"/>
        </w:rPr>
        <w:t>Better Co-ordination to tackle causes of serious and organised crime needed</w:t>
      </w:r>
      <w:r>
        <w:rPr>
          <w:sz w:val="24"/>
          <w:szCs w:val="24"/>
        </w:rPr>
        <w:t xml:space="preserve">. Available at: </w:t>
      </w:r>
      <w:hyperlink r:id="rId47" w:history="1">
        <w:r w:rsidRPr="00B57D83">
          <w:rPr>
            <w:rStyle w:val="Hyperlink"/>
            <w:sz w:val="24"/>
            <w:szCs w:val="24"/>
          </w:rPr>
          <w:t>https://committees.parliament.uk/committee/127/public-accounts-committee/news/98538/better-coordination-to-tackle-causes-of-serious-and-organised-crime-needed/</w:t>
        </w:r>
      </w:hyperlink>
      <w:r>
        <w:rPr>
          <w:sz w:val="24"/>
          <w:szCs w:val="24"/>
        </w:rPr>
        <w:t xml:space="preserve"> (Accessed: 10 November 2021) </w:t>
      </w:r>
    </w:p>
    <w:p w14:paraId="097BA685" w14:textId="77777777" w:rsidR="004256BB" w:rsidRPr="00B43C68" w:rsidRDefault="004256BB" w:rsidP="004256BB">
      <w:pPr>
        <w:rPr>
          <w:sz w:val="24"/>
          <w:szCs w:val="24"/>
        </w:rPr>
      </w:pPr>
    </w:p>
    <w:p w14:paraId="67AFF0FD" w14:textId="77777777" w:rsidR="004256BB" w:rsidRDefault="004256BB" w:rsidP="004256BB">
      <w:pPr>
        <w:rPr>
          <w:sz w:val="24"/>
          <w:szCs w:val="24"/>
        </w:rPr>
      </w:pPr>
      <w:r>
        <w:rPr>
          <w:sz w:val="24"/>
          <w:szCs w:val="24"/>
        </w:rPr>
        <w:t xml:space="preserve">Walton, R. and Randall, D. (2014) </w:t>
      </w:r>
      <w:r>
        <w:rPr>
          <w:i/>
          <w:iCs/>
          <w:sz w:val="24"/>
          <w:szCs w:val="24"/>
        </w:rPr>
        <w:t xml:space="preserve">Implementation of the Anti-Social Behaviour, Crime and Policing Act 2014. </w:t>
      </w:r>
      <w:r>
        <w:rPr>
          <w:sz w:val="24"/>
          <w:szCs w:val="24"/>
        </w:rPr>
        <w:t xml:space="preserve">Available at: </w:t>
      </w:r>
      <w:hyperlink r:id="rId48" w:history="1">
        <w:r w:rsidRPr="00FA4979">
          <w:rPr>
            <w:rStyle w:val="Hyperlink"/>
            <w:sz w:val="24"/>
            <w:szCs w:val="24"/>
          </w:rPr>
          <w:t>https://moderngov.dover.gov.uk/documents/s10656/Implementation%20of%20the%20Anti-Social%20Behaviour%20Crime%20and%20Policing%20Act%202014.pdf</w:t>
        </w:r>
      </w:hyperlink>
      <w:r>
        <w:rPr>
          <w:sz w:val="24"/>
          <w:szCs w:val="24"/>
        </w:rPr>
        <w:t xml:space="preserve"> (Accessed: 23 August 2021)</w:t>
      </w:r>
    </w:p>
    <w:p w14:paraId="63BD0E59" w14:textId="77777777" w:rsidR="004256BB" w:rsidRPr="00E00992" w:rsidRDefault="004256BB" w:rsidP="004256BB">
      <w:pPr>
        <w:rPr>
          <w:sz w:val="24"/>
          <w:szCs w:val="24"/>
        </w:rPr>
      </w:pPr>
      <w:r>
        <w:rPr>
          <w:sz w:val="24"/>
          <w:szCs w:val="24"/>
        </w:rPr>
        <w:t xml:space="preserve">Watson, C. (2017) </w:t>
      </w:r>
      <w:r>
        <w:rPr>
          <w:i/>
          <w:iCs/>
          <w:sz w:val="24"/>
          <w:szCs w:val="24"/>
        </w:rPr>
        <w:t xml:space="preserve">Information and Intelligence Sharing in the Fight Against Fraud and Intellectual Property Crime: Challenges and Strategies for Professional Practice. </w:t>
      </w:r>
      <w:r>
        <w:rPr>
          <w:sz w:val="24"/>
          <w:szCs w:val="24"/>
        </w:rPr>
        <w:t xml:space="preserve">Available at: </w:t>
      </w:r>
      <w:hyperlink r:id="rId49" w:history="1">
        <w:r w:rsidRPr="00B57D83">
          <w:rPr>
            <w:rStyle w:val="Hyperlink"/>
            <w:sz w:val="24"/>
            <w:szCs w:val="24"/>
          </w:rPr>
          <w:t>https://pure.port.ac.uk/ws/portalfiles/portal/10852416/C._Watson_DCrimJ_Thesis_Information_and_Intelligence_Sharing_backup_.pdf</w:t>
        </w:r>
      </w:hyperlink>
      <w:r>
        <w:rPr>
          <w:sz w:val="24"/>
          <w:szCs w:val="24"/>
        </w:rPr>
        <w:t xml:space="preserve"> (Accessed: 10 November 2021)</w:t>
      </w:r>
    </w:p>
    <w:p w14:paraId="66DC5082" w14:textId="77777777" w:rsidR="004256BB" w:rsidRDefault="004256BB" w:rsidP="004256BB">
      <w:pPr>
        <w:rPr>
          <w:sz w:val="24"/>
          <w:szCs w:val="24"/>
        </w:rPr>
      </w:pPr>
      <w:r>
        <w:rPr>
          <w:sz w:val="24"/>
          <w:szCs w:val="24"/>
        </w:rPr>
        <w:lastRenderedPageBreak/>
        <w:t xml:space="preserve">Welsh, B.C., Braga, A.A. and </w:t>
      </w:r>
      <w:proofErr w:type="spellStart"/>
      <w:r>
        <w:rPr>
          <w:sz w:val="24"/>
          <w:szCs w:val="24"/>
        </w:rPr>
        <w:t>Bruinsma</w:t>
      </w:r>
      <w:proofErr w:type="spellEnd"/>
      <w:r>
        <w:rPr>
          <w:sz w:val="24"/>
          <w:szCs w:val="24"/>
        </w:rPr>
        <w:t xml:space="preserve">, G.J.N. (2015) ‘Reimagining Broken Windows: From Theory to Policy’, </w:t>
      </w:r>
      <w:r w:rsidRPr="002F57DE">
        <w:rPr>
          <w:i/>
          <w:iCs/>
          <w:sz w:val="24"/>
          <w:szCs w:val="24"/>
        </w:rPr>
        <w:t>Journal of Research in Crime and Delinquency</w:t>
      </w:r>
      <w:r>
        <w:rPr>
          <w:sz w:val="24"/>
          <w:szCs w:val="24"/>
        </w:rPr>
        <w:t>, 52(4), pp. 447-463.</w:t>
      </w:r>
    </w:p>
    <w:p w14:paraId="2D0985D0" w14:textId="77777777" w:rsidR="004256BB" w:rsidRPr="006F3079" w:rsidRDefault="004256BB" w:rsidP="004256BB">
      <w:pPr>
        <w:rPr>
          <w:sz w:val="24"/>
          <w:szCs w:val="24"/>
        </w:rPr>
      </w:pPr>
      <w:r>
        <w:rPr>
          <w:sz w:val="24"/>
          <w:szCs w:val="24"/>
        </w:rPr>
        <w:t xml:space="preserve">Wilson, J.Q. and Kelling, G.L. (1982) ‘Broken Windows: The Police and Neighbourhood Safety’, </w:t>
      </w:r>
      <w:r w:rsidRPr="00B35248">
        <w:rPr>
          <w:i/>
          <w:iCs/>
          <w:sz w:val="24"/>
          <w:szCs w:val="24"/>
        </w:rPr>
        <w:t>Atlantic Monthly</w:t>
      </w:r>
      <w:r>
        <w:rPr>
          <w:sz w:val="24"/>
          <w:szCs w:val="24"/>
        </w:rPr>
        <w:t>, 2(11), pp. 29-38.</w:t>
      </w:r>
    </w:p>
    <w:p w14:paraId="3B0605B0" w14:textId="77777777" w:rsidR="004256BB" w:rsidRPr="0020657C" w:rsidRDefault="004256BB" w:rsidP="0086526B">
      <w:pPr>
        <w:rPr>
          <w:sz w:val="24"/>
          <w:szCs w:val="24"/>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50"/>
          <w:headerReference w:type="default" r:id="rId51"/>
          <w:footerReference w:type="even" r:id="rId52"/>
          <w:footerReference w:type="default" r:id="rId53"/>
          <w:headerReference w:type="first" r:id="rId54"/>
          <w:footerReference w:type="first" r:id="rId55"/>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56"/>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lastRenderedPageBreak/>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t>
            </w:r>
            <w:r w:rsidRPr="009200F3">
              <w:rPr>
                <w:rFonts w:ascii="Arial" w:hAnsi="Arial" w:cs="Arial"/>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lastRenderedPageBreak/>
              <w:t>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and/or advanced </w:t>
            </w:r>
            <w:r w:rsidRPr="00DA4E4E">
              <w:rPr>
                <w:rFonts w:ascii="Arial" w:hAnsi="Arial" w:cs="Arial"/>
              </w:rPr>
              <w:lastRenderedPageBreak/>
              <w:t>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w:t>
            </w:r>
            <w:r>
              <w:rPr>
                <w:rFonts w:ascii="Arial" w:hAnsi="Arial" w:cs="Arial"/>
              </w:rPr>
              <w:lastRenderedPageBreak/>
              <w:t>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established </w:t>
            </w:r>
            <w:r w:rsidRPr="00B669B1">
              <w:rPr>
                <w:rFonts w:ascii="Arial" w:hAnsi="Arial" w:cs="Arial"/>
              </w:rPr>
              <w:lastRenderedPageBreak/>
              <w:t>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lastRenderedPageBreak/>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lastRenderedPageBreak/>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lastRenderedPageBreak/>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w:t>
            </w:r>
            <w:r w:rsidRPr="00795507">
              <w:rPr>
                <w:rFonts w:ascii="Arial" w:hAnsi="Arial" w:cs="Arial"/>
              </w:rPr>
              <w:lastRenderedPageBreak/>
              <w:t xml:space="preserve">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 xml:space="preserve">and </w:t>
            </w:r>
            <w:r>
              <w:rPr>
                <w:rFonts w:ascii="Arial" w:hAnsi="Arial" w:cs="Arial"/>
              </w:rPr>
              <w:lastRenderedPageBreak/>
              <w:t>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lastRenderedPageBreak/>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w:t>
            </w:r>
            <w:r w:rsidRPr="00997253">
              <w:rPr>
                <w:rFonts w:ascii="Arial" w:hAnsi="Arial" w:cs="Arial"/>
              </w:rPr>
              <w:lastRenderedPageBreak/>
              <w:t>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tools and/or techniques but without consideration </w:t>
            </w:r>
            <w:r w:rsidRPr="00B669B1">
              <w:rPr>
                <w:rFonts w:ascii="Arial" w:hAnsi="Arial" w:cs="Arial"/>
              </w:rPr>
              <w:lastRenderedPageBreak/>
              <w:t>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 xml:space="preserve">established methods, materials, tools </w:t>
            </w:r>
            <w:r w:rsidRPr="00B669B1">
              <w:rPr>
                <w:rFonts w:ascii="Arial" w:hAnsi="Arial" w:cs="Arial"/>
              </w:rPr>
              <w:lastRenderedPageBreak/>
              <w:t>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lastRenderedPageBreak/>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lastRenderedPageBreak/>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lastRenderedPageBreak/>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r w:rsidRPr="00F65EEE">
              <w:rPr>
                <w:rFonts w:ascii="Arial" w:hAnsi="Arial" w:cs="Arial"/>
                <w:sz w:val="18"/>
                <w:szCs w:val="18"/>
              </w:rPr>
              <w:lastRenderedPageBreak/>
              <w:t>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lastRenderedPageBreak/>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w:t>
            </w:r>
            <w:r>
              <w:rPr>
                <w:rFonts w:ascii="Arial" w:hAnsi="Arial" w:cs="Arial"/>
              </w:rPr>
              <w:lastRenderedPageBreak/>
              <w:t>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w:t>
            </w:r>
            <w:r>
              <w:rPr>
                <w:rFonts w:ascii="Arial" w:hAnsi="Arial" w:cs="Arial"/>
              </w:rPr>
              <w:lastRenderedPageBreak/>
              <w:t>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CFC2F" w14:textId="77777777" w:rsidR="00481F45" w:rsidRDefault="00481F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69E168" w14:textId="77777777" w:rsidR="00481F45" w:rsidRDefault="00481F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1C0FAB" w14:textId="77777777" w:rsidR="00481F45" w:rsidRDefault="00481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A1E40" w14:textId="77777777" w:rsidR="00481F45" w:rsidRDefault="00481F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C3E7B0" w14:textId="77777777" w:rsidR="00481F45" w:rsidRDefault="00481F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2616"/>
    <w:rsid w:val="00045D04"/>
    <w:rsid w:val="00077F13"/>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0346"/>
    <w:rsid w:val="00152E9D"/>
    <w:rsid w:val="00154487"/>
    <w:rsid w:val="0017512A"/>
    <w:rsid w:val="00196958"/>
    <w:rsid w:val="001A1E39"/>
    <w:rsid w:val="001A24F3"/>
    <w:rsid w:val="001B405C"/>
    <w:rsid w:val="001B4CA3"/>
    <w:rsid w:val="001B5F45"/>
    <w:rsid w:val="001E1050"/>
    <w:rsid w:val="001E11AE"/>
    <w:rsid w:val="001E1E1F"/>
    <w:rsid w:val="001E2007"/>
    <w:rsid w:val="001E57C1"/>
    <w:rsid w:val="001E6AF7"/>
    <w:rsid w:val="001F07EF"/>
    <w:rsid w:val="001F50B6"/>
    <w:rsid w:val="001F6D7A"/>
    <w:rsid w:val="0022746E"/>
    <w:rsid w:val="00235F71"/>
    <w:rsid w:val="002444CA"/>
    <w:rsid w:val="00260DE6"/>
    <w:rsid w:val="00260EE1"/>
    <w:rsid w:val="00273FEE"/>
    <w:rsid w:val="0028204E"/>
    <w:rsid w:val="0028591B"/>
    <w:rsid w:val="00291841"/>
    <w:rsid w:val="002B2E4C"/>
    <w:rsid w:val="002C449B"/>
    <w:rsid w:val="002C6040"/>
    <w:rsid w:val="002C68E6"/>
    <w:rsid w:val="002D5B3F"/>
    <w:rsid w:val="002E027E"/>
    <w:rsid w:val="002E272E"/>
    <w:rsid w:val="002F5778"/>
    <w:rsid w:val="003223E0"/>
    <w:rsid w:val="00334E8D"/>
    <w:rsid w:val="00352C4A"/>
    <w:rsid w:val="00354B6F"/>
    <w:rsid w:val="00362560"/>
    <w:rsid w:val="003732FD"/>
    <w:rsid w:val="003753B2"/>
    <w:rsid w:val="00376559"/>
    <w:rsid w:val="00382BAA"/>
    <w:rsid w:val="00384D73"/>
    <w:rsid w:val="00393EB6"/>
    <w:rsid w:val="003A0324"/>
    <w:rsid w:val="003A2980"/>
    <w:rsid w:val="003A3CE5"/>
    <w:rsid w:val="003A3FEA"/>
    <w:rsid w:val="003B366F"/>
    <w:rsid w:val="003B3F9D"/>
    <w:rsid w:val="003B6C95"/>
    <w:rsid w:val="003E5751"/>
    <w:rsid w:val="003F2325"/>
    <w:rsid w:val="004046A9"/>
    <w:rsid w:val="00404C50"/>
    <w:rsid w:val="0042193C"/>
    <w:rsid w:val="00423934"/>
    <w:rsid w:val="004256BB"/>
    <w:rsid w:val="00426244"/>
    <w:rsid w:val="00454735"/>
    <w:rsid w:val="00470A38"/>
    <w:rsid w:val="00474229"/>
    <w:rsid w:val="00481F45"/>
    <w:rsid w:val="004874DE"/>
    <w:rsid w:val="004B5334"/>
    <w:rsid w:val="004B6C14"/>
    <w:rsid w:val="004B6C61"/>
    <w:rsid w:val="004C4F19"/>
    <w:rsid w:val="004C7A40"/>
    <w:rsid w:val="004D5E9B"/>
    <w:rsid w:val="004D63D9"/>
    <w:rsid w:val="004D6DF5"/>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0968"/>
    <w:rsid w:val="005B4568"/>
    <w:rsid w:val="005B61CD"/>
    <w:rsid w:val="005B68B8"/>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225F"/>
    <w:rsid w:val="00644256"/>
    <w:rsid w:val="00654397"/>
    <w:rsid w:val="00655C1C"/>
    <w:rsid w:val="00661D6F"/>
    <w:rsid w:val="006628E9"/>
    <w:rsid w:val="0066725E"/>
    <w:rsid w:val="006716C7"/>
    <w:rsid w:val="00673F98"/>
    <w:rsid w:val="006766B4"/>
    <w:rsid w:val="00681208"/>
    <w:rsid w:val="00681FA9"/>
    <w:rsid w:val="00691EA9"/>
    <w:rsid w:val="006934D4"/>
    <w:rsid w:val="006A6DC3"/>
    <w:rsid w:val="006C1480"/>
    <w:rsid w:val="006D3C61"/>
    <w:rsid w:val="006D49ED"/>
    <w:rsid w:val="006D55CE"/>
    <w:rsid w:val="006D637A"/>
    <w:rsid w:val="006D6B5E"/>
    <w:rsid w:val="006D6F24"/>
    <w:rsid w:val="006E3E4E"/>
    <w:rsid w:val="006F12CF"/>
    <w:rsid w:val="006F45BF"/>
    <w:rsid w:val="006F60E0"/>
    <w:rsid w:val="00702F71"/>
    <w:rsid w:val="00730F85"/>
    <w:rsid w:val="007366DF"/>
    <w:rsid w:val="00757839"/>
    <w:rsid w:val="00763F7D"/>
    <w:rsid w:val="0076406B"/>
    <w:rsid w:val="00770C81"/>
    <w:rsid w:val="00791024"/>
    <w:rsid w:val="00793F0A"/>
    <w:rsid w:val="00795507"/>
    <w:rsid w:val="007A2657"/>
    <w:rsid w:val="007C682C"/>
    <w:rsid w:val="007D2385"/>
    <w:rsid w:val="007D7E75"/>
    <w:rsid w:val="007E6F99"/>
    <w:rsid w:val="007F214F"/>
    <w:rsid w:val="00800069"/>
    <w:rsid w:val="008042F0"/>
    <w:rsid w:val="00804A0A"/>
    <w:rsid w:val="00815D01"/>
    <w:rsid w:val="00815E5D"/>
    <w:rsid w:val="00817C59"/>
    <w:rsid w:val="008310A0"/>
    <w:rsid w:val="00835D29"/>
    <w:rsid w:val="00842E7F"/>
    <w:rsid w:val="008510CE"/>
    <w:rsid w:val="00852933"/>
    <w:rsid w:val="008561FF"/>
    <w:rsid w:val="008566E5"/>
    <w:rsid w:val="008566FE"/>
    <w:rsid w:val="0086526B"/>
    <w:rsid w:val="00865B46"/>
    <w:rsid w:val="00865E06"/>
    <w:rsid w:val="008700DB"/>
    <w:rsid w:val="00894D56"/>
    <w:rsid w:val="00896134"/>
    <w:rsid w:val="008A62BC"/>
    <w:rsid w:val="008B43E7"/>
    <w:rsid w:val="008D34D1"/>
    <w:rsid w:val="008D763F"/>
    <w:rsid w:val="008F036F"/>
    <w:rsid w:val="008F1308"/>
    <w:rsid w:val="008F359C"/>
    <w:rsid w:val="008F78C2"/>
    <w:rsid w:val="00904568"/>
    <w:rsid w:val="00911394"/>
    <w:rsid w:val="00923EF2"/>
    <w:rsid w:val="00926280"/>
    <w:rsid w:val="00926D25"/>
    <w:rsid w:val="00926E9D"/>
    <w:rsid w:val="00932C6E"/>
    <w:rsid w:val="00933F10"/>
    <w:rsid w:val="009433C5"/>
    <w:rsid w:val="00957B34"/>
    <w:rsid w:val="009601B8"/>
    <w:rsid w:val="00965881"/>
    <w:rsid w:val="009871FF"/>
    <w:rsid w:val="00990799"/>
    <w:rsid w:val="00995D51"/>
    <w:rsid w:val="009A0631"/>
    <w:rsid w:val="009B10ED"/>
    <w:rsid w:val="009C3C14"/>
    <w:rsid w:val="009D3EA4"/>
    <w:rsid w:val="009D649C"/>
    <w:rsid w:val="009E4BC1"/>
    <w:rsid w:val="009F5CB2"/>
    <w:rsid w:val="00A03BB8"/>
    <w:rsid w:val="00A24221"/>
    <w:rsid w:val="00A3505D"/>
    <w:rsid w:val="00A4036F"/>
    <w:rsid w:val="00A406E5"/>
    <w:rsid w:val="00A4641C"/>
    <w:rsid w:val="00A55876"/>
    <w:rsid w:val="00A67FB1"/>
    <w:rsid w:val="00A7590C"/>
    <w:rsid w:val="00A85BFE"/>
    <w:rsid w:val="00A969B0"/>
    <w:rsid w:val="00AB6FE7"/>
    <w:rsid w:val="00AB7AD7"/>
    <w:rsid w:val="00AC5F32"/>
    <w:rsid w:val="00AD2430"/>
    <w:rsid w:val="00AE41A6"/>
    <w:rsid w:val="00AF0E34"/>
    <w:rsid w:val="00AF271D"/>
    <w:rsid w:val="00AF56C2"/>
    <w:rsid w:val="00AF750F"/>
    <w:rsid w:val="00B004E6"/>
    <w:rsid w:val="00B0744D"/>
    <w:rsid w:val="00B36C95"/>
    <w:rsid w:val="00B415E3"/>
    <w:rsid w:val="00B431D9"/>
    <w:rsid w:val="00B50EA8"/>
    <w:rsid w:val="00B64082"/>
    <w:rsid w:val="00B72325"/>
    <w:rsid w:val="00B81AD3"/>
    <w:rsid w:val="00B829D8"/>
    <w:rsid w:val="00B84B5B"/>
    <w:rsid w:val="00B86446"/>
    <w:rsid w:val="00BA1176"/>
    <w:rsid w:val="00BC6ACD"/>
    <w:rsid w:val="00BE0B01"/>
    <w:rsid w:val="00BE79C7"/>
    <w:rsid w:val="00BF3CB5"/>
    <w:rsid w:val="00C01A3F"/>
    <w:rsid w:val="00C04B89"/>
    <w:rsid w:val="00C073F1"/>
    <w:rsid w:val="00C1285B"/>
    <w:rsid w:val="00C1361B"/>
    <w:rsid w:val="00C14E1F"/>
    <w:rsid w:val="00C256F4"/>
    <w:rsid w:val="00C305DF"/>
    <w:rsid w:val="00C315AF"/>
    <w:rsid w:val="00C36D9A"/>
    <w:rsid w:val="00C44990"/>
    <w:rsid w:val="00C44A72"/>
    <w:rsid w:val="00C61FC2"/>
    <w:rsid w:val="00C64DA0"/>
    <w:rsid w:val="00C705F9"/>
    <w:rsid w:val="00C80F0F"/>
    <w:rsid w:val="00C8667A"/>
    <w:rsid w:val="00C93745"/>
    <w:rsid w:val="00C93BCB"/>
    <w:rsid w:val="00CC241A"/>
    <w:rsid w:val="00CD1C26"/>
    <w:rsid w:val="00CD1F36"/>
    <w:rsid w:val="00CE4035"/>
    <w:rsid w:val="00CE65AB"/>
    <w:rsid w:val="00CF1598"/>
    <w:rsid w:val="00CF4266"/>
    <w:rsid w:val="00D07EAF"/>
    <w:rsid w:val="00D11ECA"/>
    <w:rsid w:val="00D22BAE"/>
    <w:rsid w:val="00D22D9C"/>
    <w:rsid w:val="00D241F1"/>
    <w:rsid w:val="00D275CB"/>
    <w:rsid w:val="00D30DFA"/>
    <w:rsid w:val="00D463A5"/>
    <w:rsid w:val="00D4710D"/>
    <w:rsid w:val="00D47D25"/>
    <w:rsid w:val="00D62ACD"/>
    <w:rsid w:val="00D82EA1"/>
    <w:rsid w:val="00DA36EE"/>
    <w:rsid w:val="00DA3732"/>
    <w:rsid w:val="00DB116D"/>
    <w:rsid w:val="00DD17CC"/>
    <w:rsid w:val="00DD3B54"/>
    <w:rsid w:val="00DE217A"/>
    <w:rsid w:val="00DF321B"/>
    <w:rsid w:val="00E05287"/>
    <w:rsid w:val="00E230E0"/>
    <w:rsid w:val="00E23C93"/>
    <w:rsid w:val="00E51AAC"/>
    <w:rsid w:val="00E66CC0"/>
    <w:rsid w:val="00E6719C"/>
    <w:rsid w:val="00E728A9"/>
    <w:rsid w:val="00E7483E"/>
    <w:rsid w:val="00E807D9"/>
    <w:rsid w:val="00E90E41"/>
    <w:rsid w:val="00EA0F4E"/>
    <w:rsid w:val="00EA295B"/>
    <w:rsid w:val="00EA3B9B"/>
    <w:rsid w:val="00EA6801"/>
    <w:rsid w:val="00EB0611"/>
    <w:rsid w:val="00EB4F96"/>
    <w:rsid w:val="00ED7072"/>
    <w:rsid w:val="00EE3132"/>
    <w:rsid w:val="00EE3D9D"/>
    <w:rsid w:val="00EE6F25"/>
    <w:rsid w:val="00F02126"/>
    <w:rsid w:val="00F03D85"/>
    <w:rsid w:val="00F07C8C"/>
    <w:rsid w:val="00F1005E"/>
    <w:rsid w:val="00F171F6"/>
    <w:rsid w:val="00F249F1"/>
    <w:rsid w:val="00F25B9D"/>
    <w:rsid w:val="00F2664E"/>
    <w:rsid w:val="00F31163"/>
    <w:rsid w:val="00F31C04"/>
    <w:rsid w:val="00F35567"/>
    <w:rsid w:val="00F442A7"/>
    <w:rsid w:val="00F461DD"/>
    <w:rsid w:val="00F57A89"/>
    <w:rsid w:val="00F61A20"/>
    <w:rsid w:val="00F63B05"/>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D4ACA"/>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pPr>
        <w:spacing w:after="160" w:line="480" w:lineRule="auto"/>
      </w:pPr>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rsid w:val="005B68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381261">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library.college.police.uk/docs/npia/CohesionGuide.pdf/" TargetMode="External"/><Relationship Id="rId18" Type="http://schemas.openxmlformats.org/officeDocument/2006/relationships/hyperlink" Target="https://journals-sagepub-com.ezproxy.uwtsd.ac.uk/doi/pdf/10.1177/1098611115598990" TargetMode="External"/><Relationship Id="rId26" Type="http://schemas.openxmlformats.org/officeDocument/2006/relationships/hyperlink" Target="https://assets.publishing.service.gov.uk/government/uploads/system/uploads/attachment_data/file/207468/community-trigger-trials-report-v4.pdf" TargetMode="External"/><Relationship Id="rId39" Type="http://schemas.openxmlformats.org/officeDocument/2006/relationships/hyperlink" Target="https://www-tandfonline-com.ezproxy.uwtsd.ac.uk/doi/pdf/10.1179/lan.2009.10.1.1?needAccess=true" TargetMode="External"/><Relationship Id="rId21" Type="http://schemas.openxmlformats.org/officeDocument/2006/relationships/hyperlink" Target="http://eprints.bournemouth.ac.uk/32438/1/Heslop_2019_Police_and_uneversity_ethics_%20final.pdf" TargetMode="External"/><Relationship Id="rId34" Type="http://schemas.openxmlformats.org/officeDocument/2006/relationships/hyperlink" Target="https://www.nationalcrimeagency.gov.uk/who-we-are/publications/173-national-strategic-assessment-of-serious-and-organised-crime-2018/file" TargetMode="External"/><Relationship Id="rId42" Type="http://schemas.openxmlformats.org/officeDocument/2006/relationships/hyperlink" Target="https://www.college.police.uk/ethics/code-of-ethics" TargetMode="External"/><Relationship Id="rId47" Type="http://schemas.openxmlformats.org/officeDocument/2006/relationships/hyperlink" Target="https://committees.parliament.uk/committee/127/public-accounts-committee/news/98538/better-coordination-to-tackle-causes-of-serious-and-organised-crime-needed/"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http://www.npcc.police.uk/documents/policing%20vision.pdf/" TargetMode="External"/><Relationship Id="rId17" Type="http://schemas.openxmlformats.org/officeDocument/2006/relationships/hyperlink" Target="https://www.researchgate.net/publication/273767075_TASKING_COORDINATION_EFFECTIVE_DECISION_MAKING_OR_BLIND_MEN_FEELING_AN_ELEPHANT" TargetMode="External"/><Relationship Id="rId25" Type="http://schemas.openxmlformats.org/officeDocument/2006/relationships/hyperlink" Target="https://assets.publishing.service.gov.uk/government/uploads/system/uploads/attachment_data/file/228946/7665.pdf" TargetMode="External"/><Relationship Id="rId33" Type="http://schemas.openxmlformats.org/officeDocument/2006/relationships/hyperlink" Target="https://assets.publishing.service.gov.uk/government/uploads/system/uploads/attachment_data/file/277111/4262.pdf" TargetMode="External"/><Relationship Id="rId38" Type="http://schemas.openxmlformats.org/officeDocument/2006/relationships/hyperlink" Target="https://www.gwent.pcc.police.uk/media/kg5l1mhb/2020-029-opcc-equality-annual-report-2019_20-v4.pdf" TargetMode="External"/><Relationship Id="rId46" Type="http://schemas.openxmlformats.org/officeDocument/2006/relationships/hyperlink" Target="https://www.theguardian.com/commentisfree/2020/jun/04/systemic-racism-police-brutality-british-problems-black-lives-matter" TargetMode="External"/><Relationship Id="rId2" Type="http://schemas.openxmlformats.org/officeDocument/2006/relationships/customXml" Target="../customXml/item2.xml"/><Relationship Id="rId16" Type="http://schemas.openxmlformats.org/officeDocument/2006/relationships/hyperlink" Target="http://clok.uclan.ac.uk/18267/8/18267%20CoxKirbyPoliceHE.pdf" TargetMode="External"/><Relationship Id="rId20" Type="http://schemas.openxmlformats.org/officeDocument/2006/relationships/hyperlink" Target="https://www.gwent.police.uk/police-forces/gwent-police/areas/about-us/about-us/community-cohesion-group/" TargetMode="External"/><Relationship Id="rId29" Type="http://schemas.openxmlformats.org/officeDocument/2006/relationships/hyperlink" Target="https://publications.parliament.uk/pa/cm199798/cmhansrd/vo980902/debtext/80902-49.htm" TargetMode="External"/><Relationship Id="rId41" Type="http://schemas.openxmlformats.org/officeDocument/2006/relationships/hyperlink" Target="https://www.app.college.police.uk/app-content/intelligence-management/governance/"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assets.publishing.service.gov.uk/government/uploads/system/uploads/attachment_data/file/251075/6167.pdf" TargetMode="External"/><Relationship Id="rId32" Type="http://schemas.openxmlformats.org/officeDocument/2006/relationships/hyperlink" Target="https://bscpolicingnetwork.com/2020/05/26/the-national-intelligence-model/" TargetMode="External"/><Relationship Id="rId37" Type="http://schemas.openxmlformats.org/officeDocument/2006/relationships/hyperlink" Target="https://whatworks.college.police.uk/Research/Documents/Community_engagement_lessons.pdf" TargetMode="External"/><Relationship Id="rId40" Type="http://schemas.openxmlformats.org/officeDocument/2006/relationships/hyperlink" Target="https://doi-org.ezproxy.uwtsd.ac.uk/10.1007/s12117-006-1028-1" TargetMode="External"/><Relationship Id="rId45" Type="http://schemas.openxmlformats.org/officeDocument/2006/relationships/hyperlink" Target="https://www.theguardian.com/uk/2009/apr/27/serious-organised-crime-agency-brown-failure-gangs" TargetMode="External"/><Relationship Id="rId53" Type="http://schemas.openxmlformats.org/officeDocument/2006/relationships/footer" Target="footer2.xml"/><Relationship Id="rId58"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theconversation.com/how-new-recruits-are-changing-police-culture-for-the-better-85221" TargetMode="External"/><Relationship Id="rId23" Type="http://schemas.openxmlformats.org/officeDocument/2006/relationships/hyperlink" Target="https://assets.publishing.service.gov.uk/government/uploads/system/uploads/attachment_data/file/118237/chapter-four.pdf/" TargetMode="External"/><Relationship Id="rId28" Type="http://schemas.openxmlformats.org/officeDocument/2006/relationships/hyperlink" Target="https://www.gov.uk/government/news/government-strengthens-anti-social-behaviour-guidance-to-ensure-protection-for-victims" TargetMode="External"/><Relationship Id="rId36" Type="http://schemas.openxmlformats.org/officeDocument/2006/relationships/hyperlink" Target="http://library.college.police.uk/docs/npia/CohesionGuide.pdf/" TargetMode="External"/><Relationship Id="rId49" Type="http://schemas.openxmlformats.org/officeDocument/2006/relationships/hyperlink" Target="https://pure.port.ac.uk/ws/portalfiles/portal/10852416/C._Watson_DCrimJ_Thesis_Information_and_Intelligence_Sharing_backup_.pdf" TargetMode="External"/><Relationship Id="rId57"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www.democracy.caerphilly.gov.uk/Data/Gwent%20Police%20and%20Crime%20Panel/201302150930/Agenda/Gwent%20Police%20and%20Crime%20Panel%20Minutes%2015-02-13%20-%20048707.pdf" TargetMode="External"/><Relationship Id="rId31" Type="http://schemas.openxmlformats.org/officeDocument/2006/relationships/hyperlink" Target="http://www.tedcantle.co.uk/publications/033%20Tension%20monitoring%20guidance%20iCoCo%202010.pdf" TargetMode="External"/><Relationship Id="rId44" Type="http://schemas.openxmlformats.org/officeDocument/2006/relationships/hyperlink" Target="https://www.app.college.police.uk/app-content/intelligence-management/"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eprints.lse.ac.uk/86612/7/Brown_Extending%20the%20remit%20of%20evidence-based%20policing2_.pdf" TargetMode="External"/><Relationship Id="rId22" Type="http://schemas.openxmlformats.org/officeDocument/2006/relationships/hyperlink" Target="https://assets.publishing.service.gov.uk/government/uploads/system/uploads/attachment_data/file/716907/140618_CCS207_CCS0218929798-1_CONTEST_3.0_WEB.pdf" TargetMode="External"/><Relationship Id="rId27" Type="http://schemas.openxmlformats.org/officeDocument/2006/relationships/hyperlink" Target="https://www.gov.uk/government/news/government-launches-new-strategy-to-tackle-serious-and-organised-crime" TargetMode="External"/><Relationship Id="rId30" Type="http://schemas.openxmlformats.org/officeDocument/2006/relationships/hyperlink" Target="https://researchbriefings.files.parliament.uk/documents/CBP-7270/CBP-7270.pdf" TargetMode="External"/><Relationship Id="rId35" Type="http://schemas.openxmlformats.org/officeDocument/2006/relationships/hyperlink" Target="http://www.npcc.police.uk/documents/policing%20vision.pdf" TargetMode="External"/><Relationship Id="rId43" Type="http://schemas.openxmlformats.org/officeDocument/2006/relationships/hyperlink" Target="https://profdev.college.police.uk/competency-values/integrity/" TargetMode="External"/><Relationship Id="rId48" Type="http://schemas.openxmlformats.org/officeDocument/2006/relationships/hyperlink" Target="https://moderngov.dover.gov.uk/documents/s10656/Implementation%20of%20the%20Anti-Social%20Behaviour%20Crime%20and%20Policing%20Act%202014.pdf" TargetMode="External"/><Relationship Id="rId56" Type="http://schemas.openxmlformats.org/officeDocument/2006/relationships/footer" Target="footer4.xml"/><Relationship Id="rId8" Type="http://schemas.openxmlformats.org/officeDocument/2006/relationships/footnotes" Target="footnotes.xml"/><Relationship Id="rId51" Type="http://schemas.openxmlformats.org/officeDocument/2006/relationships/header" Target="header2.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9" ma:contentTypeDescription="Create a new document." ma:contentTypeScope="" ma:versionID="42480295c0cd32123a143fb3eb34a9c2">
  <xsd:schema xmlns:xsd="http://www.w3.org/2001/XMLSchema" xmlns:xs="http://www.w3.org/2001/XMLSchema" xmlns:p="http://schemas.microsoft.com/office/2006/metadata/properties" xmlns:ns3="f530b0c7-8a59-403c-bdc6-fece6fadc3bb" targetNamespace="http://schemas.microsoft.com/office/2006/metadata/properties" ma:root="true" ma:fieldsID="f6b38949c5508b54aa148d143fa5cc7e"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f530b0c7-8a59-403c-bdc6-fece6fadc3bb"/>
    <ds:schemaRef ds:uri="http://www.w3.org/XML/1998/namespace"/>
    <ds:schemaRef ds:uri="http://purl.org/dc/dcmitype/"/>
  </ds:schemaRefs>
</ds:datastoreItem>
</file>

<file path=customXml/itemProps2.xml><?xml version="1.0" encoding="utf-8"?>
<ds:datastoreItem xmlns:ds="http://schemas.openxmlformats.org/officeDocument/2006/customXml" ds:itemID="{4F27CFBF-F42B-4AC4-A504-E873832319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90</TotalTime>
  <Pages>38</Pages>
  <Words>8757</Words>
  <Characters>59191</Characters>
  <Application>Microsoft Office Word</Application>
  <DocSecurity>0</DocSecurity>
  <Lines>493</Lines>
  <Paragraphs>135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Walther, Tessa</cp:lastModifiedBy>
  <cp:revision>69</cp:revision>
  <cp:lastPrinted>2014-10-10T07:42:00Z</cp:lastPrinted>
  <dcterms:created xsi:type="dcterms:W3CDTF">2021-06-03T18:07:00Z</dcterms:created>
  <dcterms:modified xsi:type="dcterms:W3CDTF">2021-11-19T22:38:00Z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0x010100C4B216291E3C554C92ACB0A1B4C09425</vt:lpwstr>
  </property>
  <property fmtid="{D5CDD505-2E9C-101B-9397-08002B2CF9AE}" pid="6" name="MSIP_Label_f2acd28b-79a3-4a0f-b0ff-4b75658b1549_Enabled">
    <vt:lpwstr>true</vt:lpwstr>
  </property>
  <property fmtid="{D5CDD505-2E9C-101B-9397-08002B2CF9AE}" pid="7" name="MSIP_Label_f2acd28b-79a3-4a0f-b0ff-4b75658b1549_SetDate">
    <vt:lpwstr>2021-06-03T18:07:01Z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bbd12423-168f-40cb-8bdc-ffe54120bea0</vt:lpwstr>
  </property>
  <property fmtid="{D5CDD505-2E9C-101B-9397-08002B2CF9AE}" pid="12" name="MSIP_Label_f2acd28b-79a3-4a0f-b0ff-4b75658b1549_ContentBits">
    <vt:lpwstr>0</vt:lpwstr>
  </property>
</Properties>
</file>