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BB1113" w14:textId="7D317236" w:rsidR="00DC0FE7" w:rsidRPr="00E762ED" w:rsidRDefault="00916F50" w:rsidP="00E762ED">
      <w:pPr>
        <w:spacing w:line="360" w:lineRule="auto"/>
        <w:rPr>
          <w:rFonts w:ascii="Arial" w:hAnsi="Arial" w:cs="Arial"/>
        </w:rPr>
      </w:pPr>
      <w:r w:rsidRPr="00E762ED">
        <w:rPr>
          <w:rFonts w:ascii="Arial" w:hAnsi="Arial" w:cs="Arial"/>
        </w:rPr>
        <w:t>STUDENT NAME: NEEMA NJONJO</w:t>
      </w:r>
      <w:r w:rsidRPr="00E762ED">
        <w:rPr>
          <w:rFonts w:ascii="Arial" w:hAnsi="Arial" w:cs="Arial"/>
        </w:rPr>
        <w:br/>
        <w:t>STUDENT NUMBER: 2434651</w:t>
      </w:r>
      <w:r w:rsidRPr="00E762ED">
        <w:rPr>
          <w:rFonts w:ascii="Arial" w:hAnsi="Arial" w:cs="Arial"/>
        </w:rPr>
        <w:br/>
        <w:t>MODULE CODE: BMHP5016</w:t>
      </w:r>
    </w:p>
    <w:p w14:paraId="7E7525AA" w14:textId="0CFC0D4D" w:rsidR="008772BD" w:rsidRPr="00E762ED" w:rsidRDefault="00916F50" w:rsidP="00E762ED">
      <w:pPr>
        <w:spacing w:line="360" w:lineRule="auto"/>
        <w:rPr>
          <w:rFonts w:ascii="Arial" w:hAnsi="Arial" w:cs="Arial"/>
        </w:rPr>
      </w:pPr>
      <w:r w:rsidRPr="00E762ED">
        <w:rPr>
          <w:rFonts w:ascii="Arial" w:hAnsi="Arial" w:cs="Arial"/>
        </w:rPr>
        <w:t>MODULE TITLE: PRINCIPLES OF HEALTH AND SOCIAL CARE PRACTICE</w:t>
      </w:r>
    </w:p>
    <w:p w14:paraId="719F7980" w14:textId="3D031731" w:rsidR="003B3277" w:rsidRPr="00E762ED" w:rsidRDefault="00916F50" w:rsidP="00E762ED">
      <w:pPr>
        <w:spacing w:line="360" w:lineRule="auto"/>
        <w:rPr>
          <w:rFonts w:ascii="Arial" w:hAnsi="Arial" w:cs="Arial"/>
        </w:rPr>
      </w:pPr>
      <w:r w:rsidRPr="00E762ED">
        <w:rPr>
          <w:rFonts w:ascii="Arial" w:hAnsi="Arial" w:cs="Arial"/>
        </w:rPr>
        <w:t>ASSIGNMENT TITLE: COMPONENT 2: WRITTEN ASSIGNMENT (REPORT)</w:t>
      </w:r>
      <w:r w:rsidRPr="00E762ED">
        <w:rPr>
          <w:rFonts w:ascii="Arial" w:hAnsi="Arial" w:cs="Arial"/>
        </w:rPr>
        <w:br/>
        <w:t>LECTURER</w:t>
      </w:r>
      <w:r w:rsidR="00E762ED" w:rsidRPr="00E762ED">
        <w:rPr>
          <w:rFonts w:ascii="Arial" w:hAnsi="Arial" w:cs="Arial"/>
        </w:rPr>
        <w:t>: RIZWAN NADIM</w:t>
      </w:r>
      <w:r w:rsidR="00E762ED" w:rsidRPr="00E762ED">
        <w:rPr>
          <w:rFonts w:ascii="Arial" w:hAnsi="Arial" w:cs="Arial"/>
        </w:rPr>
        <w:br/>
      </w:r>
    </w:p>
    <w:p w14:paraId="71FEB2C3" w14:textId="77777777" w:rsidR="003B3277" w:rsidRPr="00E762ED" w:rsidRDefault="003B3277" w:rsidP="00E762ED">
      <w:pPr>
        <w:spacing w:line="360" w:lineRule="auto"/>
        <w:rPr>
          <w:rFonts w:ascii="Arial" w:hAnsi="Arial" w:cs="Arial"/>
        </w:rPr>
      </w:pPr>
    </w:p>
    <w:p w14:paraId="13B82BEB" w14:textId="77777777" w:rsidR="003B3277" w:rsidRPr="00E762ED" w:rsidRDefault="003B3277" w:rsidP="00E762ED">
      <w:pPr>
        <w:spacing w:line="360" w:lineRule="auto"/>
        <w:rPr>
          <w:rFonts w:ascii="Arial" w:hAnsi="Arial" w:cs="Arial"/>
        </w:rPr>
      </w:pPr>
    </w:p>
    <w:p w14:paraId="23A998FA" w14:textId="77777777" w:rsidR="003B3277" w:rsidRPr="00E762ED" w:rsidRDefault="003B3277" w:rsidP="00E762ED">
      <w:pPr>
        <w:spacing w:line="360" w:lineRule="auto"/>
        <w:rPr>
          <w:rFonts w:ascii="Arial" w:hAnsi="Arial" w:cs="Arial"/>
        </w:rPr>
      </w:pPr>
    </w:p>
    <w:p w14:paraId="0DB11AFB" w14:textId="77777777" w:rsidR="003B3277" w:rsidRPr="00E762ED" w:rsidRDefault="003B3277" w:rsidP="00E762ED">
      <w:pPr>
        <w:spacing w:line="360" w:lineRule="auto"/>
        <w:rPr>
          <w:rFonts w:ascii="Arial" w:hAnsi="Arial" w:cs="Arial"/>
        </w:rPr>
      </w:pPr>
    </w:p>
    <w:p w14:paraId="5B41B6EB" w14:textId="77777777" w:rsidR="003B3277" w:rsidRPr="00E762ED" w:rsidRDefault="003B3277" w:rsidP="00E762ED">
      <w:pPr>
        <w:spacing w:line="360" w:lineRule="auto"/>
        <w:rPr>
          <w:rFonts w:ascii="Arial" w:hAnsi="Arial" w:cs="Arial"/>
        </w:rPr>
      </w:pPr>
    </w:p>
    <w:p w14:paraId="134BCDAE" w14:textId="77777777" w:rsidR="003B3277" w:rsidRPr="00E762ED" w:rsidRDefault="003B3277" w:rsidP="00E762ED">
      <w:pPr>
        <w:spacing w:line="360" w:lineRule="auto"/>
        <w:rPr>
          <w:rFonts w:ascii="Arial" w:hAnsi="Arial" w:cs="Arial"/>
        </w:rPr>
      </w:pPr>
    </w:p>
    <w:p w14:paraId="48A0D592" w14:textId="77777777" w:rsidR="003B3277" w:rsidRPr="00E762ED" w:rsidRDefault="003B3277" w:rsidP="00E762ED">
      <w:pPr>
        <w:spacing w:line="360" w:lineRule="auto"/>
        <w:rPr>
          <w:rFonts w:ascii="Arial" w:hAnsi="Arial" w:cs="Arial"/>
        </w:rPr>
      </w:pPr>
    </w:p>
    <w:p w14:paraId="4D12D6DC" w14:textId="77777777" w:rsidR="003B3277" w:rsidRPr="00E762ED" w:rsidRDefault="003B3277" w:rsidP="00E762ED">
      <w:pPr>
        <w:spacing w:line="360" w:lineRule="auto"/>
        <w:rPr>
          <w:rFonts w:ascii="Arial" w:hAnsi="Arial" w:cs="Arial"/>
        </w:rPr>
      </w:pPr>
    </w:p>
    <w:p w14:paraId="5BE2516D" w14:textId="77777777" w:rsidR="003B3277" w:rsidRPr="00E762ED" w:rsidRDefault="003B3277" w:rsidP="00E762ED">
      <w:pPr>
        <w:spacing w:line="360" w:lineRule="auto"/>
        <w:rPr>
          <w:rFonts w:ascii="Arial" w:hAnsi="Arial" w:cs="Arial"/>
        </w:rPr>
      </w:pPr>
    </w:p>
    <w:p w14:paraId="763E232E" w14:textId="77777777" w:rsidR="003B3277" w:rsidRPr="00E762ED" w:rsidRDefault="003B3277" w:rsidP="00E762ED">
      <w:pPr>
        <w:spacing w:line="360" w:lineRule="auto"/>
        <w:rPr>
          <w:rFonts w:ascii="Arial" w:hAnsi="Arial" w:cs="Arial"/>
        </w:rPr>
      </w:pPr>
    </w:p>
    <w:p w14:paraId="101760CE" w14:textId="77777777" w:rsidR="001C6B6E" w:rsidRPr="00E762ED" w:rsidRDefault="001C6B6E" w:rsidP="00E762ED">
      <w:pPr>
        <w:spacing w:line="360" w:lineRule="auto"/>
        <w:rPr>
          <w:rFonts w:ascii="Arial" w:hAnsi="Arial" w:cs="Arial"/>
        </w:rPr>
      </w:pPr>
    </w:p>
    <w:p w14:paraId="16C61D85" w14:textId="77777777" w:rsidR="009A328A" w:rsidRPr="00E762ED" w:rsidRDefault="009A328A" w:rsidP="00E762ED">
      <w:pPr>
        <w:spacing w:line="360" w:lineRule="auto"/>
        <w:rPr>
          <w:rFonts w:ascii="Arial" w:hAnsi="Arial" w:cs="Arial"/>
        </w:rPr>
      </w:pPr>
    </w:p>
    <w:p w14:paraId="17E12867" w14:textId="77777777" w:rsidR="009A328A" w:rsidRPr="00E762ED" w:rsidRDefault="009A328A" w:rsidP="00E762ED">
      <w:pPr>
        <w:spacing w:line="360" w:lineRule="auto"/>
        <w:rPr>
          <w:rFonts w:ascii="Arial" w:hAnsi="Arial" w:cs="Arial"/>
        </w:rPr>
      </w:pPr>
    </w:p>
    <w:p w14:paraId="73006DA8" w14:textId="77777777" w:rsidR="009A328A" w:rsidRPr="00E762ED" w:rsidRDefault="009A328A" w:rsidP="00E762ED">
      <w:pPr>
        <w:spacing w:line="360" w:lineRule="auto"/>
        <w:rPr>
          <w:rFonts w:ascii="Arial" w:hAnsi="Arial" w:cs="Arial"/>
        </w:rPr>
      </w:pPr>
    </w:p>
    <w:p w14:paraId="0D602C5D" w14:textId="77777777" w:rsidR="009A328A" w:rsidRPr="00E762ED" w:rsidRDefault="009A328A" w:rsidP="00E762ED">
      <w:pPr>
        <w:spacing w:line="360" w:lineRule="auto"/>
        <w:rPr>
          <w:rFonts w:ascii="Arial" w:hAnsi="Arial" w:cs="Arial"/>
        </w:rPr>
      </w:pPr>
    </w:p>
    <w:p w14:paraId="3D4ADB22" w14:textId="77777777" w:rsidR="009A328A" w:rsidRPr="00E762ED" w:rsidRDefault="009A328A" w:rsidP="00E762ED">
      <w:pPr>
        <w:spacing w:line="360" w:lineRule="auto"/>
        <w:rPr>
          <w:rFonts w:ascii="Arial" w:hAnsi="Arial" w:cs="Arial"/>
        </w:rPr>
      </w:pPr>
    </w:p>
    <w:p w14:paraId="61A115FD" w14:textId="77777777" w:rsidR="009A328A" w:rsidRPr="00E762ED" w:rsidRDefault="009A328A" w:rsidP="00E762ED">
      <w:pPr>
        <w:spacing w:line="360" w:lineRule="auto"/>
        <w:rPr>
          <w:rFonts w:ascii="Arial" w:hAnsi="Arial" w:cs="Arial"/>
        </w:rPr>
      </w:pPr>
    </w:p>
    <w:p w14:paraId="499A30F7" w14:textId="77777777" w:rsidR="009A328A" w:rsidRPr="00E762ED" w:rsidRDefault="009A328A" w:rsidP="00E762ED">
      <w:pPr>
        <w:spacing w:line="360" w:lineRule="auto"/>
        <w:rPr>
          <w:rFonts w:ascii="Arial" w:hAnsi="Arial" w:cs="Arial"/>
        </w:rPr>
      </w:pPr>
    </w:p>
    <w:p w14:paraId="6396E728" w14:textId="77777777" w:rsidR="009A328A" w:rsidRPr="00E762ED" w:rsidRDefault="009A328A" w:rsidP="00E762ED">
      <w:pPr>
        <w:spacing w:line="360" w:lineRule="auto"/>
        <w:rPr>
          <w:rFonts w:ascii="Arial" w:hAnsi="Arial" w:cs="Arial"/>
        </w:rPr>
      </w:pPr>
    </w:p>
    <w:p w14:paraId="3E206A2C" w14:textId="77777777" w:rsidR="009A328A" w:rsidRPr="00E762ED" w:rsidRDefault="009A328A" w:rsidP="00E762ED">
      <w:pPr>
        <w:spacing w:line="360" w:lineRule="auto"/>
        <w:rPr>
          <w:rFonts w:ascii="Arial" w:hAnsi="Arial" w:cs="Arial"/>
        </w:rPr>
      </w:pPr>
    </w:p>
    <w:p w14:paraId="752F601A" w14:textId="77777777" w:rsidR="001C6B6E" w:rsidRPr="00E762ED" w:rsidRDefault="001C6B6E" w:rsidP="00E762ED">
      <w:pPr>
        <w:spacing w:line="360" w:lineRule="auto"/>
        <w:rPr>
          <w:rFonts w:ascii="Arial" w:hAnsi="Arial" w:cs="Arial"/>
        </w:rPr>
      </w:pPr>
    </w:p>
    <w:p w14:paraId="1B497012" w14:textId="77777777" w:rsidR="00D13CBE" w:rsidRPr="00E762ED" w:rsidRDefault="00D13CBE" w:rsidP="00E762ED">
      <w:pPr>
        <w:spacing w:line="360" w:lineRule="auto"/>
        <w:rPr>
          <w:rFonts w:ascii="Arial" w:hAnsi="Arial" w:cs="Arial"/>
        </w:rPr>
      </w:pPr>
    </w:p>
    <w:p w14:paraId="43D15E81" w14:textId="77777777" w:rsidR="008E5FD1" w:rsidRPr="00E762ED" w:rsidRDefault="00374FAA" w:rsidP="00E762ED">
      <w:pPr>
        <w:spacing w:line="360" w:lineRule="auto"/>
        <w:rPr>
          <w:rFonts w:ascii="Arial" w:hAnsi="Arial" w:cs="Arial"/>
        </w:rPr>
      </w:pPr>
      <w:r w:rsidRPr="00E762ED">
        <w:rPr>
          <w:rFonts w:ascii="Arial" w:hAnsi="Arial" w:cs="Arial"/>
          <w:b/>
          <w:bCs/>
        </w:rPr>
        <w:t>Abstract</w:t>
      </w:r>
      <w:r w:rsidRPr="00E762ED">
        <w:rPr>
          <w:rFonts w:ascii="Arial" w:hAnsi="Arial" w:cs="Arial"/>
        </w:rPr>
        <w:br/>
      </w:r>
      <w:r w:rsidRPr="00E762ED">
        <w:rPr>
          <w:rFonts w:ascii="Arial" w:hAnsi="Arial" w:cs="Arial"/>
        </w:rPr>
        <w:br/>
        <w:t>Person-centred care (PCC) and partnership working (PW) play a vital role in the delivery of compassionate and effective mental health services within the UK (NICE, 20 22; NHS England, 20 24). This report evaluates the principles of person-centred care and partnership working. Theories and ethical principles that underpin person-centred practice are discussed. The importance of partnership working in supporting improved recovery and service-user outcomes is evaluated (Department of Health and Social Care, 20 22). Legislation that affects practice is explained, including the Care Act 2014 and the Health and Care Act 20 22. Despite improvements in service-user involvement, communication between professionals and quality care, there are issues that impact PW and PCC such as staffing shortages, limited resources, and communication difficulties. Recommendations to improve mental health services are provided.</w:t>
      </w:r>
      <w:r w:rsidRPr="00E762ED">
        <w:rPr>
          <w:rFonts w:ascii="Arial" w:hAnsi="Arial" w:cs="Arial"/>
        </w:rPr>
        <w:br/>
      </w:r>
      <w:r w:rsidRPr="00E762ED">
        <w:rPr>
          <w:rFonts w:ascii="Arial" w:hAnsi="Arial" w:cs="Arial"/>
          <w:b/>
          <w:bCs/>
        </w:rPr>
        <w:br/>
        <w:t>Introduction</w:t>
      </w:r>
      <w:r w:rsidRPr="00E762ED">
        <w:rPr>
          <w:rFonts w:ascii="Arial" w:hAnsi="Arial" w:cs="Arial"/>
        </w:rPr>
        <w:br/>
      </w:r>
      <w:r w:rsidRPr="00E762ED">
        <w:rPr>
          <w:rFonts w:ascii="Arial" w:hAnsi="Arial" w:cs="Arial"/>
        </w:rPr>
        <w:br/>
        <w:t>Person-centred care (PCC) and partnership working (PW) are vital in ensuring mental health services are compassionate and effective within the UK. They allow care to be tailored to individuals’ needs, preferences, and values, while ensuring organisations work together to ensure coordinated support (NICE, 20 22). The use of person-centred care and partnership working leads to positive recovery and service-user outcomes by ensuring better experiences and coordination of care (NHS England, 20 24).</w:t>
      </w:r>
      <w:r w:rsidRPr="00E762ED">
        <w:rPr>
          <w:rFonts w:ascii="Arial" w:hAnsi="Arial" w:cs="Arial"/>
        </w:rPr>
        <w:br/>
      </w:r>
      <w:r w:rsidRPr="00E762ED">
        <w:rPr>
          <w:rFonts w:ascii="Arial" w:hAnsi="Arial" w:cs="Arial"/>
        </w:rPr>
        <w:br/>
        <w:t>This report will critically evaluate person-centred care and partnership working principles within mental health services. What PCC means will be discussed, along with theories and ethical principles which underpin practice. The importance of PW will be evaluated and the legislation and policies affecting practice will be discussed. The report will conclude by offering evidence-based recommendations on how to improve person-centred care and partnership working within mental health services.</w:t>
      </w:r>
      <w:r w:rsidRPr="00E762ED">
        <w:rPr>
          <w:rFonts w:ascii="Arial" w:hAnsi="Arial" w:cs="Arial"/>
        </w:rPr>
        <w:br/>
      </w:r>
      <w:r w:rsidRPr="00E762ED">
        <w:rPr>
          <w:rFonts w:ascii="Arial" w:hAnsi="Arial" w:cs="Arial"/>
        </w:rPr>
        <w:br/>
      </w:r>
      <w:r w:rsidRPr="00E762ED">
        <w:rPr>
          <w:rFonts w:ascii="Arial" w:hAnsi="Arial" w:cs="Arial"/>
          <w:b/>
          <w:bCs/>
        </w:rPr>
        <w:t>Definition of Person-Centred Care</w:t>
      </w:r>
      <w:r w:rsidRPr="00E762ED">
        <w:rPr>
          <w:rFonts w:ascii="Arial" w:hAnsi="Arial" w:cs="Arial"/>
        </w:rPr>
        <w:br/>
      </w:r>
      <w:r w:rsidRPr="00E762ED">
        <w:rPr>
          <w:rFonts w:ascii="Arial" w:hAnsi="Arial" w:cs="Arial"/>
        </w:rPr>
        <w:br/>
      </w:r>
      <w:r w:rsidR="001B2062" w:rsidRPr="00E762ED">
        <w:rPr>
          <w:rFonts w:ascii="Arial" w:hAnsi="Arial" w:cs="Arial"/>
        </w:rPr>
        <w:t xml:space="preserve">Person-centred care has been described as “a way of providing healthcare and social care that ensures each person is at the centre of any decisions about their care and treatment” </w:t>
      </w:r>
      <w:r w:rsidR="001B2062" w:rsidRPr="00E762ED">
        <w:rPr>
          <w:rFonts w:ascii="Arial" w:hAnsi="Arial" w:cs="Arial"/>
        </w:rPr>
        <w:lastRenderedPageBreak/>
        <w:t>(National Institute for Health and Care Excellence (NICE), 20 21). Person-centred care means ensuring everyone is treated with dignity, respect, and compassion and that each person accessing healthcare has different needs, preferences, values, and experiences. Practicing person-centred care means working in a way that enables service users to be involved in planning and decision-making where possible. By doing this, healthcare professionals should work in partnership with service users to achieve the best possible outcome.</w:t>
      </w:r>
      <w:r w:rsidR="001B2062" w:rsidRPr="00E762ED">
        <w:rPr>
          <w:rFonts w:ascii="Arial" w:hAnsi="Arial" w:cs="Arial"/>
        </w:rPr>
        <w:br/>
      </w:r>
      <w:r w:rsidR="001B2062" w:rsidRPr="00E762ED">
        <w:rPr>
          <w:rFonts w:ascii="Arial" w:hAnsi="Arial" w:cs="Arial"/>
        </w:rPr>
        <w:br/>
        <w:t>According to The Health Foundation (2016), person-centred care is when you treat people as equals and involve them in planning, developing, and monitoring their care to address their needs. Person-centred care acknowledges people’s physical needs but looks at their emotional, psychological, social, and cultural needs too. Person-centred care is commonly used in mental health services in the UK to promote recovery. By involving service users in decision-making and empowering them, person-centred care allows healthcare professionals to care for people in a way that improves the therapeutic relationship and ultimately improves health outcomes. It also ensures that service users are happier with the care they receive (NHS England, 20 24).</w:t>
      </w:r>
    </w:p>
    <w:p w14:paraId="6D75C55F" w14:textId="30EE5F78" w:rsidR="00D13CBE" w:rsidRPr="00E762ED" w:rsidRDefault="00374FAA" w:rsidP="00E762ED">
      <w:pPr>
        <w:spacing w:line="360" w:lineRule="auto"/>
        <w:rPr>
          <w:rFonts w:ascii="Arial" w:hAnsi="Arial" w:cs="Arial"/>
        </w:rPr>
      </w:pPr>
      <w:r w:rsidRPr="00E762ED">
        <w:rPr>
          <w:rFonts w:ascii="Arial" w:hAnsi="Arial" w:cs="Arial"/>
        </w:rPr>
        <w:br/>
      </w:r>
      <w:r w:rsidRPr="00E762ED">
        <w:rPr>
          <w:rFonts w:ascii="Arial" w:hAnsi="Arial" w:cs="Arial"/>
          <w:b/>
          <w:bCs/>
        </w:rPr>
        <w:t>Relevant Theories Underpinning Person-Centred Care</w:t>
      </w:r>
      <w:r w:rsidRPr="00E762ED">
        <w:rPr>
          <w:rFonts w:ascii="Arial" w:hAnsi="Arial" w:cs="Arial"/>
        </w:rPr>
        <w:br/>
      </w:r>
      <w:r w:rsidRPr="00E762ED">
        <w:rPr>
          <w:rFonts w:ascii="Arial" w:hAnsi="Arial" w:cs="Arial"/>
        </w:rPr>
        <w:br/>
        <w:t>Person-centred care is underpinned by several theories that promote dignity, respect, and involving individuals in decisions about their care.</w:t>
      </w:r>
      <w:r w:rsidRPr="00E762ED">
        <w:rPr>
          <w:rFonts w:ascii="Arial" w:hAnsi="Arial" w:cs="Arial"/>
        </w:rPr>
        <w:br/>
      </w:r>
      <w:r w:rsidRPr="00E762ED">
        <w:rPr>
          <w:rFonts w:ascii="Arial" w:hAnsi="Arial" w:cs="Arial"/>
        </w:rPr>
        <w:br/>
        <w:t>The Person-Centred Theory developed by Carl Rogers stresses that people will experience personal growth when they are treated with empathy, unconditional positive regard (acceptance), and genuineness from others (Rogers, 1961). Many healthcare professionals adopt these principles when providing mental health services by working in partnership with service users and supporting shared decision-making. Using this theory helps professionals provide person-centred care and build trusting relationships with service users. Although Rogers’ principles are used within mental health services, there are limited time and staff shortages can impact the ability of professionals to practice person-centred care consistently.</w:t>
      </w:r>
      <w:r w:rsidRPr="00E762ED">
        <w:rPr>
          <w:rFonts w:ascii="Arial" w:hAnsi="Arial" w:cs="Arial"/>
        </w:rPr>
        <w:br/>
      </w:r>
      <w:r w:rsidRPr="00E762ED">
        <w:rPr>
          <w:rFonts w:ascii="Arial" w:hAnsi="Arial" w:cs="Arial"/>
        </w:rPr>
        <w:br/>
        <w:t xml:space="preserve">Maslow’s hierarchy of needs theory recognises that everyone has physical, emotional, social, and psychological needs (Maslow, 19 43). Mental health professionals recognise that service users have needs that should be assessed holistically, and care plans are tailored to </w:t>
      </w:r>
      <w:r w:rsidRPr="00E762ED">
        <w:rPr>
          <w:rFonts w:ascii="Arial" w:hAnsi="Arial" w:cs="Arial"/>
        </w:rPr>
        <w:lastRenderedPageBreak/>
        <w:t>meet their individual needs. By using Maslow’s theory, professionals support service users’ recovery by considering their whole wellbeing. Although Maslow’s hierarchy of needs supports person-centred care, this theory has been criticised because not all people go through each of these needs in the same order.</w:t>
      </w:r>
      <w:r w:rsidRPr="00E762ED">
        <w:rPr>
          <w:rFonts w:ascii="Arial" w:hAnsi="Arial" w:cs="Arial"/>
        </w:rPr>
        <w:br/>
      </w:r>
      <w:r w:rsidRPr="00E762ED">
        <w:rPr>
          <w:rFonts w:ascii="Arial" w:hAnsi="Arial" w:cs="Arial"/>
        </w:rPr>
        <w:br/>
        <w:t>The recovery model is a theory that is widely implemented within mental health services across the UK. Recovery focuses on hope and empowering people to live meaningful lives, even with mental illness (Slade, 2009). Recovery also supports the principles of person-centred care by recognising that the individual set their recovery goals and should be involved in making decisions regarding their treatment.</w:t>
      </w:r>
      <w:r w:rsidRPr="00E762ED">
        <w:rPr>
          <w:rFonts w:ascii="Arial" w:hAnsi="Arial" w:cs="Arial"/>
        </w:rPr>
        <w:br/>
      </w:r>
      <w:r w:rsidRPr="00E762ED">
        <w:rPr>
          <w:rFonts w:ascii="Arial" w:hAnsi="Arial" w:cs="Arial"/>
        </w:rPr>
        <w:br/>
        <w:t>All three theories support providing person-centred care to individuals using healthcare services. When professionals use these theories within mental health services, it can lead to improved recovery outcomes and therapeutic relationships. However, there are barriers that affect professionals working in a person-centred way, such as limited resources and increasing demands of service users.</w:t>
      </w:r>
      <w:r w:rsidRPr="00E762ED">
        <w:rPr>
          <w:rFonts w:ascii="Arial" w:hAnsi="Arial" w:cs="Arial"/>
        </w:rPr>
        <w:br/>
      </w:r>
      <w:r w:rsidRPr="00E762ED">
        <w:rPr>
          <w:rFonts w:ascii="Arial" w:hAnsi="Arial" w:cs="Arial"/>
        </w:rPr>
        <w:br/>
      </w:r>
      <w:r w:rsidRPr="00E762ED">
        <w:rPr>
          <w:rFonts w:ascii="Arial" w:hAnsi="Arial" w:cs="Arial"/>
          <w:b/>
          <w:bCs/>
        </w:rPr>
        <w:t>Ethical Dilemmas and Resolutions Encountered in Mental Health Services</w:t>
      </w:r>
      <w:r w:rsidRPr="00E762ED">
        <w:rPr>
          <w:rFonts w:ascii="Arial" w:hAnsi="Arial" w:cs="Arial"/>
        </w:rPr>
        <w:br/>
      </w:r>
      <w:r w:rsidRPr="00E762ED">
        <w:rPr>
          <w:rFonts w:ascii="Arial" w:hAnsi="Arial" w:cs="Arial"/>
        </w:rPr>
        <w:br/>
        <w:t>When working as mental health professionals, ethical dilemmas may arise where the professional must weigh up a service users’ rights against their safety and wellbeing. One example of an ethical dilemma could be when a person who is experiencing significant mental distress due to their mental health illness, refuses medication or treatment. In this situation, the professional will have to balance the ethical principle of autonomy (right to make choices about care) against beneficence and non-maleficence (duty to provide care and prevent harm).</w:t>
      </w:r>
      <w:r w:rsidRPr="00E762ED">
        <w:rPr>
          <w:rFonts w:ascii="Arial" w:hAnsi="Arial" w:cs="Arial"/>
        </w:rPr>
        <w:br/>
      </w:r>
      <w:r w:rsidRPr="00E762ED">
        <w:rPr>
          <w:rFonts w:ascii="Arial" w:hAnsi="Arial" w:cs="Arial"/>
        </w:rPr>
        <w:br/>
        <w:t>One way to resolve this dilemma is to complete a mental capacity assessment to determine the person’s ability to make decisions. Explaining information clearly, using shared decision-making, and finding out what the service user is worried about may help reach an agreement (Mental Capacity Act, 2005).</w:t>
      </w:r>
      <w:r w:rsidRPr="00E762ED">
        <w:rPr>
          <w:rFonts w:ascii="Arial" w:hAnsi="Arial" w:cs="Arial"/>
        </w:rPr>
        <w:br/>
      </w:r>
      <w:r w:rsidRPr="00E762ED">
        <w:rPr>
          <w:rFonts w:ascii="Arial" w:hAnsi="Arial" w:cs="Arial"/>
        </w:rPr>
        <w:br/>
        <w:t xml:space="preserve">Another example could be ensuring confidentiality when receiving information about safeguarding concerns. A service user may disclose they are harming themselves and request the professional does not tell anyone. In this situation, the ethical principle of autonomy conflicts with beneficence because although we want to respect confidentiality to promote person-centred care, we may need to break confidentiality by sharing the </w:t>
      </w:r>
      <w:r w:rsidRPr="00E762ED">
        <w:rPr>
          <w:rFonts w:ascii="Arial" w:hAnsi="Arial" w:cs="Arial"/>
        </w:rPr>
        <w:lastRenderedPageBreak/>
        <w:t>information with other professionals. We can resolve this dilemma by discussing with the service user why confidentiality needs to be broken and only sharing information with professionals that directly need to know.</w:t>
      </w:r>
      <w:r w:rsidRPr="00E762ED">
        <w:rPr>
          <w:rFonts w:ascii="Arial" w:hAnsi="Arial" w:cs="Arial"/>
        </w:rPr>
        <w:br/>
      </w:r>
      <w:r w:rsidRPr="00E762ED">
        <w:rPr>
          <w:rFonts w:ascii="Arial" w:hAnsi="Arial" w:cs="Arial"/>
        </w:rPr>
        <w:br/>
        <w:t>Ethical dilemmas often have to be resolved by professionals considering a service user’s rights and autonomy against their safety. Partnership working between service users, healthcare professionals, family members, and other agencies can help to find resolutions that respect the service users’ rights and support their recovery.</w:t>
      </w:r>
      <w:r w:rsidRPr="00E762ED">
        <w:rPr>
          <w:rFonts w:ascii="Arial" w:hAnsi="Arial" w:cs="Arial"/>
        </w:rPr>
        <w:br/>
      </w:r>
      <w:r w:rsidRPr="00E762ED">
        <w:rPr>
          <w:rFonts w:ascii="Arial" w:hAnsi="Arial" w:cs="Arial"/>
        </w:rPr>
        <w:br/>
      </w:r>
      <w:r w:rsidRPr="00E762ED">
        <w:rPr>
          <w:rFonts w:ascii="Arial" w:hAnsi="Arial" w:cs="Arial"/>
          <w:b/>
          <w:bCs/>
        </w:rPr>
        <w:t>Evaluation of Partnership Working within Mental Health Services</w:t>
      </w:r>
      <w:r w:rsidRPr="00E762ED">
        <w:rPr>
          <w:rFonts w:ascii="Arial" w:hAnsi="Arial" w:cs="Arial"/>
        </w:rPr>
        <w:br/>
      </w:r>
      <w:r w:rsidRPr="00E762ED">
        <w:rPr>
          <w:rFonts w:ascii="Arial" w:hAnsi="Arial" w:cs="Arial"/>
        </w:rPr>
        <w:br/>
        <w:t>Partnership working refers to the joint collaboration between professionals, organisations, services users, families, and communities to ensure care is coordinated and meets the individual’s needs. Within the UK, Integrated Care Systems (ICSs) were recently introduced to ensure better partnership working between NHS services, local authorities, and other community organisations (NHS England, 20 22). Collaborating and working in multidisciplinary teams is important when working in mental health services as patients often require input from multiple professionals to meet their health and social care needs. These professionals may include mental health nurses, psychiatrists, social workers, and general practitioners. When these professionals communicate effectively and work in partnership, it can support person-centred care by ensuring care is coordinated and meets the service user’s individual needs. For example, a person experiencing mental illness may need medical support from professionals but also social care and community support to help with their wider needs.</w:t>
      </w:r>
      <w:r w:rsidRPr="00E762ED">
        <w:rPr>
          <w:rFonts w:ascii="Arial" w:hAnsi="Arial" w:cs="Arial"/>
        </w:rPr>
        <w:br/>
      </w:r>
      <w:r w:rsidRPr="00E762ED">
        <w:rPr>
          <w:rFonts w:ascii="Arial" w:hAnsi="Arial" w:cs="Arial"/>
        </w:rPr>
        <w:br/>
        <w:t>Partnering allows for improved service delivery and reduces duplication, improved service-user involvement and ensures better continuity of care (NICE, 20 22). However, there can be challenges when working in a multidisciplinary team such as communication difficulties, confidentiality issues, conflicting professional priorities, and limited resources.</w:t>
      </w:r>
      <w:r w:rsidRPr="00E762ED">
        <w:rPr>
          <w:rFonts w:ascii="Arial" w:hAnsi="Arial" w:cs="Arial"/>
        </w:rPr>
        <w:br/>
      </w:r>
      <w:r w:rsidRPr="00E762ED">
        <w:rPr>
          <w:rFonts w:ascii="Arial" w:hAnsi="Arial" w:cs="Arial"/>
        </w:rPr>
        <w:br/>
        <w:t>Partnership working has significant benefits when working in mental health. Ensuring open communication and working with the patient to make decisions about their care can support recovery and ensures person-centred care is provided.</w:t>
      </w:r>
      <w:r w:rsidRPr="00E762ED">
        <w:rPr>
          <w:rFonts w:ascii="Arial" w:hAnsi="Arial" w:cs="Arial"/>
        </w:rPr>
        <w:br/>
      </w:r>
      <w:r w:rsidRPr="00E762ED">
        <w:rPr>
          <w:rFonts w:ascii="Arial" w:hAnsi="Arial" w:cs="Arial"/>
        </w:rPr>
        <w:br/>
      </w:r>
      <w:r w:rsidRPr="00E762ED">
        <w:rPr>
          <w:rFonts w:ascii="Arial" w:hAnsi="Arial" w:cs="Arial"/>
          <w:b/>
          <w:bCs/>
        </w:rPr>
        <w:t>Policy and Legislation which Influence Practice in Mental Health Services</w:t>
      </w:r>
      <w:r w:rsidRPr="00E762ED">
        <w:rPr>
          <w:rFonts w:ascii="Arial" w:hAnsi="Arial" w:cs="Arial"/>
        </w:rPr>
        <w:br/>
      </w:r>
      <w:r w:rsidRPr="00E762ED">
        <w:rPr>
          <w:rFonts w:ascii="Arial" w:hAnsi="Arial" w:cs="Arial"/>
        </w:rPr>
        <w:br/>
        <w:t xml:space="preserve">There are many policies and legislation which provide the framework for professionals to </w:t>
      </w:r>
      <w:r w:rsidRPr="00E762ED">
        <w:rPr>
          <w:rFonts w:ascii="Arial" w:hAnsi="Arial" w:cs="Arial"/>
        </w:rPr>
        <w:lastRenderedPageBreak/>
        <w:t>provide safe, effective, ethical, and person-centred care. Policies and legislation that influence practice within mental health services include the Care Act 2014, The Health and Care Act 20 22, The Health and Social Care Act 2012, Human Rights Act 1998 and Equality Act 20 10.</w:t>
      </w:r>
      <w:r w:rsidRPr="00E762ED">
        <w:rPr>
          <w:rFonts w:ascii="Arial" w:hAnsi="Arial" w:cs="Arial"/>
        </w:rPr>
        <w:br/>
      </w:r>
      <w:r w:rsidRPr="00E762ED">
        <w:rPr>
          <w:rFonts w:ascii="Arial" w:hAnsi="Arial" w:cs="Arial"/>
        </w:rPr>
        <w:br/>
        <w:t>The Care Act 2014 supports the principle of promoting peoples’ wellbeing, encouraging independence and involvement in care decisions which are key when providing person-centred care. The act states that professionals should involve the service user in discussions about their care, supporting PW by promoting collaboration between health and social care professionals. Although this act supports PCC and PW there is limited funding and staff shortages can impact practice.</w:t>
      </w:r>
      <w:r w:rsidRPr="00E762ED">
        <w:rPr>
          <w:rFonts w:ascii="Arial" w:hAnsi="Arial" w:cs="Arial"/>
        </w:rPr>
        <w:br/>
      </w:r>
      <w:r w:rsidRPr="00E762ED">
        <w:rPr>
          <w:rFonts w:ascii="Arial" w:hAnsi="Arial" w:cs="Arial"/>
        </w:rPr>
        <w:br/>
        <w:t>The Health and Care Act 20 22 introduced ICSs to improve collaboration between NHS services, local authorities, and community organisations. Having systems in place to promote partnership working supports PW but there can be barriers due to different communication methods used by organisations and varying priorities.</w:t>
      </w:r>
      <w:r w:rsidRPr="00E762ED">
        <w:rPr>
          <w:rFonts w:ascii="Arial" w:hAnsi="Arial" w:cs="Arial"/>
        </w:rPr>
        <w:br/>
      </w:r>
      <w:r w:rsidRPr="00E762ED">
        <w:rPr>
          <w:rFonts w:ascii="Arial" w:hAnsi="Arial" w:cs="Arial"/>
        </w:rPr>
        <w:br/>
        <w:t>The Equality act 20 10 promotes equal access to services and preventing people from being discriminated against. The Human Rights act 1998 supports the rights to dignity, autonomy, and privacy. Both of these acts are crucial when providing mental health care as professionals should always respect patient’s rights and choices when planning care.</w:t>
      </w:r>
      <w:r w:rsidRPr="00E762ED">
        <w:rPr>
          <w:rFonts w:ascii="Arial" w:hAnsi="Arial" w:cs="Arial"/>
        </w:rPr>
        <w:br/>
      </w:r>
      <w:r w:rsidRPr="00E762ED">
        <w:rPr>
          <w:rFonts w:ascii="Arial" w:hAnsi="Arial" w:cs="Arial"/>
        </w:rPr>
        <w:br/>
        <w:t>The Health and Social Care Act 2012 introduced ways for patients to be more involved in their care and integrated care but there were some difficulties with this due to the new ways healthcare was structured.</w:t>
      </w:r>
      <w:r w:rsidRPr="00E762ED">
        <w:rPr>
          <w:rFonts w:ascii="Arial" w:hAnsi="Arial" w:cs="Arial"/>
        </w:rPr>
        <w:br/>
      </w:r>
      <w:r w:rsidRPr="00E762ED">
        <w:rPr>
          <w:rFonts w:ascii="Arial" w:hAnsi="Arial" w:cs="Arial"/>
        </w:rPr>
        <w:br/>
        <w:t>As demonstrated above, legislation supports principles such as person-centred care and partnership working. All the legislation mentioned relates to practice within mental health services by expecting professionals to involve service users in decision-making about care, work in multidisciplinary teams and respect their rights.</w:t>
      </w:r>
      <w:r w:rsidRPr="00E762ED">
        <w:rPr>
          <w:rFonts w:ascii="Arial" w:hAnsi="Arial" w:cs="Arial"/>
        </w:rPr>
        <w:br/>
      </w:r>
      <w:r w:rsidRPr="00E762ED">
        <w:rPr>
          <w:rFonts w:ascii="Arial" w:hAnsi="Arial" w:cs="Arial"/>
        </w:rPr>
        <w:br/>
      </w:r>
      <w:r w:rsidRPr="00E762ED">
        <w:rPr>
          <w:rFonts w:ascii="Arial" w:hAnsi="Arial" w:cs="Arial"/>
          <w:b/>
          <w:bCs/>
        </w:rPr>
        <w:t>Recommendations for Improving Person-Centred Care and Partnership Working within Mental Health Services</w:t>
      </w:r>
      <w:r w:rsidRPr="00E762ED">
        <w:rPr>
          <w:rFonts w:ascii="Arial" w:hAnsi="Arial" w:cs="Arial"/>
          <w:b/>
          <w:bCs/>
        </w:rPr>
        <w:br/>
      </w:r>
      <w:r w:rsidRPr="00E762ED">
        <w:rPr>
          <w:rFonts w:ascii="Arial" w:hAnsi="Arial" w:cs="Arial"/>
          <w:b/>
          <w:bCs/>
        </w:rPr>
        <w:br/>
      </w:r>
      <w:r w:rsidRPr="00E762ED">
        <w:rPr>
          <w:rFonts w:ascii="Arial" w:hAnsi="Arial" w:cs="Arial"/>
        </w:rPr>
        <w:t xml:space="preserve">Person-centred care and partnership working are essential when providing mental health services however, there are always areas that can be improved. Several barriers that affect person-centred care and partnership working include limited resources, staff shortages, poor </w:t>
      </w:r>
      <w:r w:rsidRPr="00E762ED">
        <w:rPr>
          <w:rFonts w:ascii="Arial" w:hAnsi="Arial" w:cs="Arial"/>
        </w:rPr>
        <w:lastRenderedPageBreak/>
        <w:t>communication between professionals, and poor involvement of service users (The Kings Fund, 20 22).</w:t>
      </w:r>
      <w:r w:rsidRPr="00E762ED">
        <w:rPr>
          <w:rFonts w:ascii="Arial" w:hAnsi="Arial" w:cs="Arial"/>
        </w:rPr>
        <w:br/>
      </w:r>
      <w:r w:rsidRPr="00E762ED">
        <w:rPr>
          <w:rFonts w:ascii="Arial" w:hAnsi="Arial" w:cs="Arial"/>
        </w:rPr>
        <w:br/>
        <w:t>One recommendation is to ensure staff receive regular training to develop skills linked to PCC and partnership working. Examples include training courses on shared decision-making, communication skills, and working in multidisciplinary teams. Ensuring professionals have these skills would allow service users to be more involved in their care which is defined as high-quality healthcare (NICE, 20 22). Barriers to this recommendation include limited funding for training, staff availability, and heavy workloads.</w:t>
      </w:r>
      <w:r w:rsidRPr="00E762ED">
        <w:rPr>
          <w:rFonts w:ascii="Arial" w:hAnsi="Arial" w:cs="Arial"/>
        </w:rPr>
        <w:br/>
      </w:r>
      <w:r w:rsidRPr="00E762ED">
        <w:rPr>
          <w:rFonts w:ascii="Arial" w:hAnsi="Arial" w:cs="Arial"/>
        </w:rPr>
        <w:br/>
        <w:t>Using digital technology to improve communication between professionals could improve PCC and partnership working. Ensuring there are shared electronic care records between mental health services, social care, and local community services can improve the continuity and coordination of care. The only barriers to this recommendation include confidentiality and data protection. Additionally, not everyone has access to digital technology.</w:t>
      </w:r>
      <w:r w:rsidRPr="00E762ED">
        <w:rPr>
          <w:rFonts w:ascii="Arial" w:hAnsi="Arial" w:cs="Arial"/>
        </w:rPr>
        <w:br/>
      </w:r>
      <w:r w:rsidRPr="00E762ED">
        <w:rPr>
          <w:rFonts w:ascii="Arial" w:hAnsi="Arial" w:cs="Arial"/>
        </w:rPr>
        <w:br/>
        <w:t>Although ICSs are currently being developed, more should be done to ensure organisations are communicating and working closely together to provide person-centred care. Involving service users when designing services and evaluating current services can ensure care is tailored to meet their needs.</w:t>
      </w:r>
    </w:p>
    <w:p w14:paraId="5D25BF81" w14:textId="77777777" w:rsidR="00D13CBE" w:rsidRPr="00E762ED" w:rsidRDefault="00D13CBE" w:rsidP="00E762ED">
      <w:pPr>
        <w:spacing w:line="360" w:lineRule="auto"/>
        <w:rPr>
          <w:rFonts w:ascii="Arial" w:hAnsi="Arial" w:cs="Arial"/>
          <w:b/>
          <w:bCs/>
        </w:rPr>
      </w:pPr>
    </w:p>
    <w:p w14:paraId="3E949517" w14:textId="77777777" w:rsidR="00D13CBE" w:rsidRPr="00E762ED" w:rsidRDefault="00D13CBE" w:rsidP="00E762ED">
      <w:pPr>
        <w:spacing w:line="360" w:lineRule="auto"/>
        <w:rPr>
          <w:rFonts w:ascii="Arial" w:hAnsi="Arial" w:cs="Arial"/>
          <w:b/>
          <w:bCs/>
        </w:rPr>
      </w:pPr>
    </w:p>
    <w:p w14:paraId="582BE8C7" w14:textId="77777777" w:rsidR="00D13CBE" w:rsidRPr="00E762ED" w:rsidRDefault="00D13CBE" w:rsidP="00E762ED">
      <w:pPr>
        <w:spacing w:line="360" w:lineRule="auto"/>
        <w:rPr>
          <w:rFonts w:ascii="Arial" w:hAnsi="Arial" w:cs="Arial"/>
          <w:b/>
          <w:bCs/>
        </w:rPr>
      </w:pPr>
    </w:p>
    <w:p w14:paraId="0EDB0B7F" w14:textId="7DB75944" w:rsidR="00D13CBE" w:rsidRPr="00E762ED" w:rsidRDefault="00C50FD8" w:rsidP="00E762ED">
      <w:pPr>
        <w:spacing w:line="360" w:lineRule="auto"/>
        <w:rPr>
          <w:rFonts w:ascii="Arial" w:hAnsi="Arial" w:cs="Arial"/>
        </w:rPr>
      </w:pPr>
      <w:r w:rsidRPr="00E762ED">
        <w:rPr>
          <w:rFonts w:ascii="Arial" w:hAnsi="Arial" w:cs="Arial"/>
          <w:b/>
          <w:bCs/>
        </w:rPr>
        <w:t>Conclusion</w:t>
      </w:r>
      <w:r w:rsidRPr="00E762ED">
        <w:rPr>
          <w:rFonts w:ascii="Arial" w:hAnsi="Arial" w:cs="Arial"/>
        </w:rPr>
        <w:br/>
        <w:t>The report has explored the values of person- centred care (PCC) and partnership working (PW) in mental health services across the UK. PCC aims to provide care that promotes dignity, respect, choice and encourages service-user involvement. PW enables professionals, families and organisations to work together and deliver seamless care (Health Foundation, 2016; NHS England, 20 22).</w:t>
      </w:r>
      <w:r w:rsidRPr="00E762ED">
        <w:rPr>
          <w:rFonts w:ascii="Arial" w:hAnsi="Arial" w:cs="Arial"/>
        </w:rPr>
        <w:br/>
        <w:t xml:space="preserve">Through research relevant theories, ethical principles and legislation has helped to provide knowledge and understanding to ensure practice can be personalised and focused </w:t>
      </w:r>
      <w:r w:rsidR="001E553B" w:rsidRPr="00E762ED">
        <w:rPr>
          <w:rFonts w:ascii="Arial" w:hAnsi="Arial" w:cs="Arial"/>
        </w:rPr>
        <w:t>on</w:t>
      </w:r>
      <w:r w:rsidRPr="00E762ED">
        <w:rPr>
          <w:rFonts w:ascii="Arial" w:hAnsi="Arial" w:cs="Arial"/>
        </w:rPr>
        <w:t xml:space="preserve"> recovery. However, there can be barriers such as limited resources, staff shortages and communication difficulty which impact upon effective practice (The King’s Fund, 20 22).</w:t>
      </w:r>
      <w:r w:rsidRPr="00E762ED">
        <w:rPr>
          <w:rFonts w:ascii="Arial" w:hAnsi="Arial" w:cs="Arial"/>
        </w:rPr>
        <w:br/>
        <w:t xml:space="preserve">As discussed throughout the report, PCC and PW are key when aiming to improve service-users’ experiences, focus on recovery and work towards better health </w:t>
      </w:r>
      <w:r w:rsidRPr="00E762ED">
        <w:rPr>
          <w:rFonts w:ascii="Arial" w:hAnsi="Arial" w:cs="Arial"/>
        </w:rPr>
        <w:lastRenderedPageBreak/>
        <w:t>outcomes. Recommendations focus around improving staff training to ensure high-quality care, utilising digital technology where it is effective to aid service-users and working more collaboratively with the new system of Integrated Care Systems.</w:t>
      </w:r>
    </w:p>
    <w:p w14:paraId="434B3667" w14:textId="77777777" w:rsidR="00D13CBE" w:rsidRPr="00E762ED" w:rsidRDefault="00D13CBE" w:rsidP="00E762ED">
      <w:pPr>
        <w:spacing w:line="360" w:lineRule="auto"/>
        <w:rPr>
          <w:rFonts w:ascii="Arial" w:hAnsi="Arial" w:cs="Arial"/>
          <w:b/>
          <w:bCs/>
        </w:rPr>
      </w:pPr>
    </w:p>
    <w:p w14:paraId="4ED3B880" w14:textId="77777777" w:rsidR="00D13CBE" w:rsidRPr="00E762ED" w:rsidRDefault="00D13CBE" w:rsidP="00E762ED">
      <w:pPr>
        <w:spacing w:line="360" w:lineRule="auto"/>
        <w:rPr>
          <w:rFonts w:ascii="Arial" w:hAnsi="Arial" w:cs="Arial"/>
          <w:b/>
          <w:bCs/>
        </w:rPr>
      </w:pPr>
    </w:p>
    <w:p w14:paraId="33450CAA" w14:textId="77777777" w:rsidR="00D13CBE" w:rsidRPr="00E762ED" w:rsidRDefault="00D13CBE" w:rsidP="00E762ED">
      <w:pPr>
        <w:spacing w:line="360" w:lineRule="auto"/>
        <w:rPr>
          <w:rFonts w:ascii="Arial" w:hAnsi="Arial" w:cs="Arial"/>
          <w:b/>
          <w:bCs/>
        </w:rPr>
      </w:pPr>
    </w:p>
    <w:p w14:paraId="5696FC36" w14:textId="77777777" w:rsidR="00D13CBE" w:rsidRPr="00E762ED" w:rsidRDefault="00D13CBE" w:rsidP="00E762ED">
      <w:pPr>
        <w:spacing w:line="360" w:lineRule="auto"/>
        <w:rPr>
          <w:rFonts w:ascii="Arial" w:hAnsi="Arial" w:cs="Arial"/>
          <w:b/>
          <w:bCs/>
        </w:rPr>
      </w:pPr>
    </w:p>
    <w:p w14:paraId="0798F1DA" w14:textId="77777777" w:rsidR="00D13CBE" w:rsidRPr="00E762ED" w:rsidRDefault="00D13CBE" w:rsidP="00E762ED">
      <w:pPr>
        <w:spacing w:line="360" w:lineRule="auto"/>
        <w:rPr>
          <w:rFonts w:ascii="Arial" w:hAnsi="Arial" w:cs="Arial"/>
          <w:b/>
          <w:bCs/>
        </w:rPr>
      </w:pPr>
    </w:p>
    <w:p w14:paraId="6442120E" w14:textId="77777777" w:rsidR="00D13CBE" w:rsidRPr="00E762ED" w:rsidRDefault="00D13CBE" w:rsidP="00E762ED">
      <w:pPr>
        <w:spacing w:line="360" w:lineRule="auto"/>
        <w:rPr>
          <w:rFonts w:ascii="Arial" w:hAnsi="Arial" w:cs="Arial"/>
          <w:b/>
          <w:bCs/>
        </w:rPr>
      </w:pPr>
    </w:p>
    <w:p w14:paraId="169D0BC9" w14:textId="77777777" w:rsidR="00D13CBE" w:rsidRPr="00E762ED" w:rsidRDefault="00D13CBE" w:rsidP="00E762ED">
      <w:pPr>
        <w:spacing w:line="360" w:lineRule="auto"/>
        <w:rPr>
          <w:rFonts w:ascii="Arial" w:hAnsi="Arial" w:cs="Arial"/>
          <w:b/>
          <w:bCs/>
        </w:rPr>
      </w:pPr>
    </w:p>
    <w:p w14:paraId="64A8094F" w14:textId="77777777" w:rsidR="00C41B82" w:rsidRPr="00E762ED" w:rsidRDefault="00C41B82" w:rsidP="00E762ED">
      <w:pPr>
        <w:spacing w:line="360" w:lineRule="auto"/>
        <w:rPr>
          <w:rFonts w:ascii="Arial" w:hAnsi="Arial" w:cs="Arial"/>
        </w:rPr>
      </w:pPr>
    </w:p>
    <w:p w14:paraId="5873E0F2" w14:textId="77777777" w:rsidR="002F68A3" w:rsidRPr="00E762ED" w:rsidRDefault="002F68A3" w:rsidP="00E762ED">
      <w:pPr>
        <w:spacing w:line="360" w:lineRule="auto"/>
        <w:rPr>
          <w:rFonts w:ascii="Arial" w:hAnsi="Arial" w:cs="Arial"/>
        </w:rPr>
      </w:pPr>
    </w:p>
    <w:p w14:paraId="14AA08A0" w14:textId="77777777" w:rsidR="00601BB3" w:rsidRPr="00E762ED" w:rsidRDefault="00601BB3" w:rsidP="00E762ED">
      <w:pPr>
        <w:spacing w:line="360" w:lineRule="auto"/>
        <w:rPr>
          <w:rFonts w:ascii="Arial" w:hAnsi="Arial" w:cs="Arial"/>
        </w:rPr>
      </w:pPr>
    </w:p>
    <w:p w14:paraId="2389FB3D" w14:textId="77777777" w:rsidR="00601BB3" w:rsidRPr="00E762ED" w:rsidRDefault="00601BB3" w:rsidP="00E762ED">
      <w:pPr>
        <w:spacing w:line="360" w:lineRule="auto"/>
        <w:rPr>
          <w:rFonts w:ascii="Arial" w:hAnsi="Arial" w:cs="Arial"/>
        </w:rPr>
      </w:pPr>
    </w:p>
    <w:p w14:paraId="3DB70974" w14:textId="77777777" w:rsidR="00601BB3" w:rsidRPr="00E762ED" w:rsidRDefault="00601BB3" w:rsidP="00E762ED">
      <w:pPr>
        <w:spacing w:line="360" w:lineRule="auto"/>
        <w:rPr>
          <w:rFonts w:ascii="Arial" w:hAnsi="Arial" w:cs="Arial"/>
        </w:rPr>
      </w:pPr>
    </w:p>
    <w:p w14:paraId="3CBB8C58" w14:textId="77777777" w:rsidR="00601BB3" w:rsidRPr="00E762ED" w:rsidRDefault="00601BB3" w:rsidP="00E762ED">
      <w:pPr>
        <w:spacing w:line="360" w:lineRule="auto"/>
        <w:rPr>
          <w:rFonts w:ascii="Arial" w:hAnsi="Arial" w:cs="Arial"/>
        </w:rPr>
      </w:pPr>
    </w:p>
    <w:p w14:paraId="67976A45" w14:textId="77777777" w:rsidR="00601BB3" w:rsidRPr="00E762ED" w:rsidRDefault="00601BB3" w:rsidP="00E762ED">
      <w:pPr>
        <w:spacing w:line="360" w:lineRule="auto"/>
        <w:rPr>
          <w:rFonts w:ascii="Arial" w:hAnsi="Arial" w:cs="Arial"/>
        </w:rPr>
      </w:pPr>
    </w:p>
    <w:p w14:paraId="1C1C31B6" w14:textId="77777777" w:rsidR="00601BB3" w:rsidRPr="00E762ED" w:rsidRDefault="00601BB3" w:rsidP="00E762ED">
      <w:pPr>
        <w:spacing w:line="360" w:lineRule="auto"/>
        <w:rPr>
          <w:rFonts w:ascii="Arial" w:hAnsi="Arial" w:cs="Arial"/>
        </w:rPr>
      </w:pPr>
    </w:p>
    <w:p w14:paraId="5D9D30F6" w14:textId="77777777" w:rsidR="00601BB3" w:rsidRPr="00E762ED" w:rsidRDefault="00601BB3" w:rsidP="00E762ED">
      <w:pPr>
        <w:spacing w:line="360" w:lineRule="auto"/>
        <w:rPr>
          <w:rFonts w:ascii="Arial" w:hAnsi="Arial" w:cs="Arial"/>
        </w:rPr>
      </w:pPr>
    </w:p>
    <w:p w14:paraId="67424D42" w14:textId="77777777" w:rsidR="003B3277" w:rsidRPr="00E762ED" w:rsidRDefault="003B3277" w:rsidP="00E762ED">
      <w:pPr>
        <w:spacing w:line="360" w:lineRule="auto"/>
        <w:rPr>
          <w:rFonts w:ascii="Arial" w:hAnsi="Arial" w:cs="Arial"/>
          <w:b/>
          <w:bCs/>
        </w:rPr>
      </w:pPr>
    </w:p>
    <w:p w14:paraId="4D444C00" w14:textId="77777777" w:rsidR="003B3277" w:rsidRPr="00E762ED" w:rsidRDefault="003B3277" w:rsidP="00E762ED">
      <w:pPr>
        <w:spacing w:line="360" w:lineRule="auto"/>
        <w:rPr>
          <w:rFonts w:ascii="Arial" w:hAnsi="Arial" w:cs="Arial"/>
          <w:b/>
          <w:bCs/>
        </w:rPr>
      </w:pPr>
    </w:p>
    <w:p w14:paraId="2214476B" w14:textId="77777777" w:rsidR="003B3277" w:rsidRPr="00E762ED" w:rsidRDefault="003B3277" w:rsidP="00E762ED">
      <w:pPr>
        <w:spacing w:line="360" w:lineRule="auto"/>
        <w:rPr>
          <w:rFonts w:ascii="Arial" w:hAnsi="Arial" w:cs="Arial"/>
          <w:b/>
          <w:bCs/>
        </w:rPr>
      </w:pPr>
    </w:p>
    <w:p w14:paraId="6CE8A612" w14:textId="77777777" w:rsidR="003B3277" w:rsidRPr="00E762ED" w:rsidRDefault="003B3277" w:rsidP="00E762ED">
      <w:pPr>
        <w:spacing w:line="360" w:lineRule="auto"/>
        <w:rPr>
          <w:rFonts w:ascii="Arial" w:hAnsi="Arial" w:cs="Arial"/>
          <w:b/>
          <w:bCs/>
        </w:rPr>
      </w:pPr>
    </w:p>
    <w:p w14:paraId="5F317C6E" w14:textId="77777777" w:rsidR="003B3277" w:rsidRPr="00E762ED" w:rsidRDefault="003B3277" w:rsidP="00E762ED">
      <w:pPr>
        <w:spacing w:line="360" w:lineRule="auto"/>
        <w:rPr>
          <w:rFonts w:ascii="Arial" w:hAnsi="Arial" w:cs="Arial"/>
          <w:b/>
          <w:bCs/>
        </w:rPr>
      </w:pPr>
    </w:p>
    <w:p w14:paraId="6AD9CAC5" w14:textId="77777777" w:rsidR="003B3277" w:rsidRPr="00E762ED" w:rsidRDefault="003B3277" w:rsidP="00E762ED">
      <w:pPr>
        <w:spacing w:line="360" w:lineRule="auto"/>
        <w:rPr>
          <w:rFonts w:ascii="Arial" w:hAnsi="Arial" w:cs="Arial"/>
          <w:b/>
          <w:bCs/>
        </w:rPr>
      </w:pPr>
    </w:p>
    <w:p w14:paraId="29B97926" w14:textId="77777777" w:rsidR="003B3277" w:rsidRPr="00E762ED" w:rsidRDefault="003B3277" w:rsidP="00E762ED">
      <w:pPr>
        <w:spacing w:line="360" w:lineRule="auto"/>
        <w:rPr>
          <w:rFonts w:ascii="Arial" w:hAnsi="Arial" w:cs="Arial"/>
          <w:b/>
          <w:bCs/>
        </w:rPr>
      </w:pPr>
    </w:p>
    <w:p w14:paraId="27D83E5E" w14:textId="77777777" w:rsidR="003B3277" w:rsidRPr="00E762ED" w:rsidRDefault="003B3277" w:rsidP="00E762ED">
      <w:pPr>
        <w:spacing w:line="360" w:lineRule="auto"/>
        <w:rPr>
          <w:rFonts w:ascii="Arial" w:hAnsi="Arial" w:cs="Arial"/>
          <w:b/>
          <w:bCs/>
        </w:rPr>
      </w:pPr>
    </w:p>
    <w:p w14:paraId="2183396D" w14:textId="77777777" w:rsidR="003B3277" w:rsidRPr="00E762ED" w:rsidRDefault="003B3277" w:rsidP="00E762ED">
      <w:pPr>
        <w:spacing w:line="360" w:lineRule="auto"/>
        <w:rPr>
          <w:rFonts w:ascii="Arial" w:hAnsi="Arial" w:cs="Arial"/>
          <w:b/>
          <w:bCs/>
        </w:rPr>
      </w:pPr>
    </w:p>
    <w:p w14:paraId="3B458C96" w14:textId="2DDD6548" w:rsidR="00601BB3" w:rsidRPr="00E762ED" w:rsidRDefault="002510EB" w:rsidP="00E762ED">
      <w:pPr>
        <w:spacing w:line="360" w:lineRule="auto"/>
        <w:rPr>
          <w:rFonts w:ascii="Arial" w:hAnsi="Arial" w:cs="Arial"/>
          <w:b/>
          <w:bCs/>
        </w:rPr>
      </w:pPr>
      <w:r w:rsidRPr="00E762ED">
        <w:rPr>
          <w:rFonts w:ascii="Arial" w:hAnsi="Arial" w:cs="Arial"/>
          <w:b/>
          <w:bCs/>
        </w:rPr>
        <w:t>R</w:t>
      </w:r>
      <w:r w:rsidR="006520D1" w:rsidRPr="00E762ED">
        <w:rPr>
          <w:rFonts w:ascii="Arial" w:hAnsi="Arial" w:cs="Arial"/>
          <w:b/>
          <w:bCs/>
        </w:rPr>
        <w:t>efere</w:t>
      </w:r>
      <w:r w:rsidRPr="00E762ED">
        <w:rPr>
          <w:rFonts w:ascii="Arial" w:hAnsi="Arial" w:cs="Arial"/>
          <w:b/>
          <w:bCs/>
        </w:rPr>
        <w:t xml:space="preserve">nce </w:t>
      </w:r>
    </w:p>
    <w:p w14:paraId="1F86168C" w14:textId="77777777" w:rsidR="00F465F1" w:rsidRPr="00E762ED" w:rsidRDefault="00F465F1" w:rsidP="00E762ED">
      <w:pPr>
        <w:spacing w:line="360" w:lineRule="auto"/>
        <w:rPr>
          <w:rFonts w:ascii="Arial" w:hAnsi="Arial" w:cs="Arial"/>
          <w:b/>
          <w:bCs/>
        </w:rPr>
      </w:pPr>
    </w:p>
    <w:p w14:paraId="231DECD7" w14:textId="77777777" w:rsidR="00F465F1" w:rsidRPr="00E762ED" w:rsidRDefault="00F465F1" w:rsidP="00E762ED">
      <w:pPr>
        <w:spacing w:line="360" w:lineRule="auto"/>
        <w:rPr>
          <w:rFonts w:ascii="Arial" w:hAnsi="Arial" w:cs="Arial"/>
        </w:rPr>
      </w:pPr>
      <w:r w:rsidRPr="00E762ED">
        <w:rPr>
          <w:rFonts w:ascii="Arial" w:hAnsi="Arial" w:cs="Arial"/>
        </w:rPr>
        <w:t xml:space="preserve">Brooker, D. and Latham, I. (2016) </w:t>
      </w:r>
      <w:r w:rsidRPr="00E762ED">
        <w:rPr>
          <w:rFonts w:ascii="Arial" w:hAnsi="Arial" w:cs="Arial"/>
          <w:i/>
          <w:iCs/>
        </w:rPr>
        <w:t>Person-Centred Dementia Care: Making Services Better with the VIPS Framework</w:t>
      </w:r>
      <w:r w:rsidRPr="00E762ED">
        <w:rPr>
          <w:rFonts w:ascii="Arial" w:hAnsi="Arial" w:cs="Arial"/>
        </w:rPr>
        <w:t xml:space="preserve">. 2nd </w:t>
      </w:r>
      <w:proofErr w:type="spellStart"/>
      <w:r w:rsidRPr="00E762ED">
        <w:rPr>
          <w:rFonts w:ascii="Arial" w:hAnsi="Arial" w:cs="Arial"/>
        </w:rPr>
        <w:t>edn</w:t>
      </w:r>
      <w:proofErr w:type="spellEnd"/>
      <w:r w:rsidRPr="00E762ED">
        <w:rPr>
          <w:rFonts w:ascii="Arial" w:hAnsi="Arial" w:cs="Arial"/>
        </w:rPr>
        <w:t>. London: Jessica Kingsley Publishers.</w:t>
      </w:r>
    </w:p>
    <w:p w14:paraId="4E13AE8D" w14:textId="77777777" w:rsidR="00F465F1" w:rsidRPr="00E762ED" w:rsidRDefault="00F465F1" w:rsidP="00E762ED">
      <w:pPr>
        <w:spacing w:line="360" w:lineRule="auto"/>
        <w:rPr>
          <w:rFonts w:ascii="Arial" w:hAnsi="Arial" w:cs="Arial"/>
        </w:rPr>
      </w:pPr>
      <w:r w:rsidRPr="00E762ED">
        <w:rPr>
          <w:rFonts w:ascii="Arial" w:hAnsi="Arial" w:cs="Arial"/>
        </w:rPr>
        <w:t xml:space="preserve">Care Act (2014) </w:t>
      </w:r>
      <w:r w:rsidRPr="00E762ED">
        <w:rPr>
          <w:rFonts w:ascii="Arial" w:hAnsi="Arial" w:cs="Arial"/>
          <w:i/>
          <w:iCs/>
        </w:rPr>
        <w:t>Care Act 2014</w:t>
      </w:r>
      <w:r w:rsidRPr="00E762ED">
        <w:rPr>
          <w:rFonts w:ascii="Arial" w:hAnsi="Arial" w:cs="Arial"/>
        </w:rPr>
        <w:t xml:space="preserve">. c.23. London: The Stationery Office. Available at: </w:t>
      </w:r>
      <w:hyperlink r:id="rId4" w:history="1">
        <w:r w:rsidRPr="00E762ED">
          <w:rPr>
            <w:rStyle w:val="Hyperlink"/>
            <w:rFonts w:ascii="Arial" w:hAnsi="Arial" w:cs="Arial"/>
          </w:rPr>
          <w:t>https://www.legislation.gov.uk/ukpga/2014/23</w:t>
        </w:r>
      </w:hyperlink>
      <w:r w:rsidRPr="00E762ED">
        <w:rPr>
          <w:rFonts w:ascii="Arial" w:hAnsi="Arial" w:cs="Arial"/>
        </w:rPr>
        <w:t xml:space="preserve"> (Accessed: 16 July 2026).</w:t>
      </w:r>
    </w:p>
    <w:p w14:paraId="641C24C6" w14:textId="77777777" w:rsidR="00F465F1" w:rsidRPr="00E762ED" w:rsidRDefault="00F465F1" w:rsidP="00E762ED">
      <w:pPr>
        <w:spacing w:line="360" w:lineRule="auto"/>
        <w:rPr>
          <w:rFonts w:ascii="Arial" w:hAnsi="Arial" w:cs="Arial"/>
        </w:rPr>
      </w:pPr>
      <w:r w:rsidRPr="00E762ED">
        <w:rPr>
          <w:rFonts w:ascii="Arial" w:hAnsi="Arial" w:cs="Arial"/>
        </w:rPr>
        <w:t xml:space="preserve">Department of Health and Social Care (2022) </w:t>
      </w:r>
      <w:r w:rsidRPr="00E762ED">
        <w:rPr>
          <w:rFonts w:ascii="Arial" w:hAnsi="Arial" w:cs="Arial"/>
          <w:i/>
          <w:iCs/>
        </w:rPr>
        <w:t>Health and Care Act 2022</w:t>
      </w:r>
      <w:r w:rsidRPr="00E762ED">
        <w:rPr>
          <w:rFonts w:ascii="Arial" w:hAnsi="Arial" w:cs="Arial"/>
        </w:rPr>
        <w:t xml:space="preserve">. London: The Stationery Office. Available at: </w:t>
      </w:r>
      <w:hyperlink r:id="rId5" w:history="1">
        <w:r w:rsidRPr="00E762ED">
          <w:rPr>
            <w:rStyle w:val="Hyperlink"/>
            <w:rFonts w:ascii="Arial" w:hAnsi="Arial" w:cs="Arial"/>
          </w:rPr>
          <w:t>https://www.legislation.gov.uk/ukpga/2022/31</w:t>
        </w:r>
      </w:hyperlink>
      <w:r w:rsidRPr="00E762ED">
        <w:rPr>
          <w:rFonts w:ascii="Arial" w:hAnsi="Arial" w:cs="Arial"/>
        </w:rPr>
        <w:t xml:space="preserve"> (Accessed: 16 July 2026).</w:t>
      </w:r>
    </w:p>
    <w:p w14:paraId="26BB99B2" w14:textId="77777777" w:rsidR="00F465F1" w:rsidRPr="00E762ED" w:rsidRDefault="00F465F1" w:rsidP="00E762ED">
      <w:pPr>
        <w:spacing w:line="360" w:lineRule="auto"/>
        <w:rPr>
          <w:rFonts w:ascii="Arial" w:hAnsi="Arial" w:cs="Arial"/>
        </w:rPr>
      </w:pPr>
      <w:r w:rsidRPr="00E762ED">
        <w:rPr>
          <w:rFonts w:ascii="Arial" w:hAnsi="Arial" w:cs="Arial"/>
        </w:rPr>
        <w:t xml:space="preserve">Equality Act (2010) </w:t>
      </w:r>
      <w:r w:rsidRPr="00E762ED">
        <w:rPr>
          <w:rFonts w:ascii="Arial" w:hAnsi="Arial" w:cs="Arial"/>
          <w:i/>
          <w:iCs/>
        </w:rPr>
        <w:t>Equality Act 2010</w:t>
      </w:r>
      <w:r w:rsidRPr="00E762ED">
        <w:rPr>
          <w:rFonts w:ascii="Arial" w:hAnsi="Arial" w:cs="Arial"/>
        </w:rPr>
        <w:t xml:space="preserve">. c.15. London: The Stationery Office. Available at: </w:t>
      </w:r>
      <w:hyperlink r:id="rId6" w:history="1">
        <w:r w:rsidRPr="00E762ED">
          <w:rPr>
            <w:rStyle w:val="Hyperlink"/>
            <w:rFonts w:ascii="Arial" w:hAnsi="Arial" w:cs="Arial"/>
          </w:rPr>
          <w:t>https://www.legislation.gov.uk/ukpga/2010/15</w:t>
        </w:r>
      </w:hyperlink>
      <w:r w:rsidRPr="00E762ED">
        <w:rPr>
          <w:rFonts w:ascii="Arial" w:hAnsi="Arial" w:cs="Arial"/>
        </w:rPr>
        <w:t xml:space="preserve"> (Accessed: 16 July 2026).</w:t>
      </w:r>
    </w:p>
    <w:p w14:paraId="06040C5F" w14:textId="77777777" w:rsidR="00F465F1" w:rsidRPr="00E762ED" w:rsidRDefault="00F465F1" w:rsidP="00E762ED">
      <w:pPr>
        <w:spacing w:line="360" w:lineRule="auto"/>
        <w:rPr>
          <w:rFonts w:ascii="Arial" w:hAnsi="Arial" w:cs="Arial"/>
        </w:rPr>
      </w:pPr>
      <w:r w:rsidRPr="00E762ED">
        <w:rPr>
          <w:rFonts w:ascii="Arial" w:hAnsi="Arial" w:cs="Arial"/>
        </w:rPr>
        <w:t xml:space="preserve">Health Foundation (2016) </w:t>
      </w:r>
      <w:r w:rsidRPr="00E762ED">
        <w:rPr>
          <w:rFonts w:ascii="Arial" w:hAnsi="Arial" w:cs="Arial"/>
          <w:i/>
          <w:iCs/>
        </w:rPr>
        <w:t>Person-centred care made simple</w:t>
      </w:r>
      <w:r w:rsidRPr="00E762ED">
        <w:rPr>
          <w:rFonts w:ascii="Arial" w:hAnsi="Arial" w:cs="Arial"/>
        </w:rPr>
        <w:t xml:space="preserve">. London: The Health Foundation. Available at: </w:t>
      </w:r>
      <w:hyperlink r:id="rId7" w:history="1">
        <w:r w:rsidRPr="00E762ED">
          <w:rPr>
            <w:rStyle w:val="Hyperlink"/>
            <w:rFonts w:ascii="Arial" w:hAnsi="Arial" w:cs="Arial"/>
          </w:rPr>
          <w:t>https://www.health.org.uk/publications/person-centred-care-made-simple</w:t>
        </w:r>
      </w:hyperlink>
      <w:r w:rsidRPr="00E762ED">
        <w:rPr>
          <w:rFonts w:ascii="Arial" w:hAnsi="Arial" w:cs="Arial"/>
        </w:rPr>
        <w:t xml:space="preserve"> (Accessed: 16 July 2026).</w:t>
      </w:r>
    </w:p>
    <w:p w14:paraId="645B4FA8" w14:textId="77777777" w:rsidR="00F465F1" w:rsidRPr="00E762ED" w:rsidRDefault="00F465F1" w:rsidP="00E762ED">
      <w:pPr>
        <w:spacing w:line="360" w:lineRule="auto"/>
        <w:rPr>
          <w:rFonts w:ascii="Arial" w:hAnsi="Arial" w:cs="Arial"/>
        </w:rPr>
      </w:pPr>
      <w:r w:rsidRPr="00E762ED">
        <w:rPr>
          <w:rFonts w:ascii="Arial" w:hAnsi="Arial" w:cs="Arial"/>
        </w:rPr>
        <w:t xml:space="preserve">Health and Social Care Act (2012) </w:t>
      </w:r>
      <w:r w:rsidRPr="00E762ED">
        <w:rPr>
          <w:rFonts w:ascii="Arial" w:hAnsi="Arial" w:cs="Arial"/>
          <w:i/>
          <w:iCs/>
        </w:rPr>
        <w:t>Health and Social Care Act 2012</w:t>
      </w:r>
      <w:r w:rsidRPr="00E762ED">
        <w:rPr>
          <w:rFonts w:ascii="Arial" w:hAnsi="Arial" w:cs="Arial"/>
        </w:rPr>
        <w:t xml:space="preserve">. c.7. London: The Stationery Office. Available at: </w:t>
      </w:r>
      <w:hyperlink r:id="rId8" w:history="1">
        <w:r w:rsidRPr="00E762ED">
          <w:rPr>
            <w:rStyle w:val="Hyperlink"/>
            <w:rFonts w:ascii="Arial" w:hAnsi="Arial" w:cs="Arial"/>
          </w:rPr>
          <w:t>https://www.legislation.gov.uk/ukpga/2012/7</w:t>
        </w:r>
      </w:hyperlink>
      <w:r w:rsidRPr="00E762ED">
        <w:rPr>
          <w:rFonts w:ascii="Arial" w:hAnsi="Arial" w:cs="Arial"/>
        </w:rPr>
        <w:t xml:space="preserve"> (Accessed: 16 July 2026).</w:t>
      </w:r>
    </w:p>
    <w:p w14:paraId="1E0BD43F" w14:textId="77777777" w:rsidR="00F465F1" w:rsidRPr="00E762ED" w:rsidRDefault="00F465F1" w:rsidP="00E762ED">
      <w:pPr>
        <w:spacing w:line="360" w:lineRule="auto"/>
        <w:rPr>
          <w:rFonts w:ascii="Arial" w:hAnsi="Arial" w:cs="Arial"/>
        </w:rPr>
      </w:pPr>
      <w:r w:rsidRPr="00E762ED">
        <w:rPr>
          <w:rFonts w:ascii="Arial" w:hAnsi="Arial" w:cs="Arial"/>
        </w:rPr>
        <w:t xml:space="preserve">Human Rights Act (1998) </w:t>
      </w:r>
      <w:r w:rsidRPr="00E762ED">
        <w:rPr>
          <w:rFonts w:ascii="Arial" w:hAnsi="Arial" w:cs="Arial"/>
          <w:i/>
          <w:iCs/>
        </w:rPr>
        <w:t>Human Rights Act 1998</w:t>
      </w:r>
      <w:r w:rsidRPr="00E762ED">
        <w:rPr>
          <w:rFonts w:ascii="Arial" w:hAnsi="Arial" w:cs="Arial"/>
        </w:rPr>
        <w:t xml:space="preserve">. c.42. London: The Stationery Office. Available at: </w:t>
      </w:r>
      <w:hyperlink r:id="rId9" w:history="1">
        <w:r w:rsidRPr="00E762ED">
          <w:rPr>
            <w:rStyle w:val="Hyperlink"/>
            <w:rFonts w:ascii="Arial" w:hAnsi="Arial" w:cs="Arial"/>
          </w:rPr>
          <w:t>https://www.legislation.gov.uk/ukpga/1998/42</w:t>
        </w:r>
      </w:hyperlink>
      <w:r w:rsidRPr="00E762ED">
        <w:rPr>
          <w:rFonts w:ascii="Arial" w:hAnsi="Arial" w:cs="Arial"/>
        </w:rPr>
        <w:t xml:space="preserve"> (Accessed: 16 July 2026).</w:t>
      </w:r>
    </w:p>
    <w:p w14:paraId="46DA4429" w14:textId="77777777" w:rsidR="00F465F1" w:rsidRPr="00E762ED" w:rsidRDefault="00F465F1" w:rsidP="00E762ED">
      <w:pPr>
        <w:spacing w:line="360" w:lineRule="auto"/>
        <w:rPr>
          <w:rFonts w:ascii="Arial" w:hAnsi="Arial" w:cs="Arial"/>
        </w:rPr>
      </w:pPr>
      <w:r w:rsidRPr="00E762ED">
        <w:rPr>
          <w:rFonts w:ascii="Arial" w:hAnsi="Arial" w:cs="Arial"/>
        </w:rPr>
        <w:t xml:space="preserve">Maslow, A.H. (1943) 'A theory of human motivation', </w:t>
      </w:r>
      <w:r w:rsidRPr="00E762ED">
        <w:rPr>
          <w:rFonts w:ascii="Arial" w:hAnsi="Arial" w:cs="Arial"/>
          <w:i/>
          <w:iCs/>
        </w:rPr>
        <w:t>Psychological Review</w:t>
      </w:r>
      <w:r w:rsidRPr="00E762ED">
        <w:rPr>
          <w:rFonts w:ascii="Arial" w:hAnsi="Arial" w:cs="Arial"/>
        </w:rPr>
        <w:t>, 50(4), pp. 370–396.</w:t>
      </w:r>
    </w:p>
    <w:p w14:paraId="3E75B97A" w14:textId="77777777" w:rsidR="00F465F1" w:rsidRPr="00E762ED" w:rsidRDefault="00F465F1" w:rsidP="00E762ED">
      <w:pPr>
        <w:spacing w:line="360" w:lineRule="auto"/>
        <w:rPr>
          <w:rFonts w:ascii="Arial" w:hAnsi="Arial" w:cs="Arial"/>
        </w:rPr>
      </w:pPr>
      <w:r w:rsidRPr="00E762ED">
        <w:rPr>
          <w:rFonts w:ascii="Arial" w:hAnsi="Arial" w:cs="Arial"/>
        </w:rPr>
        <w:t xml:space="preserve">Mental Capacity Act (2005) </w:t>
      </w:r>
      <w:r w:rsidRPr="00E762ED">
        <w:rPr>
          <w:rFonts w:ascii="Arial" w:hAnsi="Arial" w:cs="Arial"/>
          <w:i/>
          <w:iCs/>
        </w:rPr>
        <w:t>Mental Capacity Act 2005</w:t>
      </w:r>
      <w:r w:rsidRPr="00E762ED">
        <w:rPr>
          <w:rFonts w:ascii="Arial" w:hAnsi="Arial" w:cs="Arial"/>
        </w:rPr>
        <w:t xml:space="preserve">. c.9. London: The Stationery Office. Available at: </w:t>
      </w:r>
      <w:hyperlink r:id="rId10" w:history="1">
        <w:r w:rsidRPr="00E762ED">
          <w:rPr>
            <w:rStyle w:val="Hyperlink"/>
            <w:rFonts w:ascii="Arial" w:hAnsi="Arial" w:cs="Arial"/>
          </w:rPr>
          <w:t>https://www.legislation.gov.uk/ukpga/2005/9</w:t>
        </w:r>
      </w:hyperlink>
      <w:r w:rsidRPr="00E762ED">
        <w:rPr>
          <w:rFonts w:ascii="Arial" w:hAnsi="Arial" w:cs="Arial"/>
        </w:rPr>
        <w:t xml:space="preserve"> (Accessed: 16 July 2026).</w:t>
      </w:r>
    </w:p>
    <w:p w14:paraId="45595C54" w14:textId="77777777" w:rsidR="00F465F1" w:rsidRPr="00E762ED" w:rsidRDefault="00F465F1" w:rsidP="00E762ED">
      <w:pPr>
        <w:spacing w:line="360" w:lineRule="auto"/>
        <w:rPr>
          <w:rFonts w:ascii="Arial" w:hAnsi="Arial" w:cs="Arial"/>
        </w:rPr>
      </w:pPr>
      <w:r w:rsidRPr="00E762ED">
        <w:rPr>
          <w:rFonts w:ascii="Arial" w:hAnsi="Arial" w:cs="Arial"/>
        </w:rPr>
        <w:t xml:space="preserve">National Institute for Health and Care Excellence (NICE) (2022) </w:t>
      </w:r>
      <w:r w:rsidRPr="00E762ED">
        <w:rPr>
          <w:rFonts w:ascii="Arial" w:hAnsi="Arial" w:cs="Arial"/>
          <w:i/>
          <w:iCs/>
        </w:rPr>
        <w:t>Shared decision making (NG197)</w:t>
      </w:r>
      <w:r w:rsidRPr="00E762ED">
        <w:rPr>
          <w:rFonts w:ascii="Arial" w:hAnsi="Arial" w:cs="Arial"/>
        </w:rPr>
        <w:t xml:space="preserve">. Available at: </w:t>
      </w:r>
      <w:hyperlink r:id="rId11" w:history="1">
        <w:r w:rsidRPr="00E762ED">
          <w:rPr>
            <w:rStyle w:val="Hyperlink"/>
            <w:rFonts w:ascii="Arial" w:hAnsi="Arial" w:cs="Arial"/>
          </w:rPr>
          <w:t>https://www.nice.org.uk/guidance/ng197</w:t>
        </w:r>
      </w:hyperlink>
      <w:r w:rsidRPr="00E762ED">
        <w:rPr>
          <w:rFonts w:ascii="Arial" w:hAnsi="Arial" w:cs="Arial"/>
        </w:rPr>
        <w:t xml:space="preserve"> (Accessed: 16 July 2026).</w:t>
      </w:r>
    </w:p>
    <w:p w14:paraId="1037E8A5" w14:textId="77777777" w:rsidR="00F465F1" w:rsidRPr="00E762ED" w:rsidRDefault="00F465F1" w:rsidP="00E762ED">
      <w:pPr>
        <w:spacing w:line="360" w:lineRule="auto"/>
        <w:rPr>
          <w:rFonts w:ascii="Arial" w:hAnsi="Arial" w:cs="Arial"/>
        </w:rPr>
      </w:pPr>
      <w:r w:rsidRPr="00E762ED">
        <w:rPr>
          <w:rFonts w:ascii="Arial" w:hAnsi="Arial" w:cs="Arial"/>
        </w:rPr>
        <w:t xml:space="preserve">NHS England (2022) </w:t>
      </w:r>
      <w:r w:rsidRPr="00E762ED">
        <w:rPr>
          <w:rFonts w:ascii="Arial" w:hAnsi="Arial" w:cs="Arial"/>
          <w:i/>
          <w:iCs/>
        </w:rPr>
        <w:t>Integrated Care Systems: Guidance</w:t>
      </w:r>
      <w:r w:rsidRPr="00E762ED">
        <w:rPr>
          <w:rFonts w:ascii="Arial" w:hAnsi="Arial" w:cs="Arial"/>
        </w:rPr>
        <w:t xml:space="preserve">. London: NHS England. Available at: </w:t>
      </w:r>
      <w:hyperlink r:id="rId12" w:history="1">
        <w:r w:rsidRPr="00E762ED">
          <w:rPr>
            <w:rStyle w:val="Hyperlink"/>
            <w:rFonts w:ascii="Arial" w:hAnsi="Arial" w:cs="Arial"/>
          </w:rPr>
          <w:t>https://www.england.nhs.uk/integratedcare/</w:t>
        </w:r>
      </w:hyperlink>
      <w:r w:rsidRPr="00E762ED">
        <w:rPr>
          <w:rFonts w:ascii="Arial" w:hAnsi="Arial" w:cs="Arial"/>
        </w:rPr>
        <w:t xml:space="preserve"> (Accessed: 16 July 2026).</w:t>
      </w:r>
    </w:p>
    <w:p w14:paraId="4BE4CB85" w14:textId="77777777" w:rsidR="00F465F1" w:rsidRPr="00E762ED" w:rsidRDefault="00F465F1" w:rsidP="00E762ED">
      <w:pPr>
        <w:spacing w:line="360" w:lineRule="auto"/>
        <w:rPr>
          <w:rFonts w:ascii="Arial" w:hAnsi="Arial" w:cs="Arial"/>
        </w:rPr>
      </w:pPr>
      <w:r w:rsidRPr="00E762ED">
        <w:rPr>
          <w:rFonts w:ascii="Arial" w:hAnsi="Arial" w:cs="Arial"/>
        </w:rPr>
        <w:lastRenderedPageBreak/>
        <w:t xml:space="preserve">NHS England (2023) </w:t>
      </w:r>
      <w:r w:rsidRPr="00E762ED">
        <w:rPr>
          <w:rFonts w:ascii="Arial" w:hAnsi="Arial" w:cs="Arial"/>
          <w:i/>
          <w:iCs/>
        </w:rPr>
        <w:t>NHS Digital and Data Strategy</w:t>
      </w:r>
      <w:r w:rsidRPr="00E762ED">
        <w:rPr>
          <w:rFonts w:ascii="Arial" w:hAnsi="Arial" w:cs="Arial"/>
        </w:rPr>
        <w:t xml:space="preserve">. London: NHS England. Available at: </w:t>
      </w:r>
      <w:hyperlink r:id="rId13" w:history="1">
        <w:r w:rsidRPr="00E762ED">
          <w:rPr>
            <w:rStyle w:val="Hyperlink"/>
            <w:rFonts w:ascii="Arial" w:hAnsi="Arial" w:cs="Arial"/>
          </w:rPr>
          <w:t>https://www.england.nhs.uk</w:t>
        </w:r>
      </w:hyperlink>
      <w:r w:rsidRPr="00E762ED">
        <w:rPr>
          <w:rFonts w:ascii="Arial" w:hAnsi="Arial" w:cs="Arial"/>
        </w:rPr>
        <w:t xml:space="preserve"> (Accessed: 16 July 2026).</w:t>
      </w:r>
    </w:p>
    <w:p w14:paraId="23609565" w14:textId="77777777" w:rsidR="00F465F1" w:rsidRPr="00E762ED" w:rsidRDefault="00F465F1" w:rsidP="00E762ED">
      <w:pPr>
        <w:spacing w:line="360" w:lineRule="auto"/>
        <w:rPr>
          <w:rFonts w:ascii="Arial" w:hAnsi="Arial" w:cs="Arial"/>
        </w:rPr>
      </w:pPr>
      <w:r w:rsidRPr="00E762ED">
        <w:rPr>
          <w:rFonts w:ascii="Arial" w:hAnsi="Arial" w:cs="Arial"/>
        </w:rPr>
        <w:t xml:space="preserve">NHS England (2024) </w:t>
      </w:r>
      <w:r w:rsidRPr="00E762ED">
        <w:rPr>
          <w:rFonts w:ascii="Arial" w:hAnsi="Arial" w:cs="Arial"/>
          <w:i/>
          <w:iCs/>
        </w:rPr>
        <w:t>The NHS Long Term Workforce Plan</w:t>
      </w:r>
      <w:r w:rsidRPr="00E762ED">
        <w:rPr>
          <w:rFonts w:ascii="Arial" w:hAnsi="Arial" w:cs="Arial"/>
        </w:rPr>
        <w:t xml:space="preserve">. Available at: </w:t>
      </w:r>
      <w:hyperlink r:id="rId14" w:history="1">
        <w:r w:rsidRPr="00E762ED">
          <w:rPr>
            <w:rStyle w:val="Hyperlink"/>
            <w:rFonts w:ascii="Arial" w:hAnsi="Arial" w:cs="Arial"/>
          </w:rPr>
          <w:t>https://www.england.nhs.uk/long-read/nhs-long-term-workforce-plan/</w:t>
        </w:r>
      </w:hyperlink>
      <w:r w:rsidRPr="00E762ED">
        <w:rPr>
          <w:rFonts w:ascii="Arial" w:hAnsi="Arial" w:cs="Arial"/>
        </w:rPr>
        <w:t xml:space="preserve"> (Accessed: 16 July 2026).</w:t>
      </w:r>
    </w:p>
    <w:p w14:paraId="4B5002A1" w14:textId="77777777" w:rsidR="00F465F1" w:rsidRPr="00E762ED" w:rsidRDefault="00F465F1" w:rsidP="00E762ED">
      <w:pPr>
        <w:spacing w:line="360" w:lineRule="auto"/>
        <w:rPr>
          <w:rFonts w:ascii="Arial" w:hAnsi="Arial" w:cs="Arial"/>
        </w:rPr>
      </w:pPr>
      <w:r w:rsidRPr="00E762ED">
        <w:rPr>
          <w:rFonts w:ascii="Arial" w:hAnsi="Arial" w:cs="Arial"/>
        </w:rPr>
        <w:t xml:space="preserve">Rogers, C.R. (1961) </w:t>
      </w:r>
      <w:r w:rsidRPr="00E762ED">
        <w:rPr>
          <w:rFonts w:ascii="Arial" w:hAnsi="Arial" w:cs="Arial"/>
          <w:i/>
          <w:iCs/>
        </w:rPr>
        <w:t>On Becoming a Person: A Therapist's View of Psychotherapy</w:t>
      </w:r>
      <w:r w:rsidRPr="00E762ED">
        <w:rPr>
          <w:rFonts w:ascii="Arial" w:hAnsi="Arial" w:cs="Arial"/>
        </w:rPr>
        <w:t>. Boston: Houghton Mifflin.</w:t>
      </w:r>
    </w:p>
    <w:p w14:paraId="5781CA81" w14:textId="77777777" w:rsidR="00F465F1" w:rsidRPr="00E762ED" w:rsidRDefault="00F465F1" w:rsidP="00E762ED">
      <w:pPr>
        <w:spacing w:line="360" w:lineRule="auto"/>
        <w:rPr>
          <w:rFonts w:ascii="Arial" w:hAnsi="Arial" w:cs="Arial"/>
        </w:rPr>
      </w:pPr>
      <w:r w:rsidRPr="00E762ED">
        <w:rPr>
          <w:rFonts w:ascii="Arial" w:hAnsi="Arial" w:cs="Arial"/>
        </w:rPr>
        <w:t xml:space="preserve">Slade, M. (2009) </w:t>
      </w:r>
      <w:r w:rsidRPr="00E762ED">
        <w:rPr>
          <w:rFonts w:ascii="Arial" w:hAnsi="Arial" w:cs="Arial"/>
          <w:i/>
          <w:iCs/>
        </w:rPr>
        <w:t>Personal Recovery and Mental Illness: A Guide for Mental Health Professionals</w:t>
      </w:r>
      <w:r w:rsidRPr="00E762ED">
        <w:rPr>
          <w:rFonts w:ascii="Arial" w:hAnsi="Arial" w:cs="Arial"/>
        </w:rPr>
        <w:t>. Cambridge: Cambridge University Press.</w:t>
      </w:r>
    </w:p>
    <w:p w14:paraId="2942A5E9" w14:textId="77777777" w:rsidR="00F465F1" w:rsidRPr="00E762ED" w:rsidRDefault="00F465F1" w:rsidP="00E762ED">
      <w:pPr>
        <w:spacing w:line="360" w:lineRule="auto"/>
        <w:rPr>
          <w:rFonts w:ascii="Arial" w:hAnsi="Arial" w:cs="Arial"/>
        </w:rPr>
      </w:pPr>
      <w:r w:rsidRPr="00E762ED">
        <w:rPr>
          <w:rFonts w:ascii="Arial" w:hAnsi="Arial" w:cs="Arial"/>
        </w:rPr>
        <w:t xml:space="preserve">The King's Fund (2022) </w:t>
      </w:r>
      <w:r w:rsidRPr="00E762ED">
        <w:rPr>
          <w:rFonts w:ascii="Arial" w:hAnsi="Arial" w:cs="Arial"/>
          <w:i/>
          <w:iCs/>
        </w:rPr>
        <w:t>Person-centred care</w:t>
      </w:r>
      <w:r w:rsidRPr="00E762ED">
        <w:rPr>
          <w:rFonts w:ascii="Arial" w:hAnsi="Arial" w:cs="Arial"/>
        </w:rPr>
        <w:t xml:space="preserve">. London: The King's Fund. Available at: </w:t>
      </w:r>
      <w:hyperlink r:id="rId15" w:history="1">
        <w:r w:rsidRPr="00E762ED">
          <w:rPr>
            <w:rStyle w:val="Hyperlink"/>
            <w:rFonts w:ascii="Arial" w:hAnsi="Arial" w:cs="Arial"/>
          </w:rPr>
          <w:t>https://www.kingsfund.org.uk/projects/supporting-integration/person-centred-care</w:t>
        </w:r>
      </w:hyperlink>
      <w:r w:rsidRPr="00E762ED">
        <w:rPr>
          <w:rFonts w:ascii="Arial" w:hAnsi="Arial" w:cs="Arial"/>
        </w:rPr>
        <w:t xml:space="preserve"> (Accessed: 16 July 2026).</w:t>
      </w:r>
    </w:p>
    <w:p w14:paraId="2152B286" w14:textId="77777777" w:rsidR="00F465F1" w:rsidRPr="00E762ED" w:rsidRDefault="00F465F1" w:rsidP="00E762ED">
      <w:pPr>
        <w:spacing w:line="360" w:lineRule="auto"/>
        <w:rPr>
          <w:rFonts w:ascii="Arial" w:hAnsi="Arial" w:cs="Arial"/>
          <w:b/>
          <w:bCs/>
        </w:rPr>
      </w:pPr>
    </w:p>
    <w:p w14:paraId="5D4D48CD" w14:textId="77777777" w:rsidR="00F465F1" w:rsidRPr="00E762ED" w:rsidRDefault="00F465F1" w:rsidP="00E762ED">
      <w:pPr>
        <w:spacing w:line="360" w:lineRule="auto"/>
        <w:rPr>
          <w:rFonts w:ascii="Arial" w:hAnsi="Arial" w:cs="Arial"/>
          <w:b/>
          <w:bCs/>
        </w:rPr>
      </w:pPr>
    </w:p>
    <w:p w14:paraId="792963D6" w14:textId="77777777" w:rsidR="00F465F1" w:rsidRPr="00E762ED" w:rsidRDefault="00F465F1" w:rsidP="00E762ED">
      <w:pPr>
        <w:spacing w:line="360" w:lineRule="auto"/>
        <w:rPr>
          <w:rFonts w:ascii="Arial" w:hAnsi="Arial" w:cs="Arial"/>
          <w:b/>
          <w:bCs/>
        </w:rPr>
      </w:pPr>
    </w:p>
    <w:p w14:paraId="35339A1D" w14:textId="77777777" w:rsidR="00F465F1" w:rsidRPr="00E762ED" w:rsidRDefault="00F465F1" w:rsidP="00E762ED">
      <w:pPr>
        <w:spacing w:line="360" w:lineRule="auto"/>
        <w:rPr>
          <w:rFonts w:ascii="Arial" w:hAnsi="Arial" w:cs="Arial"/>
          <w:b/>
          <w:bCs/>
        </w:rPr>
      </w:pPr>
    </w:p>
    <w:p w14:paraId="40D9F59C" w14:textId="77777777" w:rsidR="00F465F1" w:rsidRPr="00E762ED" w:rsidRDefault="00F465F1" w:rsidP="00E762ED">
      <w:pPr>
        <w:spacing w:line="360" w:lineRule="auto"/>
        <w:rPr>
          <w:rFonts w:ascii="Arial" w:hAnsi="Arial" w:cs="Arial"/>
          <w:b/>
          <w:bCs/>
        </w:rPr>
      </w:pPr>
    </w:p>
    <w:p w14:paraId="76F94CFE" w14:textId="77777777" w:rsidR="00F465F1" w:rsidRPr="00E762ED" w:rsidRDefault="00F465F1" w:rsidP="00E762ED">
      <w:pPr>
        <w:spacing w:line="360" w:lineRule="auto"/>
        <w:rPr>
          <w:rFonts w:ascii="Arial" w:hAnsi="Arial" w:cs="Arial"/>
          <w:b/>
          <w:bCs/>
        </w:rPr>
      </w:pPr>
    </w:p>
    <w:p w14:paraId="3B57BC7B" w14:textId="77777777" w:rsidR="00F465F1" w:rsidRPr="00E762ED" w:rsidRDefault="00F465F1" w:rsidP="00E762ED">
      <w:pPr>
        <w:spacing w:line="360" w:lineRule="auto"/>
        <w:rPr>
          <w:rFonts w:ascii="Arial" w:hAnsi="Arial" w:cs="Arial"/>
          <w:b/>
          <w:bCs/>
        </w:rPr>
      </w:pPr>
    </w:p>
    <w:p w14:paraId="2C808263" w14:textId="77777777" w:rsidR="00FE58D3" w:rsidRPr="00E762ED" w:rsidRDefault="00FE58D3" w:rsidP="00E762ED">
      <w:pPr>
        <w:spacing w:line="360" w:lineRule="auto"/>
        <w:rPr>
          <w:rFonts w:ascii="Arial" w:hAnsi="Arial" w:cs="Arial"/>
          <w:b/>
          <w:bCs/>
        </w:rPr>
      </w:pPr>
    </w:p>
    <w:p w14:paraId="0C02390B" w14:textId="77777777" w:rsidR="00325470" w:rsidRPr="00E762ED" w:rsidRDefault="00325470" w:rsidP="00E762ED">
      <w:pPr>
        <w:spacing w:line="360" w:lineRule="auto"/>
        <w:rPr>
          <w:rFonts w:ascii="Arial" w:hAnsi="Arial" w:cs="Arial"/>
        </w:rPr>
      </w:pPr>
    </w:p>
    <w:sectPr w:rsidR="00325470" w:rsidRPr="00E76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12E"/>
    <w:rsid w:val="00014E81"/>
    <w:rsid w:val="0001618A"/>
    <w:rsid w:val="0001626A"/>
    <w:rsid w:val="00031458"/>
    <w:rsid w:val="000346C0"/>
    <w:rsid w:val="00047663"/>
    <w:rsid w:val="000B44B3"/>
    <w:rsid w:val="000D4B7F"/>
    <w:rsid w:val="000E7B79"/>
    <w:rsid w:val="00136F5C"/>
    <w:rsid w:val="0016212E"/>
    <w:rsid w:val="00191116"/>
    <w:rsid w:val="001B2062"/>
    <w:rsid w:val="001C6B6E"/>
    <w:rsid w:val="001E553B"/>
    <w:rsid w:val="00245A94"/>
    <w:rsid w:val="002510EB"/>
    <w:rsid w:val="00285155"/>
    <w:rsid w:val="0028755C"/>
    <w:rsid w:val="002A7DA6"/>
    <w:rsid w:val="002F68A3"/>
    <w:rsid w:val="00325470"/>
    <w:rsid w:val="0034316F"/>
    <w:rsid w:val="00374FAA"/>
    <w:rsid w:val="003831AA"/>
    <w:rsid w:val="003A4DCC"/>
    <w:rsid w:val="003B3277"/>
    <w:rsid w:val="003E6E26"/>
    <w:rsid w:val="00402FEB"/>
    <w:rsid w:val="00413B4C"/>
    <w:rsid w:val="0042617D"/>
    <w:rsid w:val="004379FE"/>
    <w:rsid w:val="00455512"/>
    <w:rsid w:val="004F5846"/>
    <w:rsid w:val="00535850"/>
    <w:rsid w:val="0055415F"/>
    <w:rsid w:val="005B7753"/>
    <w:rsid w:val="005C5CDE"/>
    <w:rsid w:val="005D6716"/>
    <w:rsid w:val="005F582F"/>
    <w:rsid w:val="00600662"/>
    <w:rsid w:val="00601BB3"/>
    <w:rsid w:val="00627B81"/>
    <w:rsid w:val="00634252"/>
    <w:rsid w:val="006520D1"/>
    <w:rsid w:val="006640B5"/>
    <w:rsid w:val="00850F76"/>
    <w:rsid w:val="008772BD"/>
    <w:rsid w:val="00884463"/>
    <w:rsid w:val="008E5AD9"/>
    <w:rsid w:val="008E5FD1"/>
    <w:rsid w:val="00913F4E"/>
    <w:rsid w:val="00916F50"/>
    <w:rsid w:val="00942109"/>
    <w:rsid w:val="00963760"/>
    <w:rsid w:val="009A328A"/>
    <w:rsid w:val="009C6EC6"/>
    <w:rsid w:val="00A61763"/>
    <w:rsid w:val="00A64878"/>
    <w:rsid w:val="00AC64DA"/>
    <w:rsid w:val="00AD3203"/>
    <w:rsid w:val="00B670D4"/>
    <w:rsid w:val="00B90CC9"/>
    <w:rsid w:val="00BD181F"/>
    <w:rsid w:val="00BD4B98"/>
    <w:rsid w:val="00BE2C21"/>
    <w:rsid w:val="00C41B82"/>
    <w:rsid w:val="00C50FD8"/>
    <w:rsid w:val="00C93D8E"/>
    <w:rsid w:val="00CF1CE3"/>
    <w:rsid w:val="00D13CBE"/>
    <w:rsid w:val="00D304C2"/>
    <w:rsid w:val="00D3609E"/>
    <w:rsid w:val="00DB10CB"/>
    <w:rsid w:val="00DC0FE7"/>
    <w:rsid w:val="00E14353"/>
    <w:rsid w:val="00E1490D"/>
    <w:rsid w:val="00E762ED"/>
    <w:rsid w:val="00EA5AF4"/>
    <w:rsid w:val="00EF0F69"/>
    <w:rsid w:val="00F02A67"/>
    <w:rsid w:val="00F264BD"/>
    <w:rsid w:val="00F465F1"/>
    <w:rsid w:val="00F52BC6"/>
    <w:rsid w:val="00F9221D"/>
    <w:rsid w:val="00FB2F2A"/>
    <w:rsid w:val="00FE5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0F9C1"/>
  <w15:chartTrackingRefBased/>
  <w15:docId w15:val="{2797F2C5-373E-4989-86E8-0EFFE3EED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1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21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21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21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21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21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21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21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21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1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21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21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21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21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2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2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2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212E"/>
    <w:rPr>
      <w:rFonts w:eastAsiaTheme="majorEastAsia" w:cstheme="majorBidi"/>
      <w:color w:val="272727" w:themeColor="text1" w:themeTint="D8"/>
    </w:rPr>
  </w:style>
  <w:style w:type="paragraph" w:styleId="Title">
    <w:name w:val="Title"/>
    <w:basedOn w:val="Normal"/>
    <w:next w:val="Normal"/>
    <w:link w:val="TitleChar"/>
    <w:uiPriority w:val="10"/>
    <w:qFormat/>
    <w:rsid w:val="00162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2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21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2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212E"/>
    <w:pPr>
      <w:spacing w:before="160"/>
      <w:jc w:val="center"/>
    </w:pPr>
    <w:rPr>
      <w:i/>
      <w:iCs/>
      <w:color w:val="404040" w:themeColor="text1" w:themeTint="BF"/>
    </w:rPr>
  </w:style>
  <w:style w:type="character" w:customStyle="1" w:styleId="QuoteChar">
    <w:name w:val="Quote Char"/>
    <w:basedOn w:val="DefaultParagraphFont"/>
    <w:link w:val="Quote"/>
    <w:uiPriority w:val="29"/>
    <w:rsid w:val="0016212E"/>
    <w:rPr>
      <w:i/>
      <w:iCs/>
      <w:color w:val="404040" w:themeColor="text1" w:themeTint="BF"/>
    </w:rPr>
  </w:style>
  <w:style w:type="paragraph" w:styleId="ListParagraph">
    <w:name w:val="List Paragraph"/>
    <w:basedOn w:val="Normal"/>
    <w:uiPriority w:val="34"/>
    <w:qFormat/>
    <w:rsid w:val="0016212E"/>
    <w:pPr>
      <w:ind w:left="720"/>
      <w:contextualSpacing/>
    </w:pPr>
  </w:style>
  <w:style w:type="character" w:styleId="IntenseEmphasis">
    <w:name w:val="Intense Emphasis"/>
    <w:basedOn w:val="DefaultParagraphFont"/>
    <w:uiPriority w:val="21"/>
    <w:qFormat/>
    <w:rsid w:val="0016212E"/>
    <w:rPr>
      <w:i/>
      <w:iCs/>
      <w:color w:val="0F4761" w:themeColor="accent1" w:themeShade="BF"/>
    </w:rPr>
  </w:style>
  <w:style w:type="paragraph" w:styleId="IntenseQuote">
    <w:name w:val="Intense Quote"/>
    <w:basedOn w:val="Normal"/>
    <w:next w:val="Normal"/>
    <w:link w:val="IntenseQuoteChar"/>
    <w:uiPriority w:val="30"/>
    <w:qFormat/>
    <w:rsid w:val="001621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212E"/>
    <w:rPr>
      <w:i/>
      <w:iCs/>
      <w:color w:val="0F4761" w:themeColor="accent1" w:themeShade="BF"/>
    </w:rPr>
  </w:style>
  <w:style w:type="character" w:styleId="IntenseReference">
    <w:name w:val="Intense Reference"/>
    <w:basedOn w:val="DefaultParagraphFont"/>
    <w:uiPriority w:val="32"/>
    <w:qFormat/>
    <w:rsid w:val="0016212E"/>
    <w:rPr>
      <w:b/>
      <w:bCs/>
      <w:smallCaps/>
      <w:color w:val="0F4761" w:themeColor="accent1" w:themeShade="BF"/>
      <w:spacing w:val="5"/>
    </w:rPr>
  </w:style>
  <w:style w:type="character" w:styleId="Hyperlink">
    <w:name w:val="Hyperlink"/>
    <w:basedOn w:val="DefaultParagraphFont"/>
    <w:uiPriority w:val="99"/>
    <w:unhideWhenUsed/>
    <w:rsid w:val="0016212E"/>
    <w:rPr>
      <w:color w:val="467886" w:themeColor="hyperlink"/>
      <w:u w:val="single"/>
    </w:rPr>
  </w:style>
  <w:style w:type="character" w:styleId="UnresolvedMention">
    <w:name w:val="Unresolved Mention"/>
    <w:basedOn w:val="DefaultParagraphFont"/>
    <w:uiPriority w:val="99"/>
    <w:semiHidden/>
    <w:unhideWhenUsed/>
    <w:rsid w:val="001621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2/7" TargetMode="External"/><Relationship Id="rId13" Type="http://schemas.openxmlformats.org/officeDocument/2006/relationships/hyperlink" Target="https://www.england.nhs.uk" TargetMode="External"/><Relationship Id="rId3" Type="http://schemas.openxmlformats.org/officeDocument/2006/relationships/webSettings" Target="webSettings.xml"/><Relationship Id="rId7" Type="http://schemas.openxmlformats.org/officeDocument/2006/relationships/hyperlink" Target="https://www.health.org.uk/publications/person-centred-care-made-simple" TargetMode="External"/><Relationship Id="rId12" Type="http://schemas.openxmlformats.org/officeDocument/2006/relationships/hyperlink" Target="https://www.england.nhs.uk/integratedcar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egislation.gov.uk/ukpga/2010/15" TargetMode="External"/><Relationship Id="rId11" Type="http://schemas.openxmlformats.org/officeDocument/2006/relationships/hyperlink" Target="https://www.nice.org.uk/guidance/ng197" TargetMode="External"/><Relationship Id="rId5" Type="http://schemas.openxmlformats.org/officeDocument/2006/relationships/hyperlink" Target="https://www.legislation.gov.uk/ukpga/2022/31" TargetMode="External"/><Relationship Id="rId15" Type="http://schemas.openxmlformats.org/officeDocument/2006/relationships/hyperlink" Target="https://www.kingsfund.org.uk/projects/supporting-integration/person-centred-care" TargetMode="External"/><Relationship Id="rId10" Type="http://schemas.openxmlformats.org/officeDocument/2006/relationships/hyperlink" Target="https://www.legislation.gov.uk/ukpga/2005/9" TargetMode="External"/><Relationship Id="rId4" Type="http://schemas.openxmlformats.org/officeDocument/2006/relationships/hyperlink" Target="https://www.legislation.gov.uk/ukpga/2014/23" TargetMode="External"/><Relationship Id="rId9" Type="http://schemas.openxmlformats.org/officeDocument/2006/relationships/hyperlink" Target="https://www.legislation.gov.uk/ukpga/1998/42" TargetMode="External"/><Relationship Id="rId14" Type="http://schemas.openxmlformats.org/officeDocument/2006/relationships/hyperlink" Target="https://www.england.nhs.uk/long-read/nhs-long-term-workforce-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648</TotalTime>
  <Pages>10</Pages>
  <Words>2684</Words>
  <Characters>15299</Characters>
  <Application>Microsoft Office Word</Application>
  <DocSecurity>0</DocSecurity>
  <Lines>127</Lines>
  <Paragraphs>35</Paragraphs>
  <ScaleCrop>false</ScaleCrop>
  <Company/>
  <LinksUpToDate>false</LinksUpToDate>
  <CharactersWithSpaces>17948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neema njonjo</dc:creator>
  <cp:keywords/>
  <dc:description/>
  <cp:lastModifiedBy>neema njonjo</cp:lastModifiedBy>
  <cp:revision>84</cp:revision>
  <dcterms:created xsi:type="dcterms:W3CDTF">2026-07-16T13:37:00Z</dcterms:created>
  <dcterms:modified xsi:type="dcterms:W3CDTF">2026-07-20T18:08:00Z</dcterms:modified>
</cp:coreProperties>
</file>