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8701B0E">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IN"/>
        </w:rPr>
        <w:drawing>
          <wp:inline distT="114300" distB="114300" distL="114300" distR="114300">
            <wp:extent cx="1952625" cy="876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4"/>
                    <a:srcRect/>
                    <a:stretch>
                      <a:fillRect/>
                    </a:stretch>
                  </pic:blipFill>
                  <pic:spPr>
                    <a:xfrm>
                      <a:off x="0" y="0"/>
                      <a:ext cx="1952625" cy="876300"/>
                    </a:xfrm>
                    <a:prstGeom prst="rect">
                      <a:avLst/>
                    </a:prstGeom>
                  </pic:spPr>
                </pic:pic>
              </a:graphicData>
            </a:graphic>
          </wp:inline>
        </w:drawing>
      </w:r>
    </w:p>
    <w:p w14:paraId="2957C237">
      <w:pPr>
        <w:spacing w:line="360" w:lineRule="auto"/>
        <w:jc w:val="both"/>
        <w:rPr>
          <w:rFonts w:ascii="Times New Roman" w:hAnsi="Times New Roman" w:eastAsia="Times New Roman" w:cs="Times New Roman"/>
          <w:sz w:val="24"/>
          <w:szCs w:val="24"/>
        </w:rPr>
      </w:pPr>
    </w:p>
    <w:tbl>
      <w:tblPr>
        <w:tblStyle w:val="19"/>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505"/>
        <w:gridCol w:w="6855"/>
      </w:tblGrid>
      <w:tr w14:paraId="2A698E7D">
        <w:tblPrEx>
          <w:tblLayout w:type="fixed"/>
        </w:tblPrEx>
        <w:tc>
          <w:tcPr>
            <w:tcW w:w="2505" w:type="dxa"/>
            <w:shd w:val="clear" w:color="auto" w:fill="auto"/>
            <w:tcMar>
              <w:top w:w="100" w:type="dxa"/>
              <w:left w:w="100" w:type="dxa"/>
              <w:bottom w:w="100" w:type="dxa"/>
              <w:right w:w="100" w:type="dxa"/>
            </w:tcMar>
          </w:tcPr>
          <w:p w14:paraId="362C506C">
            <w:pPr>
              <w:widowControl w:val="0"/>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Programme:</w:t>
            </w:r>
          </w:p>
          <w:p w14:paraId="2805D841">
            <w:pPr>
              <w:widowControl w:val="0"/>
              <w:spacing w:line="360" w:lineRule="auto"/>
              <w:jc w:val="center"/>
              <w:rPr>
                <w:rFonts w:ascii="Times New Roman" w:hAnsi="Times New Roman" w:eastAsia="Times New Roman" w:cs="Times New Roman"/>
                <w:b/>
                <w:bCs/>
                <w:sz w:val="24"/>
                <w:szCs w:val="24"/>
              </w:rPr>
            </w:pPr>
          </w:p>
        </w:tc>
        <w:tc>
          <w:tcPr>
            <w:tcW w:w="6855" w:type="dxa"/>
            <w:shd w:val="clear" w:color="auto" w:fill="auto"/>
            <w:tcMar>
              <w:top w:w="100" w:type="dxa"/>
              <w:left w:w="100" w:type="dxa"/>
              <w:bottom w:w="100" w:type="dxa"/>
              <w:right w:w="100" w:type="dxa"/>
            </w:tcMar>
          </w:tcPr>
          <w:p w14:paraId="5C1672A7">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MSc Public Health and Social Care in Practice</w:t>
            </w:r>
          </w:p>
        </w:tc>
      </w:tr>
      <w:tr w14:paraId="4A7CF3B8">
        <w:tblPrEx>
          <w:tblLayout w:type="fixed"/>
        </w:tblPrEx>
        <w:tc>
          <w:tcPr>
            <w:tcW w:w="2505" w:type="dxa"/>
            <w:shd w:val="clear" w:color="auto" w:fill="auto"/>
            <w:tcMar>
              <w:top w:w="100" w:type="dxa"/>
              <w:left w:w="100" w:type="dxa"/>
              <w:bottom w:w="100" w:type="dxa"/>
              <w:right w:w="100" w:type="dxa"/>
            </w:tcMar>
          </w:tcPr>
          <w:p w14:paraId="01196461">
            <w:pPr>
              <w:widowControl w:val="0"/>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Module:</w:t>
            </w:r>
          </w:p>
        </w:tc>
        <w:tc>
          <w:tcPr>
            <w:tcW w:w="6855" w:type="dxa"/>
            <w:shd w:val="clear" w:color="auto" w:fill="auto"/>
            <w:tcMar>
              <w:top w:w="100" w:type="dxa"/>
              <w:left w:w="100" w:type="dxa"/>
              <w:bottom w:w="100" w:type="dxa"/>
              <w:right w:w="100" w:type="dxa"/>
            </w:tcMar>
          </w:tcPr>
          <w:p w14:paraId="28FE7FA4">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Population Health and Digital Health Promotion</w:t>
            </w:r>
          </w:p>
          <w:p w14:paraId="0A615515">
            <w:pPr>
              <w:widowControl w:val="0"/>
              <w:spacing w:line="360" w:lineRule="auto"/>
              <w:rPr>
                <w:rFonts w:ascii="Times New Roman" w:hAnsi="Times New Roman" w:eastAsia="Times New Roman" w:cs="Times New Roman"/>
                <w:b/>
                <w:bCs/>
                <w:sz w:val="24"/>
                <w:szCs w:val="24"/>
              </w:rPr>
            </w:pPr>
          </w:p>
        </w:tc>
      </w:tr>
      <w:tr w14:paraId="08A902E7">
        <w:tblPrEx>
          <w:tblLayout w:type="fixed"/>
        </w:tblPrEx>
        <w:tc>
          <w:tcPr>
            <w:tcW w:w="2505" w:type="dxa"/>
            <w:shd w:val="clear" w:color="auto" w:fill="auto"/>
            <w:tcMar>
              <w:top w:w="100" w:type="dxa"/>
              <w:left w:w="100" w:type="dxa"/>
              <w:bottom w:w="100" w:type="dxa"/>
              <w:right w:w="100" w:type="dxa"/>
            </w:tcMar>
          </w:tcPr>
          <w:p w14:paraId="24A7785F">
            <w:pPr>
              <w:widowControl w:val="0"/>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Module code:</w:t>
            </w:r>
          </w:p>
        </w:tc>
        <w:tc>
          <w:tcPr>
            <w:tcW w:w="6855" w:type="dxa"/>
            <w:shd w:val="clear" w:color="auto" w:fill="auto"/>
            <w:tcMar>
              <w:top w:w="100" w:type="dxa"/>
              <w:left w:w="100" w:type="dxa"/>
              <w:bottom w:w="100" w:type="dxa"/>
              <w:right w:w="100" w:type="dxa"/>
            </w:tcMar>
          </w:tcPr>
          <w:p w14:paraId="2E799BD0">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LCHS7009</w:t>
            </w:r>
          </w:p>
        </w:tc>
      </w:tr>
      <w:tr w14:paraId="734764AC">
        <w:tblPrEx>
          <w:tblLayout w:type="fixed"/>
        </w:tblPrEx>
        <w:tc>
          <w:tcPr>
            <w:tcW w:w="2505" w:type="dxa"/>
            <w:shd w:val="clear" w:color="auto" w:fill="auto"/>
            <w:tcMar>
              <w:top w:w="100" w:type="dxa"/>
              <w:left w:w="100" w:type="dxa"/>
              <w:bottom w:w="100" w:type="dxa"/>
              <w:right w:w="100" w:type="dxa"/>
            </w:tcMar>
          </w:tcPr>
          <w:p w14:paraId="60026A18">
            <w:pPr>
              <w:widowControl w:val="0"/>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Lecturer:</w:t>
            </w:r>
          </w:p>
        </w:tc>
        <w:tc>
          <w:tcPr>
            <w:tcW w:w="6855" w:type="dxa"/>
            <w:shd w:val="clear" w:color="auto" w:fill="auto"/>
            <w:tcMar>
              <w:top w:w="100" w:type="dxa"/>
              <w:left w:w="100" w:type="dxa"/>
              <w:bottom w:w="100" w:type="dxa"/>
              <w:right w:w="100" w:type="dxa"/>
            </w:tcMar>
          </w:tcPr>
          <w:p w14:paraId="0C04F234">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Diola Bijlhout` </w:t>
            </w:r>
          </w:p>
          <w:p w14:paraId="2C705FB1">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Dr Ping Wu </w:t>
            </w:r>
          </w:p>
        </w:tc>
      </w:tr>
      <w:tr w14:paraId="7A2859E7">
        <w:tblPrEx>
          <w:tblLayout w:type="fixed"/>
        </w:tblPrEx>
        <w:tc>
          <w:tcPr>
            <w:tcW w:w="2505" w:type="dxa"/>
            <w:shd w:val="clear" w:color="auto" w:fill="auto"/>
            <w:tcMar>
              <w:top w:w="100" w:type="dxa"/>
              <w:left w:w="100" w:type="dxa"/>
              <w:bottom w:w="100" w:type="dxa"/>
              <w:right w:w="100" w:type="dxa"/>
            </w:tcMar>
          </w:tcPr>
          <w:p w14:paraId="05088EE9">
            <w:pPr>
              <w:widowControl w:val="0"/>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Assignment Title:</w:t>
            </w:r>
          </w:p>
        </w:tc>
        <w:tc>
          <w:tcPr>
            <w:tcW w:w="6855" w:type="dxa"/>
            <w:shd w:val="clear" w:color="auto" w:fill="auto"/>
            <w:tcMar>
              <w:top w:w="100" w:type="dxa"/>
              <w:left w:w="100" w:type="dxa"/>
              <w:bottom w:w="100" w:type="dxa"/>
              <w:right w:w="100" w:type="dxa"/>
            </w:tcMar>
          </w:tcPr>
          <w:p w14:paraId="457439B2">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Component 1 </w:t>
            </w:r>
          </w:p>
          <w:p w14:paraId="6C33BBE5">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2 Blogs </w:t>
            </w:r>
          </w:p>
        </w:tc>
      </w:tr>
      <w:tr w14:paraId="59C802DB">
        <w:tblPrEx>
          <w:tblLayout w:type="fixed"/>
        </w:tblPrEx>
        <w:tc>
          <w:tcPr>
            <w:tcW w:w="2505" w:type="dxa"/>
            <w:shd w:val="clear" w:color="auto" w:fill="auto"/>
            <w:tcMar>
              <w:top w:w="100" w:type="dxa"/>
              <w:left w:w="100" w:type="dxa"/>
              <w:bottom w:w="100" w:type="dxa"/>
              <w:right w:w="100" w:type="dxa"/>
            </w:tcMar>
          </w:tcPr>
          <w:p w14:paraId="3E0FD476">
            <w:pPr>
              <w:widowControl w:val="0"/>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Student Name:</w:t>
            </w:r>
          </w:p>
        </w:tc>
        <w:tc>
          <w:tcPr>
            <w:tcW w:w="6855" w:type="dxa"/>
            <w:shd w:val="clear" w:color="auto" w:fill="auto"/>
            <w:tcMar>
              <w:top w:w="100" w:type="dxa"/>
              <w:left w:w="100" w:type="dxa"/>
              <w:bottom w:w="100" w:type="dxa"/>
              <w:right w:w="100" w:type="dxa"/>
            </w:tcMar>
          </w:tcPr>
          <w:p w14:paraId="733F8848">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Parmar Joli Jayantilal </w:t>
            </w:r>
          </w:p>
        </w:tc>
      </w:tr>
      <w:tr w14:paraId="5308BBD8">
        <w:tblPrEx>
          <w:tblLayout w:type="fixed"/>
        </w:tblPrEx>
        <w:tc>
          <w:tcPr>
            <w:tcW w:w="2505" w:type="dxa"/>
            <w:shd w:val="clear" w:color="auto" w:fill="auto"/>
            <w:tcMar>
              <w:top w:w="100" w:type="dxa"/>
              <w:left w:w="100" w:type="dxa"/>
              <w:bottom w:w="100" w:type="dxa"/>
              <w:right w:w="100" w:type="dxa"/>
            </w:tcMar>
          </w:tcPr>
          <w:p w14:paraId="29EC866C">
            <w:pPr>
              <w:widowControl w:val="0"/>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Student ID:</w:t>
            </w:r>
          </w:p>
        </w:tc>
        <w:tc>
          <w:tcPr>
            <w:tcW w:w="6855" w:type="dxa"/>
            <w:shd w:val="clear" w:color="auto" w:fill="auto"/>
            <w:tcMar>
              <w:top w:w="100" w:type="dxa"/>
              <w:left w:w="100" w:type="dxa"/>
              <w:bottom w:w="100" w:type="dxa"/>
              <w:right w:w="100" w:type="dxa"/>
            </w:tcMar>
          </w:tcPr>
          <w:p w14:paraId="62D97D5E">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2518476</w:t>
            </w:r>
          </w:p>
        </w:tc>
      </w:tr>
      <w:tr w14:paraId="5F904198">
        <w:tblPrEx>
          <w:tblLayout w:type="fixed"/>
        </w:tblPrEx>
        <w:tc>
          <w:tcPr>
            <w:tcW w:w="2505" w:type="dxa"/>
            <w:shd w:val="clear" w:color="auto" w:fill="auto"/>
            <w:tcMar>
              <w:top w:w="100" w:type="dxa"/>
              <w:left w:w="100" w:type="dxa"/>
              <w:bottom w:w="100" w:type="dxa"/>
              <w:right w:w="100" w:type="dxa"/>
            </w:tcMar>
          </w:tcPr>
          <w:p w14:paraId="50C4F776">
            <w:pPr>
              <w:widowControl w:val="0"/>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Submission Date:</w:t>
            </w:r>
          </w:p>
        </w:tc>
        <w:tc>
          <w:tcPr>
            <w:tcW w:w="6855" w:type="dxa"/>
            <w:shd w:val="clear" w:color="auto" w:fill="auto"/>
            <w:tcMar>
              <w:top w:w="100" w:type="dxa"/>
              <w:left w:w="100" w:type="dxa"/>
              <w:bottom w:w="100" w:type="dxa"/>
              <w:right w:w="100" w:type="dxa"/>
            </w:tcMar>
          </w:tcPr>
          <w:p w14:paraId="0A1442AC">
            <w:pPr>
              <w:widowControl w:val="0"/>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28/07/2026</w:t>
            </w:r>
            <w:bookmarkStart w:id="15" w:name="_GoBack"/>
            <w:bookmarkEnd w:id="15"/>
          </w:p>
        </w:tc>
      </w:tr>
    </w:tbl>
    <w:p w14:paraId="620C2C98">
      <w:pPr>
        <w:spacing w:line="360" w:lineRule="auto"/>
        <w:jc w:val="both"/>
        <w:rPr>
          <w:rFonts w:ascii="Times New Roman" w:hAnsi="Times New Roman" w:eastAsia="Times New Roman" w:cs="Times New Roman"/>
          <w:sz w:val="24"/>
          <w:szCs w:val="24"/>
        </w:rPr>
      </w:pPr>
      <w:r>
        <w:rPr>
          <w:rFonts w:ascii="Times New Roman" w:hAnsi="Times New Roman" w:cs="Times New Roman"/>
          <w:sz w:val="24"/>
          <w:szCs w:val="24"/>
        </w:rPr>
        <w:br w:type="page"/>
      </w:r>
    </w:p>
    <w:sdt>
      <w:sdtPr>
        <w:rPr>
          <w:rFonts w:ascii="Times New Roman" w:hAnsi="Times New Roman" w:eastAsia="Arial" w:cs="Times New Roman"/>
          <w:b/>
          <w:color w:val="000000" w:themeColor="text1"/>
          <w:sz w:val="24"/>
          <w:szCs w:val="24"/>
          <w:lang w:val="en-IN" w:eastAsia="en-IN"/>
          <w14:textFill>
            <w14:solidFill>
              <w14:schemeClr w14:val="tx1"/>
            </w14:solidFill>
          </w14:textFill>
        </w:rPr>
        <w:id w:val="78340111"/>
      </w:sdtPr>
      <w:sdtEndPr>
        <w:rPr>
          <w:rFonts w:ascii="Times New Roman" w:hAnsi="Times New Roman" w:eastAsia="Arial" w:cs="Times New Roman"/>
          <w:b/>
          <w:bCs/>
          <w:color w:val="auto"/>
          <w:sz w:val="24"/>
          <w:szCs w:val="24"/>
          <w:lang w:val="en-GB" w:eastAsia="en-IN"/>
        </w:rPr>
      </w:sdtEndPr>
      <w:sdtContent>
        <w:p w14:paraId="0A1CADD4">
          <w:pPr>
            <w:pStyle w:val="22"/>
            <w:spacing w:line="360" w:lineRule="auto"/>
            <w:jc w:val="center"/>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Table of Contents</w:t>
          </w:r>
        </w:p>
        <w:p w14:paraId="6B03C8C5">
          <w:pPr>
            <w:pStyle w:val="12"/>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"_Toc235638462" </w:instrText>
          </w:r>
          <w:r>
            <w:fldChar w:fldCharType="separate"/>
          </w:r>
          <w:r>
            <w:rPr>
              <w:rStyle w:val="16"/>
              <w:rFonts w:ascii="Times New Roman" w:hAnsi="Times New Roman" w:cs="Times New Roman"/>
              <w:sz w:val="24"/>
              <w:szCs w:val="24"/>
            </w:rPr>
            <w:t>Blog 1</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_Toc235638462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4239392">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"_Toc235638463" </w:instrText>
          </w:r>
          <w:r>
            <w:fldChar w:fldCharType="separate"/>
          </w:r>
          <w:r>
            <w:rPr>
              <w:rStyle w:val="16"/>
              <w:rFonts w:ascii="Times New Roman" w:hAnsi="Times New Roman" w:cs="Times New Roman"/>
              <w:sz w:val="24"/>
              <w:szCs w:val="24"/>
            </w:rPr>
            <w:t>Title: Can AI-supported Optical Coherence Tomography (OCT) transform early stage oral cancer detection?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_Toc235638463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9A40AC0">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"_Toc235638464" </w:instrText>
          </w:r>
          <w:r>
            <w:fldChar w:fldCharType="separate"/>
          </w:r>
          <w:r>
            <w:rPr>
              <w:rStyle w:val="16"/>
              <w:rFonts w:ascii="Times New Roman" w:hAnsi="Times New Roman" w:cs="Times New Roman"/>
              <w:sz w:val="24"/>
              <w:szCs w:val="24"/>
            </w:rPr>
            <w:t>Introducing the public health issue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_Toc235638464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8C7B054">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"_Toc235638465" </w:instrText>
          </w:r>
          <w:r>
            <w:fldChar w:fldCharType="separate"/>
          </w:r>
          <w:r>
            <w:rPr>
              <w:rStyle w:val="16"/>
              <w:rFonts w:ascii="Times New Roman" w:hAnsi="Times New Roman" w:cs="Times New Roman"/>
              <w:sz w:val="24"/>
              <w:szCs w:val="24"/>
            </w:rPr>
            <w:t>Technology description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_Toc235638465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22D8C5A">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"_Toc235638466" </w:instrText>
          </w:r>
          <w:r>
            <w:fldChar w:fldCharType="separate"/>
          </w:r>
          <w:r>
            <w:rPr>
              <w:rStyle w:val="16"/>
              <w:rFonts w:ascii="Times New Roman" w:hAnsi="Times New Roman" w:cs="Times New Roman"/>
              <w:sz w:val="24"/>
              <w:szCs w:val="24"/>
            </w:rPr>
            <w:t>How it promotes health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_Toc235638466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8CD6129">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"_Toc235638467" </w:instrText>
          </w:r>
          <w:r>
            <w:fldChar w:fldCharType="separate"/>
          </w:r>
          <w:r>
            <w:rPr>
              <w:rStyle w:val="16"/>
              <w:rFonts w:ascii="Times New Roman" w:hAnsi="Times New Roman" w:cs="Times New Roman"/>
              <w:sz w:val="24"/>
              <w:szCs w:val="24"/>
            </w:rPr>
            <w:t>Critical evaluation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_Toc235638467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D7641E5">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"_Toc235638468" </w:instrText>
          </w:r>
          <w:r>
            <w:fldChar w:fldCharType="separate"/>
          </w:r>
          <w:r>
            <w:rPr>
              <w:rStyle w:val="16"/>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_Toc235638468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F0BB5EE">
          <w:pPr>
            <w:pStyle w:val="12"/>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"_Toc235638469" </w:instrText>
          </w:r>
          <w:r>
            <w:fldChar w:fldCharType="separate"/>
          </w:r>
          <w:r>
            <w:rPr>
              <w:rStyle w:val="16"/>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_Toc235638469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F6CC9CA">
          <w:pPr>
            <w:pStyle w:val="12"/>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"_Toc235638470" </w:instrText>
          </w:r>
          <w:r>
            <w:fldChar w:fldCharType="separate"/>
          </w:r>
          <w:r>
            <w:rPr>
              <w:rStyle w:val="16"/>
              <w:rFonts w:ascii="Times New Roman" w:hAnsi="Times New Roman" w:cs="Times New Roman"/>
              <w:sz w:val="24"/>
              <w:szCs w:val="24"/>
            </w:rPr>
            <w:t>Blog 2</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_Toc235638470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AC28539">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"_Toc235638471" </w:instrText>
          </w:r>
          <w:r>
            <w:fldChar w:fldCharType="separate"/>
          </w:r>
          <w:r>
            <w:rPr>
              <w:rStyle w:val="16"/>
              <w:rFonts w:ascii="Times New Roman" w:hAnsi="Times New Roman" w:cs="Times New Roman"/>
              <w:sz w:val="24"/>
              <w:szCs w:val="24"/>
            </w:rPr>
            <w:t>Title: OCT-Care AI: An AI-supported platform to reduce the impact oral cancer through AI-assisted image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_Toc235638471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2011956">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"_Toc235638472" </w:instrText>
          </w:r>
          <w:r>
            <w:fldChar w:fldCharType="separate"/>
          </w:r>
          <w:r>
            <w:rPr>
              <w:rStyle w:val="16"/>
              <w:rFonts w:ascii="Times New Roman" w:hAnsi="Times New Roman" w:cs="Times New Roman"/>
              <w:sz w:val="24"/>
              <w:szCs w:val="24"/>
            </w:rPr>
            <w:t>Defining the public health issue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_Toc235638472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527B86F">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"_Toc235638473" </w:instrText>
          </w:r>
          <w:r>
            <w:fldChar w:fldCharType="separate"/>
          </w:r>
          <w:r>
            <w:rPr>
              <w:rStyle w:val="16"/>
              <w:rFonts w:ascii="Times New Roman" w:hAnsi="Times New Roman" w:cs="Times New Roman"/>
              <w:sz w:val="24"/>
              <w:szCs w:val="24"/>
            </w:rPr>
            <w:t>Introducing the digital technology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_Toc235638473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15F56EB">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"_Toc235638474" </w:instrText>
          </w:r>
          <w:r>
            <w:fldChar w:fldCharType="separate"/>
          </w:r>
          <w:r>
            <w:rPr>
              <w:rStyle w:val="16"/>
              <w:rFonts w:ascii="Times New Roman" w:hAnsi="Times New Roman" w:cs="Times New Roman"/>
              <w:sz w:val="24"/>
              <w:szCs w:val="24"/>
            </w:rPr>
            <w:t>Critical discussion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_Toc235638474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BC06E49">
          <w:pPr>
            <w:pStyle w:val="13"/>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"_Toc235638475" </w:instrText>
          </w:r>
          <w:r>
            <w:fldChar w:fldCharType="separate"/>
          </w:r>
          <w:r>
            <w:rPr>
              <w:rStyle w:val="16"/>
              <w:rFonts w:ascii="Times New Roman" w:hAnsi="Times New Roman" w:cs="Times New Roman"/>
              <w:sz w:val="24"/>
              <w:szCs w:val="24"/>
            </w:rPr>
            <w:t>Future improvement and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_Toc235638475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FB2D3D5">
          <w:pPr>
            <w:pStyle w:val="12"/>
            <w:tabs>
              <w:tab w:val="right" w:leader="dot" w:pos="9350"/>
            </w:tabs>
            <w:spacing w:line="360" w:lineRule="auto"/>
            <w:jc w:val="both"/>
            <w:rPr>
              <w:rFonts w:ascii="Times New Roman" w:hAnsi="Times New Roman" w:cs="Times New Roman"/>
              <w:sz w:val="24"/>
              <w:szCs w:val="24"/>
            </w:rPr>
          </w:pPr>
          <w:r>
            <w:fldChar w:fldCharType="begin"/>
          </w:r>
          <w:r>
            <w:instrText xml:space="preserve"> HYPERLINK \l "_Toc235638476" </w:instrText>
          </w:r>
          <w:r>
            <w:fldChar w:fldCharType="separate"/>
          </w:r>
          <w:r>
            <w:rPr>
              <w:rStyle w:val="16"/>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_Toc235638476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42AD46C">
          <w:pPr>
            <w:spacing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14:paraId="40C7CB49">
      <w:pPr>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br w:type="page"/>
      </w:r>
    </w:p>
    <w:p w14:paraId="197976E8">
      <w:pPr>
        <w:pStyle w:val="2"/>
        <w:rPr>
          <w:rFonts w:cs="Times New Roman"/>
          <w:b w:val="0"/>
          <w:szCs w:val="24"/>
        </w:rPr>
      </w:pPr>
      <w:bookmarkStart w:id="0" w:name="_Toc235638462"/>
      <w:r>
        <w:rPr>
          <w:rFonts w:cs="Times New Roman"/>
          <w:szCs w:val="24"/>
        </w:rPr>
        <w:t>Blog 1</w:t>
      </w:r>
      <w:bookmarkEnd w:id="0"/>
    </w:p>
    <w:p w14:paraId="1A8D59DA">
      <w:pPr>
        <w:pStyle w:val="3"/>
        <w:rPr>
          <w:rFonts w:cs="Times New Roman"/>
          <w:szCs w:val="24"/>
        </w:rPr>
      </w:pPr>
      <w:bookmarkStart w:id="1" w:name="_Toc235638463"/>
      <w:r>
        <w:rPr>
          <w:rFonts w:cs="Times New Roman"/>
          <w:szCs w:val="24"/>
        </w:rPr>
        <w:t xml:space="preserve">Title: Can Optical </w:t>
      </w:r>
      <w:r>
        <w:rPr>
          <w:rFonts w:cs="Times New Roman"/>
          <w:i w:val="0"/>
          <w:szCs w:val="24"/>
        </w:rPr>
        <w:t>Coherence</w:t>
      </w:r>
      <w:r>
        <w:rPr>
          <w:rFonts w:cs="Times New Roman"/>
          <w:szCs w:val="24"/>
        </w:rPr>
        <w:t xml:space="preserve"> Tomography (OCT) transform early stage oral cancer detection?</w:t>
      </w:r>
      <w:bookmarkEnd w:id="1"/>
      <w:r>
        <w:rPr>
          <w:rFonts w:cs="Times New Roman"/>
          <w:szCs w:val="24"/>
        </w:rPr>
        <w:t xml:space="preserve">    </w:t>
      </w:r>
    </w:p>
    <w:p w14:paraId="4B5DC73E">
      <w:pPr>
        <w:pStyle w:val="3"/>
        <w:rPr>
          <w:rFonts w:cs="Times New Roman"/>
          <w:szCs w:val="24"/>
        </w:rPr>
      </w:pPr>
      <w:bookmarkStart w:id="2" w:name="_Toc235638464"/>
      <w:r>
        <w:rPr>
          <w:rFonts w:cs="Times New Roman"/>
          <w:szCs w:val="24"/>
        </w:rPr>
        <w:t>Introducing the public health issue</w:t>
      </w:r>
      <w:bookmarkEnd w:id="2"/>
      <w:r>
        <w:rPr>
          <w:rFonts w:cs="Times New Roman"/>
          <w:szCs w:val="24"/>
        </w:rPr>
        <w:t xml:space="preserve"> </w:t>
      </w:r>
    </w:p>
    <w:p w14:paraId="0BC62B0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Oral cancer refers to the abnormal growth of cells in oral areas, including the inner cheeks, lips, tongue, or the mouth, which creates pain during swallowing, moving, or chewing (NIDCR, 2024). It is considered as a public health issue, which includes several common risk factors, such as: </w:t>
      </w:r>
    </w:p>
    <w:p w14:paraId="62502E41">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Excessive consumption of cigarettes and other tobacco products (Cleveland Clinic, 2022)</w:t>
      </w:r>
    </w:p>
    <w:p w14:paraId="03C4FC4D">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Alcohol use</w:t>
      </w:r>
    </w:p>
    <w:p w14:paraId="7EC206FC">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HPV infection (Cleveland Clinic, 2022)  </w:t>
      </w:r>
    </w:p>
    <w:p w14:paraId="11AE51B7">
      <w:pPr>
        <w:spacing w:line="360" w:lineRule="auto"/>
        <w:ind w:left="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IN"/>
        </w:rPr>
        <w:drawing>
          <wp:inline distT="114300" distB="114300" distL="114300" distR="114300">
            <wp:extent cx="2671445" cy="3618865"/>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referRelativeResize="0"/>
                  </pic:nvPicPr>
                  <pic:blipFill>
                    <a:blip r:embed="rId5"/>
                    <a:srcRect/>
                    <a:stretch>
                      <a:fillRect/>
                    </a:stretch>
                  </pic:blipFill>
                  <pic:spPr>
                    <a:xfrm>
                      <a:off x="0" y="0"/>
                      <a:ext cx="2671763" cy="3619024"/>
                    </a:xfrm>
                    <a:prstGeom prst="rect">
                      <a:avLst/>
                    </a:prstGeom>
                  </pic:spPr>
                </pic:pic>
              </a:graphicData>
            </a:graphic>
          </wp:inline>
        </w:drawing>
      </w:r>
    </w:p>
    <w:p w14:paraId="2C2D7883">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statistical evidence creates concern for this issue, as 46% of people who use shameless tobacco have a high frequency of having oral cancer globally (Saini et al., 2019). Similarly, as of 2016, around 3,744 people are diagnosed with oral cancer in the UK, indicating a strong burden of negative healthcare outcomes (GOV.UK, 2025).  </w:t>
      </w:r>
    </w:p>
    <w:p w14:paraId="39C2D76E">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IN"/>
        </w:rPr>
        <w:drawing>
          <wp:inline distT="114300" distB="114300" distL="114300" distR="114300">
            <wp:extent cx="3966845" cy="2544445"/>
            <wp:effectExtent l="25400" t="25400" r="25400" b="2540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referRelativeResize="0"/>
                  </pic:nvPicPr>
                  <pic:blipFill>
                    <a:blip r:embed="rId6"/>
                    <a:srcRect/>
                    <a:stretch>
                      <a:fillRect/>
                    </a:stretch>
                  </pic:blipFill>
                  <pic:spPr>
                    <a:xfrm>
                      <a:off x="0" y="0"/>
                      <a:ext cx="3967163" cy="2544972"/>
                    </a:xfrm>
                    <a:prstGeom prst="rect">
                      <a:avLst/>
                    </a:prstGeom>
                    <a:ln w="25400">
                      <a:solidFill>
                        <a:srgbClr val="000000"/>
                      </a:solidFill>
                      <a:prstDash val="solid"/>
                    </a:ln>
                  </pic:spPr>
                </pic:pic>
              </a:graphicData>
            </a:graphic>
          </wp:inline>
        </w:drawing>
      </w:r>
    </w:p>
    <w:p w14:paraId="2D3CA9A5">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Figure 1: Frequency of oral cancer </w:t>
      </w:r>
    </w:p>
    <w:p w14:paraId="3A8E3AD9">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Saini et al., 2019)   </w:t>
      </w:r>
    </w:p>
    <w:p w14:paraId="47937B0A">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IN"/>
        </w:rPr>
        <w:drawing>
          <wp:inline distT="114300" distB="114300" distL="114300" distR="114300">
            <wp:extent cx="4962525" cy="28194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referRelativeResize="0"/>
                  </pic:nvPicPr>
                  <pic:blipFill>
                    <a:blip r:embed="rId7"/>
                    <a:srcRect/>
                    <a:stretch>
                      <a:fillRect/>
                    </a:stretch>
                  </pic:blipFill>
                  <pic:spPr>
                    <a:xfrm>
                      <a:off x="0" y="0"/>
                      <a:ext cx="4962525" cy="2819400"/>
                    </a:xfrm>
                    <a:prstGeom prst="rect">
                      <a:avLst/>
                    </a:prstGeom>
                    <a:ln w="25400">
                      <a:solidFill>
                        <a:srgbClr val="000000"/>
                      </a:solidFill>
                      <a:prstDash val="solid"/>
                    </a:ln>
                  </pic:spPr>
                </pic:pic>
              </a:graphicData>
            </a:graphic>
          </wp:inline>
        </w:drawing>
      </w:r>
    </w:p>
    <w:p w14:paraId="13810F0A">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Figure 2: Oral cancer among females and males</w:t>
      </w:r>
    </w:p>
    <w:p w14:paraId="46CB5AAC">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Saini et al., 2019)</w:t>
      </w:r>
    </w:p>
    <w:p w14:paraId="7ADEE0B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Similarly, compared to females, 21 to 70-years-old men mostly suffer from oral cancer, which contributes to potential impacts, including speech difficulties, oral complications, emotional distress, employability loss, and immature mortality (Saini et al., 2019; Bazzano et al., 2025). Due to surging costs and high demand of hospital interventions, healthcare organisations in the UK, including the NHS also face a burden in preventing oral cancer (Leggett et al., 2023). Therefore, the increasing burden demonstrates the urgency of implementing effective digital technology to reduce the health risks of oral cancer among adults in the UK. </w:t>
      </w:r>
    </w:p>
    <w:p w14:paraId="36F9F690">
      <w:pPr>
        <w:pStyle w:val="3"/>
        <w:rPr>
          <w:rFonts w:cs="Times New Roman"/>
          <w:szCs w:val="24"/>
        </w:rPr>
      </w:pPr>
      <w:bookmarkStart w:id="3" w:name="_Toc235638465"/>
      <w:r>
        <w:rPr>
          <w:rFonts w:cs="Times New Roman"/>
          <w:szCs w:val="24"/>
        </w:rPr>
        <w:t>Technology description</w:t>
      </w:r>
      <w:bookmarkEnd w:id="3"/>
      <w:r>
        <w:rPr>
          <w:rFonts w:cs="Times New Roman"/>
          <w:szCs w:val="24"/>
        </w:rPr>
        <w:t xml:space="preserve"> </w:t>
      </w:r>
    </w:p>
    <w:p w14:paraId="7E9585B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Optical coherence Tomography (OCT) is a non-invasive digital technology, which was introduced by the researchers of Massachusetts Institute of Technology (MIT) with a collaboration with Harvard Medical School and the New England Eye Centre (Gabriele et al., 2011). </w:t>
      </w:r>
    </w:p>
    <w:p w14:paraId="362DD7DD">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IN"/>
        </w:rPr>
        <w:drawing>
          <wp:inline distT="114300" distB="114300" distL="114300" distR="114300">
            <wp:extent cx="4514850" cy="318135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referRelativeResize="0"/>
                  </pic:nvPicPr>
                  <pic:blipFill>
                    <a:blip r:embed="rId8"/>
                    <a:srcRect/>
                    <a:stretch>
                      <a:fillRect/>
                    </a:stretch>
                  </pic:blipFill>
                  <pic:spPr>
                    <a:xfrm>
                      <a:off x="0" y="0"/>
                      <a:ext cx="4514850" cy="3181350"/>
                    </a:xfrm>
                    <a:prstGeom prst="rect">
                      <a:avLst/>
                    </a:prstGeom>
                  </pic:spPr>
                </pic:pic>
              </a:graphicData>
            </a:graphic>
          </wp:inline>
        </w:drawing>
      </w:r>
    </w:p>
    <w:p w14:paraId="02CE9E3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OCT helps healthcare clinics and organisations to detect oral cancer by using near-infrared light, which generates high-resolution, real-time, and cross-sectional images of mucosal tissues (Schuman et al., 2024; Aumann et al., 2019).     </w:t>
      </w:r>
    </w:p>
    <w:p w14:paraId="487C7864">
      <w:pPr>
        <w:pStyle w:val="3"/>
        <w:rPr>
          <w:rFonts w:cs="Times New Roman"/>
          <w:szCs w:val="24"/>
        </w:rPr>
      </w:pPr>
      <w:bookmarkStart w:id="4" w:name="_Toc235638466"/>
      <w:r>
        <w:rPr>
          <w:rFonts w:cs="Times New Roman"/>
          <w:szCs w:val="24"/>
        </w:rPr>
        <w:t>How it promotes health</w:t>
      </w:r>
      <w:bookmarkEnd w:id="4"/>
      <w:r>
        <w:rPr>
          <w:rFonts w:cs="Times New Roman"/>
          <w:szCs w:val="24"/>
        </w:rPr>
        <w:t xml:space="preserve"> </w:t>
      </w:r>
    </w:p>
    <w:p w14:paraId="103B7F3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an existing digital technology, OCT significantly promotes health by offering a safe and painless oral cancer monitoring process, where it includes non-ionising light that causes no radiation damage (Aumann et al., 2019). Using this technology provides a high diagnostic performance, as it provides 98.5% sensitive images, which significantly contributes to early detection of oral cancer among adults (Jerjes et al., 2026). Considering the Health Belief Model (HBM), OCT manipulates individual decisions to take actions to prevent oral cancer by providing microscopic, non-invasive, and real-time imaging of tissue, reducing diagnostic delays (Alyafei and Easton-Carr, 20254).    </w:t>
      </w:r>
    </w:p>
    <w:p w14:paraId="2EC2B969">
      <w:pPr>
        <w:pStyle w:val="3"/>
        <w:rPr>
          <w:rFonts w:cs="Times New Roman"/>
          <w:szCs w:val="24"/>
        </w:rPr>
      </w:pPr>
      <w:bookmarkStart w:id="5" w:name="_Toc235638467"/>
      <w:r>
        <w:rPr>
          <w:rFonts w:cs="Times New Roman"/>
          <w:szCs w:val="24"/>
        </w:rPr>
        <w:t>Critical evaluation</w:t>
      </w:r>
      <w:bookmarkEnd w:id="5"/>
      <w:r>
        <w:rPr>
          <w:rFonts w:cs="Times New Roman"/>
          <w:szCs w:val="24"/>
        </w:rPr>
        <w:t xml:space="preserve"> </w:t>
      </w:r>
    </w:p>
    <w:p w14:paraId="4AB2655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Advantages</w:t>
      </w:r>
      <w:r>
        <w:rPr>
          <w:rFonts w:ascii="Times New Roman" w:hAnsi="Times New Roman" w:eastAsia="Times New Roman" w:cs="Times New Roman"/>
          <w:sz w:val="24"/>
          <w:szCs w:val="24"/>
        </w:rPr>
        <w:t xml:space="preserve"> </w:t>
      </w:r>
    </w:p>
    <w:p w14:paraId="2BECBEAF">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Provides non-invasive images (Jerjes et al., 2026).</w:t>
      </w:r>
    </w:p>
    <w:p w14:paraId="3D2C5A42">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Addresses early structural abnormalities and malignant changes. </w:t>
      </w:r>
    </w:p>
    <w:p w14:paraId="21F49DC5">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Supports clinical decision-making by providing additional information about the disease (Jerjes et al., 2026). </w:t>
      </w:r>
    </w:p>
    <w:p w14:paraId="570EEDFE">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Disadvantages </w:t>
      </w:r>
    </w:p>
    <w:p w14:paraId="4D137370">
      <w:pPr>
        <w:numPr>
          <w:ilvl w:val="0"/>
          <w:numId w:val="3"/>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Although it provides structural images, it failed to establish malignancy.</w:t>
      </w:r>
    </w:p>
    <w:p w14:paraId="6EA19C37">
      <w:pPr>
        <w:numPr>
          <w:ilvl w:val="0"/>
          <w:numId w:val="3"/>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May not fully visualise invasive lesions (Zeppieri et al., 2023). </w:t>
      </w:r>
    </w:p>
    <w:p w14:paraId="54C601C6">
      <w:pPr>
        <w:numPr>
          <w:ilvl w:val="0"/>
          <w:numId w:val="3"/>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High equipment costs.  </w:t>
      </w:r>
    </w:p>
    <w:p w14:paraId="72B391FB">
      <w:pPr>
        <w:pStyle w:val="3"/>
        <w:rPr>
          <w:rFonts w:cs="Times New Roman"/>
          <w:szCs w:val="24"/>
        </w:rPr>
      </w:pPr>
      <w:bookmarkStart w:id="6" w:name="_Toc235638468"/>
      <w:r>
        <w:rPr>
          <w:rFonts w:cs="Times New Roman"/>
          <w:szCs w:val="24"/>
        </w:rPr>
        <w:t>Recommendations</w:t>
      </w:r>
      <w:bookmarkEnd w:id="6"/>
      <w:r>
        <w:rPr>
          <w:rFonts w:cs="Times New Roman"/>
          <w:szCs w:val="24"/>
        </w:rPr>
        <w:t xml:space="preserve"> </w:t>
      </w:r>
    </w:p>
    <w:p w14:paraId="297C739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limitations of OCT can be mitigated by integrating advanced AI, along with introducing remote specialist support, which can identify diagnostic limitations while reducing digital inequality and continuity of care. Therefore, conducting this improvement can cultivate better health promotion for oral cancer patients.  </w:t>
      </w:r>
    </w:p>
    <w:p w14:paraId="69D2C561">
      <w:pPr>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br w:type="page"/>
      </w:r>
    </w:p>
    <w:p w14:paraId="17B3FA48">
      <w:pPr>
        <w:pStyle w:val="2"/>
        <w:rPr>
          <w:rFonts w:cs="Times New Roman"/>
          <w:szCs w:val="24"/>
        </w:rPr>
      </w:pPr>
      <w:bookmarkStart w:id="7" w:name="_Toc235638469"/>
      <w:r>
        <w:rPr>
          <w:rFonts w:cs="Times New Roman"/>
          <w:szCs w:val="24"/>
        </w:rPr>
        <w:t>References</w:t>
      </w:r>
      <w:bookmarkEnd w:id="7"/>
      <w:r>
        <w:rPr>
          <w:rFonts w:cs="Times New Roman"/>
          <w:szCs w:val="24"/>
        </w:rPr>
        <w:t xml:space="preserve"> </w:t>
      </w:r>
    </w:p>
    <w:p w14:paraId="30E6D94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Alyafei, A. and Easton-Carr, R. (2024) ‘The health belief model of behavior change’, </w:t>
      </w:r>
      <w:r>
        <w:rPr>
          <w:rFonts w:ascii="Times New Roman" w:hAnsi="Times New Roman" w:eastAsia="Times New Roman" w:cs="Times New Roman"/>
          <w:i/>
          <w:iCs/>
          <w:sz w:val="24"/>
          <w:szCs w:val="24"/>
        </w:rPr>
        <w:t>StatPearls</w:t>
      </w:r>
      <w:r>
        <w:rPr>
          <w:rFonts w:ascii="Times New Roman" w:hAnsi="Times New Roman" w:eastAsia="Times New Roman" w:cs="Times New Roman"/>
          <w:sz w:val="24"/>
          <w:szCs w:val="24"/>
        </w:rPr>
        <w:t xml:space="preserve">. Available at: </w:t>
      </w:r>
      <w:r>
        <w:fldChar w:fldCharType="begin"/>
      </w:r>
      <w:r>
        <w:instrText xml:space="preserve"> HYPERLINK "https://www.statpearls.com/point-of-care/161679" \h </w:instrText>
      </w:r>
      <w:r>
        <w:fldChar w:fldCharType="separate"/>
      </w:r>
      <w:r>
        <w:rPr>
          <w:rFonts w:ascii="Times New Roman" w:hAnsi="Times New Roman" w:eastAsia="Times New Roman" w:cs="Times New Roman"/>
          <w:color w:val="1155CC"/>
          <w:sz w:val="24"/>
          <w:szCs w:val="24"/>
          <w:u w:val="single"/>
        </w:rPr>
        <w:t>https://www.statpearls.com/point-of-care/161679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04D9A5B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Aumann, S., Donner, S., Fischer, J. and Müller, F. (2019) ‘Optical coherence tomography (OCT): principle and technical realization’, </w:t>
      </w:r>
      <w:r>
        <w:rPr>
          <w:rFonts w:ascii="Times New Roman" w:hAnsi="Times New Roman" w:eastAsia="Times New Roman" w:cs="Times New Roman"/>
          <w:i/>
          <w:iCs/>
          <w:sz w:val="24"/>
          <w:szCs w:val="24"/>
        </w:rPr>
        <w:t>High resolution imaging in microscopy and ophthalmology: new frontiers in biomedical optics,</w:t>
      </w:r>
      <w:r>
        <w:rPr>
          <w:rFonts w:ascii="Times New Roman" w:hAnsi="Times New Roman" w:eastAsia="Times New Roman" w:cs="Times New Roman"/>
          <w:sz w:val="24"/>
          <w:szCs w:val="24"/>
        </w:rPr>
        <w:t xml:space="preserve"> pp.59-85. Available at: </w:t>
      </w:r>
      <w:r>
        <w:fldChar w:fldCharType="begin"/>
      </w:r>
      <w:r>
        <w:instrText xml:space="preserve"> HYPERLINK "https://link.springer.com/content/pdf/10.1007/978-3-030-16638-0_3.pdf" \h </w:instrText>
      </w:r>
      <w:r>
        <w:fldChar w:fldCharType="separate"/>
      </w:r>
      <w:r>
        <w:rPr>
          <w:rFonts w:ascii="Times New Roman" w:hAnsi="Times New Roman" w:eastAsia="Times New Roman" w:cs="Times New Roman"/>
          <w:color w:val="1155CC"/>
          <w:sz w:val="24"/>
          <w:szCs w:val="24"/>
          <w:u w:val="single"/>
        </w:rPr>
        <w:t>https://link.springer.com/content/pdf/10.1007/978-3-030-16638-0_3.pdf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3CA426F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Bazzano, M., Mauceri, R., Marcon, G., Coppini, M., Montemaggiore, D. and Campisi, G. (2025) ‘Emotional states in patients with cancer or with suspected oral potentially malignant disorders: a cross-sectional study in an oral medicine setting’, </w:t>
      </w:r>
      <w:r>
        <w:rPr>
          <w:rFonts w:ascii="Times New Roman" w:hAnsi="Times New Roman" w:eastAsia="Times New Roman" w:cs="Times New Roman"/>
          <w:i/>
          <w:iCs/>
          <w:sz w:val="24"/>
          <w:szCs w:val="24"/>
        </w:rPr>
        <w:t>Medicina Oral</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Patología Oral y Cirugía Bucal</w:t>
      </w:r>
      <w:r>
        <w:rPr>
          <w:rFonts w:ascii="Times New Roman" w:hAnsi="Times New Roman" w:eastAsia="Times New Roman" w:cs="Times New Roman"/>
          <w:sz w:val="24"/>
          <w:szCs w:val="24"/>
        </w:rPr>
        <w:t xml:space="preserve">, 30(3), p.e446. Available at: </w:t>
      </w:r>
      <w:r>
        <w:fldChar w:fldCharType="begin"/>
      </w:r>
      <w:r>
        <w:instrText xml:space="preserve"> HYPERLINK "https://doi.org/10.4317/medoral.26989" \h </w:instrText>
      </w:r>
      <w:r>
        <w:fldChar w:fldCharType="separate"/>
      </w:r>
      <w:r>
        <w:rPr>
          <w:rFonts w:ascii="Times New Roman" w:hAnsi="Times New Roman" w:eastAsia="Times New Roman" w:cs="Times New Roman"/>
          <w:color w:val="1155CC"/>
          <w:sz w:val="24"/>
          <w:szCs w:val="24"/>
          <w:u w:val="single"/>
        </w:rPr>
        <w:t>https://doi.org/10.4317/medoral.26989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7039D677">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rPr>
        <w:t xml:space="preserve">Cleveland Clinic (2022) </w:t>
      </w:r>
      <w:r>
        <w:rPr>
          <w:rFonts w:ascii="Times New Roman" w:hAnsi="Times New Roman" w:eastAsia="Times New Roman" w:cs="Times New Roman"/>
          <w:i/>
          <w:iCs/>
          <w:sz w:val="24"/>
          <w:szCs w:val="24"/>
        </w:rPr>
        <w:t>Oral Cancer</w:t>
      </w:r>
      <w:r>
        <w:rPr>
          <w:rFonts w:ascii="Times New Roman" w:hAnsi="Times New Roman" w:eastAsia="Times New Roman" w:cs="Times New Roman"/>
          <w:sz w:val="24"/>
          <w:szCs w:val="24"/>
        </w:rPr>
        <w:t xml:space="preserve">. Available at: </w:t>
      </w:r>
      <w:r>
        <w:fldChar w:fldCharType="begin"/>
      </w:r>
      <w:r>
        <w:instrText xml:space="preserve"> HYPERLINK "https://my.clevelandclinic.org/health/diseases/11184-oral-cancer" \h </w:instrText>
      </w:r>
      <w:r>
        <w:fldChar w:fldCharType="separate"/>
      </w:r>
      <w:r>
        <w:rPr>
          <w:rFonts w:ascii="Times New Roman" w:hAnsi="Times New Roman" w:eastAsia="Times New Roman" w:cs="Times New Roman"/>
          <w:color w:val="1155CC"/>
          <w:sz w:val="24"/>
          <w:szCs w:val="24"/>
          <w:u w:val="single"/>
        </w:rPr>
        <w:t>https://my.clevelandclinic.org/health/diseases/11184-oral-cancer</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1595EE2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Gabriele, M.L., Wollstein, G., Ishikawa, H., Kagemann, L., Xu, J., Folio, L.S. and Schuman, J.S. (2011) ‘Optical coherence tomography: history, current status, and laboratory work’, </w:t>
      </w:r>
      <w:r>
        <w:rPr>
          <w:rFonts w:ascii="Times New Roman" w:hAnsi="Times New Roman" w:eastAsia="Times New Roman" w:cs="Times New Roman"/>
          <w:i/>
          <w:iCs/>
          <w:sz w:val="24"/>
          <w:szCs w:val="24"/>
        </w:rPr>
        <w:t>Investigative ophthalmology &amp; visual science</w:t>
      </w:r>
      <w:r>
        <w:rPr>
          <w:rFonts w:ascii="Times New Roman" w:hAnsi="Times New Roman" w:eastAsia="Times New Roman" w:cs="Times New Roman"/>
          <w:sz w:val="24"/>
          <w:szCs w:val="24"/>
        </w:rPr>
        <w:t xml:space="preserve">, 52(5), pp.2425-2436. Available at: </w:t>
      </w:r>
      <w:r>
        <w:fldChar w:fldCharType="begin"/>
      </w:r>
      <w:r>
        <w:instrText xml:space="preserve"> HYPERLINK "https://doi.org/10.1167/iovs.10-6312" \h </w:instrText>
      </w:r>
      <w:r>
        <w:fldChar w:fldCharType="separate"/>
      </w:r>
      <w:r>
        <w:rPr>
          <w:rFonts w:ascii="Times New Roman" w:hAnsi="Times New Roman" w:eastAsia="Times New Roman" w:cs="Times New Roman"/>
          <w:color w:val="1155CC"/>
          <w:sz w:val="24"/>
          <w:szCs w:val="24"/>
          <w:u w:val="single"/>
        </w:rPr>
        <w:t>https://doi.org/10.1167/iovs.10-6312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7F4A564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GOV.UK (2025) </w:t>
      </w:r>
      <w:r>
        <w:rPr>
          <w:rFonts w:ascii="Times New Roman" w:hAnsi="Times New Roman" w:eastAsia="Times New Roman" w:cs="Times New Roman"/>
          <w:i/>
          <w:iCs/>
          <w:sz w:val="24"/>
          <w:szCs w:val="24"/>
        </w:rPr>
        <w:t>Chapter 6: oral cancer</w:t>
      </w:r>
      <w:r>
        <w:rPr>
          <w:rFonts w:ascii="Times New Roman" w:hAnsi="Times New Roman" w:eastAsia="Times New Roman" w:cs="Times New Roman"/>
          <w:sz w:val="24"/>
          <w:szCs w:val="24"/>
        </w:rPr>
        <w:t xml:space="preserve">. Available at: </w:t>
      </w:r>
      <w:r>
        <w:fldChar w:fldCharType="begin"/>
      </w:r>
      <w:r>
        <w:instrText xml:space="preserve"> HYPERLINK "https://www.gov.uk/government/publications/delivering-better-oral-health-an-evidence-based-toolkit-for-prevention/chapter-6-oral-cancer" \h </w:instrText>
      </w:r>
      <w:r>
        <w:fldChar w:fldCharType="separate"/>
      </w:r>
      <w:r>
        <w:rPr>
          <w:rFonts w:ascii="Times New Roman" w:hAnsi="Times New Roman" w:eastAsia="Times New Roman" w:cs="Times New Roman"/>
          <w:color w:val="1155CC"/>
          <w:sz w:val="24"/>
          <w:szCs w:val="24"/>
          <w:u w:val="single"/>
        </w:rPr>
        <w:t>https://www.gov.uk/government/publications/delivering-better-oral-health-an-evidence-based-toolkit-for-prevention/chapter-6-oral-cancer</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6591FAC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Jerjes, W., Hamdoon, Z., Rashed, D. and Hopper, C. (2026) ‘Optical Coherence Tomography for Invasive Oral Squamous Cell Carcinoma: Diagnostic Accuracy and Grade-and Subsite-Associated Imaging Features’, </w:t>
      </w:r>
      <w:r>
        <w:rPr>
          <w:rFonts w:ascii="Times New Roman" w:hAnsi="Times New Roman" w:eastAsia="Times New Roman" w:cs="Times New Roman"/>
          <w:i/>
          <w:iCs/>
          <w:sz w:val="24"/>
          <w:szCs w:val="24"/>
        </w:rPr>
        <w:t>Journal of Clinical Medicine</w:t>
      </w:r>
      <w:r>
        <w:rPr>
          <w:rFonts w:ascii="Times New Roman" w:hAnsi="Times New Roman" w:eastAsia="Times New Roman" w:cs="Times New Roman"/>
          <w:sz w:val="24"/>
          <w:szCs w:val="24"/>
        </w:rPr>
        <w:t xml:space="preserve">, 15(3), p.1102. Available at: </w:t>
      </w:r>
      <w:r>
        <w:fldChar w:fldCharType="begin"/>
      </w:r>
      <w:r>
        <w:instrText xml:space="preserve"> HYPERLINK "https://doi.org/10.3390/jcm15031102" \h </w:instrText>
      </w:r>
      <w:r>
        <w:fldChar w:fldCharType="separate"/>
      </w:r>
      <w:r>
        <w:rPr>
          <w:rFonts w:ascii="Times New Roman" w:hAnsi="Times New Roman" w:eastAsia="Times New Roman" w:cs="Times New Roman"/>
          <w:color w:val="1155CC"/>
          <w:sz w:val="24"/>
          <w:szCs w:val="24"/>
          <w:u w:val="single"/>
        </w:rPr>
        <w:t>https://doi.org/10.3390/jcm15031102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23B90E2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Leggett, H., Vinall-Collier, K., Csikar, J. and Veronica Ann Douglas, G. (2023) ‘Barriers to prevention in oral health care for english NHS dental patients: a qualitative study of views from key stakeholders’, </w:t>
      </w:r>
      <w:r>
        <w:rPr>
          <w:rFonts w:ascii="Times New Roman" w:hAnsi="Times New Roman" w:eastAsia="Times New Roman" w:cs="Times New Roman"/>
          <w:i/>
          <w:iCs/>
          <w:sz w:val="24"/>
          <w:szCs w:val="24"/>
        </w:rPr>
        <w:t>BMC Oral Health</w:t>
      </w:r>
      <w:r>
        <w:rPr>
          <w:rFonts w:ascii="Times New Roman" w:hAnsi="Times New Roman" w:eastAsia="Times New Roman" w:cs="Times New Roman"/>
          <w:sz w:val="24"/>
          <w:szCs w:val="24"/>
        </w:rPr>
        <w:t xml:space="preserve">, 23(1), p.332. Available at: </w:t>
      </w:r>
      <w:r>
        <w:fldChar w:fldCharType="begin"/>
      </w:r>
      <w:r>
        <w:instrText xml:space="preserve"> HYPERLINK "https://doi.org/10.1186/s12903-023-03030-x" \h </w:instrText>
      </w:r>
      <w:r>
        <w:fldChar w:fldCharType="separate"/>
      </w:r>
      <w:r>
        <w:rPr>
          <w:rFonts w:ascii="Times New Roman" w:hAnsi="Times New Roman" w:eastAsia="Times New Roman" w:cs="Times New Roman"/>
          <w:color w:val="1155CC"/>
          <w:sz w:val="24"/>
          <w:szCs w:val="24"/>
          <w:u w:val="single"/>
        </w:rPr>
        <w:t>https://doi.org/10.1186/s12903-023-03030-x</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4B082D4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NIDCR (2024) </w:t>
      </w:r>
      <w:r>
        <w:rPr>
          <w:rFonts w:ascii="Times New Roman" w:hAnsi="Times New Roman" w:eastAsia="Times New Roman" w:cs="Times New Roman"/>
          <w:i/>
          <w:iCs/>
          <w:sz w:val="24"/>
          <w:szCs w:val="24"/>
        </w:rPr>
        <w:t>Oral Cancer</w:t>
      </w:r>
      <w:r>
        <w:rPr>
          <w:rFonts w:ascii="Times New Roman" w:hAnsi="Times New Roman" w:eastAsia="Times New Roman" w:cs="Times New Roman"/>
          <w:sz w:val="24"/>
          <w:szCs w:val="24"/>
        </w:rPr>
        <w:t xml:space="preserve">. Available at: </w:t>
      </w:r>
      <w:r>
        <w:fldChar w:fldCharType="begin"/>
      </w:r>
      <w:r>
        <w:instrText xml:space="preserve"> HYPERLINK "https://www.nidcr.nih.gov/health-info/oral-cancer" \h </w:instrText>
      </w:r>
      <w:r>
        <w:fldChar w:fldCharType="separate"/>
      </w:r>
      <w:r>
        <w:rPr>
          <w:rFonts w:ascii="Times New Roman" w:hAnsi="Times New Roman" w:eastAsia="Times New Roman" w:cs="Times New Roman"/>
          <w:color w:val="1155CC"/>
          <w:sz w:val="24"/>
          <w:szCs w:val="24"/>
          <w:u w:val="single"/>
        </w:rPr>
        <w:t>https://www.nidcr.nih.gov/health-info/oral-cancer</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6A5E360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Saini, N., Manjunatha, B.S., Shah, V. and Pateel, D. (2019) ‘Squamous Cell Carcinoma of the Oral Cavity: A Case Series Analysis of Clinico-Pathological’. Available at: </w:t>
      </w:r>
      <w:r>
        <w:fldChar w:fldCharType="begin"/>
      </w:r>
      <w:r>
        <w:instrText xml:space="preserve"> HYPERLINK "https://www.researchgate.net/profile/B-S-Manjunatha/publication/337656499_Squamous_Cell_Carcinoma_of_the_Oral_Cavity_A_Case_Series_Analysis_of_Clinico-Pathological_Features/links/5de3870a4585159aa457ed7d/Squamous-Cell-Carcinoma-of-the-Oral-Cavity-A-Case-Series-Analysis-of-Clinico-Pathological-Features.pdf?_sg%5B0%5D=started_experiment_milestone&amp;origin=journalDetail&amp;_rtd=e30%3D" \h </w:instrText>
      </w:r>
      <w:r>
        <w:fldChar w:fldCharType="separate"/>
      </w:r>
      <w:r>
        <w:rPr>
          <w:rFonts w:ascii="Times New Roman" w:hAnsi="Times New Roman" w:eastAsia="Times New Roman" w:cs="Times New Roman"/>
          <w:color w:val="1155CC"/>
          <w:sz w:val="24"/>
          <w:szCs w:val="24"/>
          <w:u w:val="single"/>
        </w:rPr>
        <w:t>https://www.researchgate.net/profile/B-S-Manjunatha/publication/337656499_Squamous_Cell_Carcinoma_of_the_Oral_Cavity_A_Case_Series_Analysis_of_Clinico-Pathological_Features/links/5de3870a4585159aa457ed7d/Squamous-Cell-Carcinoma-of-the-Oral-Cavity-A-Case-Series-Analysis-of-Clinico-Pathological-Features.pdf?_sg%5B0%5D=started_experiment_milestone&amp;origin=journalDetail&amp;_rtd=e30%3D</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2A2DFD2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Schuman, J.S., Fujimoto, J.G., Duker, J. and Ishikawa, H. (2024) </w:t>
      </w:r>
      <w:r>
        <w:rPr>
          <w:rFonts w:ascii="Times New Roman" w:hAnsi="Times New Roman" w:eastAsia="Times New Roman" w:cs="Times New Roman"/>
          <w:i/>
          <w:iCs/>
          <w:sz w:val="24"/>
          <w:szCs w:val="24"/>
        </w:rPr>
        <w:t>Optical coherence tomography of ocular diseases</w:t>
      </w:r>
      <w:r>
        <w:rPr>
          <w:rFonts w:ascii="Times New Roman" w:hAnsi="Times New Roman" w:eastAsia="Times New Roman" w:cs="Times New Roman"/>
          <w:sz w:val="24"/>
          <w:szCs w:val="24"/>
        </w:rPr>
        <w:t xml:space="preserve">. CRC Press. </w:t>
      </w:r>
    </w:p>
    <w:p w14:paraId="4BD20F7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Zeppieri, M., Marsili, S., Enaholo, E.S., Shuaibu, A.O., Uwagboe, N., Salati, C., Spadea, L. and Musa, M. (2023) ‘Optical coherence tomography (OCT): a brief look at the uses and technological evolution of ophthalmology’, </w:t>
      </w:r>
      <w:r>
        <w:rPr>
          <w:rFonts w:ascii="Times New Roman" w:hAnsi="Times New Roman" w:eastAsia="Times New Roman" w:cs="Times New Roman"/>
          <w:i/>
          <w:iCs/>
          <w:sz w:val="24"/>
          <w:szCs w:val="24"/>
        </w:rPr>
        <w:t>Medicina</w:t>
      </w:r>
      <w:r>
        <w:rPr>
          <w:rFonts w:ascii="Times New Roman" w:hAnsi="Times New Roman" w:eastAsia="Times New Roman" w:cs="Times New Roman"/>
          <w:sz w:val="24"/>
          <w:szCs w:val="24"/>
        </w:rPr>
        <w:t xml:space="preserve">, 59(12), p.2114.Available at: </w:t>
      </w:r>
      <w:r>
        <w:fldChar w:fldCharType="begin"/>
      </w:r>
      <w:r>
        <w:instrText xml:space="preserve"> HYPERLINK "https://doi.org/10.3390/medicina59122114" \h </w:instrText>
      </w:r>
      <w:r>
        <w:fldChar w:fldCharType="separate"/>
      </w:r>
      <w:r>
        <w:rPr>
          <w:rFonts w:ascii="Times New Roman" w:hAnsi="Times New Roman" w:eastAsia="Times New Roman" w:cs="Times New Roman"/>
          <w:color w:val="1155CC"/>
          <w:sz w:val="24"/>
          <w:szCs w:val="24"/>
          <w:u w:val="single"/>
        </w:rPr>
        <w:t>https://doi.org/10.3390/medicina59122114</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4A2F336B">
      <w:pPr>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br w:type="page"/>
      </w:r>
    </w:p>
    <w:p w14:paraId="1FD41EFC">
      <w:pPr>
        <w:pStyle w:val="2"/>
        <w:rPr>
          <w:rFonts w:cs="Times New Roman"/>
          <w:szCs w:val="24"/>
        </w:rPr>
      </w:pPr>
      <w:bookmarkStart w:id="8" w:name="_Toc235638470"/>
      <w:r>
        <w:rPr>
          <w:rFonts w:cs="Times New Roman"/>
          <w:szCs w:val="24"/>
        </w:rPr>
        <w:t>Blog 2</w:t>
      </w:r>
      <w:bookmarkEnd w:id="8"/>
    </w:p>
    <w:p w14:paraId="01808D1D">
      <w:pPr>
        <w:pStyle w:val="3"/>
        <w:rPr>
          <w:rFonts w:cs="Times New Roman"/>
          <w:szCs w:val="24"/>
        </w:rPr>
      </w:pPr>
      <w:bookmarkStart w:id="9" w:name="_Toc235638471"/>
      <w:r>
        <w:rPr>
          <w:rFonts w:cs="Times New Roman"/>
          <w:szCs w:val="24"/>
        </w:rPr>
        <w:t>Title: OCT-Care AI: An AI-supported platform to reduce the impact oral cancer through AI-assisted image analysis</w:t>
      </w:r>
      <w:bookmarkEnd w:id="9"/>
      <w:r>
        <w:rPr>
          <w:rFonts w:cs="Times New Roman"/>
          <w:szCs w:val="24"/>
        </w:rPr>
        <w:t xml:space="preserve">   </w:t>
      </w:r>
    </w:p>
    <w:p w14:paraId="77F3AEBE">
      <w:pPr>
        <w:pStyle w:val="3"/>
        <w:rPr>
          <w:rFonts w:cs="Times New Roman"/>
          <w:szCs w:val="24"/>
        </w:rPr>
      </w:pPr>
      <w:bookmarkStart w:id="10" w:name="_Toc235638472"/>
      <w:r>
        <w:rPr>
          <w:rFonts w:cs="Times New Roman"/>
          <w:szCs w:val="24"/>
        </w:rPr>
        <w:t>Defining the public health issue</w:t>
      </w:r>
      <w:bookmarkEnd w:id="10"/>
      <w:r>
        <w:rPr>
          <w:rFonts w:cs="Times New Roman"/>
          <w:szCs w:val="24"/>
        </w:rPr>
        <w:t xml:space="preserve"> </w:t>
      </w:r>
    </w:p>
    <w:p w14:paraId="514D2FF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context of the public health issue, oral cancer is highly significant, which is primarily caused due to HPV infection and excessive use of tobacco and alcohol (Touil, Oualha and Douki, 2020; Kokkinis et al., 2024). </w:t>
      </w:r>
    </w:p>
    <w:p w14:paraId="38C7F91F">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IN"/>
        </w:rPr>
        <w:drawing>
          <wp:inline distT="114300" distB="114300" distL="114300" distR="114300">
            <wp:extent cx="3376295" cy="405257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referRelativeResize="0"/>
                  </pic:nvPicPr>
                  <pic:blipFill>
                    <a:blip r:embed="rId9"/>
                    <a:srcRect/>
                    <a:stretch>
                      <a:fillRect/>
                    </a:stretch>
                  </pic:blipFill>
                  <pic:spPr>
                    <a:xfrm>
                      <a:off x="0" y="0"/>
                      <a:ext cx="3376613" cy="4053017"/>
                    </a:xfrm>
                    <a:prstGeom prst="rect">
                      <a:avLst/>
                    </a:prstGeom>
                  </pic:spPr>
                </pic:pic>
              </a:graphicData>
            </a:graphic>
          </wp:inline>
        </w:drawing>
      </w:r>
      <w:r>
        <w:rPr>
          <w:rFonts w:ascii="Times New Roman" w:hAnsi="Times New Roman" w:eastAsia="Times New Roman" w:cs="Times New Roman"/>
          <w:sz w:val="24"/>
          <w:szCs w:val="24"/>
        </w:rPr>
        <w:t xml:space="preserve"> </w:t>
      </w:r>
    </w:p>
    <w:p w14:paraId="0220014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last 10 years in the UK, the chances of oral cancer have increased 32% among men and 33% among women, which denotes a strong public health burden (Rumgay, 2026). </w:t>
      </w:r>
    </w:p>
    <w:p w14:paraId="6AA6C5B6">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IN"/>
        </w:rPr>
        <w:drawing>
          <wp:inline distT="114300" distB="114300" distL="114300" distR="114300">
            <wp:extent cx="3995420" cy="3378835"/>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referRelativeResize="0"/>
                  </pic:nvPicPr>
                  <pic:blipFill>
                    <a:blip r:embed="rId10"/>
                    <a:srcRect/>
                    <a:stretch>
                      <a:fillRect/>
                    </a:stretch>
                  </pic:blipFill>
                  <pic:spPr>
                    <a:xfrm>
                      <a:off x="0" y="0"/>
                      <a:ext cx="3995738" cy="3378852"/>
                    </a:xfrm>
                    <a:prstGeom prst="rect">
                      <a:avLst/>
                    </a:prstGeom>
                  </pic:spPr>
                </pic:pic>
              </a:graphicData>
            </a:graphic>
          </wp:inline>
        </w:drawing>
      </w:r>
    </w:p>
    <w:p w14:paraId="0EEF7592">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Figure 1: Mouth cancer rates in the UK </w:t>
      </w:r>
    </w:p>
    <w:p w14:paraId="698AE203">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Rumgay, 2026)</w:t>
      </w:r>
    </w:p>
    <w:p w14:paraId="0D38C00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However, the existing digital technologies, such as Optical Coherence Tomography (OCT) significantly provides images for early detecting oral cancer, it faces limitations, including high equipment costs and limited visualising invasive lesions (Zeppieri et al., 2023). In this regard, introducing OCT-Care AI can provide more effective digital solutions for reducing oral cancer burden among adults in the UK.     </w:t>
      </w:r>
    </w:p>
    <w:p w14:paraId="70420910">
      <w:pPr>
        <w:pStyle w:val="3"/>
        <w:rPr>
          <w:rFonts w:cs="Times New Roman"/>
          <w:szCs w:val="24"/>
        </w:rPr>
      </w:pPr>
      <w:bookmarkStart w:id="11" w:name="_Toc235638473"/>
      <w:r>
        <w:rPr>
          <w:rFonts w:cs="Times New Roman"/>
          <w:szCs w:val="24"/>
        </w:rPr>
        <w:t>Introducing the digital technology</w:t>
      </w:r>
      <w:bookmarkEnd w:id="11"/>
      <w:r>
        <w:rPr>
          <w:rFonts w:cs="Times New Roman"/>
          <w:szCs w:val="24"/>
        </w:rPr>
        <w:t xml:space="preserve"> </w:t>
      </w:r>
    </w:p>
    <w:p w14:paraId="0A2B0EC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Advanced AI-integrated digital health platform, OCT-Care AI is proposed as a modified digital intervention platform to enhance the effectiveness of OCT imaging, personalised risk assessment, remote specialist referral, and AI-assisted image analysis. </w:t>
      </w:r>
    </w:p>
    <w:p w14:paraId="5D7E41DD">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IN"/>
        </w:rPr>
        <w:drawing>
          <wp:inline distT="114300" distB="114300" distL="114300" distR="114300">
            <wp:extent cx="5210175" cy="3476625"/>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referRelativeResize="0"/>
                  </pic:nvPicPr>
                  <pic:blipFill>
                    <a:blip r:embed="rId11"/>
                    <a:srcRect/>
                    <a:stretch>
                      <a:fillRect/>
                    </a:stretch>
                  </pic:blipFill>
                  <pic:spPr>
                    <a:xfrm>
                      <a:off x="0" y="0"/>
                      <a:ext cx="5210175" cy="3476625"/>
                    </a:xfrm>
                    <a:prstGeom prst="rect">
                      <a:avLst/>
                    </a:prstGeom>
                  </pic:spPr>
                </pic:pic>
              </a:graphicData>
            </a:graphic>
          </wp:inline>
        </w:drawing>
      </w:r>
    </w:p>
    <w:p w14:paraId="4B992AE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core features of this digital technology are: </w:t>
      </w:r>
    </w:p>
    <w:p w14:paraId="1AB71ED3">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Early risk detection</w:t>
      </w:r>
    </w:p>
    <w:p w14:paraId="73760367">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Personalised risk assessment </w:t>
      </w:r>
    </w:p>
    <w:p w14:paraId="7C199A74">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Automated referral system </w:t>
      </w:r>
    </w:p>
    <w:p w14:paraId="6EC0C7C6">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24/7 support </w:t>
      </w:r>
    </w:p>
    <w:p w14:paraId="38D9AE9D">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AI-assist image analysis </w:t>
      </w:r>
    </w:p>
    <w:p w14:paraId="67AC7A4F">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Community-based accessibility </w:t>
      </w:r>
    </w:p>
    <w:p w14:paraId="43CC9534">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AI bias monitoring system  </w:t>
      </w:r>
    </w:p>
    <w:p w14:paraId="6042B536">
      <w:pPr>
        <w:spacing w:line="360" w:lineRule="auto"/>
        <w:jc w:val="both"/>
        <w:rPr>
          <w:rFonts w:ascii="Times New Roman" w:hAnsi="Times New Roman" w:eastAsia="Times New Roman" w:cs="Times New Roman"/>
          <w:b/>
          <w:bCs/>
          <w:i/>
          <w:iCs/>
          <w:sz w:val="24"/>
          <w:szCs w:val="24"/>
        </w:rPr>
      </w:pPr>
      <w:r>
        <w:rPr>
          <w:rFonts w:ascii="Times New Roman" w:hAnsi="Times New Roman" w:eastAsia="Times New Roman" w:cs="Times New Roman"/>
          <w:b/>
          <w:bCs/>
          <w:i/>
          <w:iCs/>
          <w:sz w:val="24"/>
          <w:szCs w:val="24"/>
        </w:rPr>
        <w:t xml:space="preserve">Evidence </w:t>
      </w:r>
    </w:p>
    <w:p w14:paraId="6EC0F7A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current digital environment, leveraging AI effectively transforms oral cancer treatment by improving diagnoses through radiotherapy planning speed with highly personalised interventions (Al-Raeei, 2025; Veseli and Adeoye, 2025). </w:t>
      </w:r>
    </w:p>
    <w:p w14:paraId="09491B06">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val="en-IN"/>
        </w:rPr>
        <w:drawing>
          <wp:inline distT="114300" distB="114300" distL="114300" distR="114300">
            <wp:extent cx="5643245" cy="2450465"/>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10" name="image4.png"/>
                    <pic:cNvPicPr preferRelativeResize="0"/>
                  </pic:nvPicPr>
                  <pic:blipFill>
                    <a:blip r:embed="rId12"/>
                    <a:srcRect/>
                    <a:stretch>
                      <a:fillRect/>
                    </a:stretch>
                  </pic:blipFill>
                  <pic:spPr>
                    <a:xfrm>
                      <a:off x="0" y="0"/>
                      <a:ext cx="5643563" cy="2450970"/>
                    </a:xfrm>
                    <a:prstGeom prst="rect">
                      <a:avLst/>
                    </a:prstGeom>
                  </pic:spPr>
                </pic:pic>
              </a:graphicData>
            </a:graphic>
          </wp:inline>
        </w:drawing>
      </w:r>
    </w:p>
    <w:p w14:paraId="6FCE981A">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Figure 2: AI adoption in the UK healthcare sector </w:t>
      </w:r>
    </w:p>
    <w:p w14:paraId="260E26D3">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Grand View Research, 2026)</w:t>
      </w:r>
    </w:p>
    <w:p w14:paraId="500F6CE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Also, the statistical evidence highlights that AI adoption growth will be increased by 39.7% of CAGR between 2026-2033 across the UK healthcare industry, indicating a high effectiveness (Grand View Research, 2026). Therefore, by utilising this effectiveness OCT-Care AI will contribute to promote health by providing reminders and multilingual educational content, which will encourage users to use the platform (Anthony, Omidire and Muhammed, 2026; Hardcastle, Vorster and Brown, 2025). Moreover, by aligning the Technology Acceptance Model (TAM), prioritising remote specialist review and automated referral will also enable to address structural barriers and individual behavioural risk to timely healthcare access for people with oral cancer (Lee, Ramasamy and Subbarao, 2025).       </w:t>
      </w:r>
    </w:p>
    <w:p w14:paraId="2C2C8FC2">
      <w:pPr>
        <w:pStyle w:val="3"/>
        <w:rPr>
          <w:rFonts w:cs="Times New Roman"/>
          <w:szCs w:val="24"/>
        </w:rPr>
      </w:pPr>
      <w:bookmarkStart w:id="12" w:name="_Toc235638474"/>
      <w:r>
        <w:rPr>
          <w:rFonts w:cs="Times New Roman"/>
          <w:szCs w:val="24"/>
        </w:rPr>
        <w:t>Critical discussion</w:t>
      </w:r>
      <w:bookmarkEnd w:id="12"/>
      <w:r>
        <w:rPr>
          <w:rFonts w:cs="Times New Roman"/>
          <w:szCs w:val="24"/>
        </w:rPr>
        <w:t xml:space="preserve"> </w:t>
      </w:r>
    </w:p>
    <w:p w14:paraId="552BF823">
      <w:pPr>
        <w:spacing w:line="360" w:lineRule="auto"/>
        <w:jc w:val="both"/>
        <w:rPr>
          <w:rFonts w:ascii="Times New Roman" w:hAnsi="Times New Roman" w:eastAsia="Times New Roman" w:cs="Times New Roman"/>
          <w:b/>
          <w:bCs/>
          <w:i/>
          <w:iCs/>
          <w:sz w:val="24"/>
          <w:szCs w:val="24"/>
        </w:rPr>
      </w:pPr>
      <w:r>
        <w:rPr>
          <w:rFonts w:ascii="Times New Roman" w:hAnsi="Times New Roman" w:eastAsia="Times New Roman" w:cs="Times New Roman"/>
          <w:b/>
          <w:bCs/>
          <w:i/>
          <w:iCs/>
          <w:sz w:val="24"/>
          <w:szCs w:val="24"/>
        </w:rPr>
        <w:t xml:space="preserve">Advantages </w:t>
      </w:r>
    </w:p>
    <w:p w14:paraId="088EA254">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Early risk identification </w:t>
      </w:r>
    </w:p>
    <w:p w14:paraId="13B03405">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Addressing structural changes</w:t>
      </w:r>
    </w:p>
    <w:p w14:paraId="07BF647E">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Multilingual functions </w:t>
      </w:r>
    </w:p>
    <w:p w14:paraId="146DDD38">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Mobile functions </w:t>
      </w:r>
    </w:p>
    <w:p w14:paraId="48B7186B">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Improve accessibility by supporting continuity of care (Bajwa et al., 2021) </w:t>
      </w:r>
    </w:p>
    <w:p w14:paraId="1BAAD42C">
      <w:pPr>
        <w:spacing w:line="360" w:lineRule="auto"/>
        <w:jc w:val="both"/>
        <w:rPr>
          <w:rFonts w:ascii="Times New Roman" w:hAnsi="Times New Roman" w:eastAsia="Times New Roman" w:cs="Times New Roman"/>
          <w:b/>
          <w:bCs/>
          <w:i/>
          <w:iCs/>
          <w:sz w:val="24"/>
          <w:szCs w:val="24"/>
        </w:rPr>
      </w:pPr>
      <w:r>
        <w:rPr>
          <w:rFonts w:ascii="Times New Roman" w:hAnsi="Times New Roman" w:eastAsia="Times New Roman" w:cs="Times New Roman"/>
          <w:b/>
          <w:bCs/>
          <w:i/>
          <w:iCs/>
          <w:sz w:val="24"/>
          <w:szCs w:val="24"/>
        </w:rPr>
        <w:t xml:space="preserve">Disadvantages </w:t>
      </w:r>
    </w:p>
    <w:p w14:paraId="2BBB8158">
      <w:pPr>
        <w:numPr>
          <w:ilvl w:val="0"/>
          <w:numId w:val="6"/>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may face privacy and cyber security concerns while storing sensitive and personal health images, which can reduce patients’ trust (Voloch and Hirschprung, 2026). </w:t>
      </w:r>
    </w:p>
    <w:p w14:paraId="4A2B2195">
      <w:pPr>
        <w:numPr>
          <w:ilvl w:val="0"/>
          <w:numId w:val="6"/>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Disruption in internet connectivity may also hinder the accessibility of the platform. </w:t>
      </w:r>
    </w:p>
    <w:p w14:paraId="11A668BF">
      <w:pPr>
        <w:pStyle w:val="3"/>
        <w:rPr>
          <w:rFonts w:cs="Times New Roman"/>
          <w:szCs w:val="24"/>
        </w:rPr>
      </w:pPr>
      <w:bookmarkStart w:id="13" w:name="_Toc235638475"/>
      <w:r>
        <w:rPr>
          <w:rFonts w:cs="Times New Roman"/>
          <w:szCs w:val="24"/>
        </w:rPr>
        <w:t>Future improvement and conclusion</w:t>
      </w:r>
      <w:bookmarkEnd w:id="13"/>
      <w:r>
        <w:rPr>
          <w:rFonts w:cs="Times New Roman"/>
          <w:szCs w:val="24"/>
        </w:rPr>
        <w:t xml:space="preserve"> </w:t>
      </w:r>
    </w:p>
    <w:p w14:paraId="62CCBFF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By addressing the shortfall through implementing proper data protection laws, such as the UK GDPR policy, this platform will resolve its disadvantages, which can build patient trust. Therefore, OCT-Care AI can improve the healthcare promotion for oral cancer by integrating behavioural education and AI-supported imaging, which will also reduce burden from the existing NHS services. </w:t>
      </w:r>
    </w:p>
    <w:p w14:paraId="78DEF99E">
      <w:pPr>
        <w:spacing w:line="360" w:lineRule="auto"/>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br w:type="page"/>
      </w:r>
    </w:p>
    <w:p w14:paraId="182B568E">
      <w:pPr>
        <w:pStyle w:val="2"/>
        <w:rPr>
          <w:rFonts w:cs="Times New Roman"/>
          <w:szCs w:val="24"/>
        </w:rPr>
      </w:pPr>
      <w:bookmarkStart w:id="14" w:name="_Toc235638476"/>
      <w:r>
        <w:rPr>
          <w:rFonts w:cs="Times New Roman"/>
          <w:szCs w:val="24"/>
        </w:rPr>
        <w:t>References</w:t>
      </w:r>
      <w:bookmarkEnd w:id="14"/>
      <w:r>
        <w:rPr>
          <w:rFonts w:cs="Times New Roman"/>
          <w:szCs w:val="24"/>
        </w:rPr>
        <w:t xml:space="preserve"> </w:t>
      </w:r>
    </w:p>
    <w:p w14:paraId="31AF627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Al-Raeei, M. (2025) ‘The future of oral oncology: How artificial intelligence is redefining surgical procedures and patient management’, </w:t>
      </w:r>
      <w:r>
        <w:rPr>
          <w:rFonts w:ascii="Times New Roman" w:hAnsi="Times New Roman" w:eastAsia="Times New Roman" w:cs="Times New Roman"/>
          <w:i/>
          <w:iCs/>
          <w:sz w:val="24"/>
          <w:szCs w:val="24"/>
        </w:rPr>
        <w:t>International Dental Journal</w:t>
      </w:r>
      <w:r>
        <w:rPr>
          <w:rFonts w:ascii="Times New Roman" w:hAnsi="Times New Roman" w:eastAsia="Times New Roman" w:cs="Times New Roman"/>
          <w:sz w:val="24"/>
          <w:szCs w:val="24"/>
        </w:rPr>
        <w:t xml:space="preserve">, 75(1), pp.109-116. Available at: </w:t>
      </w:r>
      <w:r>
        <w:fldChar w:fldCharType="begin"/>
      </w:r>
      <w:r>
        <w:instrText xml:space="preserve"> HYPERLINK "https://doi.org/10.1016/j.identj.2024.09.032" \h </w:instrText>
      </w:r>
      <w:r>
        <w:fldChar w:fldCharType="separate"/>
      </w:r>
      <w:r>
        <w:rPr>
          <w:rFonts w:ascii="Times New Roman" w:hAnsi="Times New Roman" w:eastAsia="Times New Roman" w:cs="Times New Roman"/>
          <w:color w:val="1155CC"/>
          <w:sz w:val="24"/>
          <w:szCs w:val="24"/>
          <w:u w:val="single"/>
        </w:rPr>
        <w:t>https://doi.org/10.1016/j.identj.2024.09.032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5378E6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Anthony, K., Omidire, M.F. and Muhammed, S.A. (2026) ‘Challenges, benefits and policy implications of multilingualism in educational contexts’, </w:t>
      </w:r>
      <w:r>
        <w:rPr>
          <w:rFonts w:ascii="Times New Roman" w:hAnsi="Times New Roman" w:eastAsia="Times New Roman" w:cs="Times New Roman"/>
          <w:i/>
          <w:iCs/>
          <w:sz w:val="24"/>
          <w:szCs w:val="24"/>
        </w:rPr>
        <w:t>Discover Education</w:t>
      </w:r>
      <w:r>
        <w:rPr>
          <w:rFonts w:ascii="Times New Roman" w:hAnsi="Times New Roman" w:eastAsia="Times New Roman" w:cs="Times New Roman"/>
          <w:sz w:val="24"/>
          <w:szCs w:val="24"/>
        </w:rPr>
        <w:t xml:space="preserve">, 5(1), p.188. Available at: </w:t>
      </w:r>
      <w:r>
        <w:fldChar w:fldCharType="begin"/>
      </w:r>
      <w:r>
        <w:instrText xml:space="preserve"> HYPERLINK "https://link.springer.com/content/pdf/10.1007/s44217-025-01061-w.pdf" \h </w:instrText>
      </w:r>
      <w:r>
        <w:fldChar w:fldCharType="separate"/>
      </w:r>
      <w:r>
        <w:rPr>
          <w:rFonts w:ascii="Times New Roman" w:hAnsi="Times New Roman" w:eastAsia="Times New Roman" w:cs="Times New Roman"/>
          <w:color w:val="1155CC"/>
          <w:sz w:val="24"/>
          <w:szCs w:val="24"/>
          <w:u w:val="single"/>
        </w:rPr>
        <w:t>https://link.springer.com/content/pdf/10.1007/s44217-025-01061-w.pdf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3BA5414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Bajwa, J., Munir, U., Nori, A. and Williams, B. (2021) ‘Artificial intelligence in healthcare: transforming the practice of medicine’, </w:t>
      </w:r>
      <w:r>
        <w:rPr>
          <w:rFonts w:ascii="Times New Roman" w:hAnsi="Times New Roman" w:eastAsia="Times New Roman" w:cs="Times New Roman"/>
          <w:i/>
          <w:iCs/>
          <w:sz w:val="24"/>
          <w:szCs w:val="24"/>
        </w:rPr>
        <w:t>Future healthcare journal</w:t>
      </w:r>
      <w:r>
        <w:rPr>
          <w:rFonts w:ascii="Times New Roman" w:hAnsi="Times New Roman" w:eastAsia="Times New Roman" w:cs="Times New Roman"/>
          <w:sz w:val="24"/>
          <w:szCs w:val="24"/>
        </w:rPr>
        <w:t xml:space="preserve">, 8(2), pp.e188-e194. Available at: </w:t>
      </w:r>
      <w:r>
        <w:fldChar w:fldCharType="begin"/>
      </w:r>
      <w:r>
        <w:instrText xml:space="preserve"> HYPERLINK "https://doi.org/10.7861/fhj.2021-0095" \h </w:instrText>
      </w:r>
      <w:r>
        <w:fldChar w:fldCharType="separate"/>
      </w:r>
      <w:r>
        <w:rPr>
          <w:rFonts w:ascii="Times New Roman" w:hAnsi="Times New Roman" w:eastAsia="Times New Roman" w:cs="Times New Roman"/>
          <w:color w:val="1155CC"/>
          <w:sz w:val="24"/>
          <w:szCs w:val="24"/>
          <w:u w:val="single"/>
        </w:rPr>
        <w:t>https://doi.org/10.7861/fhj.2021-0095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18F1570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Grand View Research (2026) </w:t>
      </w:r>
      <w:r>
        <w:rPr>
          <w:rFonts w:ascii="Times New Roman" w:hAnsi="Times New Roman" w:eastAsia="Times New Roman" w:cs="Times New Roman"/>
          <w:i/>
          <w:iCs/>
          <w:sz w:val="24"/>
          <w:szCs w:val="24"/>
        </w:rPr>
        <w:t>UK Ai In Healthcare Market Size &amp; Outlook, 2026-2033</w:t>
      </w:r>
      <w:r>
        <w:rPr>
          <w:rFonts w:ascii="Times New Roman" w:hAnsi="Times New Roman" w:eastAsia="Times New Roman" w:cs="Times New Roman"/>
          <w:sz w:val="24"/>
          <w:szCs w:val="24"/>
        </w:rPr>
        <w:t xml:space="preserve">. Available at: </w:t>
      </w:r>
      <w:r>
        <w:fldChar w:fldCharType="begin"/>
      </w:r>
      <w:r>
        <w:instrText xml:space="preserve"> HYPERLINK "https://www.grandviewresearch.com/horizon/outlook/ai-in-healthcare-market/uk" \h </w:instrText>
      </w:r>
      <w:r>
        <w:fldChar w:fldCharType="separate"/>
      </w:r>
      <w:r>
        <w:rPr>
          <w:rFonts w:ascii="Times New Roman" w:hAnsi="Times New Roman" w:eastAsia="Times New Roman" w:cs="Times New Roman"/>
          <w:color w:val="1155CC"/>
          <w:sz w:val="24"/>
          <w:szCs w:val="24"/>
          <w:u w:val="single"/>
        </w:rPr>
        <w:t>https://www.grandviewresearch.com/horizon/outlook/ai-in-healthcare-market/uk</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23B4954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Hardcastle, K., Vorster, L. and Brown, D.M. (2025) ‘Understanding customer responses to AI-driven personalized journeys: Impacts on the customer experience’, </w:t>
      </w:r>
      <w:r>
        <w:rPr>
          <w:rFonts w:ascii="Times New Roman" w:hAnsi="Times New Roman" w:eastAsia="Times New Roman" w:cs="Times New Roman"/>
          <w:i/>
          <w:iCs/>
          <w:sz w:val="24"/>
          <w:szCs w:val="24"/>
        </w:rPr>
        <w:t>Journal of Advertising</w:t>
      </w:r>
      <w:r>
        <w:rPr>
          <w:rFonts w:ascii="Times New Roman" w:hAnsi="Times New Roman" w:eastAsia="Times New Roman" w:cs="Times New Roman"/>
          <w:sz w:val="24"/>
          <w:szCs w:val="24"/>
        </w:rPr>
        <w:t xml:space="preserve">, 54(2), pp.176-195. Available at: </w:t>
      </w:r>
      <w:r>
        <w:fldChar w:fldCharType="begin"/>
      </w:r>
      <w:r>
        <w:instrText xml:space="preserve"> HYPERLINK "https://www.tandfonline.com/doi/pdf/10.1080/00913367.2025.2460985" \h </w:instrText>
      </w:r>
      <w:r>
        <w:fldChar w:fldCharType="separate"/>
      </w:r>
      <w:r>
        <w:rPr>
          <w:rFonts w:ascii="Times New Roman" w:hAnsi="Times New Roman" w:eastAsia="Times New Roman" w:cs="Times New Roman"/>
          <w:color w:val="1155CC"/>
          <w:sz w:val="24"/>
          <w:szCs w:val="24"/>
          <w:u w:val="single"/>
        </w:rPr>
        <w:t>https://www.tandfonline.com/doi/pdf/10.1080/00913367.2025.2460985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53B0C5D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Kokkinis, E., Bastas, N.S., TSIRONIS, C. and D LIANOU, A. (2024) ‘Association of HPV with oral and oropharyngeal cancer: Current evidence’, </w:t>
      </w:r>
      <w:r>
        <w:rPr>
          <w:rFonts w:ascii="Times New Roman" w:hAnsi="Times New Roman" w:eastAsia="Times New Roman" w:cs="Times New Roman"/>
          <w:i/>
          <w:iCs/>
          <w:sz w:val="24"/>
          <w:szCs w:val="24"/>
        </w:rPr>
        <w:t>Maedica</w:t>
      </w:r>
      <w:r>
        <w:rPr>
          <w:rFonts w:ascii="Times New Roman" w:hAnsi="Times New Roman" w:eastAsia="Times New Roman" w:cs="Times New Roman"/>
          <w:sz w:val="24"/>
          <w:szCs w:val="24"/>
        </w:rPr>
        <w:t xml:space="preserve">, 19(4), p.801. Available at: </w:t>
      </w:r>
      <w:r>
        <w:fldChar w:fldCharType="begin"/>
      </w:r>
      <w:r>
        <w:instrText xml:space="preserve"> HYPERLINK "https://doi.org/10.26574/maedica.2024.19.4.801" \h </w:instrText>
      </w:r>
      <w:r>
        <w:fldChar w:fldCharType="separate"/>
      </w:r>
      <w:r>
        <w:rPr>
          <w:rFonts w:ascii="Times New Roman" w:hAnsi="Times New Roman" w:eastAsia="Times New Roman" w:cs="Times New Roman"/>
          <w:color w:val="1155CC"/>
          <w:sz w:val="24"/>
          <w:szCs w:val="24"/>
          <w:u w:val="single"/>
        </w:rPr>
        <w:t>https://doi.org/10.26574/maedica.2024.19.4.801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41972B1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Lee, A.T., Ramasamy, R.K. and Subbarao, A. (2025) ‘Understanding psychosocial barriers to healthcare technology adoption: a review of TAM technology acceptance model and unified theory of acceptance and use of technology and UTAUT frameworks’, In </w:t>
      </w:r>
      <w:r>
        <w:rPr>
          <w:rFonts w:ascii="Times New Roman" w:hAnsi="Times New Roman" w:eastAsia="Times New Roman" w:cs="Times New Roman"/>
          <w:i/>
          <w:iCs/>
          <w:sz w:val="24"/>
          <w:szCs w:val="24"/>
        </w:rPr>
        <w:t xml:space="preserve">Healthcare </w:t>
      </w:r>
      <w:r>
        <w:rPr>
          <w:rFonts w:ascii="Times New Roman" w:hAnsi="Times New Roman" w:eastAsia="Times New Roman" w:cs="Times New Roman"/>
          <w:sz w:val="24"/>
          <w:szCs w:val="24"/>
        </w:rPr>
        <w:t xml:space="preserve">(Vol. 13, No. 3, p. 250). MDPI. Available at: </w:t>
      </w:r>
      <w:r>
        <w:fldChar w:fldCharType="begin"/>
      </w:r>
      <w:r>
        <w:instrText xml:space="preserve"> HYPERLINK "https://doi.org/10.3390/healthcare13030250" \h </w:instrText>
      </w:r>
      <w:r>
        <w:fldChar w:fldCharType="separate"/>
      </w:r>
      <w:r>
        <w:rPr>
          <w:rFonts w:ascii="Times New Roman" w:hAnsi="Times New Roman" w:eastAsia="Times New Roman" w:cs="Times New Roman"/>
          <w:color w:val="1155CC"/>
          <w:sz w:val="24"/>
          <w:szCs w:val="24"/>
          <w:u w:val="single"/>
        </w:rPr>
        <w:t>https://doi.org/10.3390/healthcare13030250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51E7CE6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Rumgay, H. (2026) </w:t>
      </w:r>
      <w:r>
        <w:rPr>
          <w:rFonts w:ascii="Times New Roman" w:hAnsi="Times New Roman" w:eastAsia="Times New Roman" w:cs="Times New Roman"/>
          <w:i/>
          <w:iCs/>
          <w:sz w:val="24"/>
          <w:szCs w:val="24"/>
        </w:rPr>
        <w:t>Mouth cancer rates are increasing, but why?</w:t>
      </w:r>
      <w:r>
        <w:rPr>
          <w:rFonts w:ascii="Times New Roman" w:hAnsi="Times New Roman" w:eastAsia="Times New Roman" w:cs="Times New Roman"/>
          <w:sz w:val="24"/>
          <w:szCs w:val="24"/>
        </w:rPr>
        <w:t xml:space="preserve"> Cancer Research UK. Available at: </w:t>
      </w:r>
      <w:r>
        <w:fldChar w:fldCharType="begin"/>
      </w:r>
      <w:r>
        <w:instrText xml:space="preserve"> HYPERLINK "https://news.cancerresearchuk.org/2015/11/13/mouth-cancer-rates-are-increasing-but-why/" \h </w:instrText>
      </w:r>
      <w:r>
        <w:fldChar w:fldCharType="separate"/>
      </w:r>
      <w:r>
        <w:rPr>
          <w:rFonts w:ascii="Times New Roman" w:hAnsi="Times New Roman" w:eastAsia="Times New Roman" w:cs="Times New Roman"/>
          <w:color w:val="1155CC"/>
          <w:sz w:val="24"/>
          <w:szCs w:val="24"/>
          <w:u w:val="single"/>
        </w:rPr>
        <w:t>https://news.cancerresearchuk.org/2015/11/13/mouth-cancer-rates-are-increasing-but-why/</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4DAC44C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Touil, D., Oualha, L. and Douki, N. (2020) ‘Oral cancer: a major and growing public health problem towards a national policy of prevention and early detection in Tunisia’, </w:t>
      </w:r>
      <w:r>
        <w:rPr>
          <w:rFonts w:ascii="Times New Roman" w:hAnsi="Times New Roman" w:eastAsia="Times New Roman" w:cs="Times New Roman"/>
          <w:i/>
          <w:iCs/>
          <w:sz w:val="24"/>
          <w:szCs w:val="24"/>
        </w:rPr>
        <w:t>Pan African Medical Journal</w:t>
      </w:r>
      <w:r>
        <w:rPr>
          <w:rFonts w:ascii="Times New Roman" w:hAnsi="Times New Roman" w:eastAsia="Times New Roman" w:cs="Times New Roman"/>
          <w:sz w:val="24"/>
          <w:szCs w:val="24"/>
        </w:rPr>
        <w:t xml:space="preserve">, 37(1). Available at: </w:t>
      </w:r>
      <w:r>
        <w:fldChar w:fldCharType="begin"/>
      </w:r>
      <w:r>
        <w:instrText xml:space="preserve"> HYPERLINK "https://www.ajol.info/index.php/pamj/article/view/228439/215701" \h </w:instrText>
      </w:r>
      <w:r>
        <w:fldChar w:fldCharType="separate"/>
      </w:r>
      <w:r>
        <w:rPr>
          <w:rFonts w:ascii="Times New Roman" w:hAnsi="Times New Roman" w:eastAsia="Times New Roman" w:cs="Times New Roman"/>
          <w:color w:val="1155CC"/>
          <w:sz w:val="24"/>
          <w:szCs w:val="24"/>
          <w:u w:val="single"/>
        </w:rPr>
        <w:t>https://www.ajol.info/index.php/pamj/article/view/228439/215701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7227CDE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Veseli, E. and Adeoye, J. (2025) ‘The future of oral cancer care through AI-powered clinics: The future of oral cancer care through AI-powered clinics’, </w:t>
      </w:r>
      <w:r>
        <w:rPr>
          <w:rFonts w:ascii="Times New Roman" w:hAnsi="Times New Roman" w:eastAsia="Times New Roman" w:cs="Times New Roman"/>
          <w:i/>
          <w:iCs/>
          <w:sz w:val="24"/>
          <w:szCs w:val="24"/>
        </w:rPr>
        <w:t>British Dental Journal</w:t>
      </w:r>
      <w:r>
        <w:rPr>
          <w:rFonts w:ascii="Times New Roman" w:hAnsi="Times New Roman" w:eastAsia="Times New Roman" w:cs="Times New Roman"/>
          <w:sz w:val="24"/>
          <w:szCs w:val="24"/>
        </w:rPr>
        <w:t xml:space="preserve">, 238(12), pp.908-909. Available at: </w:t>
      </w:r>
      <w:r>
        <w:fldChar w:fldCharType="begin"/>
      </w:r>
      <w:r>
        <w:instrText xml:space="preserve"> HYPERLINK "https://www.researchgate.net/profile/Enis-Veseli/publication/393089838_The_future_of_oral_cancer_care_through_AI-powered_clinics/links/685e8f0cb991270ef3ffb73d/The-future-of-oral-cancer-care-through-AI-powered-clinics.pdf" \h </w:instrText>
      </w:r>
      <w:r>
        <w:fldChar w:fldCharType="separate"/>
      </w:r>
      <w:r>
        <w:rPr>
          <w:rFonts w:ascii="Times New Roman" w:hAnsi="Times New Roman" w:eastAsia="Times New Roman" w:cs="Times New Roman"/>
          <w:color w:val="1155CC"/>
          <w:sz w:val="24"/>
          <w:szCs w:val="24"/>
          <w:u w:val="single"/>
        </w:rPr>
        <w:t>https://www.researchgate.net/profile/Enis-Veseli/publication/393089838_The_future_of_oral_cancer_care_through_AI-powered_clinics/links/685e8f0cb991270ef3ffb73d/The-future-of-oral-cancer-care-through-AI-powered-clinics.pdf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3D66251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Voloch, N. and Hirschprung, R.S. (2026) ‘Both ends of artificial intelligence impacting privacy: a review of violation and protection’, </w:t>
      </w:r>
      <w:r>
        <w:rPr>
          <w:rFonts w:ascii="Times New Roman" w:hAnsi="Times New Roman" w:eastAsia="Times New Roman" w:cs="Times New Roman"/>
          <w:i/>
          <w:iCs/>
          <w:sz w:val="24"/>
          <w:szCs w:val="24"/>
        </w:rPr>
        <w:t>Frontiers in Artificial Intelligence</w:t>
      </w:r>
      <w:r>
        <w:rPr>
          <w:rFonts w:ascii="Times New Roman" w:hAnsi="Times New Roman" w:eastAsia="Times New Roman" w:cs="Times New Roman"/>
          <w:sz w:val="24"/>
          <w:szCs w:val="24"/>
        </w:rPr>
        <w:t xml:space="preserve">, 9, p.1686454. Available at: </w:t>
      </w:r>
      <w:r>
        <w:fldChar w:fldCharType="begin"/>
      </w:r>
      <w:r>
        <w:instrText xml:space="preserve"> HYPERLINK "https://www.frontiersin.org/journals/artificial-intelligence/articles/10.3389/frai.2026.1686454/pdf" \h </w:instrText>
      </w:r>
      <w:r>
        <w:fldChar w:fldCharType="separate"/>
      </w:r>
      <w:r>
        <w:rPr>
          <w:rFonts w:ascii="Times New Roman" w:hAnsi="Times New Roman" w:eastAsia="Times New Roman" w:cs="Times New Roman"/>
          <w:color w:val="1155CC"/>
          <w:sz w:val="24"/>
          <w:szCs w:val="24"/>
          <w:u w:val="single"/>
        </w:rPr>
        <w:t>https://www.frontiersin.org/journals/artificial-intelligence/articles/10.3389/frai.2026.1686454/pdf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July 2026).</w:t>
      </w:r>
    </w:p>
    <w:p w14:paraId="46B5301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Zeppieri, M., Marsili, S., Enaholo, E.S., Shuaibu, A.O., Uwagboe, N., Salati, C., Spadea, L. and Musa, M. (2023) ‘Optical coherence tomography (OCT): a brief look at the uses and technological evolution of ophthalmology’, </w:t>
      </w:r>
      <w:r>
        <w:rPr>
          <w:rFonts w:ascii="Times New Roman" w:hAnsi="Times New Roman" w:eastAsia="Times New Roman" w:cs="Times New Roman"/>
          <w:i/>
          <w:iCs/>
          <w:sz w:val="24"/>
          <w:szCs w:val="24"/>
        </w:rPr>
        <w:t>Medicina</w:t>
      </w:r>
      <w:r>
        <w:rPr>
          <w:rFonts w:ascii="Times New Roman" w:hAnsi="Times New Roman" w:eastAsia="Times New Roman" w:cs="Times New Roman"/>
          <w:sz w:val="24"/>
          <w:szCs w:val="24"/>
        </w:rPr>
        <w:t xml:space="preserve">, 59(12), p.2114.Available at: </w:t>
      </w:r>
      <w:r>
        <w:fldChar w:fldCharType="begin"/>
      </w:r>
      <w:r>
        <w:instrText xml:space="preserve"> HYPERLINK "https://doi.org/10.3390/medicina59122114" \h </w:instrText>
      </w:r>
      <w:r>
        <w:fldChar w:fldCharType="separate"/>
      </w:r>
      <w:r>
        <w:rPr>
          <w:rFonts w:ascii="Times New Roman" w:hAnsi="Times New Roman" w:eastAsia="Times New Roman" w:cs="Times New Roman"/>
          <w:color w:val="1155CC"/>
          <w:sz w:val="24"/>
          <w:szCs w:val="24"/>
          <w:u w:val="single"/>
        </w:rPr>
        <w:t>https://doi.org/10.3390/medicina59122114</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Available at: (Accessed: 17 July 2026).</w:t>
      </w:r>
    </w:p>
    <w:p w14:paraId="00CB54B3">
      <w:pPr>
        <w:spacing w:line="360" w:lineRule="auto"/>
        <w:jc w:val="both"/>
        <w:rPr>
          <w:rFonts w:ascii="Times New Roman" w:hAnsi="Times New Roman" w:eastAsia="Times New Roman" w:cs="Times New Roman"/>
          <w:sz w:val="24"/>
          <w:szCs w:val="24"/>
        </w:rPr>
      </w:pPr>
    </w:p>
    <w:sectPr>
      <w:pgSz w:w="12240" w:h="15840"/>
      <w:pgMar w:top="1440" w:right="1440" w:bottom="1440" w:left="1440" w:header="720" w:footer="720"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egoe UI">
    <w:panose1 w:val="020B0502040204020203"/>
    <w:charset w:val="00"/>
    <w:family w:val="swiss"/>
    <w:pitch w:val="default"/>
    <w:sig w:usb0="00000000" w:usb1="00000000"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65960"/>
    <w:multiLevelType w:val="multilevel"/>
    <w:tmpl w:val="03D6596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CFD7BDB"/>
    <w:multiLevelType w:val="multilevel"/>
    <w:tmpl w:val="0CFD7BD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0E1E4E5A"/>
    <w:multiLevelType w:val="multilevel"/>
    <w:tmpl w:val="0E1E4E5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227F1B32"/>
    <w:multiLevelType w:val="multilevel"/>
    <w:tmpl w:val="227F1B3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64C63EF6"/>
    <w:multiLevelType w:val="multilevel"/>
    <w:tmpl w:val="64C63EF6"/>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73224111"/>
    <w:multiLevelType w:val="multilevel"/>
    <w:tmpl w:val="7322411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2"/>
  </w:num>
  <w:num w:numId="2">
    <w:abstractNumId w:val="0"/>
  </w:num>
  <w:num w:numId="3">
    <w:abstractNumId w:val="1"/>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GB" w:eastAsia="en-IN" w:bidi="ar-SA"/>
    </w:rPr>
  </w:style>
  <w:style w:type="paragraph" w:styleId="2">
    <w:name w:val="heading 1"/>
    <w:basedOn w:val="1"/>
    <w:next w:val="1"/>
    <w:uiPriority w:val="0"/>
    <w:pPr>
      <w:keepNext/>
      <w:keepLines/>
      <w:spacing w:line="360" w:lineRule="auto"/>
      <w:jc w:val="both"/>
      <w:outlineLvl w:val="0"/>
    </w:pPr>
    <w:rPr>
      <w:rFonts w:ascii="Times New Roman" w:hAnsi="Times New Roman"/>
      <w:b/>
      <w:sz w:val="24"/>
      <w:szCs w:val="40"/>
    </w:rPr>
  </w:style>
  <w:style w:type="paragraph" w:styleId="3">
    <w:name w:val="heading 2"/>
    <w:basedOn w:val="1"/>
    <w:next w:val="1"/>
    <w:uiPriority w:val="0"/>
    <w:pPr>
      <w:keepNext/>
      <w:keepLines/>
      <w:spacing w:line="360" w:lineRule="auto"/>
      <w:jc w:val="both"/>
      <w:outlineLvl w:val="1"/>
    </w:pPr>
    <w:rPr>
      <w:rFonts w:ascii="Times New Roman" w:hAnsi="Times New Roman"/>
      <w:b/>
      <w:i/>
      <w:sz w:val="24"/>
      <w:szCs w:val="32"/>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uiPriority w:val="0"/>
    <w:pPr>
      <w:keepNext/>
      <w:keepLines/>
      <w:spacing w:before="280" w:after="80"/>
      <w:outlineLvl w:val="3"/>
    </w:pPr>
    <w:rPr>
      <w:color w:val="666666"/>
      <w:sz w:val="24"/>
      <w:szCs w:val="24"/>
    </w:rPr>
  </w:style>
  <w:style w:type="paragraph" w:styleId="6">
    <w:name w:val="heading 5"/>
    <w:basedOn w:val="1"/>
    <w:next w:val="1"/>
    <w:uiPriority w:val="0"/>
    <w:pPr>
      <w:keepNext/>
      <w:keepLines/>
      <w:spacing w:before="240" w:after="80"/>
      <w:outlineLvl w:val="4"/>
    </w:pPr>
    <w:rPr>
      <w:color w:val="666666"/>
    </w:rPr>
  </w:style>
  <w:style w:type="paragraph" w:styleId="7">
    <w:name w:val="heading 6"/>
    <w:basedOn w:val="1"/>
    <w:next w:val="1"/>
    <w:uiPriority w:val="0"/>
    <w:pPr>
      <w:keepNext/>
      <w:keepLines/>
      <w:spacing w:before="240" w:after="80"/>
      <w:outlineLvl w:val="5"/>
    </w:pPr>
    <w:rPr>
      <w:i/>
      <w:iCs/>
      <w:color w:val="666666"/>
    </w:rPr>
  </w:style>
  <w:style w:type="character" w:default="1" w:styleId="14">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8">
    <w:name w:val="Balloon Text"/>
    <w:basedOn w:val="1"/>
    <w:link w:val="21"/>
    <w:unhideWhenUsed/>
    <w:uiPriority w:val="99"/>
    <w:pPr>
      <w:spacing w:line="240" w:lineRule="auto"/>
    </w:pPr>
    <w:rPr>
      <w:rFonts w:ascii="Segoe UI" w:hAnsi="Segoe UI" w:cs="Segoe UI"/>
      <w:sz w:val="18"/>
      <w:szCs w:val="18"/>
    </w:rPr>
  </w:style>
  <w:style w:type="paragraph" w:styleId="9">
    <w:name w:val="annotation text"/>
    <w:basedOn w:val="1"/>
    <w:link w:val="20"/>
    <w:unhideWhenUsed/>
    <w:uiPriority w:val="99"/>
    <w:pPr>
      <w:spacing w:line="240" w:lineRule="auto"/>
    </w:pPr>
    <w:rPr>
      <w:sz w:val="20"/>
      <w:szCs w:val="20"/>
    </w:rPr>
  </w:style>
  <w:style w:type="paragraph" w:styleId="10">
    <w:name w:val="Subtitle"/>
    <w:basedOn w:val="1"/>
    <w:next w:val="1"/>
    <w:uiPriority w:val="0"/>
    <w:pPr>
      <w:keepNext/>
      <w:keepLines/>
      <w:spacing w:after="320"/>
    </w:pPr>
    <w:rPr>
      <w:color w:val="666666"/>
      <w:sz w:val="30"/>
      <w:szCs w:val="30"/>
    </w:rPr>
  </w:style>
  <w:style w:type="paragraph" w:styleId="11">
    <w:name w:val="Title"/>
    <w:basedOn w:val="1"/>
    <w:next w:val="1"/>
    <w:uiPriority w:val="0"/>
    <w:pPr>
      <w:keepNext/>
      <w:keepLines/>
      <w:spacing w:after="60"/>
    </w:pPr>
    <w:rPr>
      <w:sz w:val="52"/>
      <w:szCs w:val="52"/>
    </w:rPr>
  </w:style>
  <w:style w:type="paragraph" w:styleId="12">
    <w:name w:val="toc 1"/>
    <w:basedOn w:val="1"/>
    <w:next w:val="1"/>
    <w:unhideWhenUsed/>
    <w:uiPriority w:val="39"/>
    <w:pPr>
      <w:spacing w:after="100"/>
    </w:pPr>
  </w:style>
  <w:style w:type="paragraph" w:styleId="13">
    <w:name w:val="toc 2"/>
    <w:basedOn w:val="1"/>
    <w:next w:val="1"/>
    <w:unhideWhenUsed/>
    <w:uiPriority w:val="39"/>
    <w:pPr>
      <w:spacing w:after="100"/>
      <w:ind w:left="220"/>
    </w:pPr>
  </w:style>
  <w:style w:type="character" w:styleId="15">
    <w:name w:val="annotation reference"/>
    <w:basedOn w:val="14"/>
    <w:unhideWhenUsed/>
    <w:uiPriority w:val="99"/>
    <w:rPr>
      <w:sz w:val="16"/>
      <w:szCs w:val="16"/>
    </w:rPr>
  </w:style>
  <w:style w:type="character" w:styleId="16">
    <w:name w:val="Hyperlink"/>
    <w:basedOn w:val="14"/>
    <w:unhideWhenUsed/>
    <w:uiPriority w:val="99"/>
    <w:rPr>
      <w:color w:val="0000FF" w:themeColor="hyperlink"/>
      <w:u w:val="single"/>
      <w14:textFill>
        <w14:solidFill>
          <w14:schemeClr w14:val="hlink"/>
        </w14:solidFill>
      </w14:textFill>
    </w:rPr>
  </w:style>
  <w:style w:type="table" w:customStyle="1" w:styleId="18">
    <w:name w:val="TableNormal"/>
    <w:uiPriority w:val="0"/>
    <w:tblPr>
      <w:tblLayout w:type="fixed"/>
      <w:tblCellMar>
        <w:top w:w="100" w:type="dxa"/>
        <w:left w:w="100" w:type="dxa"/>
        <w:bottom w:w="100" w:type="dxa"/>
        <w:right w:w="100" w:type="dxa"/>
      </w:tblCellMar>
    </w:tblPr>
  </w:style>
  <w:style w:type="table" w:customStyle="1" w:styleId="19">
    <w:name w:val="_Style 12"/>
    <w:basedOn w:val="18"/>
    <w:uiPriority w:val="0"/>
    <w:tblPr>
      <w:tblLayout w:type="fixed"/>
    </w:tblPr>
  </w:style>
  <w:style w:type="character" w:customStyle="1" w:styleId="20">
    <w:name w:val="Comment Text Char"/>
    <w:basedOn w:val="14"/>
    <w:link w:val="9"/>
    <w:semiHidden/>
    <w:uiPriority w:val="99"/>
    <w:rPr>
      <w:sz w:val="20"/>
      <w:szCs w:val="20"/>
    </w:rPr>
  </w:style>
  <w:style w:type="character" w:customStyle="1" w:styleId="21">
    <w:name w:val="Balloon Text Char"/>
    <w:basedOn w:val="14"/>
    <w:link w:val="8"/>
    <w:semiHidden/>
    <w:uiPriority w:val="99"/>
    <w:rPr>
      <w:rFonts w:ascii="Segoe UI" w:hAnsi="Segoe UI" w:cs="Segoe UI"/>
      <w:sz w:val="18"/>
      <w:szCs w:val="18"/>
    </w:rPr>
  </w:style>
  <w:style w:type="paragraph" w:customStyle="1" w:styleId="22">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2711</Words>
  <Characters>15453</Characters>
  <Lines>128</Lines>
  <Paragraphs>36</Paragraphs>
  <TotalTime>0</TotalTime>
  <ScaleCrop>false</ScaleCrop>
  <LinksUpToDate>false</LinksUpToDate>
  <CharactersWithSpaces>18128</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2026-07-23T09:08:00Z</dcterms:created>
  <cp:lastModifiedBy>iPhone</cp:lastModifiedBy>
  <dcterms:modified xsi:type="dcterms:W3CDTF">2026-07-28T04:02:20Z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C5829F015FA3FE29991B686A8A77F16B_31</vt:lpwstr>
  </property>
  <property fmtid="{D5CDD505-2E9C-101B-9397-08002B2CF9AE}" pid="3" name="KSOProductBuildVer">
    <vt:lpwstr>3081-26.7.0</vt:lpwstr>
  </property>
</Properties>
</file>