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A7982" w:rsidRPr="00A33E03" w:rsidRDefault="00074402" w:rsidP="00A33E03">
      <w:pPr>
        <w:spacing w:line="480" w:lineRule="auto"/>
        <w:rPr>
          <w:rFonts w:ascii="Arial" w:hAnsi="Arial" w:cs="Arial"/>
          <w:szCs w:val="24"/>
        </w:rPr>
      </w:pPr>
      <w:r w:rsidRPr="00A33E03">
        <w:rPr>
          <w:rFonts w:ascii="Arial" w:hAnsi="Arial" w:cs="Arial"/>
          <w:noProof/>
          <w:szCs w:val="24"/>
        </w:rPr>
        <w:drawing>
          <wp:anchor distT="0" distB="0" distL="114300" distR="114300" simplePos="0" relativeHeight="251658240" behindDoc="0" locked="0" layoutInCell="1" allowOverlap="1" wp14:anchorId="47BC0542" wp14:editId="2F51D0A0">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A33E03" w:rsidRDefault="00074402" w:rsidP="00A33E03">
      <w:pPr>
        <w:spacing w:line="480" w:lineRule="auto"/>
        <w:rPr>
          <w:rFonts w:ascii="Arial" w:hAnsi="Arial" w:cs="Arial"/>
          <w:szCs w:val="24"/>
        </w:rPr>
      </w:pPr>
    </w:p>
    <w:p w14:paraId="4E267F2C" w14:textId="35E99859" w:rsidR="00074402" w:rsidRPr="00A33E03" w:rsidRDefault="00074402" w:rsidP="00A33E03">
      <w:pPr>
        <w:spacing w:line="480" w:lineRule="auto"/>
        <w:rPr>
          <w:rFonts w:ascii="Arial" w:hAnsi="Arial" w:cs="Arial"/>
          <w:szCs w:val="24"/>
        </w:rPr>
      </w:pPr>
    </w:p>
    <w:p w14:paraId="5676B200" w14:textId="77777777" w:rsidR="008E120F" w:rsidRDefault="008E120F" w:rsidP="008E120F">
      <w:pPr>
        <w:spacing w:line="360" w:lineRule="auto"/>
        <w:rPr>
          <w:rFonts w:ascii="Arial" w:hAnsi="Arial" w:cs="Arial"/>
          <w:sz w:val="28"/>
          <w:szCs w:val="28"/>
        </w:rPr>
      </w:pPr>
    </w:p>
    <w:p w14:paraId="253ED7C5" w14:textId="77777777" w:rsidR="008E120F" w:rsidRPr="00AD0E8D" w:rsidRDefault="008E120F" w:rsidP="008E120F">
      <w:pPr>
        <w:spacing w:line="360" w:lineRule="auto"/>
        <w:jc w:val="center"/>
        <w:rPr>
          <w:rFonts w:ascii="Arial" w:hAnsi="Arial" w:cs="Arial"/>
          <w:b/>
          <w:bCs/>
          <w:sz w:val="28"/>
          <w:szCs w:val="28"/>
        </w:rPr>
      </w:pPr>
      <w:r w:rsidRPr="00AD0E8D">
        <w:rPr>
          <w:rFonts w:ascii="Arial" w:hAnsi="Arial" w:cs="Arial"/>
          <w:b/>
          <w:bCs/>
          <w:sz w:val="28"/>
          <w:szCs w:val="28"/>
        </w:rPr>
        <w:t>Module: Introduction to Independent Research Skills (BMHP5019)</w:t>
      </w:r>
    </w:p>
    <w:p w14:paraId="76E8571C" w14:textId="39D72BBD" w:rsidR="008E120F" w:rsidRPr="00AD0E8D" w:rsidRDefault="008E120F" w:rsidP="008E120F">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Pr>
          <w:rFonts w:ascii="Arial" w:hAnsi="Arial" w:cs="Arial"/>
          <w:sz w:val="28"/>
          <w:szCs w:val="28"/>
        </w:rPr>
        <w:t>Component</w:t>
      </w:r>
      <w:r w:rsidRPr="00AD0E8D">
        <w:rPr>
          <w:rFonts w:ascii="Arial" w:hAnsi="Arial" w:cs="Arial"/>
          <w:sz w:val="28"/>
          <w:szCs w:val="28"/>
        </w:rPr>
        <w:t xml:space="preserve"> </w:t>
      </w:r>
      <w:r>
        <w:rPr>
          <w:rFonts w:ascii="Arial" w:hAnsi="Arial" w:cs="Arial"/>
          <w:sz w:val="28"/>
          <w:szCs w:val="28"/>
        </w:rPr>
        <w:t>2</w:t>
      </w:r>
      <w:r w:rsidRPr="00AD0E8D">
        <w:rPr>
          <w:rFonts w:ascii="Arial" w:hAnsi="Arial" w:cs="Arial"/>
          <w:sz w:val="28"/>
          <w:szCs w:val="28"/>
        </w:rPr>
        <w:t xml:space="preserve"> - Re</w:t>
      </w:r>
      <w:r>
        <w:rPr>
          <w:rFonts w:ascii="Arial" w:hAnsi="Arial" w:cs="Arial"/>
          <w:sz w:val="28"/>
          <w:szCs w:val="28"/>
        </w:rPr>
        <w:t>port</w:t>
      </w:r>
    </w:p>
    <w:p w14:paraId="4A62D65E" w14:textId="77777777" w:rsidR="008E120F" w:rsidRPr="00AD0E8D" w:rsidRDefault="008E120F" w:rsidP="008E120F">
      <w:pPr>
        <w:spacing w:line="360" w:lineRule="auto"/>
        <w:rPr>
          <w:rFonts w:ascii="Arial" w:hAnsi="Arial" w:cs="Arial"/>
          <w:sz w:val="28"/>
          <w:szCs w:val="28"/>
        </w:rPr>
      </w:pPr>
    </w:p>
    <w:p w14:paraId="2DA4D614" w14:textId="77777777" w:rsidR="008E120F" w:rsidRDefault="008E120F" w:rsidP="008E120F">
      <w:pPr>
        <w:spacing w:line="360" w:lineRule="auto"/>
        <w:rPr>
          <w:rFonts w:ascii="Arial" w:hAnsi="Arial" w:cs="Arial"/>
          <w:sz w:val="28"/>
          <w:szCs w:val="28"/>
        </w:rPr>
      </w:pPr>
    </w:p>
    <w:p w14:paraId="78BE2328" w14:textId="77777777" w:rsidR="008E120F" w:rsidRPr="00AD0E8D" w:rsidRDefault="008E120F" w:rsidP="008E120F">
      <w:pPr>
        <w:spacing w:line="360" w:lineRule="auto"/>
        <w:rPr>
          <w:rFonts w:ascii="Arial" w:hAnsi="Arial" w:cs="Arial"/>
          <w:sz w:val="28"/>
          <w:szCs w:val="28"/>
        </w:rPr>
      </w:pPr>
    </w:p>
    <w:p w14:paraId="2297A0D7" w14:textId="77777777" w:rsidR="008E120F" w:rsidRPr="00AD0E8D" w:rsidRDefault="008E120F" w:rsidP="008E120F">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w:t>
      </w:r>
      <w:r>
        <w:rPr>
          <w:rFonts w:ascii="Arial" w:hAnsi="Arial" w:cs="Arial"/>
          <w:sz w:val="28"/>
          <w:szCs w:val="28"/>
        </w:rPr>
        <w:t>2409452</w:t>
      </w:r>
      <w:r w:rsidRPr="00AD0E8D">
        <w:rPr>
          <w:rFonts w:ascii="Arial" w:hAnsi="Arial" w:cs="Arial"/>
          <w:sz w:val="28"/>
          <w:szCs w:val="28"/>
        </w:rPr>
        <w:t xml:space="preserve"> </w:t>
      </w:r>
    </w:p>
    <w:p w14:paraId="2E020EBB" w14:textId="77777777" w:rsidR="008E120F" w:rsidRPr="00AD0E8D" w:rsidRDefault="008E120F" w:rsidP="008E120F">
      <w:pPr>
        <w:spacing w:line="360" w:lineRule="auto"/>
        <w:rPr>
          <w:rFonts w:ascii="Arial" w:hAnsi="Arial" w:cs="Arial"/>
          <w:sz w:val="28"/>
          <w:szCs w:val="28"/>
        </w:rPr>
      </w:pPr>
    </w:p>
    <w:p w14:paraId="1FFBDF5F" w14:textId="77777777" w:rsidR="008E120F" w:rsidRPr="00AD0E8D" w:rsidRDefault="008E120F" w:rsidP="008E120F">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Pr="00942D32">
        <w:rPr>
          <w:rFonts w:ascii="Arial" w:hAnsi="Arial" w:cs="Arial"/>
          <w:sz w:val="28"/>
          <w:szCs w:val="28"/>
        </w:rPr>
        <w:t>Nosakhare Edobor</w:t>
      </w:r>
    </w:p>
    <w:p w14:paraId="1CB50546" w14:textId="77777777" w:rsidR="008E120F" w:rsidRPr="00AD0E8D" w:rsidRDefault="008E120F" w:rsidP="008E120F">
      <w:pPr>
        <w:spacing w:line="360" w:lineRule="auto"/>
        <w:rPr>
          <w:rFonts w:ascii="Arial" w:hAnsi="Arial" w:cs="Arial"/>
          <w:sz w:val="28"/>
          <w:szCs w:val="28"/>
        </w:rPr>
      </w:pPr>
    </w:p>
    <w:p w14:paraId="67980606" w14:textId="6937F956" w:rsidR="008E120F" w:rsidRPr="00AD0E8D" w:rsidRDefault="008E120F" w:rsidP="008E120F">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Pr>
          <w:rFonts w:ascii="Arial" w:hAnsi="Arial" w:cs="Arial"/>
          <w:sz w:val="28"/>
          <w:szCs w:val="28"/>
        </w:rPr>
        <w:t>1</w:t>
      </w:r>
      <w:r w:rsidR="003E253D">
        <w:rPr>
          <w:rFonts w:ascii="Arial" w:hAnsi="Arial" w:cs="Arial"/>
          <w:sz w:val="28"/>
          <w:szCs w:val="28"/>
        </w:rPr>
        <w:t>4</w:t>
      </w:r>
      <w:r>
        <w:rPr>
          <w:rFonts w:ascii="Arial" w:hAnsi="Arial" w:cs="Arial"/>
          <w:sz w:val="28"/>
          <w:szCs w:val="28"/>
        </w:rPr>
        <w:t>/0</w:t>
      </w:r>
      <w:r w:rsidR="00A2449D">
        <w:rPr>
          <w:rFonts w:ascii="Arial" w:hAnsi="Arial" w:cs="Arial"/>
          <w:sz w:val="28"/>
          <w:szCs w:val="28"/>
        </w:rPr>
        <w:t>8</w:t>
      </w:r>
      <w:r>
        <w:rPr>
          <w:rFonts w:ascii="Arial" w:hAnsi="Arial" w:cs="Arial"/>
          <w:sz w:val="28"/>
          <w:szCs w:val="28"/>
        </w:rPr>
        <w:t>/202</w:t>
      </w:r>
      <w:r w:rsidR="00A2449D">
        <w:rPr>
          <w:rFonts w:ascii="Arial" w:hAnsi="Arial" w:cs="Arial"/>
          <w:sz w:val="28"/>
          <w:szCs w:val="28"/>
        </w:rPr>
        <w:t>6</w:t>
      </w:r>
    </w:p>
    <w:p w14:paraId="024F58B2" w14:textId="77777777" w:rsidR="008E120F" w:rsidRDefault="008E120F" w:rsidP="00A33E03">
      <w:pPr>
        <w:tabs>
          <w:tab w:val="left" w:pos="6540"/>
        </w:tabs>
        <w:spacing w:line="480" w:lineRule="auto"/>
        <w:rPr>
          <w:rFonts w:ascii="Arial" w:hAnsi="Arial" w:cs="Arial"/>
          <w:b/>
          <w:bCs/>
          <w:szCs w:val="24"/>
          <w:lang w:val="nl-NL"/>
        </w:rPr>
      </w:pPr>
    </w:p>
    <w:p w14:paraId="1A0B2D2B" w14:textId="126EEC1B" w:rsidR="00074402" w:rsidRPr="00A33E03" w:rsidRDefault="00B8304B" w:rsidP="00A33E03">
      <w:pPr>
        <w:tabs>
          <w:tab w:val="left" w:pos="6540"/>
        </w:tabs>
        <w:spacing w:line="480" w:lineRule="auto"/>
        <w:rPr>
          <w:rFonts w:ascii="Arial" w:hAnsi="Arial" w:cs="Arial"/>
          <w:szCs w:val="24"/>
        </w:rPr>
      </w:pPr>
      <w:r w:rsidRPr="00A33E03">
        <w:rPr>
          <w:rFonts w:ascii="Arial" w:hAnsi="Arial" w:cs="Arial"/>
          <w:b/>
          <w:bCs/>
          <w:szCs w:val="24"/>
        </w:rPr>
        <w:t>Lecturer’s name</w:t>
      </w:r>
      <w:r w:rsidR="00074402" w:rsidRPr="00A33E03">
        <w:rPr>
          <w:rFonts w:ascii="Arial" w:hAnsi="Arial" w:cs="Arial"/>
          <w:szCs w:val="24"/>
        </w:rPr>
        <w:t>:</w:t>
      </w:r>
      <w:r w:rsidR="008E120F">
        <w:rPr>
          <w:rFonts w:ascii="Arial" w:hAnsi="Arial" w:cs="Arial"/>
          <w:szCs w:val="24"/>
        </w:rPr>
        <w:t xml:space="preserve"> </w:t>
      </w:r>
      <w:r w:rsidR="008E120F" w:rsidRPr="008E120F">
        <w:rPr>
          <w:rFonts w:ascii="Arial" w:hAnsi="Arial" w:cs="Arial"/>
          <w:szCs w:val="24"/>
        </w:rPr>
        <w:t>Dr Eleni Koutsogeorgou</w:t>
      </w:r>
      <w:r w:rsidR="008E120F">
        <w:rPr>
          <w:rFonts w:ascii="Arial" w:hAnsi="Arial" w:cs="Arial"/>
          <w:szCs w:val="24"/>
        </w:rPr>
        <w:t xml:space="preserve"> </w:t>
      </w:r>
      <w:r w:rsidR="008E120F" w:rsidRPr="008E120F">
        <w:rPr>
          <w:rFonts w:ascii="Arial" w:hAnsi="Arial" w:cs="Arial"/>
          <w:szCs w:val="24"/>
        </w:rPr>
        <w:t>Andreou</w:t>
      </w:r>
    </w:p>
    <w:p w14:paraId="39D08584" w14:textId="77777777" w:rsidR="00074402" w:rsidRPr="00A33E03" w:rsidRDefault="00074402" w:rsidP="00A33E03">
      <w:pPr>
        <w:tabs>
          <w:tab w:val="left" w:pos="6540"/>
        </w:tabs>
        <w:spacing w:line="480" w:lineRule="auto"/>
        <w:rPr>
          <w:rFonts w:ascii="Arial" w:hAnsi="Arial" w:cs="Arial"/>
          <w:szCs w:val="24"/>
        </w:rPr>
      </w:pPr>
    </w:p>
    <w:p w14:paraId="5B66D125" w14:textId="77777777" w:rsidR="00074402" w:rsidRPr="00A33E03" w:rsidRDefault="00074402" w:rsidP="00A33E03">
      <w:pPr>
        <w:tabs>
          <w:tab w:val="left" w:pos="6540"/>
        </w:tabs>
        <w:spacing w:line="480" w:lineRule="auto"/>
        <w:rPr>
          <w:rFonts w:ascii="Arial" w:hAnsi="Arial" w:cs="Arial"/>
          <w:szCs w:val="24"/>
        </w:rPr>
      </w:pPr>
    </w:p>
    <w:p w14:paraId="291524A2" w14:textId="2CBFF360" w:rsidR="00074402" w:rsidRPr="00A33E03" w:rsidRDefault="00074402" w:rsidP="00A33E03">
      <w:pPr>
        <w:tabs>
          <w:tab w:val="left" w:pos="6540"/>
        </w:tabs>
        <w:spacing w:line="480" w:lineRule="auto"/>
        <w:rPr>
          <w:rFonts w:ascii="Arial" w:hAnsi="Arial" w:cs="Arial"/>
          <w:szCs w:val="24"/>
        </w:rPr>
      </w:pPr>
    </w:p>
    <w:p w14:paraId="5AE88297" w14:textId="24E6B718" w:rsidR="00B87E75" w:rsidRDefault="00B87E75" w:rsidP="00A33E03">
      <w:pPr>
        <w:tabs>
          <w:tab w:val="left" w:pos="6540"/>
        </w:tabs>
        <w:spacing w:line="480" w:lineRule="auto"/>
        <w:rPr>
          <w:rFonts w:ascii="Arial" w:hAnsi="Arial" w:cs="Arial"/>
          <w:szCs w:val="24"/>
        </w:rPr>
      </w:pPr>
    </w:p>
    <w:p w14:paraId="24F00E4E" w14:textId="77777777" w:rsidR="00DF2C7F" w:rsidRPr="00A33E03" w:rsidRDefault="00DF2C7F" w:rsidP="00A33E03">
      <w:pPr>
        <w:tabs>
          <w:tab w:val="left" w:pos="6540"/>
        </w:tabs>
        <w:spacing w:line="480" w:lineRule="auto"/>
        <w:rPr>
          <w:rFonts w:ascii="Arial" w:hAnsi="Arial" w:cs="Arial"/>
          <w:szCs w:val="24"/>
        </w:rPr>
      </w:pPr>
    </w:p>
    <w:p w14:paraId="4DD35B0B" w14:textId="77777777" w:rsidR="00DF2C7F" w:rsidRPr="00EC2F1C" w:rsidRDefault="00DF2C7F" w:rsidP="00DF2C7F">
      <w:pPr>
        <w:pStyle w:val="Heading1"/>
        <w:jc w:val="both"/>
        <w:rPr>
          <w:rFonts w:cs="Arial"/>
          <w:sz w:val="22"/>
        </w:rPr>
      </w:pPr>
      <w:bookmarkStart w:id="0" w:name="_Toc236914575"/>
      <w:r w:rsidRPr="00EC2F1C">
        <w:rPr>
          <w:rFonts w:cs="Arial"/>
          <w:sz w:val="22"/>
        </w:rPr>
        <w:lastRenderedPageBreak/>
        <w:t>Abstract</w:t>
      </w:r>
      <w:bookmarkEnd w:id="0"/>
    </w:p>
    <w:p w14:paraId="4058A4B7" w14:textId="77777777" w:rsidR="00DF2C7F" w:rsidRPr="00EC2F1C" w:rsidRDefault="00DF2C7F" w:rsidP="00DF2C7F">
      <w:pPr>
        <w:spacing w:line="360" w:lineRule="auto"/>
        <w:jc w:val="both"/>
        <w:rPr>
          <w:rFonts w:ascii="Arial" w:hAnsi="Arial" w:cs="Arial"/>
          <w:sz w:val="22"/>
        </w:rPr>
      </w:pPr>
      <w:r w:rsidRPr="00EC2F1C">
        <w:rPr>
          <w:rFonts w:ascii="Arial" w:hAnsi="Arial" w:cs="Arial"/>
          <w:sz w:val="22"/>
        </w:rPr>
        <w:t>With the rapid growth of digital healthcare services, telehealth is now playing an important role in primary healthcare delivery in the United Kingdom. However, the effectiveness of its interventions on patient care, service availability and healthcare delivery has been inconsistent. The aim of this scoping review was to explore the impact of telehealth in UK primary care and to gain insights into the reported benefits, challenges and implications for healthcare practice. A scoping review methodology was used, consisting of a systematic search of four electronic databases for pertinent peer-reviewed published studies from 2021 to 2026. Six qualitative and mixed-methods studies met the inclusion criteria. Thematic analysis and structured data extraction table were used to extract and synthesize data.</w:t>
      </w:r>
    </w:p>
    <w:p w14:paraId="23B3D3A7" w14:textId="77777777" w:rsidR="00DF2C7F" w:rsidRPr="00EC2F1C" w:rsidRDefault="00DF2C7F" w:rsidP="00DF2C7F">
      <w:pPr>
        <w:spacing w:line="360" w:lineRule="auto"/>
        <w:jc w:val="both"/>
        <w:rPr>
          <w:rFonts w:ascii="Arial" w:hAnsi="Arial" w:cs="Arial"/>
          <w:sz w:val="22"/>
        </w:rPr>
      </w:pPr>
      <w:r w:rsidRPr="00EC2F1C">
        <w:rPr>
          <w:rFonts w:ascii="Arial" w:hAnsi="Arial" w:cs="Arial"/>
          <w:sz w:val="22"/>
        </w:rPr>
        <w:t>Four themes emerged from the review: improved access and convenience, patient and healthcare professional experiences, barriers to equitable implementation, and implications for future primary healthcare practice. Results indicate that using telehealth has made primary care more accessible for the improved convenience, helping to maintain continuity of care and improving access to remote consultation services. However, there remains a number of challenges that hinder its effectiveness, such as digital exclusion, language barriers, and limited technological capabilities, and concerns about the appropriateness of remote consultations for complex clinical cases. Overall, the most effective model of telehealth is one that is flexible and patient-centred, with the provision of appropriate digital infrastructure, workforce training and effective clinical governance.</w:t>
      </w:r>
    </w:p>
    <w:p w14:paraId="420ADE33" w14:textId="35FB1322" w:rsidR="00B87E75" w:rsidRPr="00A33E03" w:rsidRDefault="00B87E75" w:rsidP="00A33E03">
      <w:pPr>
        <w:spacing w:line="480" w:lineRule="auto"/>
        <w:rPr>
          <w:rFonts w:ascii="Arial" w:hAnsi="Arial" w:cs="Arial"/>
          <w:szCs w:val="24"/>
        </w:rPr>
      </w:pPr>
      <w:r w:rsidRPr="00A33E03">
        <w:rPr>
          <w:rFonts w:ascii="Arial" w:hAnsi="Arial" w:cs="Arial"/>
          <w:szCs w:val="24"/>
        </w:rPr>
        <w:br w:type="page"/>
      </w:r>
    </w:p>
    <w:p w14:paraId="05AB2C84" w14:textId="4D2C1F1C" w:rsidR="00B87E75" w:rsidRPr="00A33E03" w:rsidRDefault="00B87E75" w:rsidP="00A33E03">
      <w:pPr>
        <w:pStyle w:val="Heading1"/>
        <w:spacing w:line="480" w:lineRule="auto"/>
        <w:rPr>
          <w:rFonts w:cs="Arial"/>
          <w:sz w:val="24"/>
          <w:szCs w:val="24"/>
        </w:rPr>
      </w:pPr>
      <w:bookmarkStart w:id="1" w:name="_Toc236914576"/>
      <w:r w:rsidRPr="00A33E03">
        <w:rPr>
          <w:rFonts w:cs="Arial"/>
          <w:sz w:val="24"/>
          <w:szCs w:val="24"/>
        </w:rPr>
        <w:lastRenderedPageBreak/>
        <w:t>Table of contents</w:t>
      </w:r>
      <w:bookmarkEnd w:id="1"/>
    </w:p>
    <w:sdt>
      <w:sdtPr>
        <w:rPr>
          <w:rFonts w:ascii="Arial" w:eastAsiaTheme="minorHAnsi" w:hAnsi="Arial" w:cs="Arial"/>
          <w:color w:val="auto"/>
          <w:sz w:val="24"/>
          <w:szCs w:val="24"/>
          <w:lang w:val="en-GB"/>
        </w:rPr>
        <w:id w:val="-165787879"/>
        <w:docPartObj>
          <w:docPartGallery w:val="Table of Contents"/>
          <w:docPartUnique/>
        </w:docPartObj>
      </w:sdtPr>
      <w:sdtEndPr>
        <w:rPr>
          <w:b/>
          <w:bCs/>
          <w:noProof/>
        </w:rPr>
      </w:sdtEndPr>
      <w:sdtContent>
        <w:p w14:paraId="49327B47" w14:textId="5BD06F6D" w:rsidR="00A33E03" w:rsidRPr="00A33E03" w:rsidRDefault="00A33E03" w:rsidP="00A33E03">
          <w:pPr>
            <w:pStyle w:val="TOCHeading"/>
            <w:spacing w:line="480" w:lineRule="auto"/>
            <w:rPr>
              <w:rFonts w:ascii="Arial" w:hAnsi="Arial" w:cs="Arial"/>
              <w:color w:val="auto"/>
              <w:sz w:val="24"/>
              <w:szCs w:val="24"/>
            </w:rPr>
          </w:pPr>
          <w:r w:rsidRPr="00A33E03">
            <w:rPr>
              <w:rFonts w:ascii="Arial" w:hAnsi="Arial" w:cs="Arial"/>
              <w:color w:val="auto"/>
              <w:sz w:val="24"/>
              <w:szCs w:val="24"/>
            </w:rPr>
            <w:t>Contents</w:t>
          </w:r>
        </w:p>
        <w:p w14:paraId="62290EE6" w14:textId="5BDFAC33" w:rsidR="00DF2C7F" w:rsidRDefault="00A33E03">
          <w:pPr>
            <w:pStyle w:val="TOC1"/>
            <w:tabs>
              <w:tab w:val="right" w:leader="dot" w:pos="9016"/>
            </w:tabs>
            <w:rPr>
              <w:rFonts w:asciiTheme="minorHAnsi" w:eastAsiaTheme="minorEastAsia" w:hAnsiTheme="minorHAnsi"/>
              <w:noProof/>
              <w:kern w:val="2"/>
              <w:szCs w:val="24"/>
              <w:lang w:eastAsia="en-GB"/>
              <w14:ligatures w14:val="standardContextual"/>
            </w:rPr>
          </w:pPr>
          <w:r w:rsidRPr="00A33E03">
            <w:rPr>
              <w:rFonts w:ascii="Arial" w:hAnsi="Arial" w:cs="Arial"/>
              <w:szCs w:val="24"/>
            </w:rPr>
            <w:fldChar w:fldCharType="begin"/>
          </w:r>
          <w:r w:rsidRPr="00A33E03">
            <w:rPr>
              <w:rFonts w:ascii="Arial" w:hAnsi="Arial" w:cs="Arial"/>
              <w:szCs w:val="24"/>
            </w:rPr>
            <w:instrText xml:space="preserve"> TOC \o "1-3" \h \z \u </w:instrText>
          </w:r>
          <w:r w:rsidRPr="00A33E03">
            <w:rPr>
              <w:rFonts w:ascii="Arial" w:hAnsi="Arial" w:cs="Arial"/>
              <w:szCs w:val="24"/>
            </w:rPr>
            <w:fldChar w:fldCharType="separate"/>
          </w:r>
          <w:hyperlink w:anchor="_Toc236914575" w:history="1">
            <w:r w:rsidR="00DF2C7F" w:rsidRPr="00785E1C">
              <w:rPr>
                <w:rStyle w:val="Hyperlink"/>
                <w:rFonts w:cs="Arial"/>
                <w:noProof/>
              </w:rPr>
              <w:t>Abstract</w:t>
            </w:r>
            <w:r w:rsidR="00DF2C7F">
              <w:rPr>
                <w:noProof/>
                <w:webHidden/>
              </w:rPr>
              <w:tab/>
            </w:r>
            <w:r w:rsidR="00DF2C7F">
              <w:rPr>
                <w:noProof/>
                <w:webHidden/>
              </w:rPr>
              <w:fldChar w:fldCharType="begin"/>
            </w:r>
            <w:r w:rsidR="00DF2C7F">
              <w:rPr>
                <w:noProof/>
                <w:webHidden/>
              </w:rPr>
              <w:instrText xml:space="preserve"> PAGEREF _Toc236914575 \h </w:instrText>
            </w:r>
            <w:r w:rsidR="00DF2C7F">
              <w:rPr>
                <w:noProof/>
                <w:webHidden/>
              </w:rPr>
            </w:r>
            <w:r w:rsidR="00DF2C7F">
              <w:rPr>
                <w:noProof/>
                <w:webHidden/>
              </w:rPr>
              <w:fldChar w:fldCharType="separate"/>
            </w:r>
            <w:r w:rsidR="00DF2C7F">
              <w:rPr>
                <w:noProof/>
                <w:webHidden/>
              </w:rPr>
              <w:t>2</w:t>
            </w:r>
            <w:r w:rsidR="00DF2C7F">
              <w:rPr>
                <w:noProof/>
                <w:webHidden/>
              </w:rPr>
              <w:fldChar w:fldCharType="end"/>
            </w:r>
          </w:hyperlink>
        </w:p>
        <w:p w14:paraId="5C2D7B40" w14:textId="18DFCB86"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576" w:history="1">
            <w:r w:rsidRPr="00785E1C">
              <w:rPr>
                <w:rStyle w:val="Hyperlink"/>
                <w:rFonts w:cs="Arial"/>
                <w:noProof/>
              </w:rPr>
              <w:t>Table of contents</w:t>
            </w:r>
            <w:r>
              <w:rPr>
                <w:noProof/>
                <w:webHidden/>
              </w:rPr>
              <w:tab/>
            </w:r>
            <w:r>
              <w:rPr>
                <w:noProof/>
                <w:webHidden/>
              </w:rPr>
              <w:fldChar w:fldCharType="begin"/>
            </w:r>
            <w:r>
              <w:rPr>
                <w:noProof/>
                <w:webHidden/>
              </w:rPr>
              <w:instrText xml:space="preserve"> PAGEREF _Toc236914576 \h </w:instrText>
            </w:r>
            <w:r>
              <w:rPr>
                <w:noProof/>
                <w:webHidden/>
              </w:rPr>
            </w:r>
            <w:r>
              <w:rPr>
                <w:noProof/>
                <w:webHidden/>
              </w:rPr>
              <w:fldChar w:fldCharType="separate"/>
            </w:r>
            <w:r>
              <w:rPr>
                <w:noProof/>
                <w:webHidden/>
              </w:rPr>
              <w:t>3</w:t>
            </w:r>
            <w:r>
              <w:rPr>
                <w:noProof/>
                <w:webHidden/>
              </w:rPr>
              <w:fldChar w:fldCharType="end"/>
            </w:r>
          </w:hyperlink>
        </w:p>
        <w:p w14:paraId="57DE1D17" w14:textId="0C4EB808"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577" w:history="1">
            <w:r w:rsidRPr="00785E1C">
              <w:rPr>
                <w:rStyle w:val="Hyperlink"/>
                <w:rFonts w:cs="Arial"/>
                <w:noProof/>
              </w:rPr>
              <w:t>Chapter 1: Introduction</w:t>
            </w:r>
            <w:r>
              <w:rPr>
                <w:noProof/>
                <w:webHidden/>
              </w:rPr>
              <w:tab/>
            </w:r>
            <w:r>
              <w:rPr>
                <w:noProof/>
                <w:webHidden/>
              </w:rPr>
              <w:fldChar w:fldCharType="begin"/>
            </w:r>
            <w:r>
              <w:rPr>
                <w:noProof/>
                <w:webHidden/>
              </w:rPr>
              <w:instrText xml:space="preserve"> PAGEREF _Toc236914577 \h </w:instrText>
            </w:r>
            <w:r>
              <w:rPr>
                <w:noProof/>
                <w:webHidden/>
              </w:rPr>
            </w:r>
            <w:r>
              <w:rPr>
                <w:noProof/>
                <w:webHidden/>
              </w:rPr>
              <w:fldChar w:fldCharType="separate"/>
            </w:r>
            <w:r>
              <w:rPr>
                <w:noProof/>
                <w:webHidden/>
              </w:rPr>
              <w:t>4</w:t>
            </w:r>
            <w:r>
              <w:rPr>
                <w:noProof/>
                <w:webHidden/>
              </w:rPr>
              <w:fldChar w:fldCharType="end"/>
            </w:r>
          </w:hyperlink>
        </w:p>
        <w:p w14:paraId="7F0EE932" w14:textId="0D9F568A"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78" w:history="1">
            <w:r w:rsidRPr="00785E1C">
              <w:rPr>
                <w:rStyle w:val="Hyperlink"/>
                <w:rFonts w:cs="Arial"/>
                <w:noProof/>
              </w:rPr>
              <w:t>Introduction</w:t>
            </w:r>
            <w:r>
              <w:rPr>
                <w:noProof/>
                <w:webHidden/>
              </w:rPr>
              <w:tab/>
            </w:r>
            <w:r>
              <w:rPr>
                <w:noProof/>
                <w:webHidden/>
              </w:rPr>
              <w:fldChar w:fldCharType="begin"/>
            </w:r>
            <w:r>
              <w:rPr>
                <w:noProof/>
                <w:webHidden/>
              </w:rPr>
              <w:instrText xml:space="preserve"> PAGEREF _Toc236914578 \h </w:instrText>
            </w:r>
            <w:r>
              <w:rPr>
                <w:noProof/>
                <w:webHidden/>
              </w:rPr>
            </w:r>
            <w:r>
              <w:rPr>
                <w:noProof/>
                <w:webHidden/>
              </w:rPr>
              <w:fldChar w:fldCharType="separate"/>
            </w:r>
            <w:r>
              <w:rPr>
                <w:noProof/>
                <w:webHidden/>
              </w:rPr>
              <w:t>4</w:t>
            </w:r>
            <w:r>
              <w:rPr>
                <w:noProof/>
                <w:webHidden/>
              </w:rPr>
              <w:fldChar w:fldCharType="end"/>
            </w:r>
          </w:hyperlink>
        </w:p>
        <w:p w14:paraId="7A152E4D" w14:textId="67548B96"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79" w:history="1">
            <w:r w:rsidRPr="00785E1C">
              <w:rPr>
                <w:rStyle w:val="Hyperlink"/>
                <w:rFonts w:cs="Arial"/>
                <w:noProof/>
              </w:rPr>
              <w:t>Rationale</w:t>
            </w:r>
            <w:r>
              <w:rPr>
                <w:noProof/>
                <w:webHidden/>
              </w:rPr>
              <w:tab/>
            </w:r>
            <w:r>
              <w:rPr>
                <w:noProof/>
                <w:webHidden/>
              </w:rPr>
              <w:fldChar w:fldCharType="begin"/>
            </w:r>
            <w:r>
              <w:rPr>
                <w:noProof/>
                <w:webHidden/>
              </w:rPr>
              <w:instrText xml:space="preserve"> PAGEREF _Toc236914579 \h </w:instrText>
            </w:r>
            <w:r>
              <w:rPr>
                <w:noProof/>
                <w:webHidden/>
              </w:rPr>
            </w:r>
            <w:r>
              <w:rPr>
                <w:noProof/>
                <w:webHidden/>
              </w:rPr>
              <w:fldChar w:fldCharType="separate"/>
            </w:r>
            <w:r>
              <w:rPr>
                <w:noProof/>
                <w:webHidden/>
              </w:rPr>
              <w:t>4</w:t>
            </w:r>
            <w:r>
              <w:rPr>
                <w:noProof/>
                <w:webHidden/>
              </w:rPr>
              <w:fldChar w:fldCharType="end"/>
            </w:r>
          </w:hyperlink>
        </w:p>
        <w:p w14:paraId="199E4C04" w14:textId="791356C5"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0" w:history="1">
            <w:r w:rsidRPr="00785E1C">
              <w:rPr>
                <w:rStyle w:val="Hyperlink"/>
                <w:rFonts w:cs="Arial"/>
                <w:noProof/>
              </w:rPr>
              <w:t>Aim of the study</w:t>
            </w:r>
            <w:r>
              <w:rPr>
                <w:noProof/>
                <w:webHidden/>
              </w:rPr>
              <w:tab/>
            </w:r>
            <w:r>
              <w:rPr>
                <w:noProof/>
                <w:webHidden/>
              </w:rPr>
              <w:fldChar w:fldCharType="begin"/>
            </w:r>
            <w:r>
              <w:rPr>
                <w:noProof/>
                <w:webHidden/>
              </w:rPr>
              <w:instrText xml:space="preserve"> PAGEREF _Toc236914580 \h </w:instrText>
            </w:r>
            <w:r>
              <w:rPr>
                <w:noProof/>
                <w:webHidden/>
              </w:rPr>
            </w:r>
            <w:r>
              <w:rPr>
                <w:noProof/>
                <w:webHidden/>
              </w:rPr>
              <w:fldChar w:fldCharType="separate"/>
            </w:r>
            <w:r>
              <w:rPr>
                <w:noProof/>
                <w:webHidden/>
              </w:rPr>
              <w:t>5</w:t>
            </w:r>
            <w:r>
              <w:rPr>
                <w:noProof/>
                <w:webHidden/>
              </w:rPr>
              <w:fldChar w:fldCharType="end"/>
            </w:r>
          </w:hyperlink>
        </w:p>
        <w:p w14:paraId="68D6FBA9" w14:textId="46B45498"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81" w:history="1">
            <w:r w:rsidRPr="00785E1C">
              <w:rPr>
                <w:rStyle w:val="Hyperlink"/>
                <w:rFonts w:cs="Arial"/>
                <w:noProof/>
              </w:rPr>
              <w:t>Review question</w:t>
            </w:r>
            <w:r>
              <w:rPr>
                <w:noProof/>
                <w:webHidden/>
              </w:rPr>
              <w:tab/>
            </w:r>
            <w:r>
              <w:rPr>
                <w:noProof/>
                <w:webHidden/>
              </w:rPr>
              <w:fldChar w:fldCharType="begin"/>
            </w:r>
            <w:r>
              <w:rPr>
                <w:noProof/>
                <w:webHidden/>
              </w:rPr>
              <w:instrText xml:space="preserve"> PAGEREF _Toc236914581 \h </w:instrText>
            </w:r>
            <w:r>
              <w:rPr>
                <w:noProof/>
                <w:webHidden/>
              </w:rPr>
            </w:r>
            <w:r>
              <w:rPr>
                <w:noProof/>
                <w:webHidden/>
              </w:rPr>
              <w:fldChar w:fldCharType="separate"/>
            </w:r>
            <w:r>
              <w:rPr>
                <w:noProof/>
                <w:webHidden/>
              </w:rPr>
              <w:t>5</w:t>
            </w:r>
            <w:r>
              <w:rPr>
                <w:noProof/>
                <w:webHidden/>
              </w:rPr>
              <w:fldChar w:fldCharType="end"/>
            </w:r>
          </w:hyperlink>
        </w:p>
        <w:p w14:paraId="1A8163CE" w14:textId="12528432"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82" w:history="1">
            <w:r w:rsidRPr="00785E1C">
              <w:rPr>
                <w:rStyle w:val="Hyperlink"/>
                <w:rFonts w:cs="Arial"/>
                <w:noProof/>
              </w:rPr>
              <w:t>Objectives</w:t>
            </w:r>
            <w:r>
              <w:rPr>
                <w:noProof/>
                <w:webHidden/>
              </w:rPr>
              <w:tab/>
            </w:r>
            <w:r>
              <w:rPr>
                <w:noProof/>
                <w:webHidden/>
              </w:rPr>
              <w:fldChar w:fldCharType="begin"/>
            </w:r>
            <w:r>
              <w:rPr>
                <w:noProof/>
                <w:webHidden/>
              </w:rPr>
              <w:instrText xml:space="preserve"> PAGEREF _Toc236914582 \h </w:instrText>
            </w:r>
            <w:r>
              <w:rPr>
                <w:noProof/>
                <w:webHidden/>
              </w:rPr>
            </w:r>
            <w:r>
              <w:rPr>
                <w:noProof/>
                <w:webHidden/>
              </w:rPr>
              <w:fldChar w:fldCharType="separate"/>
            </w:r>
            <w:r>
              <w:rPr>
                <w:noProof/>
                <w:webHidden/>
              </w:rPr>
              <w:t>5</w:t>
            </w:r>
            <w:r>
              <w:rPr>
                <w:noProof/>
                <w:webHidden/>
              </w:rPr>
              <w:fldChar w:fldCharType="end"/>
            </w:r>
          </w:hyperlink>
        </w:p>
        <w:p w14:paraId="70DE8E67" w14:textId="394FA9A6"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3" w:history="1">
            <w:r w:rsidRPr="00785E1C">
              <w:rPr>
                <w:rStyle w:val="Hyperlink"/>
                <w:rFonts w:cs="Arial"/>
                <w:noProof/>
              </w:rPr>
              <w:t>Background</w:t>
            </w:r>
            <w:r>
              <w:rPr>
                <w:noProof/>
                <w:webHidden/>
              </w:rPr>
              <w:tab/>
            </w:r>
            <w:r>
              <w:rPr>
                <w:noProof/>
                <w:webHidden/>
              </w:rPr>
              <w:fldChar w:fldCharType="begin"/>
            </w:r>
            <w:r>
              <w:rPr>
                <w:noProof/>
                <w:webHidden/>
              </w:rPr>
              <w:instrText xml:space="preserve"> PAGEREF _Toc236914583 \h </w:instrText>
            </w:r>
            <w:r>
              <w:rPr>
                <w:noProof/>
                <w:webHidden/>
              </w:rPr>
            </w:r>
            <w:r>
              <w:rPr>
                <w:noProof/>
                <w:webHidden/>
              </w:rPr>
              <w:fldChar w:fldCharType="separate"/>
            </w:r>
            <w:r>
              <w:rPr>
                <w:noProof/>
                <w:webHidden/>
              </w:rPr>
              <w:t>5</w:t>
            </w:r>
            <w:r>
              <w:rPr>
                <w:noProof/>
                <w:webHidden/>
              </w:rPr>
              <w:fldChar w:fldCharType="end"/>
            </w:r>
          </w:hyperlink>
        </w:p>
        <w:p w14:paraId="250A0AF1" w14:textId="78493063"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584" w:history="1">
            <w:r w:rsidRPr="00785E1C">
              <w:rPr>
                <w:rStyle w:val="Hyperlink"/>
                <w:rFonts w:cs="Arial"/>
                <w:noProof/>
              </w:rPr>
              <w:t>Methodology</w:t>
            </w:r>
            <w:r>
              <w:rPr>
                <w:noProof/>
                <w:webHidden/>
              </w:rPr>
              <w:tab/>
            </w:r>
            <w:r>
              <w:rPr>
                <w:noProof/>
                <w:webHidden/>
              </w:rPr>
              <w:fldChar w:fldCharType="begin"/>
            </w:r>
            <w:r>
              <w:rPr>
                <w:noProof/>
                <w:webHidden/>
              </w:rPr>
              <w:instrText xml:space="preserve"> PAGEREF _Toc236914584 \h </w:instrText>
            </w:r>
            <w:r>
              <w:rPr>
                <w:noProof/>
                <w:webHidden/>
              </w:rPr>
            </w:r>
            <w:r>
              <w:rPr>
                <w:noProof/>
                <w:webHidden/>
              </w:rPr>
              <w:fldChar w:fldCharType="separate"/>
            </w:r>
            <w:r>
              <w:rPr>
                <w:noProof/>
                <w:webHidden/>
              </w:rPr>
              <w:t>6</w:t>
            </w:r>
            <w:r>
              <w:rPr>
                <w:noProof/>
                <w:webHidden/>
              </w:rPr>
              <w:fldChar w:fldCharType="end"/>
            </w:r>
          </w:hyperlink>
        </w:p>
        <w:p w14:paraId="0D528D68" w14:textId="60CF064C"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5" w:history="1">
            <w:r w:rsidRPr="00785E1C">
              <w:rPr>
                <w:rStyle w:val="Hyperlink"/>
                <w:rFonts w:cs="Arial"/>
                <w:noProof/>
              </w:rPr>
              <w:t>Data collection</w:t>
            </w:r>
            <w:r>
              <w:rPr>
                <w:noProof/>
                <w:webHidden/>
              </w:rPr>
              <w:tab/>
            </w:r>
            <w:r>
              <w:rPr>
                <w:noProof/>
                <w:webHidden/>
              </w:rPr>
              <w:fldChar w:fldCharType="begin"/>
            </w:r>
            <w:r>
              <w:rPr>
                <w:noProof/>
                <w:webHidden/>
              </w:rPr>
              <w:instrText xml:space="preserve"> PAGEREF _Toc236914585 \h </w:instrText>
            </w:r>
            <w:r>
              <w:rPr>
                <w:noProof/>
                <w:webHidden/>
              </w:rPr>
            </w:r>
            <w:r>
              <w:rPr>
                <w:noProof/>
                <w:webHidden/>
              </w:rPr>
              <w:fldChar w:fldCharType="separate"/>
            </w:r>
            <w:r>
              <w:rPr>
                <w:noProof/>
                <w:webHidden/>
              </w:rPr>
              <w:t>6</w:t>
            </w:r>
            <w:r>
              <w:rPr>
                <w:noProof/>
                <w:webHidden/>
              </w:rPr>
              <w:fldChar w:fldCharType="end"/>
            </w:r>
          </w:hyperlink>
        </w:p>
        <w:p w14:paraId="330777B1" w14:textId="64E1D3AC"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6" w:history="1">
            <w:r w:rsidRPr="00785E1C">
              <w:rPr>
                <w:rStyle w:val="Hyperlink"/>
                <w:rFonts w:cs="Arial"/>
                <w:noProof/>
              </w:rPr>
              <w:t>Search strategy</w:t>
            </w:r>
            <w:r>
              <w:rPr>
                <w:noProof/>
                <w:webHidden/>
              </w:rPr>
              <w:tab/>
            </w:r>
            <w:r>
              <w:rPr>
                <w:noProof/>
                <w:webHidden/>
              </w:rPr>
              <w:fldChar w:fldCharType="begin"/>
            </w:r>
            <w:r>
              <w:rPr>
                <w:noProof/>
                <w:webHidden/>
              </w:rPr>
              <w:instrText xml:space="preserve"> PAGEREF _Toc236914586 \h </w:instrText>
            </w:r>
            <w:r>
              <w:rPr>
                <w:noProof/>
                <w:webHidden/>
              </w:rPr>
            </w:r>
            <w:r>
              <w:rPr>
                <w:noProof/>
                <w:webHidden/>
              </w:rPr>
              <w:fldChar w:fldCharType="separate"/>
            </w:r>
            <w:r>
              <w:rPr>
                <w:noProof/>
                <w:webHidden/>
              </w:rPr>
              <w:t>7</w:t>
            </w:r>
            <w:r>
              <w:rPr>
                <w:noProof/>
                <w:webHidden/>
              </w:rPr>
              <w:fldChar w:fldCharType="end"/>
            </w:r>
          </w:hyperlink>
        </w:p>
        <w:p w14:paraId="4087A1E2" w14:textId="13BCC154"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7" w:history="1">
            <w:r w:rsidRPr="00785E1C">
              <w:rPr>
                <w:rStyle w:val="Hyperlink"/>
                <w:rFonts w:cs="Arial"/>
                <w:noProof/>
              </w:rPr>
              <w:t>Inclusion and Exclusion criteria</w:t>
            </w:r>
            <w:r>
              <w:rPr>
                <w:noProof/>
                <w:webHidden/>
              </w:rPr>
              <w:tab/>
            </w:r>
            <w:r>
              <w:rPr>
                <w:noProof/>
                <w:webHidden/>
              </w:rPr>
              <w:fldChar w:fldCharType="begin"/>
            </w:r>
            <w:r>
              <w:rPr>
                <w:noProof/>
                <w:webHidden/>
              </w:rPr>
              <w:instrText xml:space="preserve"> PAGEREF _Toc236914587 \h </w:instrText>
            </w:r>
            <w:r>
              <w:rPr>
                <w:noProof/>
                <w:webHidden/>
              </w:rPr>
            </w:r>
            <w:r>
              <w:rPr>
                <w:noProof/>
                <w:webHidden/>
              </w:rPr>
              <w:fldChar w:fldCharType="separate"/>
            </w:r>
            <w:r>
              <w:rPr>
                <w:noProof/>
                <w:webHidden/>
              </w:rPr>
              <w:t>7</w:t>
            </w:r>
            <w:r>
              <w:rPr>
                <w:noProof/>
                <w:webHidden/>
              </w:rPr>
              <w:fldChar w:fldCharType="end"/>
            </w:r>
          </w:hyperlink>
        </w:p>
        <w:p w14:paraId="2E5A3A1D" w14:textId="0DA0E7AC"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8" w:history="1">
            <w:r w:rsidRPr="00785E1C">
              <w:rPr>
                <w:rStyle w:val="Hyperlink"/>
                <w:rFonts w:cs="Arial"/>
                <w:noProof/>
              </w:rPr>
              <w:t>Data analysis</w:t>
            </w:r>
            <w:r>
              <w:rPr>
                <w:noProof/>
                <w:webHidden/>
              </w:rPr>
              <w:tab/>
            </w:r>
            <w:r>
              <w:rPr>
                <w:noProof/>
                <w:webHidden/>
              </w:rPr>
              <w:fldChar w:fldCharType="begin"/>
            </w:r>
            <w:r>
              <w:rPr>
                <w:noProof/>
                <w:webHidden/>
              </w:rPr>
              <w:instrText xml:space="preserve"> PAGEREF _Toc236914588 \h </w:instrText>
            </w:r>
            <w:r>
              <w:rPr>
                <w:noProof/>
                <w:webHidden/>
              </w:rPr>
            </w:r>
            <w:r>
              <w:rPr>
                <w:noProof/>
                <w:webHidden/>
              </w:rPr>
              <w:fldChar w:fldCharType="separate"/>
            </w:r>
            <w:r>
              <w:rPr>
                <w:noProof/>
                <w:webHidden/>
              </w:rPr>
              <w:t>8</w:t>
            </w:r>
            <w:r>
              <w:rPr>
                <w:noProof/>
                <w:webHidden/>
              </w:rPr>
              <w:fldChar w:fldCharType="end"/>
            </w:r>
          </w:hyperlink>
        </w:p>
        <w:p w14:paraId="56742A4C" w14:textId="05A8BB8B"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89" w:history="1">
            <w:r w:rsidRPr="00785E1C">
              <w:rPr>
                <w:rStyle w:val="Hyperlink"/>
                <w:rFonts w:cs="Arial"/>
                <w:noProof/>
              </w:rPr>
              <w:t>Ethical considerations</w:t>
            </w:r>
            <w:r>
              <w:rPr>
                <w:noProof/>
                <w:webHidden/>
              </w:rPr>
              <w:tab/>
            </w:r>
            <w:r>
              <w:rPr>
                <w:noProof/>
                <w:webHidden/>
              </w:rPr>
              <w:fldChar w:fldCharType="begin"/>
            </w:r>
            <w:r>
              <w:rPr>
                <w:noProof/>
                <w:webHidden/>
              </w:rPr>
              <w:instrText xml:space="preserve"> PAGEREF _Toc236914589 \h </w:instrText>
            </w:r>
            <w:r>
              <w:rPr>
                <w:noProof/>
                <w:webHidden/>
              </w:rPr>
            </w:r>
            <w:r>
              <w:rPr>
                <w:noProof/>
                <w:webHidden/>
              </w:rPr>
              <w:fldChar w:fldCharType="separate"/>
            </w:r>
            <w:r>
              <w:rPr>
                <w:noProof/>
                <w:webHidden/>
              </w:rPr>
              <w:t>8</w:t>
            </w:r>
            <w:r>
              <w:rPr>
                <w:noProof/>
                <w:webHidden/>
              </w:rPr>
              <w:fldChar w:fldCharType="end"/>
            </w:r>
          </w:hyperlink>
        </w:p>
        <w:p w14:paraId="4187958D" w14:textId="778F902A"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590" w:history="1">
            <w:r w:rsidRPr="00785E1C">
              <w:rPr>
                <w:rStyle w:val="Hyperlink"/>
                <w:rFonts w:cs="Arial"/>
                <w:noProof/>
              </w:rPr>
              <w:t>Results</w:t>
            </w:r>
            <w:r>
              <w:rPr>
                <w:noProof/>
                <w:webHidden/>
              </w:rPr>
              <w:tab/>
            </w:r>
            <w:r>
              <w:rPr>
                <w:noProof/>
                <w:webHidden/>
              </w:rPr>
              <w:fldChar w:fldCharType="begin"/>
            </w:r>
            <w:r>
              <w:rPr>
                <w:noProof/>
                <w:webHidden/>
              </w:rPr>
              <w:instrText xml:space="preserve"> PAGEREF _Toc236914590 \h </w:instrText>
            </w:r>
            <w:r>
              <w:rPr>
                <w:noProof/>
                <w:webHidden/>
              </w:rPr>
            </w:r>
            <w:r>
              <w:rPr>
                <w:noProof/>
                <w:webHidden/>
              </w:rPr>
              <w:fldChar w:fldCharType="separate"/>
            </w:r>
            <w:r>
              <w:rPr>
                <w:noProof/>
                <w:webHidden/>
              </w:rPr>
              <w:t>9</w:t>
            </w:r>
            <w:r>
              <w:rPr>
                <w:noProof/>
                <w:webHidden/>
              </w:rPr>
              <w:fldChar w:fldCharType="end"/>
            </w:r>
          </w:hyperlink>
        </w:p>
        <w:p w14:paraId="09812A4D" w14:textId="17513D66"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91" w:history="1">
            <w:r w:rsidRPr="00785E1C">
              <w:rPr>
                <w:rStyle w:val="Hyperlink"/>
                <w:rFonts w:cs="Arial"/>
                <w:noProof/>
              </w:rPr>
              <w:t>Thematic Analysis</w:t>
            </w:r>
            <w:r>
              <w:rPr>
                <w:noProof/>
                <w:webHidden/>
              </w:rPr>
              <w:tab/>
            </w:r>
            <w:r>
              <w:rPr>
                <w:noProof/>
                <w:webHidden/>
              </w:rPr>
              <w:fldChar w:fldCharType="begin"/>
            </w:r>
            <w:r>
              <w:rPr>
                <w:noProof/>
                <w:webHidden/>
              </w:rPr>
              <w:instrText xml:space="preserve"> PAGEREF _Toc236914591 \h </w:instrText>
            </w:r>
            <w:r>
              <w:rPr>
                <w:noProof/>
                <w:webHidden/>
              </w:rPr>
            </w:r>
            <w:r>
              <w:rPr>
                <w:noProof/>
                <w:webHidden/>
              </w:rPr>
              <w:fldChar w:fldCharType="separate"/>
            </w:r>
            <w:r>
              <w:rPr>
                <w:noProof/>
                <w:webHidden/>
              </w:rPr>
              <w:t>9</w:t>
            </w:r>
            <w:r>
              <w:rPr>
                <w:noProof/>
                <w:webHidden/>
              </w:rPr>
              <w:fldChar w:fldCharType="end"/>
            </w:r>
          </w:hyperlink>
        </w:p>
        <w:p w14:paraId="3B408AEA" w14:textId="68A7F704"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92" w:history="1">
            <w:r w:rsidRPr="00785E1C">
              <w:rPr>
                <w:rStyle w:val="Hyperlink"/>
                <w:rFonts w:cs="Arial"/>
                <w:noProof/>
              </w:rPr>
              <w:t>Theme 1: Improved access and convenience</w:t>
            </w:r>
            <w:r>
              <w:rPr>
                <w:noProof/>
                <w:webHidden/>
              </w:rPr>
              <w:tab/>
            </w:r>
            <w:r>
              <w:rPr>
                <w:noProof/>
                <w:webHidden/>
              </w:rPr>
              <w:fldChar w:fldCharType="begin"/>
            </w:r>
            <w:r>
              <w:rPr>
                <w:noProof/>
                <w:webHidden/>
              </w:rPr>
              <w:instrText xml:space="preserve"> PAGEREF _Toc236914592 \h </w:instrText>
            </w:r>
            <w:r>
              <w:rPr>
                <w:noProof/>
                <w:webHidden/>
              </w:rPr>
            </w:r>
            <w:r>
              <w:rPr>
                <w:noProof/>
                <w:webHidden/>
              </w:rPr>
              <w:fldChar w:fldCharType="separate"/>
            </w:r>
            <w:r>
              <w:rPr>
                <w:noProof/>
                <w:webHidden/>
              </w:rPr>
              <w:t>9</w:t>
            </w:r>
            <w:r>
              <w:rPr>
                <w:noProof/>
                <w:webHidden/>
              </w:rPr>
              <w:fldChar w:fldCharType="end"/>
            </w:r>
          </w:hyperlink>
        </w:p>
        <w:p w14:paraId="361DFCAA" w14:textId="6514DBBC"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93" w:history="1">
            <w:r w:rsidRPr="00785E1C">
              <w:rPr>
                <w:rStyle w:val="Hyperlink"/>
                <w:rFonts w:cs="Arial"/>
                <w:noProof/>
              </w:rPr>
              <w:t>Theme 2: Patient and healthcare professional experiences</w:t>
            </w:r>
            <w:r>
              <w:rPr>
                <w:noProof/>
                <w:webHidden/>
              </w:rPr>
              <w:tab/>
            </w:r>
            <w:r>
              <w:rPr>
                <w:noProof/>
                <w:webHidden/>
              </w:rPr>
              <w:fldChar w:fldCharType="begin"/>
            </w:r>
            <w:r>
              <w:rPr>
                <w:noProof/>
                <w:webHidden/>
              </w:rPr>
              <w:instrText xml:space="preserve"> PAGEREF _Toc236914593 \h </w:instrText>
            </w:r>
            <w:r>
              <w:rPr>
                <w:noProof/>
                <w:webHidden/>
              </w:rPr>
            </w:r>
            <w:r>
              <w:rPr>
                <w:noProof/>
                <w:webHidden/>
              </w:rPr>
              <w:fldChar w:fldCharType="separate"/>
            </w:r>
            <w:r>
              <w:rPr>
                <w:noProof/>
                <w:webHidden/>
              </w:rPr>
              <w:t>10</w:t>
            </w:r>
            <w:r>
              <w:rPr>
                <w:noProof/>
                <w:webHidden/>
              </w:rPr>
              <w:fldChar w:fldCharType="end"/>
            </w:r>
          </w:hyperlink>
        </w:p>
        <w:p w14:paraId="3772CE70" w14:textId="39FFF976"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94" w:history="1">
            <w:r w:rsidRPr="00785E1C">
              <w:rPr>
                <w:rStyle w:val="Hyperlink"/>
                <w:rFonts w:cs="Arial"/>
                <w:noProof/>
              </w:rPr>
              <w:t>Theme 3: Barriers to equitable and effective implementation</w:t>
            </w:r>
            <w:r>
              <w:rPr>
                <w:noProof/>
                <w:webHidden/>
              </w:rPr>
              <w:tab/>
            </w:r>
            <w:r>
              <w:rPr>
                <w:noProof/>
                <w:webHidden/>
              </w:rPr>
              <w:fldChar w:fldCharType="begin"/>
            </w:r>
            <w:r>
              <w:rPr>
                <w:noProof/>
                <w:webHidden/>
              </w:rPr>
              <w:instrText xml:space="preserve"> PAGEREF _Toc236914594 \h </w:instrText>
            </w:r>
            <w:r>
              <w:rPr>
                <w:noProof/>
                <w:webHidden/>
              </w:rPr>
            </w:r>
            <w:r>
              <w:rPr>
                <w:noProof/>
                <w:webHidden/>
              </w:rPr>
              <w:fldChar w:fldCharType="separate"/>
            </w:r>
            <w:r>
              <w:rPr>
                <w:noProof/>
                <w:webHidden/>
              </w:rPr>
              <w:t>10</w:t>
            </w:r>
            <w:r>
              <w:rPr>
                <w:noProof/>
                <w:webHidden/>
              </w:rPr>
              <w:fldChar w:fldCharType="end"/>
            </w:r>
          </w:hyperlink>
        </w:p>
        <w:p w14:paraId="4A667FDF" w14:textId="49EB52AA" w:rsidR="00DF2C7F" w:rsidRDefault="00DF2C7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36914595" w:history="1">
            <w:r w:rsidRPr="00785E1C">
              <w:rPr>
                <w:rStyle w:val="Hyperlink"/>
                <w:rFonts w:cs="Arial"/>
                <w:noProof/>
              </w:rPr>
              <w:t>Theme 4: Implications for future primary healthcare practice</w:t>
            </w:r>
            <w:r>
              <w:rPr>
                <w:noProof/>
                <w:webHidden/>
              </w:rPr>
              <w:tab/>
            </w:r>
            <w:r>
              <w:rPr>
                <w:noProof/>
                <w:webHidden/>
              </w:rPr>
              <w:fldChar w:fldCharType="begin"/>
            </w:r>
            <w:r>
              <w:rPr>
                <w:noProof/>
                <w:webHidden/>
              </w:rPr>
              <w:instrText xml:space="preserve"> PAGEREF _Toc236914595 \h </w:instrText>
            </w:r>
            <w:r>
              <w:rPr>
                <w:noProof/>
                <w:webHidden/>
              </w:rPr>
            </w:r>
            <w:r>
              <w:rPr>
                <w:noProof/>
                <w:webHidden/>
              </w:rPr>
              <w:fldChar w:fldCharType="separate"/>
            </w:r>
            <w:r>
              <w:rPr>
                <w:noProof/>
                <w:webHidden/>
              </w:rPr>
              <w:t>11</w:t>
            </w:r>
            <w:r>
              <w:rPr>
                <w:noProof/>
                <w:webHidden/>
              </w:rPr>
              <w:fldChar w:fldCharType="end"/>
            </w:r>
          </w:hyperlink>
        </w:p>
        <w:p w14:paraId="5944580A" w14:textId="1ECE644E"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596" w:history="1">
            <w:r w:rsidRPr="00785E1C">
              <w:rPr>
                <w:rStyle w:val="Hyperlink"/>
                <w:rFonts w:cs="Arial"/>
                <w:noProof/>
              </w:rPr>
              <w:t>Discussion</w:t>
            </w:r>
            <w:r>
              <w:rPr>
                <w:noProof/>
                <w:webHidden/>
              </w:rPr>
              <w:tab/>
            </w:r>
            <w:r>
              <w:rPr>
                <w:noProof/>
                <w:webHidden/>
              </w:rPr>
              <w:fldChar w:fldCharType="begin"/>
            </w:r>
            <w:r>
              <w:rPr>
                <w:noProof/>
                <w:webHidden/>
              </w:rPr>
              <w:instrText xml:space="preserve"> PAGEREF _Toc236914596 \h </w:instrText>
            </w:r>
            <w:r>
              <w:rPr>
                <w:noProof/>
                <w:webHidden/>
              </w:rPr>
            </w:r>
            <w:r>
              <w:rPr>
                <w:noProof/>
                <w:webHidden/>
              </w:rPr>
              <w:fldChar w:fldCharType="separate"/>
            </w:r>
            <w:r>
              <w:rPr>
                <w:noProof/>
                <w:webHidden/>
              </w:rPr>
              <w:t>11</w:t>
            </w:r>
            <w:r>
              <w:rPr>
                <w:noProof/>
                <w:webHidden/>
              </w:rPr>
              <w:fldChar w:fldCharType="end"/>
            </w:r>
          </w:hyperlink>
        </w:p>
        <w:p w14:paraId="2DF26328" w14:textId="3E526FF5"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97" w:history="1">
            <w:r w:rsidRPr="00785E1C">
              <w:rPr>
                <w:rStyle w:val="Hyperlink"/>
                <w:rFonts w:cs="Arial"/>
                <w:noProof/>
              </w:rPr>
              <w:t>Summary</w:t>
            </w:r>
            <w:r>
              <w:rPr>
                <w:noProof/>
                <w:webHidden/>
              </w:rPr>
              <w:tab/>
            </w:r>
            <w:r>
              <w:rPr>
                <w:noProof/>
                <w:webHidden/>
              </w:rPr>
              <w:fldChar w:fldCharType="begin"/>
            </w:r>
            <w:r>
              <w:rPr>
                <w:noProof/>
                <w:webHidden/>
              </w:rPr>
              <w:instrText xml:space="preserve"> PAGEREF _Toc236914597 \h </w:instrText>
            </w:r>
            <w:r>
              <w:rPr>
                <w:noProof/>
                <w:webHidden/>
              </w:rPr>
            </w:r>
            <w:r>
              <w:rPr>
                <w:noProof/>
                <w:webHidden/>
              </w:rPr>
              <w:fldChar w:fldCharType="separate"/>
            </w:r>
            <w:r>
              <w:rPr>
                <w:noProof/>
                <w:webHidden/>
              </w:rPr>
              <w:t>11</w:t>
            </w:r>
            <w:r>
              <w:rPr>
                <w:noProof/>
                <w:webHidden/>
              </w:rPr>
              <w:fldChar w:fldCharType="end"/>
            </w:r>
          </w:hyperlink>
        </w:p>
        <w:p w14:paraId="46D2C21C" w14:textId="73E71F61"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98" w:history="1">
            <w:r w:rsidRPr="00785E1C">
              <w:rPr>
                <w:rStyle w:val="Hyperlink"/>
                <w:rFonts w:cs="Arial"/>
                <w:noProof/>
              </w:rPr>
              <w:t>Discussion of the findings</w:t>
            </w:r>
            <w:r>
              <w:rPr>
                <w:noProof/>
                <w:webHidden/>
              </w:rPr>
              <w:tab/>
            </w:r>
            <w:r>
              <w:rPr>
                <w:noProof/>
                <w:webHidden/>
              </w:rPr>
              <w:fldChar w:fldCharType="begin"/>
            </w:r>
            <w:r>
              <w:rPr>
                <w:noProof/>
                <w:webHidden/>
              </w:rPr>
              <w:instrText xml:space="preserve"> PAGEREF _Toc236914598 \h </w:instrText>
            </w:r>
            <w:r>
              <w:rPr>
                <w:noProof/>
                <w:webHidden/>
              </w:rPr>
            </w:r>
            <w:r>
              <w:rPr>
                <w:noProof/>
                <w:webHidden/>
              </w:rPr>
              <w:fldChar w:fldCharType="separate"/>
            </w:r>
            <w:r>
              <w:rPr>
                <w:noProof/>
                <w:webHidden/>
              </w:rPr>
              <w:t>11</w:t>
            </w:r>
            <w:r>
              <w:rPr>
                <w:noProof/>
                <w:webHidden/>
              </w:rPr>
              <w:fldChar w:fldCharType="end"/>
            </w:r>
          </w:hyperlink>
        </w:p>
        <w:p w14:paraId="1E6D7814" w14:textId="4B33FACD"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599" w:history="1">
            <w:r w:rsidRPr="00785E1C">
              <w:rPr>
                <w:rStyle w:val="Hyperlink"/>
                <w:rFonts w:cs="Arial"/>
                <w:noProof/>
              </w:rPr>
              <w:t>Implications of the Study</w:t>
            </w:r>
            <w:r>
              <w:rPr>
                <w:noProof/>
                <w:webHidden/>
              </w:rPr>
              <w:tab/>
            </w:r>
            <w:r>
              <w:rPr>
                <w:noProof/>
                <w:webHidden/>
              </w:rPr>
              <w:fldChar w:fldCharType="begin"/>
            </w:r>
            <w:r>
              <w:rPr>
                <w:noProof/>
                <w:webHidden/>
              </w:rPr>
              <w:instrText xml:space="preserve"> PAGEREF _Toc236914599 \h </w:instrText>
            </w:r>
            <w:r>
              <w:rPr>
                <w:noProof/>
                <w:webHidden/>
              </w:rPr>
            </w:r>
            <w:r>
              <w:rPr>
                <w:noProof/>
                <w:webHidden/>
              </w:rPr>
              <w:fldChar w:fldCharType="separate"/>
            </w:r>
            <w:r>
              <w:rPr>
                <w:noProof/>
                <w:webHidden/>
              </w:rPr>
              <w:t>12</w:t>
            </w:r>
            <w:r>
              <w:rPr>
                <w:noProof/>
                <w:webHidden/>
              </w:rPr>
              <w:fldChar w:fldCharType="end"/>
            </w:r>
          </w:hyperlink>
        </w:p>
        <w:p w14:paraId="68A44AD0" w14:textId="63813CA7"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600" w:history="1">
            <w:r w:rsidRPr="00785E1C">
              <w:rPr>
                <w:rStyle w:val="Hyperlink"/>
                <w:rFonts w:cs="Arial"/>
                <w:noProof/>
              </w:rPr>
              <w:t>Limitations</w:t>
            </w:r>
            <w:r>
              <w:rPr>
                <w:noProof/>
                <w:webHidden/>
              </w:rPr>
              <w:tab/>
            </w:r>
            <w:r>
              <w:rPr>
                <w:noProof/>
                <w:webHidden/>
              </w:rPr>
              <w:fldChar w:fldCharType="begin"/>
            </w:r>
            <w:r>
              <w:rPr>
                <w:noProof/>
                <w:webHidden/>
              </w:rPr>
              <w:instrText xml:space="preserve"> PAGEREF _Toc236914600 \h </w:instrText>
            </w:r>
            <w:r>
              <w:rPr>
                <w:noProof/>
                <w:webHidden/>
              </w:rPr>
            </w:r>
            <w:r>
              <w:rPr>
                <w:noProof/>
                <w:webHidden/>
              </w:rPr>
              <w:fldChar w:fldCharType="separate"/>
            </w:r>
            <w:r>
              <w:rPr>
                <w:noProof/>
                <w:webHidden/>
              </w:rPr>
              <w:t>13</w:t>
            </w:r>
            <w:r>
              <w:rPr>
                <w:noProof/>
                <w:webHidden/>
              </w:rPr>
              <w:fldChar w:fldCharType="end"/>
            </w:r>
          </w:hyperlink>
        </w:p>
        <w:p w14:paraId="01D70C92" w14:textId="6A4D6AB1"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601" w:history="1">
            <w:r w:rsidRPr="00785E1C">
              <w:rPr>
                <w:rStyle w:val="Hyperlink"/>
                <w:rFonts w:cs="Arial"/>
                <w:noProof/>
              </w:rPr>
              <w:t>Conclusion and Recommendations</w:t>
            </w:r>
            <w:r>
              <w:rPr>
                <w:noProof/>
                <w:webHidden/>
              </w:rPr>
              <w:tab/>
            </w:r>
            <w:r>
              <w:rPr>
                <w:noProof/>
                <w:webHidden/>
              </w:rPr>
              <w:fldChar w:fldCharType="begin"/>
            </w:r>
            <w:r>
              <w:rPr>
                <w:noProof/>
                <w:webHidden/>
              </w:rPr>
              <w:instrText xml:space="preserve"> PAGEREF _Toc236914601 \h </w:instrText>
            </w:r>
            <w:r>
              <w:rPr>
                <w:noProof/>
                <w:webHidden/>
              </w:rPr>
            </w:r>
            <w:r>
              <w:rPr>
                <w:noProof/>
                <w:webHidden/>
              </w:rPr>
              <w:fldChar w:fldCharType="separate"/>
            </w:r>
            <w:r>
              <w:rPr>
                <w:noProof/>
                <w:webHidden/>
              </w:rPr>
              <w:t>13</w:t>
            </w:r>
            <w:r>
              <w:rPr>
                <w:noProof/>
                <w:webHidden/>
              </w:rPr>
              <w:fldChar w:fldCharType="end"/>
            </w:r>
          </w:hyperlink>
        </w:p>
        <w:p w14:paraId="3209EBF2" w14:textId="0681BB8B"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602" w:history="1">
            <w:r w:rsidRPr="00785E1C">
              <w:rPr>
                <w:rStyle w:val="Hyperlink"/>
                <w:rFonts w:cs="Arial"/>
                <w:noProof/>
              </w:rPr>
              <w:t>Summary</w:t>
            </w:r>
            <w:r>
              <w:rPr>
                <w:noProof/>
                <w:webHidden/>
              </w:rPr>
              <w:tab/>
            </w:r>
            <w:r>
              <w:rPr>
                <w:noProof/>
                <w:webHidden/>
              </w:rPr>
              <w:fldChar w:fldCharType="begin"/>
            </w:r>
            <w:r>
              <w:rPr>
                <w:noProof/>
                <w:webHidden/>
              </w:rPr>
              <w:instrText xml:space="preserve"> PAGEREF _Toc236914602 \h </w:instrText>
            </w:r>
            <w:r>
              <w:rPr>
                <w:noProof/>
                <w:webHidden/>
              </w:rPr>
            </w:r>
            <w:r>
              <w:rPr>
                <w:noProof/>
                <w:webHidden/>
              </w:rPr>
              <w:fldChar w:fldCharType="separate"/>
            </w:r>
            <w:r>
              <w:rPr>
                <w:noProof/>
                <w:webHidden/>
              </w:rPr>
              <w:t>13</w:t>
            </w:r>
            <w:r>
              <w:rPr>
                <w:noProof/>
                <w:webHidden/>
              </w:rPr>
              <w:fldChar w:fldCharType="end"/>
            </w:r>
          </w:hyperlink>
        </w:p>
        <w:p w14:paraId="41AD7184" w14:textId="5A77278E" w:rsidR="00DF2C7F" w:rsidRDefault="00DF2C7F">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6914603" w:history="1">
            <w:r w:rsidRPr="00785E1C">
              <w:rPr>
                <w:rStyle w:val="Hyperlink"/>
                <w:rFonts w:cs="Arial"/>
                <w:noProof/>
              </w:rPr>
              <w:t>Recommendations</w:t>
            </w:r>
            <w:r>
              <w:rPr>
                <w:noProof/>
                <w:webHidden/>
              </w:rPr>
              <w:tab/>
            </w:r>
            <w:r>
              <w:rPr>
                <w:noProof/>
                <w:webHidden/>
              </w:rPr>
              <w:fldChar w:fldCharType="begin"/>
            </w:r>
            <w:r>
              <w:rPr>
                <w:noProof/>
                <w:webHidden/>
              </w:rPr>
              <w:instrText xml:space="preserve"> PAGEREF _Toc236914603 \h </w:instrText>
            </w:r>
            <w:r>
              <w:rPr>
                <w:noProof/>
                <w:webHidden/>
              </w:rPr>
            </w:r>
            <w:r>
              <w:rPr>
                <w:noProof/>
                <w:webHidden/>
              </w:rPr>
              <w:fldChar w:fldCharType="separate"/>
            </w:r>
            <w:r>
              <w:rPr>
                <w:noProof/>
                <w:webHidden/>
              </w:rPr>
              <w:t>13</w:t>
            </w:r>
            <w:r>
              <w:rPr>
                <w:noProof/>
                <w:webHidden/>
              </w:rPr>
              <w:fldChar w:fldCharType="end"/>
            </w:r>
          </w:hyperlink>
        </w:p>
        <w:p w14:paraId="35E8B430" w14:textId="23149CFE" w:rsidR="00DF2C7F" w:rsidRDefault="00DF2C7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6914604" w:history="1">
            <w:r w:rsidRPr="00785E1C">
              <w:rPr>
                <w:rStyle w:val="Hyperlink"/>
                <w:rFonts w:cs="Arial"/>
                <w:noProof/>
              </w:rPr>
              <w:t>References</w:t>
            </w:r>
            <w:r>
              <w:rPr>
                <w:noProof/>
                <w:webHidden/>
              </w:rPr>
              <w:tab/>
            </w:r>
            <w:r>
              <w:rPr>
                <w:noProof/>
                <w:webHidden/>
              </w:rPr>
              <w:fldChar w:fldCharType="begin"/>
            </w:r>
            <w:r>
              <w:rPr>
                <w:noProof/>
                <w:webHidden/>
              </w:rPr>
              <w:instrText xml:space="preserve"> PAGEREF _Toc236914604 \h </w:instrText>
            </w:r>
            <w:r>
              <w:rPr>
                <w:noProof/>
                <w:webHidden/>
              </w:rPr>
            </w:r>
            <w:r>
              <w:rPr>
                <w:noProof/>
                <w:webHidden/>
              </w:rPr>
              <w:fldChar w:fldCharType="separate"/>
            </w:r>
            <w:r>
              <w:rPr>
                <w:noProof/>
                <w:webHidden/>
              </w:rPr>
              <w:t>14</w:t>
            </w:r>
            <w:r>
              <w:rPr>
                <w:noProof/>
                <w:webHidden/>
              </w:rPr>
              <w:fldChar w:fldCharType="end"/>
            </w:r>
          </w:hyperlink>
        </w:p>
        <w:p w14:paraId="14C35162" w14:textId="3B556A1B" w:rsidR="00DF2C7F" w:rsidRPr="00DF2C7F" w:rsidRDefault="00A33E03" w:rsidP="00DF2C7F">
          <w:pPr>
            <w:spacing w:line="480" w:lineRule="auto"/>
            <w:rPr>
              <w:rFonts w:ascii="Arial" w:hAnsi="Arial" w:cs="Arial"/>
              <w:szCs w:val="24"/>
            </w:rPr>
          </w:pPr>
          <w:r w:rsidRPr="00A33E03">
            <w:rPr>
              <w:rFonts w:ascii="Arial" w:hAnsi="Arial" w:cs="Arial"/>
              <w:b/>
              <w:bCs/>
              <w:noProof/>
              <w:szCs w:val="24"/>
            </w:rPr>
            <w:fldChar w:fldCharType="end"/>
          </w:r>
        </w:p>
      </w:sdtContent>
    </w:sdt>
    <w:p w14:paraId="207D294D" w14:textId="10D349CF" w:rsidR="00C87F5F" w:rsidRPr="00EC2F1C" w:rsidRDefault="00B8304B" w:rsidP="00642371">
      <w:pPr>
        <w:spacing w:line="360" w:lineRule="auto"/>
        <w:jc w:val="center"/>
        <w:rPr>
          <w:rFonts w:ascii="Arial" w:hAnsi="Arial" w:cs="Arial"/>
          <w:b/>
          <w:bCs/>
          <w:iCs/>
          <w:sz w:val="22"/>
        </w:rPr>
      </w:pPr>
      <w:r w:rsidRPr="00EC2F1C">
        <w:rPr>
          <w:rFonts w:ascii="Arial" w:hAnsi="Arial" w:cs="Arial"/>
          <w:b/>
          <w:bCs/>
          <w:sz w:val="22"/>
        </w:rPr>
        <w:lastRenderedPageBreak/>
        <w:t xml:space="preserve">Topic: </w:t>
      </w:r>
      <w:r w:rsidR="001A70B7" w:rsidRPr="00EC2F1C">
        <w:rPr>
          <w:rFonts w:ascii="Arial" w:hAnsi="Arial" w:cs="Arial"/>
          <w:b/>
          <w:bCs/>
          <w:iCs/>
          <w:sz w:val="22"/>
        </w:rPr>
        <w:t>The Effectiveness of Telehealth in Delivering Primary Healthcare Services in the UK: A Scoping Review</w:t>
      </w:r>
    </w:p>
    <w:p w14:paraId="64DCE2CC" w14:textId="77777777" w:rsidR="00800512" w:rsidRPr="00EC2F1C" w:rsidRDefault="00800512" w:rsidP="00EC2F1C">
      <w:pPr>
        <w:spacing w:line="360" w:lineRule="auto"/>
        <w:jc w:val="both"/>
        <w:rPr>
          <w:rFonts w:ascii="Arial" w:hAnsi="Arial" w:cs="Arial"/>
          <w:sz w:val="22"/>
        </w:rPr>
      </w:pPr>
    </w:p>
    <w:p w14:paraId="52595C52" w14:textId="77777777" w:rsidR="00800512" w:rsidRPr="00EC2F1C" w:rsidRDefault="00800512" w:rsidP="00EC2F1C">
      <w:pPr>
        <w:spacing w:line="360" w:lineRule="auto"/>
        <w:jc w:val="both"/>
        <w:rPr>
          <w:rFonts w:ascii="Arial" w:hAnsi="Arial" w:cs="Arial"/>
          <w:sz w:val="22"/>
        </w:rPr>
      </w:pPr>
    </w:p>
    <w:p w14:paraId="12D76753" w14:textId="3A5EE7B1" w:rsidR="00B87E75" w:rsidRPr="00EC2F1C" w:rsidRDefault="00AC6995" w:rsidP="00EC2F1C">
      <w:pPr>
        <w:pStyle w:val="Heading1"/>
        <w:jc w:val="both"/>
        <w:rPr>
          <w:rFonts w:cs="Arial"/>
          <w:sz w:val="22"/>
        </w:rPr>
      </w:pPr>
      <w:bookmarkStart w:id="2" w:name="_Toc236914577"/>
      <w:r w:rsidRPr="00EC2F1C">
        <w:rPr>
          <w:rFonts w:cs="Arial"/>
          <w:sz w:val="22"/>
        </w:rPr>
        <w:t xml:space="preserve">Chapter 1: </w:t>
      </w:r>
      <w:r w:rsidR="00B87E75" w:rsidRPr="00EC2F1C">
        <w:rPr>
          <w:rFonts w:cs="Arial"/>
          <w:sz w:val="22"/>
        </w:rPr>
        <w:t>Introduction</w:t>
      </w:r>
      <w:bookmarkEnd w:id="2"/>
      <w:r w:rsidR="001135B4" w:rsidRPr="00EC2F1C">
        <w:rPr>
          <w:rFonts w:cs="Arial"/>
          <w:sz w:val="22"/>
        </w:rPr>
        <w:t xml:space="preserve"> </w:t>
      </w:r>
    </w:p>
    <w:p w14:paraId="62B5C1C0" w14:textId="77777777" w:rsidR="001135B4" w:rsidRPr="00EC2F1C" w:rsidRDefault="001135B4" w:rsidP="00EC2F1C">
      <w:pPr>
        <w:pStyle w:val="Heading2"/>
        <w:spacing w:line="360" w:lineRule="auto"/>
        <w:jc w:val="both"/>
        <w:rPr>
          <w:rFonts w:cs="Arial"/>
          <w:color w:val="auto"/>
          <w:sz w:val="22"/>
          <w:szCs w:val="22"/>
        </w:rPr>
      </w:pPr>
      <w:bookmarkStart w:id="3" w:name="_Toc236914578"/>
      <w:r w:rsidRPr="00EC2F1C">
        <w:rPr>
          <w:rFonts w:cs="Arial"/>
          <w:color w:val="auto"/>
          <w:sz w:val="22"/>
          <w:szCs w:val="22"/>
        </w:rPr>
        <w:t>Introduction</w:t>
      </w:r>
      <w:bookmarkEnd w:id="3"/>
    </w:p>
    <w:p w14:paraId="1F89C505" w14:textId="27966311" w:rsidR="00AC6995" w:rsidRPr="00EC2F1C" w:rsidRDefault="003F1929" w:rsidP="00EC2F1C">
      <w:pPr>
        <w:spacing w:line="360" w:lineRule="auto"/>
        <w:jc w:val="both"/>
        <w:rPr>
          <w:rFonts w:ascii="Arial" w:hAnsi="Arial" w:cs="Arial"/>
          <w:sz w:val="22"/>
        </w:rPr>
      </w:pPr>
      <w:r w:rsidRPr="00EC2F1C">
        <w:rPr>
          <w:rFonts w:ascii="Arial" w:hAnsi="Arial" w:cs="Arial"/>
          <w:sz w:val="22"/>
        </w:rPr>
        <w:t>Telehealth is the provision of healthcare services using digital communication technologies that allow healthcare professionals to conduct clinical consultations, diagnosis, monitoring, treatment and health education remotely (Haleem et al., 2021). In primary care, telehealth includes telephone consultations (Mathew et al., 2025), video consultations (Haleem et al., 2021), secure messaging (Neeman et al., 2022), and remote patient monitoring (Sikkalgar et al., 2025) that enable patients to receive healthcare services without being physically present at a clinic or office. Primary healthcare is the first point of contact within the healthcare system and plays a fundamental role in disease prevention, health promotion, diagnosis, treatment and the long-term management of chronic conditions through services delivered predominantly by general practitioners (GPs), nurses and other multidisciplinary healthcare professionals (Rai et al., 2024).</w:t>
      </w:r>
    </w:p>
    <w:p w14:paraId="3B14486E" w14:textId="03581D06" w:rsidR="00BD5EE0" w:rsidRPr="00EC2F1C" w:rsidRDefault="00BD5EE0" w:rsidP="00EC2F1C">
      <w:pPr>
        <w:pStyle w:val="Heading2"/>
        <w:spacing w:line="360" w:lineRule="auto"/>
        <w:jc w:val="both"/>
        <w:rPr>
          <w:rFonts w:cs="Arial"/>
          <w:color w:val="auto"/>
          <w:sz w:val="22"/>
          <w:szCs w:val="22"/>
        </w:rPr>
      </w:pPr>
      <w:bookmarkStart w:id="4" w:name="_Toc236914579"/>
      <w:r w:rsidRPr="00EC2F1C">
        <w:rPr>
          <w:rFonts w:cs="Arial"/>
          <w:color w:val="auto"/>
          <w:sz w:val="22"/>
          <w:szCs w:val="22"/>
        </w:rPr>
        <w:t>Rationale</w:t>
      </w:r>
      <w:bookmarkEnd w:id="4"/>
    </w:p>
    <w:p w14:paraId="709289EA" w14:textId="77777777" w:rsidR="00BD5EE0" w:rsidRPr="00EC2F1C" w:rsidRDefault="00BD5EE0" w:rsidP="00EC2F1C">
      <w:pPr>
        <w:spacing w:line="360" w:lineRule="auto"/>
        <w:jc w:val="both"/>
        <w:rPr>
          <w:rFonts w:ascii="Arial" w:hAnsi="Arial" w:cs="Arial"/>
          <w:sz w:val="22"/>
        </w:rPr>
      </w:pPr>
      <w:r w:rsidRPr="00EC2F1C">
        <w:rPr>
          <w:rFonts w:ascii="Arial" w:hAnsi="Arial" w:cs="Arial"/>
          <w:sz w:val="22"/>
        </w:rPr>
        <w:t xml:space="preserve">Within the United Kingdom, Telehealth is now a core part of the primary health care system, especially since the onset of the COVID-19 pandemic, when remote consultations have gained momentum within the NHS (Murphy et al., 2021). Recent evidence has shown that telehealth can enhance access to healthcare, cut down travel time and maintain clinical effectiveness in various healthcare domains (Snoswell et al., 2023; Ezeamii et al., 2024). But there are concerns about digital exclusion (Labadorf et al., 2025), communication barriers (Kemp et al., 2025), technological limitations (Ezeamii et al., 2024), and the appropriateness of teleconsultation for patients with complex clinical requirements (Leighton et al., 2024). </w:t>
      </w:r>
    </w:p>
    <w:p w14:paraId="40C1D024" w14:textId="77777777" w:rsidR="00BD5EE0" w:rsidRPr="00EC2F1C" w:rsidRDefault="00BD5EE0" w:rsidP="00EC2F1C">
      <w:pPr>
        <w:spacing w:line="360" w:lineRule="auto"/>
        <w:jc w:val="both"/>
        <w:rPr>
          <w:rFonts w:ascii="Arial" w:hAnsi="Arial" w:cs="Arial"/>
          <w:sz w:val="22"/>
        </w:rPr>
      </w:pPr>
      <w:r w:rsidRPr="00EC2F1C">
        <w:rPr>
          <w:rFonts w:ascii="Arial" w:hAnsi="Arial" w:cs="Arial"/>
          <w:sz w:val="22"/>
        </w:rPr>
        <w:t>While telehealth is now ingrained in primary healthcare service delivery in the UK (Xing et al. 2026), available evidence is still sparse and scattered in different patient types and care models. Thus, a need exists for synthesising existing research to establish the reported benefits, challenges, and evidence gaps that could be used to shape future NHS policy and service delivery. A scoping review is thus relevant, as it allows for an extensive mapping of existing literature and its identification of gaps for further research.</w:t>
      </w:r>
    </w:p>
    <w:p w14:paraId="2D5F69D3" w14:textId="0DD1307F" w:rsidR="003F1929" w:rsidRPr="00EC2F1C" w:rsidRDefault="003F1929" w:rsidP="00EC2F1C">
      <w:pPr>
        <w:pStyle w:val="Heading2"/>
        <w:spacing w:line="360" w:lineRule="auto"/>
        <w:jc w:val="both"/>
        <w:rPr>
          <w:rFonts w:cs="Arial"/>
          <w:color w:val="auto"/>
          <w:sz w:val="22"/>
          <w:szCs w:val="22"/>
        </w:rPr>
      </w:pPr>
      <w:bookmarkStart w:id="5" w:name="_Toc236914580"/>
      <w:r w:rsidRPr="00EC2F1C">
        <w:rPr>
          <w:rFonts w:cs="Arial"/>
          <w:color w:val="auto"/>
          <w:sz w:val="22"/>
          <w:szCs w:val="22"/>
        </w:rPr>
        <w:lastRenderedPageBreak/>
        <w:t>Aim of the study</w:t>
      </w:r>
      <w:bookmarkEnd w:id="5"/>
    </w:p>
    <w:p w14:paraId="2A18090A" w14:textId="38E062C2" w:rsidR="001135B4" w:rsidRPr="00EC2F1C" w:rsidRDefault="001135B4" w:rsidP="00EC2F1C">
      <w:pPr>
        <w:pStyle w:val="Heading3"/>
        <w:spacing w:line="360" w:lineRule="auto"/>
        <w:jc w:val="both"/>
        <w:rPr>
          <w:rFonts w:cs="Arial"/>
          <w:sz w:val="22"/>
          <w:szCs w:val="22"/>
          <w:lang w:val="en-GB"/>
        </w:rPr>
      </w:pPr>
      <w:bookmarkStart w:id="6" w:name="_Toc236914581"/>
      <w:r w:rsidRPr="00EC2F1C">
        <w:rPr>
          <w:rFonts w:cs="Arial"/>
          <w:sz w:val="22"/>
          <w:szCs w:val="22"/>
          <w:lang w:val="en-GB"/>
        </w:rPr>
        <w:t>Review question</w:t>
      </w:r>
      <w:bookmarkEnd w:id="6"/>
    </w:p>
    <w:p w14:paraId="3C62AEFF" w14:textId="02815DEC" w:rsidR="001135B4" w:rsidRPr="00EC2F1C" w:rsidRDefault="001135B4" w:rsidP="00EC2F1C">
      <w:pPr>
        <w:spacing w:line="360" w:lineRule="auto"/>
        <w:jc w:val="both"/>
        <w:rPr>
          <w:rFonts w:ascii="Arial" w:hAnsi="Arial" w:cs="Arial"/>
          <w:sz w:val="22"/>
        </w:rPr>
      </w:pPr>
      <w:r w:rsidRPr="00EC2F1C">
        <w:rPr>
          <w:rFonts w:ascii="Arial" w:hAnsi="Arial" w:cs="Arial"/>
          <w:sz w:val="22"/>
        </w:rPr>
        <w:t xml:space="preserve">How effective is telehealth in delivering primary healthcare services in the United Kingdom, and what benefits, challenges, and implications for healthcare practice are reported in </w:t>
      </w:r>
      <w:r w:rsidR="00240499" w:rsidRPr="00EC2F1C">
        <w:rPr>
          <w:rFonts w:ascii="Arial" w:hAnsi="Arial" w:cs="Arial"/>
          <w:sz w:val="22"/>
        </w:rPr>
        <w:t xml:space="preserve">primary healthcare </w:t>
      </w:r>
      <w:r w:rsidRPr="00EC2F1C">
        <w:rPr>
          <w:rFonts w:ascii="Arial" w:hAnsi="Arial" w:cs="Arial"/>
          <w:sz w:val="22"/>
        </w:rPr>
        <w:t>literature?</w:t>
      </w:r>
    </w:p>
    <w:p w14:paraId="30E0394A" w14:textId="59A8A01C" w:rsidR="001135B4" w:rsidRPr="00EC2F1C" w:rsidRDefault="001135B4" w:rsidP="00EC2F1C">
      <w:pPr>
        <w:pStyle w:val="Heading3"/>
        <w:spacing w:line="360" w:lineRule="auto"/>
        <w:jc w:val="both"/>
        <w:rPr>
          <w:rFonts w:cs="Arial"/>
          <w:sz w:val="22"/>
          <w:szCs w:val="22"/>
          <w:lang w:val="en-GB"/>
        </w:rPr>
      </w:pPr>
      <w:bookmarkStart w:id="7" w:name="_Toc236914582"/>
      <w:r w:rsidRPr="00EC2F1C">
        <w:rPr>
          <w:rFonts w:cs="Arial"/>
          <w:sz w:val="22"/>
          <w:szCs w:val="22"/>
          <w:lang w:val="en-GB"/>
        </w:rPr>
        <w:t>Objectives</w:t>
      </w:r>
      <w:bookmarkEnd w:id="7"/>
    </w:p>
    <w:p w14:paraId="25029EC1" w14:textId="77777777" w:rsidR="001135B4" w:rsidRPr="00EC2F1C" w:rsidRDefault="001135B4" w:rsidP="00EC2F1C">
      <w:pPr>
        <w:spacing w:line="360" w:lineRule="auto"/>
        <w:jc w:val="both"/>
        <w:rPr>
          <w:rFonts w:ascii="Arial" w:hAnsi="Arial" w:cs="Arial"/>
          <w:sz w:val="22"/>
        </w:rPr>
      </w:pPr>
      <w:r w:rsidRPr="00EC2F1C">
        <w:rPr>
          <w:rFonts w:ascii="Arial" w:hAnsi="Arial" w:cs="Arial"/>
          <w:sz w:val="22"/>
        </w:rPr>
        <w:t>The aim of the proposed scoping review is to map and synthesise recent evidence on the effectiveness of telehealth in UK primary care. Specifically, the review seeks to:</w:t>
      </w:r>
    </w:p>
    <w:p w14:paraId="709127E7" w14:textId="77777777" w:rsidR="001135B4" w:rsidRPr="00EC2F1C" w:rsidRDefault="001135B4" w:rsidP="00EC2F1C">
      <w:pPr>
        <w:pStyle w:val="ListParagraph"/>
        <w:numPr>
          <w:ilvl w:val="0"/>
          <w:numId w:val="1"/>
        </w:numPr>
        <w:spacing w:line="360" w:lineRule="auto"/>
        <w:jc w:val="both"/>
        <w:rPr>
          <w:rFonts w:ascii="Arial" w:hAnsi="Arial" w:cs="Arial"/>
          <w:sz w:val="22"/>
        </w:rPr>
      </w:pPr>
      <w:r w:rsidRPr="00EC2F1C">
        <w:rPr>
          <w:rFonts w:ascii="Arial" w:hAnsi="Arial" w:cs="Arial"/>
          <w:sz w:val="22"/>
        </w:rPr>
        <w:t>To identify the reported effects of telehealth on access to primary healthcare service</w:t>
      </w:r>
    </w:p>
    <w:p w14:paraId="0BB4C84D" w14:textId="77777777" w:rsidR="001135B4" w:rsidRPr="00EC2F1C" w:rsidRDefault="001135B4" w:rsidP="00EC2F1C">
      <w:pPr>
        <w:pStyle w:val="ListParagraph"/>
        <w:numPr>
          <w:ilvl w:val="0"/>
          <w:numId w:val="1"/>
        </w:numPr>
        <w:spacing w:line="360" w:lineRule="auto"/>
        <w:jc w:val="both"/>
        <w:rPr>
          <w:rFonts w:ascii="Arial" w:hAnsi="Arial" w:cs="Arial"/>
          <w:sz w:val="22"/>
        </w:rPr>
      </w:pPr>
      <w:r w:rsidRPr="00EC2F1C">
        <w:rPr>
          <w:rFonts w:ascii="Arial" w:hAnsi="Arial" w:cs="Arial"/>
          <w:sz w:val="22"/>
        </w:rPr>
        <w:t>To explore its effect on patient outcomes, satisfaction and quality of care</w:t>
      </w:r>
    </w:p>
    <w:p w14:paraId="3174DD5B" w14:textId="77777777" w:rsidR="001135B4" w:rsidRPr="00EC2F1C" w:rsidRDefault="001135B4" w:rsidP="00EC2F1C">
      <w:pPr>
        <w:pStyle w:val="ListParagraph"/>
        <w:numPr>
          <w:ilvl w:val="0"/>
          <w:numId w:val="1"/>
        </w:numPr>
        <w:spacing w:line="360" w:lineRule="auto"/>
        <w:jc w:val="both"/>
        <w:rPr>
          <w:rFonts w:ascii="Arial" w:hAnsi="Arial" w:cs="Arial"/>
          <w:sz w:val="22"/>
        </w:rPr>
      </w:pPr>
      <w:r w:rsidRPr="00EC2F1C">
        <w:rPr>
          <w:rFonts w:ascii="Arial" w:hAnsi="Arial" w:cs="Arial"/>
          <w:sz w:val="22"/>
        </w:rPr>
        <w:t>To identify barriers and facilitators that would impact the use of telehealth services</w:t>
      </w:r>
    </w:p>
    <w:p w14:paraId="52010A5E" w14:textId="0C0B6812" w:rsidR="0026393A" w:rsidRPr="00EC2F1C" w:rsidRDefault="001135B4" w:rsidP="00EC2F1C">
      <w:pPr>
        <w:pStyle w:val="ListParagraph"/>
        <w:numPr>
          <w:ilvl w:val="0"/>
          <w:numId w:val="1"/>
        </w:numPr>
        <w:spacing w:line="360" w:lineRule="auto"/>
        <w:jc w:val="both"/>
        <w:rPr>
          <w:rFonts w:ascii="Arial" w:hAnsi="Arial" w:cs="Arial"/>
          <w:sz w:val="22"/>
        </w:rPr>
      </w:pPr>
      <w:r w:rsidRPr="00EC2F1C">
        <w:rPr>
          <w:rFonts w:ascii="Arial" w:hAnsi="Arial" w:cs="Arial"/>
          <w:sz w:val="22"/>
        </w:rPr>
        <w:t>To determine implications for future research, practice and policy in primary healthcare in the UK.</w:t>
      </w:r>
    </w:p>
    <w:p w14:paraId="0F7D7609" w14:textId="29997CBC" w:rsidR="0026393A" w:rsidRPr="00EC2F1C" w:rsidRDefault="0026393A" w:rsidP="00EC2F1C">
      <w:pPr>
        <w:pStyle w:val="Heading2"/>
        <w:spacing w:line="360" w:lineRule="auto"/>
        <w:jc w:val="both"/>
        <w:rPr>
          <w:rFonts w:cs="Arial"/>
          <w:color w:val="auto"/>
          <w:sz w:val="22"/>
          <w:szCs w:val="22"/>
        </w:rPr>
      </w:pPr>
      <w:bookmarkStart w:id="8" w:name="_Toc236914583"/>
      <w:r w:rsidRPr="00EC2F1C">
        <w:rPr>
          <w:rFonts w:cs="Arial"/>
          <w:color w:val="auto"/>
          <w:sz w:val="22"/>
          <w:szCs w:val="22"/>
        </w:rPr>
        <w:t>Background</w:t>
      </w:r>
      <w:bookmarkEnd w:id="8"/>
      <w:r w:rsidR="001135B4" w:rsidRPr="00EC2F1C">
        <w:rPr>
          <w:rFonts w:cs="Arial"/>
          <w:color w:val="auto"/>
          <w:sz w:val="22"/>
          <w:szCs w:val="22"/>
        </w:rPr>
        <w:t xml:space="preserve"> </w:t>
      </w:r>
    </w:p>
    <w:p w14:paraId="329365C2" w14:textId="77777777" w:rsidR="003F1929" w:rsidRPr="00EC2F1C" w:rsidRDefault="003F1929" w:rsidP="00EC2F1C">
      <w:pPr>
        <w:spacing w:line="360" w:lineRule="auto"/>
        <w:jc w:val="both"/>
        <w:rPr>
          <w:rFonts w:ascii="Arial" w:hAnsi="Arial" w:cs="Arial"/>
          <w:sz w:val="22"/>
        </w:rPr>
      </w:pPr>
      <w:r w:rsidRPr="00EC2F1C">
        <w:rPr>
          <w:rFonts w:ascii="Arial" w:hAnsi="Arial" w:cs="Arial"/>
          <w:sz w:val="22"/>
        </w:rPr>
        <w:t>Telehealth integration into primary care within the UK is part of a broader shift in how services are delivered, as demand for services grows, staffing is low, the population is ageing, and technology is rapidly evolving. Primary healthcare forms the foundation of the National Health Service (NHS), providing first-contact, continuous and coordinated care for patients with acute and long-term conditions (NHS England, 2023). While telehealth has been touted as a way of enhancing access and the efficiency of services (Beheshti et al., 2022), Haleem et al. (2021) caution against treating it simply as a technological solution.</w:t>
      </w:r>
    </w:p>
    <w:p w14:paraId="5BB380EB" w14:textId="4E7DDFC9" w:rsidR="003F1929" w:rsidRPr="00EC2F1C" w:rsidRDefault="003F1929" w:rsidP="00EC2F1C">
      <w:pPr>
        <w:spacing w:line="360" w:lineRule="auto"/>
        <w:jc w:val="both"/>
        <w:rPr>
          <w:rFonts w:ascii="Arial" w:hAnsi="Arial" w:cs="Arial"/>
          <w:sz w:val="22"/>
        </w:rPr>
      </w:pPr>
      <w:r w:rsidRPr="00EC2F1C">
        <w:rPr>
          <w:rFonts w:ascii="Arial" w:hAnsi="Arial" w:cs="Arial"/>
          <w:sz w:val="22"/>
        </w:rPr>
        <w:t>The NHS is a priority for digital transformation. Digital innovation is a key factor in the NHS Long Term Plan for improving access to health services, improving patient experience and enabling more personalised care (NHS England, 2019). Alongside this, the Department of Health and Social Care's A Plan for Digital Health and Social Care (2022) champions the use of digital technologies to enhance productivity and enable integrated care, and the Primary Care Access Recovery Plan aims to increase timely access to digital and face-to-face appointments (NHS England, 2023). But these policies are largely driven by government goals and do not necessarily indicate that telehealth consistently enhances clinical results or decreases health disparities.</w:t>
      </w:r>
    </w:p>
    <w:p w14:paraId="10658F1E" w14:textId="1B5719E7" w:rsidR="003F1929" w:rsidRPr="00EC2F1C" w:rsidRDefault="003F1929" w:rsidP="00EC2F1C">
      <w:pPr>
        <w:spacing w:line="360" w:lineRule="auto"/>
        <w:jc w:val="both"/>
        <w:rPr>
          <w:rFonts w:ascii="Arial" w:hAnsi="Arial" w:cs="Arial"/>
          <w:sz w:val="22"/>
        </w:rPr>
      </w:pPr>
      <w:r w:rsidRPr="00EC2F1C">
        <w:rPr>
          <w:rFonts w:ascii="Arial" w:hAnsi="Arial" w:cs="Arial"/>
          <w:sz w:val="22"/>
        </w:rPr>
        <w:t>The COVID-19 pandemic drove the adoption of telehealth, allowing the NHS to deliver primary health care while minimi</w:t>
      </w:r>
      <w:r w:rsidR="00DF5B71" w:rsidRPr="00EC2F1C">
        <w:rPr>
          <w:rFonts w:ascii="Arial" w:hAnsi="Arial" w:cs="Arial"/>
          <w:sz w:val="22"/>
        </w:rPr>
        <w:t>s</w:t>
      </w:r>
      <w:r w:rsidRPr="00EC2F1C">
        <w:rPr>
          <w:rFonts w:ascii="Arial" w:hAnsi="Arial" w:cs="Arial"/>
          <w:sz w:val="22"/>
        </w:rPr>
        <w:t xml:space="preserve">ing the risk of infection (Murphy et al., 2021). However, the </w:t>
      </w:r>
      <w:r w:rsidRPr="00EC2F1C">
        <w:rPr>
          <w:rFonts w:ascii="Arial" w:hAnsi="Arial" w:cs="Arial"/>
          <w:sz w:val="22"/>
        </w:rPr>
        <w:lastRenderedPageBreak/>
        <w:t>circumstances in which telehealth was implemented were very different from those of typical primary care (Roy et al., 2022). Thus, findings from the pandemic could be interpreted as reflecting the long-term sustainability and effectiveness of telehealth in routine health services (Alakeel et al., 2025). In addition, issues remain around continuity of care, patient safety and the management of patients with complex or a range of conditions, and where there is a clinical need for physical examination</w:t>
      </w:r>
      <w:r w:rsidR="00F40E23" w:rsidRPr="00EC2F1C">
        <w:rPr>
          <w:rFonts w:ascii="Arial" w:hAnsi="Arial" w:cs="Arial"/>
          <w:sz w:val="22"/>
        </w:rPr>
        <w:t xml:space="preserve"> </w:t>
      </w:r>
      <w:r w:rsidRPr="00EC2F1C">
        <w:rPr>
          <w:rFonts w:ascii="Arial" w:hAnsi="Arial" w:cs="Arial"/>
          <w:sz w:val="22"/>
        </w:rPr>
        <w:t>(Leighton et al., 2024</w:t>
      </w:r>
      <w:r w:rsidR="00DF5B71" w:rsidRPr="00EC2F1C">
        <w:rPr>
          <w:rFonts w:ascii="Arial" w:hAnsi="Arial" w:cs="Arial"/>
          <w:sz w:val="22"/>
        </w:rPr>
        <w:t>; Gobburi et al., 2025</w:t>
      </w:r>
      <w:r w:rsidRPr="00EC2F1C">
        <w:rPr>
          <w:rFonts w:ascii="Arial" w:hAnsi="Arial" w:cs="Arial"/>
          <w:sz w:val="22"/>
        </w:rPr>
        <w:t>)</w:t>
      </w:r>
      <w:r w:rsidR="00DF5B71" w:rsidRPr="00EC2F1C">
        <w:rPr>
          <w:rFonts w:ascii="Arial" w:hAnsi="Arial" w:cs="Arial"/>
          <w:sz w:val="22"/>
        </w:rPr>
        <w:t>.</w:t>
      </w:r>
      <w:r w:rsidRPr="00EC2F1C">
        <w:rPr>
          <w:rFonts w:ascii="Arial" w:hAnsi="Arial" w:cs="Arial"/>
          <w:sz w:val="22"/>
        </w:rPr>
        <w:t xml:space="preserve"> These concerns support the argument by Caffery et al. (2016) that telehealth should complement, rather than replace, face-to-face consultations.</w:t>
      </w:r>
    </w:p>
    <w:p w14:paraId="233019EA" w14:textId="377FC770" w:rsidR="003F1929" w:rsidRPr="00EC2F1C" w:rsidRDefault="003F1929" w:rsidP="00EC2F1C">
      <w:pPr>
        <w:spacing w:line="360" w:lineRule="auto"/>
        <w:jc w:val="both"/>
        <w:rPr>
          <w:rFonts w:ascii="Arial" w:hAnsi="Arial" w:cs="Arial"/>
          <w:sz w:val="22"/>
        </w:rPr>
      </w:pPr>
      <w:r w:rsidRPr="00EC2F1C">
        <w:rPr>
          <w:rFonts w:ascii="Arial" w:hAnsi="Arial" w:cs="Arial"/>
          <w:sz w:val="22"/>
        </w:rPr>
        <w:t xml:space="preserve">Legal and professional guidelines help support the expansion of telehealth, aiming to ensure patient security and privacy. The Health and Care Act 2022 </w:t>
      </w:r>
      <w:r w:rsidR="00AC6995" w:rsidRPr="00EC2F1C">
        <w:rPr>
          <w:rFonts w:ascii="Arial" w:hAnsi="Arial" w:cs="Arial"/>
          <w:sz w:val="22"/>
        </w:rPr>
        <w:t>promote</w:t>
      </w:r>
      <w:r w:rsidRPr="00EC2F1C">
        <w:rPr>
          <w:rFonts w:ascii="Arial" w:hAnsi="Arial" w:cs="Arial"/>
          <w:sz w:val="22"/>
        </w:rPr>
        <w:t xml:space="preserve"> integration between health and social care services (Toh and Haynes, 2022); the Data Protection Act 2018</w:t>
      </w:r>
      <w:r w:rsidR="00DF5B71" w:rsidRPr="00EC2F1C">
        <w:rPr>
          <w:rFonts w:ascii="Arial" w:hAnsi="Arial" w:cs="Arial"/>
          <w:sz w:val="22"/>
        </w:rPr>
        <w:t xml:space="preserve"> (Bhattacharya et al., 2019)</w:t>
      </w:r>
      <w:r w:rsidRPr="00EC2F1C">
        <w:rPr>
          <w:rFonts w:ascii="Arial" w:hAnsi="Arial" w:cs="Arial"/>
          <w:sz w:val="22"/>
        </w:rPr>
        <w:t>, and the UK General Data Protection Regulation (UK GDPR), provide legal requirements for handling personal health information safely (NHS England, 2024). Healthcare professionals, in addition, should adhere to the Nursing and Midwifery Council Code which focuses on confidentiality, informed consent, effective communication and person-centred care (NMC, 2018). Yet, digital health care raises ethical issues related to data management, cybersecurity, and access, as technology alone is not enough to guarantee safe and effective delivery of healthcare (Maeckelberghe et al., 2023; Haleem et al., 2021).</w:t>
      </w:r>
    </w:p>
    <w:p w14:paraId="78D50773" w14:textId="0F2E4277" w:rsidR="003F1929" w:rsidRPr="00EC2F1C" w:rsidRDefault="003F1929" w:rsidP="00EC2F1C">
      <w:pPr>
        <w:spacing w:line="360" w:lineRule="auto"/>
        <w:jc w:val="both"/>
        <w:rPr>
          <w:rFonts w:ascii="Arial" w:hAnsi="Arial" w:cs="Arial"/>
          <w:sz w:val="22"/>
        </w:rPr>
      </w:pPr>
      <w:r w:rsidRPr="00EC2F1C">
        <w:rPr>
          <w:rFonts w:ascii="Arial" w:hAnsi="Arial" w:cs="Arial"/>
          <w:sz w:val="22"/>
        </w:rPr>
        <w:t>The NHS App, for example, has enhanced access to things like appointments, prescriptions and health records (NHS England, 2023). There has been, however, no equal distribution of these gains, which have not benefited all patients. Some of these populations are still hindered by limited digital literacy (Bhoyar et al., 2024), poor internet connectivity (Saeed and Masters, 2021), language problems (Labadorf et al., 2025), and communication barriers (Kemp et al., 2025). While telehealth shows great promise for enhancing service delivery (Haleem et al., 2021), current evidence is mixed in terms of its effectiveness in various patient populations and clinical settings. Therefore, a critical analysis of current literature is needed to establish if telehealth is indeed having the desired impact in UK primary care, and to highlight priorities for policy, service redesign and digital inclusion work in the future.</w:t>
      </w:r>
    </w:p>
    <w:p w14:paraId="60B2CDC3" w14:textId="6F897EAF" w:rsidR="00B87E75" w:rsidRPr="00EC2F1C" w:rsidRDefault="00B87E75" w:rsidP="00EC2F1C">
      <w:pPr>
        <w:pStyle w:val="Heading1"/>
        <w:jc w:val="both"/>
        <w:rPr>
          <w:rFonts w:cs="Arial"/>
          <w:sz w:val="22"/>
        </w:rPr>
      </w:pPr>
      <w:bookmarkStart w:id="9" w:name="_Toc236914584"/>
      <w:r w:rsidRPr="00EC2F1C">
        <w:rPr>
          <w:rFonts w:cs="Arial"/>
          <w:sz w:val="22"/>
        </w:rPr>
        <w:t>Method</w:t>
      </w:r>
      <w:r w:rsidR="00525D9E" w:rsidRPr="00EC2F1C">
        <w:rPr>
          <w:rFonts w:cs="Arial"/>
          <w:sz w:val="22"/>
        </w:rPr>
        <w:t>ology</w:t>
      </w:r>
      <w:bookmarkEnd w:id="9"/>
    </w:p>
    <w:p w14:paraId="27CB432B" w14:textId="2251063B" w:rsidR="00AC6995" w:rsidRPr="00EC2F1C" w:rsidRDefault="00AC6995" w:rsidP="00EC2F1C">
      <w:pPr>
        <w:pStyle w:val="Heading2"/>
        <w:spacing w:line="360" w:lineRule="auto"/>
        <w:jc w:val="both"/>
        <w:rPr>
          <w:rFonts w:cs="Arial"/>
          <w:color w:val="auto"/>
          <w:sz w:val="22"/>
          <w:szCs w:val="22"/>
        </w:rPr>
      </w:pPr>
      <w:bookmarkStart w:id="10" w:name="_Toc236914585"/>
      <w:r w:rsidRPr="00EC2F1C">
        <w:rPr>
          <w:rFonts w:cs="Arial"/>
          <w:color w:val="auto"/>
          <w:sz w:val="22"/>
          <w:szCs w:val="22"/>
        </w:rPr>
        <w:t>Data collection</w:t>
      </w:r>
      <w:bookmarkEnd w:id="10"/>
      <w:r w:rsidRPr="00EC2F1C">
        <w:rPr>
          <w:rFonts w:cs="Arial"/>
          <w:color w:val="auto"/>
          <w:sz w:val="22"/>
          <w:szCs w:val="22"/>
        </w:rPr>
        <w:t xml:space="preserve"> </w:t>
      </w:r>
    </w:p>
    <w:p w14:paraId="3BDC7F65" w14:textId="77777777" w:rsidR="00AC6995" w:rsidRPr="00EC2F1C" w:rsidRDefault="00AC6995" w:rsidP="00EC2F1C">
      <w:pPr>
        <w:tabs>
          <w:tab w:val="left" w:pos="6540"/>
        </w:tabs>
        <w:spacing w:line="360" w:lineRule="auto"/>
        <w:jc w:val="both"/>
        <w:rPr>
          <w:rFonts w:ascii="Arial" w:hAnsi="Arial" w:cs="Arial"/>
          <w:sz w:val="22"/>
        </w:rPr>
      </w:pPr>
      <w:r w:rsidRPr="00EC2F1C">
        <w:rPr>
          <w:rFonts w:ascii="Arial" w:hAnsi="Arial" w:cs="Arial"/>
          <w:sz w:val="22"/>
        </w:rPr>
        <w:t xml:space="preserve">This study employed a scoping review methodology to systematically map the existing evidence on the effectiveness of telehealth in delivering primary healthcare services within the United Kingdom. A scoping review was considered the most appropriate methodological approach because the topic is characterised by diverse study designs, healthcare settings and reported outcomes. Unlike a systematic review, which primarily evaluates the effectiveness of </w:t>
      </w:r>
      <w:r w:rsidRPr="00EC2F1C">
        <w:rPr>
          <w:rFonts w:ascii="Arial" w:hAnsi="Arial" w:cs="Arial"/>
          <w:sz w:val="22"/>
        </w:rPr>
        <w:lastRenderedPageBreak/>
        <w:t xml:space="preserve">interventions, a scoping review enables the identification, synthesis and mapping of the breadth of available evidence while highlighting knowledge gaps requiring further investigation (Arksey and O'Malley, 2005; Peters </w:t>
      </w:r>
      <w:r w:rsidRPr="00EC2F1C">
        <w:rPr>
          <w:rFonts w:ascii="Arial" w:hAnsi="Arial" w:cs="Arial"/>
          <w:i/>
          <w:iCs/>
          <w:sz w:val="22"/>
        </w:rPr>
        <w:t>et al.</w:t>
      </w:r>
      <w:r w:rsidRPr="00EC2F1C">
        <w:rPr>
          <w:rFonts w:ascii="Arial" w:hAnsi="Arial" w:cs="Arial"/>
          <w:sz w:val="22"/>
        </w:rPr>
        <w:t>, 2021). This approach aligns with the review objective of examining not only the effectiveness of telehealth but also the reported benefits, barriers and implications for UK primary healthcare practice.</w:t>
      </w:r>
    </w:p>
    <w:p w14:paraId="2A69D7B2" w14:textId="7D63CED5" w:rsidR="0021419F" w:rsidRPr="00EC2F1C" w:rsidRDefault="00AC6995" w:rsidP="00EC2F1C">
      <w:pPr>
        <w:tabs>
          <w:tab w:val="left" w:pos="6540"/>
        </w:tabs>
        <w:spacing w:line="360" w:lineRule="auto"/>
        <w:jc w:val="both"/>
        <w:rPr>
          <w:rFonts w:ascii="Arial" w:hAnsi="Arial" w:cs="Arial"/>
          <w:sz w:val="22"/>
        </w:rPr>
      </w:pPr>
      <w:r w:rsidRPr="00EC2F1C">
        <w:rPr>
          <w:rFonts w:ascii="Arial" w:hAnsi="Arial" w:cs="Arial"/>
          <w:sz w:val="22"/>
        </w:rPr>
        <w:t xml:space="preserve">The review followed the methodological framework proposed by Arksey and O'Malley (2005), together with the updated guidance provided by the Joanna Briggs Institute (Peters </w:t>
      </w:r>
      <w:r w:rsidRPr="00EC2F1C">
        <w:rPr>
          <w:rFonts w:ascii="Arial" w:hAnsi="Arial" w:cs="Arial"/>
          <w:i/>
          <w:iCs/>
          <w:sz w:val="22"/>
        </w:rPr>
        <w:t>et al.</w:t>
      </w:r>
      <w:r w:rsidRPr="00EC2F1C">
        <w:rPr>
          <w:rFonts w:ascii="Arial" w:hAnsi="Arial" w:cs="Arial"/>
          <w:sz w:val="22"/>
        </w:rPr>
        <w:t xml:space="preserve">, 2021). </w:t>
      </w:r>
    </w:p>
    <w:p w14:paraId="6F2A1F6E" w14:textId="65353CD7" w:rsidR="00240499" w:rsidRPr="00EC2F1C" w:rsidRDefault="00240499" w:rsidP="00EC2F1C">
      <w:pPr>
        <w:pStyle w:val="Heading2"/>
        <w:spacing w:line="360" w:lineRule="auto"/>
        <w:jc w:val="both"/>
        <w:rPr>
          <w:rFonts w:cs="Arial"/>
          <w:color w:val="auto"/>
          <w:sz w:val="22"/>
          <w:szCs w:val="22"/>
        </w:rPr>
      </w:pPr>
      <w:bookmarkStart w:id="11" w:name="_Toc236914586"/>
      <w:r w:rsidRPr="00EC2F1C">
        <w:rPr>
          <w:rFonts w:cs="Arial"/>
          <w:color w:val="auto"/>
          <w:sz w:val="22"/>
          <w:szCs w:val="22"/>
        </w:rPr>
        <w:t>Search strategy</w:t>
      </w:r>
      <w:bookmarkEnd w:id="11"/>
    </w:p>
    <w:p w14:paraId="69A1DEC9" w14:textId="77777777" w:rsidR="003B1FAA" w:rsidRPr="00EC2F1C" w:rsidRDefault="003B1FAA" w:rsidP="00EC2F1C">
      <w:pPr>
        <w:spacing w:line="360" w:lineRule="auto"/>
        <w:jc w:val="both"/>
        <w:rPr>
          <w:rFonts w:ascii="Arial" w:hAnsi="Arial" w:cs="Arial"/>
          <w:sz w:val="22"/>
        </w:rPr>
      </w:pPr>
      <w:r w:rsidRPr="00EC2F1C">
        <w:rPr>
          <w:rFonts w:ascii="Arial" w:hAnsi="Arial" w:cs="Arial"/>
          <w:sz w:val="22"/>
        </w:rPr>
        <w:t xml:space="preserve">A structured search strategy was developed to maximise transparency and reproducibility (Calderon et al., 2021). Four electronic databases were searched owing to their combined comprehensive coverage of peer-reviewed literature relevant to health, primary care and digital health research. PubMed indexes biomedical and clinical studies (Lindsey and Olin, 2013), whereas CINAHL is for nursing and allied health studies (Hopia and Heikkilä, 2020). Scopus provides wide multidisciplinary coverage and a very broad range of citation indexes (Pranckutė, 2021), while PsycINFO covers psychological and behavioural aspects of healthcare, which have an impact on the engagement of patients in telehealth (Eady et al., 2008). Multiple databases helped to limit publication bias and help identify a more comprehensive set of evidence (Ewald et al. 2022). </w:t>
      </w:r>
    </w:p>
    <w:p w14:paraId="01ECA3E2" w14:textId="77777777" w:rsidR="003B1FAA" w:rsidRPr="00EC2F1C" w:rsidRDefault="003B1FAA" w:rsidP="00EC2F1C">
      <w:pPr>
        <w:spacing w:line="360" w:lineRule="auto"/>
        <w:jc w:val="both"/>
        <w:rPr>
          <w:rFonts w:ascii="Arial" w:hAnsi="Arial" w:cs="Arial"/>
          <w:sz w:val="22"/>
        </w:rPr>
      </w:pPr>
      <w:r w:rsidRPr="00EC2F1C">
        <w:rPr>
          <w:rFonts w:ascii="Arial" w:hAnsi="Arial" w:cs="Arial"/>
          <w:sz w:val="22"/>
        </w:rPr>
        <w:t>The search was conducted using combinations of keywords and Boolean operators, including "telehealth" OR "telemedicine" OR "remote consultation" OR "virtual consultation" AND "primary healthcare" OR "primary care" OR "general practice" AND "United Kingdom" OR "UK" OR "NHS".</w:t>
      </w:r>
    </w:p>
    <w:p w14:paraId="58354A8F" w14:textId="77777777" w:rsidR="003B1FAA" w:rsidRPr="00EC2F1C" w:rsidRDefault="003B1FAA" w:rsidP="00EC2F1C">
      <w:pPr>
        <w:spacing w:line="360" w:lineRule="auto"/>
        <w:jc w:val="both"/>
        <w:rPr>
          <w:rFonts w:ascii="Arial" w:hAnsi="Arial" w:cs="Arial"/>
          <w:b/>
          <w:i/>
          <w:sz w:val="22"/>
        </w:rPr>
      </w:pPr>
      <w:r w:rsidRPr="00EC2F1C">
        <w:rPr>
          <w:rFonts w:ascii="Arial" w:hAnsi="Arial" w:cs="Arial"/>
          <w:sz w:val="22"/>
        </w:rPr>
        <w:t>The process of article selection followed the PRISMA by Moher et al. (2009) where Fig. 1 signifies the process of the selection of articles for each step that was taken.</w:t>
      </w:r>
    </w:p>
    <w:p w14:paraId="46751052" w14:textId="38776A49" w:rsidR="0021419F" w:rsidRPr="00EC2F1C" w:rsidRDefault="0021419F" w:rsidP="00EC2F1C">
      <w:pPr>
        <w:pStyle w:val="Heading2"/>
        <w:spacing w:line="360" w:lineRule="auto"/>
        <w:jc w:val="both"/>
        <w:rPr>
          <w:rFonts w:cs="Arial"/>
          <w:color w:val="auto"/>
          <w:sz w:val="22"/>
          <w:szCs w:val="22"/>
        </w:rPr>
      </w:pPr>
      <w:bookmarkStart w:id="12" w:name="_Toc236914587"/>
      <w:r w:rsidRPr="00EC2F1C">
        <w:rPr>
          <w:rFonts w:cs="Arial"/>
          <w:color w:val="auto"/>
          <w:sz w:val="22"/>
          <w:szCs w:val="22"/>
        </w:rPr>
        <w:t xml:space="preserve">Inclusion and Exclusion </w:t>
      </w:r>
      <w:r w:rsidR="009768BC" w:rsidRPr="00EC2F1C">
        <w:rPr>
          <w:rFonts w:cs="Arial"/>
          <w:color w:val="auto"/>
          <w:sz w:val="22"/>
          <w:szCs w:val="22"/>
        </w:rPr>
        <w:t>criteria</w:t>
      </w:r>
      <w:bookmarkEnd w:id="12"/>
    </w:p>
    <w:tbl>
      <w:tblPr>
        <w:tblStyle w:val="GridTable6Colorful-Accent6"/>
        <w:tblW w:w="0" w:type="auto"/>
        <w:tblLook w:val="04A0" w:firstRow="1" w:lastRow="0" w:firstColumn="1" w:lastColumn="0" w:noHBand="0" w:noVBand="1"/>
      </w:tblPr>
      <w:tblGrid>
        <w:gridCol w:w="4229"/>
        <w:gridCol w:w="4787"/>
      </w:tblGrid>
      <w:tr w:rsidR="0021419F" w:rsidRPr="00EC2F1C" w14:paraId="16CE2946" w14:textId="77777777" w:rsidTr="00214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50F96"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Inclusion Criteria</w:t>
            </w:r>
          </w:p>
        </w:tc>
        <w:tc>
          <w:tcPr>
            <w:tcW w:w="0" w:type="auto"/>
            <w:hideMark/>
          </w:tcPr>
          <w:p w14:paraId="5BB3ABAE" w14:textId="77777777" w:rsidR="0021419F" w:rsidRPr="00EC2F1C" w:rsidRDefault="0021419F" w:rsidP="00EC2F1C">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Exclusion Criteria</w:t>
            </w:r>
          </w:p>
        </w:tc>
      </w:tr>
      <w:tr w:rsidR="0021419F" w:rsidRPr="00EC2F1C" w14:paraId="5296CF02" w14:textId="77777777" w:rsidTr="00214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122DF4"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Peer-reviewed research studies</w:t>
            </w:r>
          </w:p>
        </w:tc>
        <w:tc>
          <w:tcPr>
            <w:tcW w:w="0" w:type="auto"/>
            <w:hideMark/>
          </w:tcPr>
          <w:p w14:paraId="1A79ED71" w14:textId="77777777" w:rsidR="0021419F" w:rsidRPr="00EC2F1C" w:rsidRDefault="0021419F" w:rsidP="00EC2F1C">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Editorials, opinion papers, conference abstracts and dissertations</w:t>
            </w:r>
          </w:p>
        </w:tc>
      </w:tr>
      <w:tr w:rsidR="0021419F" w:rsidRPr="00EC2F1C" w14:paraId="7366D207" w14:textId="77777777" w:rsidTr="0021419F">
        <w:tc>
          <w:tcPr>
            <w:cnfStyle w:val="001000000000" w:firstRow="0" w:lastRow="0" w:firstColumn="1" w:lastColumn="0" w:oddVBand="0" w:evenVBand="0" w:oddHBand="0" w:evenHBand="0" w:firstRowFirstColumn="0" w:firstRowLastColumn="0" w:lastRowFirstColumn="0" w:lastRowLastColumn="0"/>
            <w:tcW w:w="0" w:type="auto"/>
            <w:hideMark/>
          </w:tcPr>
          <w:p w14:paraId="7E905A16"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Studies published between 2021 and 2026</w:t>
            </w:r>
          </w:p>
        </w:tc>
        <w:tc>
          <w:tcPr>
            <w:tcW w:w="0" w:type="auto"/>
            <w:hideMark/>
          </w:tcPr>
          <w:p w14:paraId="02DD0072" w14:textId="77777777" w:rsidR="0021419F" w:rsidRPr="00EC2F1C" w:rsidRDefault="0021419F"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 xml:space="preserve">Studies published before </w:t>
            </w:r>
            <w:r w:rsidRPr="00EC2F1C">
              <w:rPr>
                <w:rFonts w:ascii="Arial" w:hAnsi="Arial" w:cs="Arial"/>
                <w:b/>
                <w:bCs/>
                <w:color w:val="auto"/>
                <w:sz w:val="22"/>
              </w:rPr>
              <w:t>2021</w:t>
            </w:r>
          </w:p>
        </w:tc>
      </w:tr>
      <w:tr w:rsidR="0021419F" w:rsidRPr="00EC2F1C" w14:paraId="3DE0D8F5" w14:textId="77777777" w:rsidTr="00214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454B9"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Studies published in English</w:t>
            </w:r>
          </w:p>
        </w:tc>
        <w:tc>
          <w:tcPr>
            <w:tcW w:w="0" w:type="auto"/>
            <w:hideMark/>
          </w:tcPr>
          <w:p w14:paraId="378329A1" w14:textId="77777777" w:rsidR="0021419F" w:rsidRPr="00EC2F1C" w:rsidRDefault="0021419F" w:rsidP="00EC2F1C">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Studies published in other languages</w:t>
            </w:r>
          </w:p>
        </w:tc>
      </w:tr>
      <w:tr w:rsidR="0021419F" w:rsidRPr="00EC2F1C" w14:paraId="23F09702" w14:textId="77777777" w:rsidTr="0021419F">
        <w:tc>
          <w:tcPr>
            <w:cnfStyle w:val="001000000000" w:firstRow="0" w:lastRow="0" w:firstColumn="1" w:lastColumn="0" w:oddVBand="0" w:evenVBand="0" w:oddHBand="0" w:evenHBand="0" w:firstRowFirstColumn="0" w:firstRowLastColumn="0" w:lastRowFirstColumn="0" w:lastRowLastColumn="0"/>
            <w:tcW w:w="0" w:type="auto"/>
            <w:hideMark/>
          </w:tcPr>
          <w:p w14:paraId="75F0162D"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lastRenderedPageBreak/>
              <w:t>Studies on telehealth in UK primary healthcare</w:t>
            </w:r>
          </w:p>
        </w:tc>
        <w:tc>
          <w:tcPr>
            <w:tcW w:w="0" w:type="auto"/>
            <w:hideMark/>
          </w:tcPr>
          <w:p w14:paraId="168FC120" w14:textId="77777777" w:rsidR="0021419F" w:rsidRPr="00EC2F1C" w:rsidRDefault="0021419F"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Studies not related to telehealth or primary healthcare</w:t>
            </w:r>
          </w:p>
        </w:tc>
      </w:tr>
      <w:tr w:rsidR="0021419F" w:rsidRPr="00EC2F1C" w14:paraId="04FD4A53" w14:textId="77777777" w:rsidTr="00214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DDEBE9" w14:textId="77777777" w:rsidR="0021419F" w:rsidRPr="00EC2F1C" w:rsidRDefault="0021419F"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Studies conducted in UK healthcare settings</w:t>
            </w:r>
          </w:p>
        </w:tc>
        <w:tc>
          <w:tcPr>
            <w:tcW w:w="0" w:type="auto"/>
            <w:hideMark/>
          </w:tcPr>
          <w:p w14:paraId="5FB02EB9" w14:textId="77777777" w:rsidR="0021419F" w:rsidRPr="00EC2F1C" w:rsidRDefault="0021419F" w:rsidP="00EC2F1C">
            <w:pPr>
              <w:tabs>
                <w:tab w:val="left" w:pos="6540"/>
              </w:tabs>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Studies conducted outside the UK</w:t>
            </w:r>
          </w:p>
        </w:tc>
      </w:tr>
      <w:tr w:rsidR="0021419F" w:rsidRPr="00EC2F1C" w14:paraId="4D265C48" w14:textId="77777777" w:rsidTr="0021419F">
        <w:tc>
          <w:tcPr>
            <w:cnfStyle w:val="001000000000" w:firstRow="0" w:lastRow="0" w:firstColumn="1" w:lastColumn="0" w:oddVBand="0" w:evenVBand="0" w:oddHBand="0" w:evenHBand="0" w:firstRowFirstColumn="0" w:firstRowLastColumn="0" w:lastRowFirstColumn="0" w:lastRowLastColumn="0"/>
            <w:tcW w:w="0" w:type="auto"/>
            <w:hideMark/>
          </w:tcPr>
          <w:p w14:paraId="041900D6" w14:textId="13427B77" w:rsidR="0021419F" w:rsidRPr="00EC2F1C" w:rsidRDefault="008276D3" w:rsidP="00EC2F1C">
            <w:pPr>
              <w:tabs>
                <w:tab w:val="left" w:pos="6540"/>
              </w:tabs>
              <w:spacing w:after="160" w:line="360" w:lineRule="auto"/>
              <w:jc w:val="both"/>
              <w:rPr>
                <w:rFonts w:ascii="Arial" w:hAnsi="Arial" w:cs="Arial"/>
                <w:color w:val="auto"/>
                <w:sz w:val="22"/>
              </w:rPr>
            </w:pPr>
            <w:r w:rsidRPr="00EC2F1C">
              <w:rPr>
                <w:rFonts w:ascii="Arial" w:hAnsi="Arial" w:cs="Arial"/>
                <w:color w:val="auto"/>
                <w:sz w:val="22"/>
              </w:rPr>
              <w:t>Primary q</w:t>
            </w:r>
            <w:r w:rsidR="0021419F" w:rsidRPr="00EC2F1C">
              <w:rPr>
                <w:rFonts w:ascii="Arial" w:hAnsi="Arial" w:cs="Arial"/>
                <w:color w:val="auto"/>
                <w:sz w:val="22"/>
              </w:rPr>
              <w:t>uantitative, qualitative and mixed-methods studies</w:t>
            </w:r>
          </w:p>
        </w:tc>
        <w:tc>
          <w:tcPr>
            <w:tcW w:w="0" w:type="auto"/>
            <w:hideMark/>
          </w:tcPr>
          <w:p w14:paraId="4E41CB70" w14:textId="2935508E" w:rsidR="0021419F" w:rsidRPr="00EC2F1C" w:rsidRDefault="0021419F"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auto"/>
                <w:sz w:val="22"/>
              </w:rPr>
            </w:pPr>
            <w:r w:rsidRPr="00EC2F1C">
              <w:rPr>
                <w:rFonts w:ascii="Arial" w:hAnsi="Arial" w:cs="Arial"/>
                <w:color w:val="auto"/>
                <w:sz w:val="22"/>
              </w:rPr>
              <w:t>Duplicate studies or studies with insufficient information</w:t>
            </w:r>
            <w:r w:rsidR="008276D3" w:rsidRPr="00EC2F1C">
              <w:rPr>
                <w:rFonts w:ascii="Arial" w:hAnsi="Arial" w:cs="Arial"/>
                <w:color w:val="auto"/>
                <w:sz w:val="22"/>
              </w:rPr>
              <w:t>, not primary studies</w:t>
            </w:r>
          </w:p>
        </w:tc>
      </w:tr>
    </w:tbl>
    <w:p w14:paraId="4827F903" w14:textId="77777777" w:rsidR="00AC6995" w:rsidRPr="00EC2F1C" w:rsidRDefault="00AC6995" w:rsidP="00EC2F1C">
      <w:pPr>
        <w:pStyle w:val="Heading2"/>
        <w:spacing w:line="360" w:lineRule="auto"/>
        <w:jc w:val="both"/>
        <w:rPr>
          <w:rFonts w:cs="Arial"/>
          <w:color w:val="auto"/>
          <w:sz w:val="22"/>
          <w:szCs w:val="22"/>
        </w:rPr>
      </w:pPr>
      <w:bookmarkStart w:id="13" w:name="_Toc236914588"/>
      <w:r w:rsidRPr="00EC2F1C">
        <w:rPr>
          <w:rFonts w:cs="Arial"/>
          <w:color w:val="auto"/>
          <w:sz w:val="22"/>
          <w:szCs w:val="22"/>
        </w:rPr>
        <w:t>Data analysis</w:t>
      </w:r>
      <w:bookmarkEnd w:id="13"/>
    </w:p>
    <w:p w14:paraId="31505EC3" w14:textId="77777777" w:rsidR="009768BC" w:rsidRPr="00EC2F1C" w:rsidRDefault="009768BC" w:rsidP="00EC2F1C">
      <w:pPr>
        <w:tabs>
          <w:tab w:val="left" w:pos="6540"/>
        </w:tabs>
        <w:spacing w:line="360" w:lineRule="auto"/>
        <w:jc w:val="both"/>
        <w:rPr>
          <w:rFonts w:ascii="Arial" w:hAnsi="Arial" w:cs="Arial"/>
          <w:sz w:val="22"/>
        </w:rPr>
      </w:pPr>
      <w:r w:rsidRPr="00EC2F1C">
        <w:rPr>
          <w:rFonts w:ascii="Arial" w:hAnsi="Arial" w:cs="Arial"/>
          <w:sz w:val="22"/>
        </w:rPr>
        <w:t xml:space="preserve">Following study selection, data were extracted using a structured data extraction table to ensure a systematic and transparent approach to data management. Extracted information included the author, publication year, study aim, research design, participant characteristics, healthcare setting and key findings relevant to the review question. A standardised extraction process was used to improve consistency and reduce the risk of selective reporting (Peters </w:t>
      </w:r>
      <w:r w:rsidRPr="00EC2F1C">
        <w:rPr>
          <w:rFonts w:ascii="Arial" w:hAnsi="Arial" w:cs="Arial"/>
          <w:i/>
          <w:iCs/>
          <w:sz w:val="22"/>
        </w:rPr>
        <w:t>et al</w:t>
      </w:r>
      <w:r w:rsidRPr="00EC2F1C">
        <w:rPr>
          <w:rFonts w:ascii="Arial" w:hAnsi="Arial" w:cs="Arial"/>
          <w:sz w:val="22"/>
        </w:rPr>
        <w:t>., 2021). However, the quality of the synthesis remained dependent on the methodological rigour and reporting quality of the included studies (Arksey and O'Malley, 2005).</w:t>
      </w:r>
    </w:p>
    <w:p w14:paraId="7350377A" w14:textId="0B9128D3" w:rsidR="009768BC" w:rsidRPr="00EC2F1C" w:rsidRDefault="009768BC" w:rsidP="00EC2F1C">
      <w:pPr>
        <w:tabs>
          <w:tab w:val="left" w:pos="6540"/>
        </w:tabs>
        <w:spacing w:line="360" w:lineRule="auto"/>
        <w:jc w:val="both"/>
        <w:rPr>
          <w:rFonts w:ascii="Arial" w:hAnsi="Arial" w:cs="Arial"/>
          <w:sz w:val="22"/>
        </w:rPr>
      </w:pPr>
      <w:r w:rsidRPr="00EC2F1C">
        <w:rPr>
          <w:rFonts w:ascii="Arial" w:hAnsi="Arial" w:cs="Arial"/>
          <w:sz w:val="22"/>
        </w:rPr>
        <w:t>The extracted data were analysed using Braun and Clarke's (2021) six-phase thematic analysis framework, involving familiarisation with the data, coding, theme development, theme review, theme definition and report production. An inductive approach was adopted to allow themes to emerge directly from the evidence, reflecting the diverse nature of telehealth research within UK primary healthcare (</w:t>
      </w:r>
      <w:r w:rsidR="00525D9E" w:rsidRPr="00EC2F1C">
        <w:rPr>
          <w:rFonts w:ascii="Arial" w:hAnsi="Arial" w:cs="Arial"/>
          <w:sz w:val="22"/>
        </w:rPr>
        <w:t>Laari, 2025</w:t>
      </w:r>
      <w:r w:rsidRPr="00EC2F1C">
        <w:rPr>
          <w:rFonts w:ascii="Arial" w:hAnsi="Arial" w:cs="Arial"/>
          <w:sz w:val="22"/>
        </w:rPr>
        <w:t>). While thematic analysis provides a flexible and robust approach for synthesising evidence across different study designs</w:t>
      </w:r>
      <w:r w:rsidR="001506C8" w:rsidRPr="00EC2F1C">
        <w:rPr>
          <w:rFonts w:ascii="Arial" w:hAnsi="Arial" w:cs="Arial"/>
          <w:sz w:val="22"/>
        </w:rPr>
        <w:t xml:space="preserve"> (Jowsey et al., 2021)</w:t>
      </w:r>
      <w:r w:rsidRPr="00EC2F1C">
        <w:rPr>
          <w:rFonts w:ascii="Arial" w:hAnsi="Arial" w:cs="Arial"/>
          <w:sz w:val="22"/>
        </w:rPr>
        <w:t xml:space="preserve">, it is inherently interpretative and therefore susceptible to researcher bias (Braun and Clarke, 2021). To enhance the credibility and dependability of the findings, coding was guided by the review question and applied consistently across all included studies (Nowell </w:t>
      </w:r>
      <w:r w:rsidRPr="00EC2F1C">
        <w:rPr>
          <w:rFonts w:ascii="Arial" w:hAnsi="Arial" w:cs="Arial"/>
          <w:i/>
          <w:iCs/>
          <w:sz w:val="22"/>
        </w:rPr>
        <w:t>et al</w:t>
      </w:r>
      <w:r w:rsidRPr="00EC2F1C">
        <w:rPr>
          <w:rFonts w:ascii="Arial" w:hAnsi="Arial" w:cs="Arial"/>
          <w:sz w:val="22"/>
        </w:rPr>
        <w:t>., 2017).</w:t>
      </w:r>
    </w:p>
    <w:p w14:paraId="35BD7D7C" w14:textId="77777777" w:rsidR="00AC6995" w:rsidRPr="00EC2F1C" w:rsidRDefault="00AC6995" w:rsidP="00EC2F1C">
      <w:pPr>
        <w:pStyle w:val="Heading2"/>
        <w:spacing w:line="360" w:lineRule="auto"/>
        <w:jc w:val="both"/>
        <w:rPr>
          <w:rFonts w:cs="Arial"/>
          <w:color w:val="auto"/>
          <w:sz w:val="22"/>
          <w:szCs w:val="22"/>
        </w:rPr>
      </w:pPr>
      <w:bookmarkStart w:id="14" w:name="_Toc236914589"/>
      <w:r w:rsidRPr="00EC2F1C">
        <w:rPr>
          <w:rFonts w:cs="Arial"/>
          <w:color w:val="auto"/>
          <w:sz w:val="22"/>
          <w:szCs w:val="22"/>
        </w:rPr>
        <w:t>Ethical considerations</w:t>
      </w:r>
      <w:bookmarkEnd w:id="14"/>
    </w:p>
    <w:p w14:paraId="1063B698" w14:textId="013E7EF6" w:rsidR="00AC6995" w:rsidRPr="00EC2F1C" w:rsidRDefault="008138E5" w:rsidP="00EC2F1C">
      <w:pPr>
        <w:tabs>
          <w:tab w:val="left" w:pos="6540"/>
        </w:tabs>
        <w:spacing w:line="360" w:lineRule="auto"/>
        <w:jc w:val="both"/>
        <w:rPr>
          <w:rFonts w:ascii="Arial" w:hAnsi="Arial" w:cs="Arial"/>
          <w:sz w:val="22"/>
        </w:rPr>
      </w:pPr>
      <w:r w:rsidRPr="00EC2F1C">
        <w:rPr>
          <w:rFonts w:ascii="Arial" w:hAnsi="Arial" w:cs="Arial"/>
          <w:sz w:val="22"/>
        </w:rPr>
        <w:t xml:space="preserve">This study is a secondary scoping review of published peer-reviewed literature and as such does not involve the recruitment of human subjects or the collection of identifiable personal data so there is no need to obtain formal ethical approval (Peters et al., 2020). But there is no excuse for the research not to adhere to ethical standards if the research is not approved ethically. The review will therefore take place based on the principles of research integrity which include the transparent selection of research, reporting of research findings and appropriate acknowledgment of all original authors and avoid plagiarism (Braun and Clarke, 2021). In addition, the researcher's bias in selecting studies, extracting data from texts, and carrying out thematic synthesis can impact the findings interpretation. To minimise this risk, </w:t>
      </w:r>
      <w:r w:rsidRPr="00EC2F1C">
        <w:rPr>
          <w:rFonts w:ascii="Arial" w:hAnsi="Arial" w:cs="Arial"/>
          <w:sz w:val="22"/>
        </w:rPr>
        <w:lastRenderedPageBreak/>
        <w:t xml:space="preserve">predefined inclusion and exclusion criteria, systematic searching and consistent data extraction procedures </w:t>
      </w:r>
      <w:r w:rsidR="00292D58" w:rsidRPr="00EC2F1C">
        <w:rPr>
          <w:rFonts w:ascii="Arial" w:hAnsi="Arial" w:cs="Arial"/>
          <w:sz w:val="22"/>
        </w:rPr>
        <w:t>are</w:t>
      </w:r>
      <w:r w:rsidRPr="00EC2F1C">
        <w:rPr>
          <w:rFonts w:ascii="Arial" w:hAnsi="Arial" w:cs="Arial"/>
          <w:sz w:val="22"/>
        </w:rPr>
        <w:t xml:space="preserve"> employed, all of which will increase transparency, credibility and reproducibility of the review (</w:t>
      </w:r>
      <w:r w:rsidR="003B3F0E" w:rsidRPr="00EC2F1C">
        <w:rPr>
          <w:rFonts w:ascii="Arial" w:hAnsi="Arial" w:cs="Arial"/>
          <w:sz w:val="22"/>
        </w:rPr>
        <w:t>Calderon</w:t>
      </w:r>
      <w:r w:rsidRPr="00EC2F1C">
        <w:rPr>
          <w:rFonts w:ascii="Arial" w:hAnsi="Arial" w:cs="Arial"/>
          <w:sz w:val="22"/>
        </w:rPr>
        <w:t xml:space="preserve"> et al., 202</w:t>
      </w:r>
      <w:r w:rsidR="003B3F0E" w:rsidRPr="00EC2F1C">
        <w:rPr>
          <w:rFonts w:ascii="Arial" w:hAnsi="Arial" w:cs="Arial"/>
          <w:sz w:val="22"/>
        </w:rPr>
        <w:t>1</w:t>
      </w:r>
      <w:r w:rsidRPr="00EC2F1C">
        <w:rPr>
          <w:rFonts w:ascii="Arial" w:hAnsi="Arial" w:cs="Arial"/>
          <w:sz w:val="22"/>
        </w:rPr>
        <w:t>).</w:t>
      </w:r>
    </w:p>
    <w:p w14:paraId="610069EC" w14:textId="229F45CC" w:rsidR="006A2473" w:rsidRPr="00EC2F1C" w:rsidRDefault="00B87E75" w:rsidP="00EC2F1C">
      <w:pPr>
        <w:pStyle w:val="Heading1"/>
        <w:jc w:val="both"/>
        <w:rPr>
          <w:rFonts w:cs="Arial"/>
          <w:sz w:val="22"/>
        </w:rPr>
      </w:pPr>
      <w:bookmarkStart w:id="15" w:name="_Toc236914590"/>
      <w:r w:rsidRPr="00EC2F1C">
        <w:rPr>
          <w:rFonts w:cs="Arial"/>
          <w:sz w:val="22"/>
        </w:rPr>
        <w:t>Results</w:t>
      </w:r>
      <w:bookmarkEnd w:id="15"/>
      <w:r w:rsidR="001135B4" w:rsidRPr="00EC2F1C">
        <w:rPr>
          <w:rFonts w:cs="Arial"/>
          <w:sz w:val="22"/>
        </w:rPr>
        <w:t xml:space="preserve"> </w:t>
      </w:r>
    </w:p>
    <w:p w14:paraId="57CBC85E" w14:textId="7DB22FD6" w:rsidR="006A2473" w:rsidRPr="00EC2F1C" w:rsidRDefault="00795801" w:rsidP="00EC2F1C">
      <w:pPr>
        <w:tabs>
          <w:tab w:val="left" w:pos="6540"/>
        </w:tabs>
        <w:spacing w:line="360" w:lineRule="auto"/>
        <w:jc w:val="both"/>
        <w:rPr>
          <w:rFonts w:ascii="Arial" w:hAnsi="Arial" w:cs="Arial"/>
          <w:sz w:val="22"/>
        </w:rPr>
      </w:pPr>
      <w:r w:rsidRPr="00EC2F1C">
        <w:rPr>
          <w:rFonts w:ascii="Arial" w:hAnsi="Arial" w:cs="Arial"/>
          <w:sz w:val="22"/>
        </w:rPr>
        <w:t xml:space="preserve">Four online databases were systematically searched for research on the effectiveness of telehealth in primary healthcare in the UK. In accordance with the PRISMA flow diagram (see Appendix 1), six empirical studies were found that fulfilled the pre-established criteria for inclusion in the scoping review. The studies selected were qualitative and mixed </w:t>
      </w:r>
      <w:r w:rsidR="00642371" w:rsidRPr="00EC2F1C">
        <w:rPr>
          <w:rFonts w:ascii="Arial" w:hAnsi="Arial" w:cs="Arial"/>
          <w:sz w:val="22"/>
        </w:rPr>
        <w:t>methods research and</w:t>
      </w:r>
      <w:r w:rsidRPr="00EC2F1C">
        <w:rPr>
          <w:rFonts w:ascii="Arial" w:hAnsi="Arial" w:cs="Arial"/>
          <w:sz w:val="22"/>
        </w:rPr>
        <w:t xml:space="preserve"> were conducted in a variety of UK primary care settings with evidence from health care professionals, patients, and large-scale survey datasets. The characteristics of studies included in this review are summarised in Table 1, which covers the study design, participants, details of the aims and key findings (Appendix 2).</w:t>
      </w:r>
    </w:p>
    <w:p w14:paraId="5DE15027" w14:textId="77777777" w:rsidR="00FE0B08" w:rsidRPr="00EC2F1C" w:rsidRDefault="00FE0B08" w:rsidP="00EC2F1C">
      <w:pPr>
        <w:pStyle w:val="Heading2"/>
        <w:spacing w:line="360" w:lineRule="auto"/>
        <w:jc w:val="both"/>
        <w:rPr>
          <w:rFonts w:cs="Arial"/>
          <w:color w:val="auto"/>
          <w:sz w:val="22"/>
          <w:szCs w:val="22"/>
        </w:rPr>
      </w:pPr>
      <w:bookmarkStart w:id="16" w:name="_Toc236914591"/>
      <w:r w:rsidRPr="00EC2F1C">
        <w:rPr>
          <w:rFonts w:cs="Arial"/>
          <w:color w:val="auto"/>
          <w:sz w:val="22"/>
          <w:szCs w:val="22"/>
        </w:rPr>
        <w:t>Thematic Analysis</w:t>
      </w:r>
      <w:bookmarkEnd w:id="16"/>
    </w:p>
    <w:p w14:paraId="4C8E2F91" w14:textId="77777777" w:rsidR="005479A3" w:rsidRPr="00EC2F1C" w:rsidRDefault="005479A3" w:rsidP="00EC2F1C">
      <w:pPr>
        <w:tabs>
          <w:tab w:val="left" w:pos="6540"/>
        </w:tabs>
        <w:spacing w:line="360" w:lineRule="auto"/>
        <w:jc w:val="both"/>
        <w:rPr>
          <w:rFonts w:ascii="Arial" w:hAnsi="Arial" w:cs="Arial"/>
          <w:sz w:val="22"/>
        </w:rPr>
      </w:pPr>
      <w:r w:rsidRPr="00EC2F1C">
        <w:rPr>
          <w:rFonts w:ascii="Arial" w:hAnsi="Arial" w:cs="Arial"/>
          <w:sz w:val="22"/>
        </w:rPr>
        <w:t>A thematic analysis approach (Braun and Clarke, 2021) was used to synthesize the findings from the six studies included in this study. The evidence led to the identification of four inter-related themes.  While the studies all showed a positive impact of telehealth on the ability to access primary health care (PHC) (Murphy et al., 2021; Turner et al., 2022; Jones et al., 2022; Atherton et al., 2024), they also identified ongoing issues of digital exclusion, quality of communication and implementation of services. These findings suggest that telehealth isn't the definitive substitute for in-person appointments, but rather a complementary service (Shah et al., 2023).</w:t>
      </w:r>
    </w:p>
    <w:p w14:paraId="778BBDC1" w14:textId="4FFA3348" w:rsidR="00FE0B08" w:rsidRPr="00EC2F1C" w:rsidRDefault="00FE0B08" w:rsidP="00EC2F1C">
      <w:pPr>
        <w:pStyle w:val="Heading3"/>
        <w:spacing w:line="360" w:lineRule="auto"/>
        <w:jc w:val="both"/>
        <w:rPr>
          <w:rFonts w:cs="Arial"/>
          <w:sz w:val="22"/>
          <w:szCs w:val="22"/>
          <w:lang w:val="en-GB"/>
        </w:rPr>
      </w:pPr>
      <w:bookmarkStart w:id="17" w:name="_Toc236914592"/>
      <w:r w:rsidRPr="00EC2F1C">
        <w:rPr>
          <w:rFonts w:cs="Arial"/>
          <w:sz w:val="22"/>
          <w:szCs w:val="22"/>
          <w:lang w:val="en-GB"/>
        </w:rPr>
        <w:t>Theme 1: Improved access and convenience</w:t>
      </w:r>
      <w:bookmarkEnd w:id="17"/>
    </w:p>
    <w:p w14:paraId="534E5AF0" w14:textId="3105DDDD" w:rsidR="005076F9" w:rsidRPr="00EC2F1C" w:rsidRDefault="005076F9" w:rsidP="00EC2F1C">
      <w:pPr>
        <w:tabs>
          <w:tab w:val="left" w:pos="6540"/>
        </w:tabs>
        <w:spacing w:line="360" w:lineRule="auto"/>
        <w:jc w:val="both"/>
        <w:rPr>
          <w:rFonts w:ascii="Arial" w:hAnsi="Arial" w:cs="Arial"/>
          <w:sz w:val="22"/>
        </w:rPr>
      </w:pPr>
      <w:r w:rsidRPr="00EC2F1C">
        <w:rPr>
          <w:rFonts w:ascii="Arial" w:hAnsi="Arial" w:cs="Arial"/>
          <w:sz w:val="22"/>
        </w:rPr>
        <w:t xml:space="preserve">The review found that telehealth correlated with a better access to primary healthcare services, especially in relation to geographical and time-related barriers. During the COVID-19 pandemic, Murphy et al. (2021) found that UK primary care practices quickly moved to offering mainly remote consultations, allowing for the continuity of care to be maintained while lowering the danger of transmission. Telephone consultations were the main method of </w:t>
      </w:r>
      <w:r w:rsidR="00642371" w:rsidRPr="00EC2F1C">
        <w:rPr>
          <w:rFonts w:ascii="Arial" w:hAnsi="Arial" w:cs="Arial"/>
          <w:sz w:val="22"/>
        </w:rPr>
        <w:t>delivery and</w:t>
      </w:r>
      <w:r w:rsidRPr="00EC2F1C">
        <w:rPr>
          <w:rFonts w:ascii="Arial" w:hAnsi="Arial" w:cs="Arial"/>
          <w:sz w:val="22"/>
        </w:rPr>
        <w:t xml:space="preserve"> allowed vulnerable groups to stay connected to healthcare despite movement restrictions such as older adults and people with mental health disorders.</w:t>
      </w:r>
    </w:p>
    <w:p w14:paraId="3F498B7E" w14:textId="1749E6EE" w:rsidR="005076F9" w:rsidRPr="00EC2F1C" w:rsidRDefault="005076F9" w:rsidP="00EC2F1C">
      <w:pPr>
        <w:tabs>
          <w:tab w:val="left" w:pos="6540"/>
        </w:tabs>
        <w:spacing w:line="360" w:lineRule="auto"/>
        <w:jc w:val="both"/>
        <w:rPr>
          <w:rFonts w:ascii="Arial" w:hAnsi="Arial" w:cs="Arial"/>
          <w:sz w:val="22"/>
        </w:rPr>
      </w:pPr>
      <w:r w:rsidRPr="00EC2F1C">
        <w:rPr>
          <w:rFonts w:ascii="Arial" w:hAnsi="Arial" w:cs="Arial"/>
          <w:sz w:val="22"/>
        </w:rPr>
        <w:t xml:space="preserve">Atherton et al. (2024) reported that online appointment booking proved to be more convenient, especially for people who work and patients with chronic conditions who needed routine appointments that were not urgent. The opportunity to make appointments without having to wait on the phone line was valuable to patients, indicating that digital systems have potential to enhance flexibility and patient autonomy. In addition, Jones et al. (2022) noted a significant </w:t>
      </w:r>
      <w:r w:rsidRPr="00EC2F1C">
        <w:rPr>
          <w:rFonts w:ascii="Arial" w:hAnsi="Arial" w:cs="Arial"/>
          <w:sz w:val="22"/>
        </w:rPr>
        <w:lastRenderedPageBreak/>
        <w:t>rise in the number of eConsult services used during the pandemic, reflecting a rise in digital primary care. Greater use of care, however, does not necessarily mean higher quality of care, because higher use could be due to lower availability of traditional in-person care (Maeckelberg et al., 2023).</w:t>
      </w:r>
    </w:p>
    <w:p w14:paraId="473DAE37" w14:textId="255B6BF6" w:rsidR="00FE0B08" w:rsidRPr="00EC2F1C" w:rsidRDefault="00FE0B08" w:rsidP="00EC2F1C">
      <w:pPr>
        <w:pStyle w:val="Heading3"/>
        <w:spacing w:line="360" w:lineRule="auto"/>
        <w:jc w:val="both"/>
        <w:rPr>
          <w:rFonts w:cs="Arial"/>
          <w:sz w:val="22"/>
          <w:szCs w:val="22"/>
          <w:lang w:val="en-GB"/>
        </w:rPr>
      </w:pPr>
      <w:bookmarkStart w:id="18" w:name="_Toc236914593"/>
      <w:r w:rsidRPr="00EC2F1C">
        <w:rPr>
          <w:rFonts w:cs="Arial"/>
          <w:sz w:val="22"/>
          <w:szCs w:val="22"/>
          <w:lang w:val="en-GB"/>
        </w:rPr>
        <w:t>Theme 2: Patient and healthcare professional experiences</w:t>
      </w:r>
      <w:bookmarkEnd w:id="18"/>
    </w:p>
    <w:p w14:paraId="5156750C" w14:textId="3A98DE32" w:rsidR="005076F9" w:rsidRPr="00EC2F1C" w:rsidRDefault="005076F9" w:rsidP="00EC2F1C">
      <w:pPr>
        <w:tabs>
          <w:tab w:val="left" w:pos="6540"/>
        </w:tabs>
        <w:spacing w:line="360" w:lineRule="auto"/>
        <w:jc w:val="both"/>
        <w:rPr>
          <w:rFonts w:ascii="Arial" w:hAnsi="Arial" w:cs="Arial"/>
          <w:sz w:val="22"/>
        </w:rPr>
      </w:pPr>
      <w:r w:rsidRPr="00EC2F1C">
        <w:rPr>
          <w:rFonts w:ascii="Arial" w:hAnsi="Arial" w:cs="Arial"/>
          <w:sz w:val="22"/>
        </w:rPr>
        <w:t>Patients valued the convenience and efficiency of remote consultations, especially for routine health issues. Murphy et al. (2021) have reported that telephone consultations worked well for many clinical issues, whilst Atherton et al. (2024) have reported that a high proportion of patients were satisfied with using an online appointment system for long-term conditions.</w:t>
      </w:r>
    </w:p>
    <w:p w14:paraId="7CD53F2C" w14:textId="153FF08A" w:rsidR="005076F9" w:rsidRPr="00EC2F1C" w:rsidRDefault="005076F9" w:rsidP="00EC2F1C">
      <w:pPr>
        <w:tabs>
          <w:tab w:val="left" w:pos="6540"/>
        </w:tabs>
        <w:spacing w:line="360" w:lineRule="auto"/>
        <w:jc w:val="both"/>
        <w:rPr>
          <w:rFonts w:ascii="Arial" w:hAnsi="Arial" w:cs="Arial"/>
          <w:sz w:val="22"/>
        </w:rPr>
      </w:pPr>
      <w:r w:rsidRPr="00EC2F1C">
        <w:rPr>
          <w:rFonts w:ascii="Arial" w:hAnsi="Arial" w:cs="Arial"/>
          <w:sz w:val="22"/>
        </w:rPr>
        <w:t>However, some research identified weak relationships and communication. The lack of extra clinical benefit reported in most GP visits when using video consultation means that this shift remains limited, irrespective of national policy support, according to Greenhalgh et al. (2022).</w:t>
      </w:r>
    </w:p>
    <w:p w14:paraId="1F69D83A" w14:textId="77777777" w:rsidR="005076F9" w:rsidRPr="00EC2F1C" w:rsidRDefault="005076F9" w:rsidP="00EC2F1C">
      <w:pPr>
        <w:tabs>
          <w:tab w:val="left" w:pos="6540"/>
        </w:tabs>
        <w:spacing w:line="360" w:lineRule="auto"/>
        <w:jc w:val="both"/>
        <w:rPr>
          <w:rFonts w:ascii="Arial" w:hAnsi="Arial" w:cs="Arial"/>
          <w:sz w:val="22"/>
        </w:rPr>
      </w:pPr>
      <w:r w:rsidRPr="00EC2F1C">
        <w:rPr>
          <w:rFonts w:ascii="Arial" w:hAnsi="Arial" w:cs="Arial"/>
          <w:sz w:val="22"/>
        </w:rPr>
        <w:t>Alboksmaty et al. (2026) also confirmed decreased visual cues, challenges in describing symptoms remotely and lower perceived empathy as significant communication issues. Patients often mentioned a lack of emotional connection in virtual consultations (Alboksmaty et al., 2025), and clinicians noted increased uncertainty in the absence of physical examination when making clinical judgements (Murphy et al., 2021). These findings collectively highlight the potential of telehealth to enhance convenience but also indicate that it can negatively affect some aspects of interpersonal care that are essential to patient-centred practice.</w:t>
      </w:r>
    </w:p>
    <w:p w14:paraId="4D5BA4F1" w14:textId="4D325814" w:rsidR="00FE0B08" w:rsidRPr="00EC2F1C" w:rsidRDefault="00FE0B08" w:rsidP="00EC2F1C">
      <w:pPr>
        <w:pStyle w:val="Heading3"/>
        <w:spacing w:line="360" w:lineRule="auto"/>
        <w:jc w:val="both"/>
        <w:rPr>
          <w:rFonts w:cs="Arial"/>
          <w:sz w:val="22"/>
          <w:szCs w:val="22"/>
          <w:lang w:val="en-GB"/>
        </w:rPr>
      </w:pPr>
      <w:bookmarkStart w:id="19" w:name="_Toc236914594"/>
      <w:r w:rsidRPr="00EC2F1C">
        <w:rPr>
          <w:rFonts w:cs="Arial"/>
          <w:sz w:val="22"/>
          <w:szCs w:val="22"/>
          <w:lang w:val="en-GB"/>
        </w:rPr>
        <w:t>Theme 3: Barriers to equitable and effective implementation</w:t>
      </w:r>
      <w:bookmarkEnd w:id="19"/>
    </w:p>
    <w:p w14:paraId="69240F0C" w14:textId="77777777" w:rsidR="009977ED" w:rsidRPr="00EC2F1C" w:rsidRDefault="009977ED" w:rsidP="00EC2F1C">
      <w:pPr>
        <w:tabs>
          <w:tab w:val="left" w:pos="6540"/>
        </w:tabs>
        <w:spacing w:line="360" w:lineRule="auto"/>
        <w:jc w:val="both"/>
        <w:rPr>
          <w:rFonts w:ascii="Arial" w:hAnsi="Arial" w:cs="Arial"/>
          <w:sz w:val="22"/>
        </w:rPr>
      </w:pPr>
      <w:r w:rsidRPr="00EC2F1C">
        <w:rPr>
          <w:rFonts w:ascii="Arial" w:hAnsi="Arial" w:cs="Arial"/>
          <w:sz w:val="22"/>
        </w:rPr>
        <w:t>Digital exclusion emerged as one of the most significant barriers to equitable access. Atherton et al. (2024) found that there was a significant lack of use of appointment booking online among older adults and those residing in deprived communities. Likewise, Turner et al. (2022) identified that online consultation services were an impediment to rather than a facilitator of access for some population groups, especially those with low digital literacy.</w:t>
      </w:r>
    </w:p>
    <w:p w14:paraId="48C5AB65" w14:textId="312B1C98" w:rsidR="009977ED" w:rsidRDefault="009977ED" w:rsidP="00EC2F1C">
      <w:pPr>
        <w:tabs>
          <w:tab w:val="left" w:pos="6540"/>
        </w:tabs>
        <w:spacing w:line="360" w:lineRule="auto"/>
        <w:jc w:val="both"/>
        <w:rPr>
          <w:rFonts w:ascii="Arial" w:hAnsi="Arial" w:cs="Arial"/>
          <w:sz w:val="22"/>
        </w:rPr>
      </w:pPr>
      <w:r w:rsidRPr="00EC2F1C">
        <w:rPr>
          <w:rFonts w:ascii="Arial" w:hAnsi="Arial" w:cs="Arial"/>
          <w:sz w:val="22"/>
        </w:rPr>
        <w:t xml:space="preserve">Other impediments to successful implementation were organisational barriers. A study by Jones et al. (2022) found that many general practitioner websites were not compliant with accessibility guidelines, and that general practitioner practices seldom included feedback from patients in creating their online services. Similarly, Greenhalgh et al. (2022) noted various technical challenges, disruptions to working patterns, and perceived low value to patients made video consultations less popular. Moreover, Murphy et al. (2021) pointed out that </w:t>
      </w:r>
      <w:r w:rsidRPr="00EC2F1C">
        <w:rPr>
          <w:rFonts w:ascii="Arial" w:hAnsi="Arial" w:cs="Arial"/>
          <w:sz w:val="22"/>
        </w:rPr>
        <w:lastRenderedPageBreak/>
        <w:t>clinicians are worried about the safety risks for their patients, and the clinical uncertainty of when to transition from remote to face-to-face evaluation.</w:t>
      </w:r>
    </w:p>
    <w:p w14:paraId="308ED780" w14:textId="77777777" w:rsidR="00642371" w:rsidRPr="00EC2F1C" w:rsidRDefault="00642371" w:rsidP="00EC2F1C">
      <w:pPr>
        <w:tabs>
          <w:tab w:val="left" w:pos="6540"/>
        </w:tabs>
        <w:spacing w:line="360" w:lineRule="auto"/>
        <w:jc w:val="both"/>
        <w:rPr>
          <w:rFonts w:ascii="Arial" w:hAnsi="Arial" w:cs="Arial"/>
          <w:sz w:val="22"/>
        </w:rPr>
      </w:pPr>
    </w:p>
    <w:p w14:paraId="2A64B8CC" w14:textId="7C75A847" w:rsidR="00FE0B08" w:rsidRPr="00EC2F1C" w:rsidRDefault="00FE0B08" w:rsidP="00EC2F1C">
      <w:pPr>
        <w:pStyle w:val="Heading3"/>
        <w:spacing w:line="360" w:lineRule="auto"/>
        <w:jc w:val="both"/>
        <w:rPr>
          <w:rFonts w:cs="Arial"/>
          <w:sz w:val="22"/>
          <w:szCs w:val="22"/>
          <w:lang w:val="en-GB"/>
        </w:rPr>
      </w:pPr>
      <w:bookmarkStart w:id="20" w:name="_Toc236914595"/>
      <w:r w:rsidRPr="00EC2F1C">
        <w:rPr>
          <w:rFonts w:cs="Arial"/>
          <w:sz w:val="22"/>
          <w:szCs w:val="22"/>
          <w:lang w:val="en-GB"/>
        </w:rPr>
        <w:t>Theme 4: Implications for future primary healthcare practice</w:t>
      </w:r>
      <w:bookmarkEnd w:id="20"/>
    </w:p>
    <w:p w14:paraId="4743F6A1" w14:textId="77777777" w:rsidR="009977ED" w:rsidRPr="00EC2F1C" w:rsidRDefault="009977ED" w:rsidP="00EC2F1C">
      <w:pPr>
        <w:tabs>
          <w:tab w:val="left" w:pos="6540"/>
        </w:tabs>
        <w:spacing w:line="360" w:lineRule="auto"/>
        <w:jc w:val="both"/>
        <w:rPr>
          <w:rFonts w:ascii="Arial" w:hAnsi="Arial" w:cs="Arial"/>
          <w:sz w:val="22"/>
        </w:rPr>
      </w:pPr>
      <w:r w:rsidRPr="00EC2F1C">
        <w:rPr>
          <w:rFonts w:ascii="Arial" w:hAnsi="Arial" w:cs="Arial"/>
          <w:sz w:val="22"/>
        </w:rPr>
        <w:t>Greenhalgh et al. (2022) found that video consultations are only clinically beneficial in specific situations, such as in remote communities or nursing homes. Likewise, Alboksmaty et al. (2026) suggested structured communication training, standardised consultation plans and flexible digital tools to enhance the quality of the consultation and patient safety.</w:t>
      </w:r>
    </w:p>
    <w:p w14:paraId="7EBED392" w14:textId="1559655E" w:rsidR="00FE0B08" w:rsidRPr="00EC2F1C" w:rsidRDefault="009977ED" w:rsidP="00EC2F1C">
      <w:pPr>
        <w:tabs>
          <w:tab w:val="left" w:pos="6540"/>
        </w:tabs>
        <w:spacing w:line="360" w:lineRule="auto"/>
        <w:jc w:val="both"/>
        <w:rPr>
          <w:rFonts w:ascii="Arial" w:hAnsi="Arial" w:cs="Arial"/>
          <w:sz w:val="22"/>
        </w:rPr>
      </w:pPr>
      <w:r w:rsidRPr="00EC2F1C">
        <w:rPr>
          <w:rFonts w:ascii="Arial" w:hAnsi="Arial" w:cs="Arial"/>
          <w:sz w:val="22"/>
        </w:rPr>
        <w:t>Across the studies, there was broad agreement with Haleem et al. (2021), that future telehealth services should adopt a blended approach combining digital and face-to-face care according to patient need. This could increase access (Jones et al., 2022) and maintain clinical quality, continuity of care and patient choice (Leighton et al., 2024; Gobburi et al., 2025). Together, the findings suggest that telehealth has emerged as a key element of primary care in the UK, but equitable and secure roll-out and sustainability will depend on ongoing investment in digital infrastructure, professional training, and efforts to tackle entrenched inequities in access and communication.</w:t>
      </w:r>
    </w:p>
    <w:p w14:paraId="5C43254D" w14:textId="39D1369A" w:rsidR="00B87E75" w:rsidRPr="00EC2F1C" w:rsidRDefault="00B87E75" w:rsidP="00EC2F1C">
      <w:pPr>
        <w:pStyle w:val="Heading1"/>
        <w:jc w:val="both"/>
        <w:rPr>
          <w:rFonts w:cs="Arial"/>
          <w:sz w:val="22"/>
        </w:rPr>
      </w:pPr>
      <w:bookmarkStart w:id="21" w:name="_Toc236914596"/>
      <w:r w:rsidRPr="00EC2F1C">
        <w:rPr>
          <w:rFonts w:cs="Arial"/>
          <w:sz w:val="22"/>
        </w:rPr>
        <w:t>Discussion</w:t>
      </w:r>
      <w:bookmarkEnd w:id="21"/>
      <w:r w:rsidR="001135B4" w:rsidRPr="00EC2F1C">
        <w:rPr>
          <w:rFonts w:cs="Arial"/>
          <w:sz w:val="22"/>
        </w:rPr>
        <w:t xml:space="preserve"> </w:t>
      </w:r>
    </w:p>
    <w:p w14:paraId="1797A87E" w14:textId="30440186" w:rsidR="00AA562E" w:rsidRPr="00EC2F1C" w:rsidRDefault="00AA562E" w:rsidP="00EC2F1C">
      <w:pPr>
        <w:pStyle w:val="Heading2"/>
        <w:spacing w:line="360" w:lineRule="auto"/>
        <w:jc w:val="both"/>
        <w:rPr>
          <w:rFonts w:cs="Arial"/>
          <w:color w:val="auto"/>
          <w:sz w:val="22"/>
          <w:szCs w:val="22"/>
        </w:rPr>
      </w:pPr>
      <w:bookmarkStart w:id="22" w:name="_Toc236914597"/>
      <w:r w:rsidRPr="00EC2F1C">
        <w:rPr>
          <w:rFonts w:cs="Arial"/>
          <w:color w:val="auto"/>
          <w:sz w:val="22"/>
          <w:szCs w:val="22"/>
        </w:rPr>
        <w:t>Summary</w:t>
      </w:r>
      <w:bookmarkEnd w:id="22"/>
      <w:r w:rsidRPr="00EC2F1C">
        <w:rPr>
          <w:rFonts w:cs="Arial"/>
          <w:color w:val="auto"/>
          <w:sz w:val="22"/>
          <w:szCs w:val="22"/>
        </w:rPr>
        <w:t xml:space="preserve"> </w:t>
      </w:r>
    </w:p>
    <w:p w14:paraId="61A88380" w14:textId="77777777" w:rsidR="002F5A5F" w:rsidRPr="00EC2F1C" w:rsidRDefault="002F5A5F" w:rsidP="00EC2F1C">
      <w:pPr>
        <w:tabs>
          <w:tab w:val="left" w:pos="6540"/>
        </w:tabs>
        <w:spacing w:line="360" w:lineRule="auto"/>
        <w:jc w:val="both"/>
        <w:rPr>
          <w:rFonts w:ascii="Arial" w:hAnsi="Arial" w:cs="Arial"/>
          <w:sz w:val="22"/>
        </w:rPr>
      </w:pPr>
      <w:r w:rsidRPr="00EC2F1C">
        <w:rPr>
          <w:rFonts w:ascii="Arial" w:hAnsi="Arial" w:cs="Arial"/>
          <w:sz w:val="22"/>
        </w:rPr>
        <w:t>This scoping review aimed to examine the effectiveness of telehealth for providing primary healthcare services in the UK and to summarise the evidence on the benefits, challenges and implications for practice. The overall findings suggest that telehealth has enhanced access for patients by offering greater convenience, continuity of care and flexibility in the delivery of appointments, especially for routine consultations and chronic disease management (Murphy et al., 2021; Atherton et al., 2024; Snoswell et al., 2023). There are ongoing issues about the quality of communication, however, and digital exclusion, as well as diagnostic uncertainty (Greenhalgh et al., 2022; Alboksmaty et al., 2026). Thus, there is evidence that telehealth works best in conjunction with, not in place of, in-person primary care (Caffery et al., 2016; Haleem et al., 2021).</w:t>
      </w:r>
    </w:p>
    <w:p w14:paraId="48AB1BDF" w14:textId="3BFB4C1E" w:rsidR="0023711A" w:rsidRPr="00EC2F1C" w:rsidRDefault="0023711A" w:rsidP="00EC2F1C">
      <w:pPr>
        <w:pStyle w:val="Heading2"/>
        <w:spacing w:line="360" w:lineRule="auto"/>
        <w:jc w:val="both"/>
        <w:rPr>
          <w:rFonts w:cs="Arial"/>
          <w:color w:val="auto"/>
          <w:sz w:val="22"/>
          <w:szCs w:val="22"/>
        </w:rPr>
      </w:pPr>
      <w:bookmarkStart w:id="23" w:name="_Toc236914598"/>
      <w:r w:rsidRPr="00EC2F1C">
        <w:rPr>
          <w:rFonts w:cs="Arial"/>
          <w:color w:val="auto"/>
          <w:sz w:val="22"/>
          <w:szCs w:val="22"/>
        </w:rPr>
        <w:t>Discussion of the findings</w:t>
      </w:r>
      <w:bookmarkEnd w:id="23"/>
      <w:r w:rsidRPr="00EC2F1C">
        <w:rPr>
          <w:rFonts w:cs="Arial"/>
          <w:color w:val="auto"/>
          <w:sz w:val="22"/>
          <w:szCs w:val="22"/>
        </w:rPr>
        <w:t xml:space="preserve"> </w:t>
      </w:r>
    </w:p>
    <w:p w14:paraId="3EFB9C17" w14:textId="18FB03A7" w:rsidR="009F67EE" w:rsidRPr="00EC2F1C" w:rsidRDefault="009F67EE" w:rsidP="00EC2F1C">
      <w:pPr>
        <w:tabs>
          <w:tab w:val="left" w:pos="6540"/>
        </w:tabs>
        <w:spacing w:line="360" w:lineRule="auto"/>
        <w:jc w:val="both"/>
        <w:rPr>
          <w:rFonts w:ascii="Arial" w:hAnsi="Arial" w:cs="Arial"/>
          <w:sz w:val="22"/>
        </w:rPr>
      </w:pPr>
      <w:r w:rsidRPr="00EC2F1C">
        <w:rPr>
          <w:rFonts w:ascii="Arial" w:hAnsi="Arial" w:cs="Arial"/>
          <w:sz w:val="22"/>
        </w:rPr>
        <w:t xml:space="preserve">The question for the review was to assess the effectiveness of telehealth in UK primary healthcare. The studies included in this review consistently found improvement in service accessibility (Snoswell et al., 2023; Haleem et al., 2021), but effectiveness was not limited to service utilisation. During and after COVID-19, remote consultations have become more </w:t>
      </w:r>
      <w:r w:rsidRPr="00EC2F1C">
        <w:rPr>
          <w:rFonts w:ascii="Arial" w:hAnsi="Arial" w:cs="Arial"/>
          <w:sz w:val="22"/>
        </w:rPr>
        <w:lastRenderedPageBreak/>
        <w:t>common, driven by clinical need and the digital transformation of the NHS as a whole (Murphy et al., 2021; NHS England, 2019). Similar conclusions have been reported internationally, with Snoswell et al. (2023) demonstrating that telehealth reduces travel burden, improves appointment attendance and enhances access for geographically isolated populations Gobburi et al., 2025). However, a more accessible service is not guaranteed to lead to improved health outcomes (Anawade et al., 2024). Greenhalgh et al. (2022) found that technological innovation alone is not necessarily effective, as video consultations were found to provide limited additional value to telephone consultations in routine GP care. This contrast underscores the need to assess telehealth by patient outcomes and quality of care, not just the number of consultations (Anawade et al., 2024)</w:t>
      </w:r>
    </w:p>
    <w:p w14:paraId="559FEFF4" w14:textId="22F74B70" w:rsidR="009F67EE" w:rsidRPr="00EC2F1C" w:rsidRDefault="009F67EE" w:rsidP="00EC2F1C">
      <w:pPr>
        <w:tabs>
          <w:tab w:val="left" w:pos="6540"/>
        </w:tabs>
        <w:spacing w:line="360" w:lineRule="auto"/>
        <w:jc w:val="both"/>
        <w:rPr>
          <w:rFonts w:ascii="Arial" w:hAnsi="Arial" w:cs="Arial"/>
          <w:sz w:val="22"/>
        </w:rPr>
      </w:pPr>
      <w:r w:rsidRPr="00EC2F1C">
        <w:rPr>
          <w:rFonts w:ascii="Arial" w:hAnsi="Arial" w:cs="Arial"/>
          <w:sz w:val="22"/>
        </w:rPr>
        <w:t xml:space="preserve">One of the most significant factors in understanding the effectiveness of telehealth was communication (Greenhalgh et al., 2022; Alboksmaty et al., 2026). The findings highlighted the lack of visual cues, decreased empathy and higher diagnostic uncertainty as common issues observed in virtual consultation (Alboksmaty et al. 2026).  These findings align with Mughal et al. (2022), who found that although patients were accepting of remote consultations for simple clinical issues, they were less able to build rapport and communicate with their physician. Similarly, Alboksmaty et al. (2026) showed that both patients and clinicians felt a diminished emotional bond during a remote encounter, and Murphy et al. (2021) reported that clinicians reported a higher level of uncertainty when evaluating patients remotely. </w:t>
      </w:r>
    </w:p>
    <w:p w14:paraId="7A9FAE58" w14:textId="0415D71E" w:rsidR="009F67EE" w:rsidRPr="00EC2F1C" w:rsidRDefault="009F67EE" w:rsidP="00EC2F1C">
      <w:pPr>
        <w:tabs>
          <w:tab w:val="left" w:pos="6540"/>
        </w:tabs>
        <w:spacing w:line="360" w:lineRule="auto"/>
        <w:jc w:val="both"/>
        <w:rPr>
          <w:rFonts w:ascii="Arial" w:hAnsi="Arial" w:cs="Arial"/>
          <w:sz w:val="22"/>
        </w:rPr>
      </w:pPr>
      <w:r w:rsidRPr="00EC2F1C">
        <w:rPr>
          <w:rFonts w:ascii="Arial" w:hAnsi="Arial" w:cs="Arial"/>
          <w:sz w:val="22"/>
        </w:rPr>
        <w:t>One of the key findings is that of persistent digital inequalities (Atherton et al., 2024). In spite of national investment in digital transformation, older adults, socioeconomically disadvantaged groups and people with limited digital literacy were less likely to use telehealth services than others (Atherton et al., 2024; Turner et al., 2022). Labadorf et al. (2025) also raised similar issues, stating that online health services may exacerbate inequities in health care delivery if the health system becomes more digiti</w:t>
      </w:r>
      <w:r w:rsidR="00E47C37" w:rsidRPr="00EC2F1C">
        <w:rPr>
          <w:rFonts w:ascii="Arial" w:hAnsi="Arial" w:cs="Arial"/>
          <w:sz w:val="22"/>
        </w:rPr>
        <w:t>s</w:t>
      </w:r>
      <w:r w:rsidRPr="00EC2F1C">
        <w:rPr>
          <w:rFonts w:ascii="Arial" w:hAnsi="Arial" w:cs="Arial"/>
          <w:sz w:val="22"/>
        </w:rPr>
        <w:t xml:space="preserve">ed. Equitable access is crucial to health and social care from a health and social care perspective, as it is a fundamental principle of the NHS and also aligns with SDG 3, ensuring access to quality and evidence-based healthcare services for all (Wong et al., 2016). </w:t>
      </w:r>
    </w:p>
    <w:p w14:paraId="2CC22494" w14:textId="6FB7D628" w:rsidR="002563B0" w:rsidRPr="00EC2F1C" w:rsidRDefault="002563B0" w:rsidP="00EC2F1C">
      <w:pPr>
        <w:pStyle w:val="Heading2"/>
        <w:spacing w:line="360" w:lineRule="auto"/>
        <w:jc w:val="both"/>
        <w:rPr>
          <w:rFonts w:cs="Arial"/>
          <w:color w:val="auto"/>
          <w:sz w:val="22"/>
          <w:szCs w:val="22"/>
        </w:rPr>
      </w:pPr>
      <w:bookmarkStart w:id="24" w:name="_Toc236914599"/>
      <w:r w:rsidRPr="00EC2F1C">
        <w:rPr>
          <w:rFonts w:cs="Arial"/>
          <w:color w:val="auto"/>
          <w:sz w:val="22"/>
          <w:szCs w:val="22"/>
        </w:rPr>
        <w:t>Implications of the Study</w:t>
      </w:r>
      <w:bookmarkEnd w:id="24"/>
    </w:p>
    <w:p w14:paraId="1FD09A33" w14:textId="76EEE03C" w:rsidR="0057020A" w:rsidRPr="00EC2F1C" w:rsidRDefault="0057020A" w:rsidP="00EC2F1C">
      <w:pPr>
        <w:tabs>
          <w:tab w:val="left" w:pos="6540"/>
        </w:tabs>
        <w:spacing w:line="360" w:lineRule="auto"/>
        <w:jc w:val="both"/>
        <w:rPr>
          <w:rFonts w:ascii="Arial" w:hAnsi="Arial" w:cs="Arial"/>
          <w:sz w:val="22"/>
        </w:rPr>
      </w:pPr>
      <w:r w:rsidRPr="00EC2F1C">
        <w:rPr>
          <w:rFonts w:ascii="Arial" w:hAnsi="Arial" w:cs="Arial"/>
          <w:sz w:val="22"/>
        </w:rPr>
        <w:t xml:space="preserve">The review identifies a number of implications for healthcare practice and policy. NHS healthcare policy is currently highly encouraging digital innovation as a way of delivering efficiency and patient-centred care (Department of Health and Social Care &amp; NHS England, 2022; NHS England, 2019). Yet the findings from this review suggest that the other key factors of organisational readiness, workforce capability and clinical governance are also critical to the successful implementation of the strategy (Murphy et al., 2021; Jones et al., 2022; </w:t>
      </w:r>
      <w:r w:rsidRPr="00EC2F1C">
        <w:rPr>
          <w:rFonts w:ascii="Arial" w:hAnsi="Arial" w:cs="Arial"/>
          <w:sz w:val="22"/>
        </w:rPr>
        <w:lastRenderedPageBreak/>
        <w:t xml:space="preserve">Greenhalgh et al., 2022; Alboksmaty et al., 2026). Clinical judgement, communication and patient engagement barriers cannot be overcome by technological solutions. Healthcare professionals, therefore, need continuous upskilling on remote consultation techniques, with the evidence-based framework, the NICE Evidence Standards Framework for Digital Health Technologies (NICE, 2022). </w:t>
      </w:r>
    </w:p>
    <w:p w14:paraId="257F97FB" w14:textId="784F933E" w:rsidR="00313C7D" w:rsidRPr="00EC2F1C" w:rsidRDefault="00313C7D" w:rsidP="00EC2F1C">
      <w:pPr>
        <w:pStyle w:val="Heading2"/>
        <w:spacing w:line="360" w:lineRule="auto"/>
        <w:jc w:val="both"/>
        <w:rPr>
          <w:rFonts w:cs="Arial"/>
          <w:color w:val="auto"/>
          <w:sz w:val="22"/>
          <w:szCs w:val="22"/>
        </w:rPr>
      </w:pPr>
      <w:bookmarkStart w:id="25" w:name="_Toc236914600"/>
      <w:r w:rsidRPr="00EC2F1C">
        <w:rPr>
          <w:rFonts w:cs="Arial"/>
          <w:color w:val="auto"/>
          <w:sz w:val="22"/>
          <w:szCs w:val="22"/>
        </w:rPr>
        <w:t>Limitations</w:t>
      </w:r>
      <w:bookmarkEnd w:id="25"/>
    </w:p>
    <w:p w14:paraId="77C4AE2D" w14:textId="502001B8" w:rsidR="00081ECD" w:rsidRPr="00EC2F1C" w:rsidRDefault="00081ECD" w:rsidP="00EC2F1C">
      <w:pPr>
        <w:spacing w:line="360" w:lineRule="auto"/>
        <w:jc w:val="both"/>
        <w:rPr>
          <w:rFonts w:ascii="Arial" w:hAnsi="Arial" w:cs="Arial"/>
          <w:b/>
          <w:sz w:val="22"/>
        </w:rPr>
      </w:pPr>
      <w:r w:rsidRPr="00EC2F1C">
        <w:rPr>
          <w:rFonts w:ascii="Arial" w:hAnsi="Arial" w:cs="Arial"/>
          <w:sz w:val="22"/>
        </w:rPr>
        <w:t xml:space="preserve">The results of this scoping review must be interpreted with a few caveats. First, the number of studies included in the analysis was small, which resulted in limited evidence and less generalisability of the conclusions (Tricco et al., 2016). Second, the review included mostly qualitative and mixed methods research, limiting the robust quantitative evidence on long term clinical outcomes and cost-effectiveness. Third, the search may have missed evidence from similar healthcare systems that are not conducted in English or based in the UK (Helbach et al., 2022). Therefore, the results are more of a broad overview of the available evidence rather than conclusions about the effectiveness of interventions. </w:t>
      </w:r>
    </w:p>
    <w:p w14:paraId="16FAF0EA" w14:textId="25B08C16" w:rsidR="00B87E75" w:rsidRPr="00EC2F1C" w:rsidRDefault="00B87E75" w:rsidP="00EC2F1C">
      <w:pPr>
        <w:pStyle w:val="Heading1"/>
        <w:jc w:val="both"/>
        <w:rPr>
          <w:rFonts w:cs="Arial"/>
          <w:sz w:val="22"/>
        </w:rPr>
      </w:pPr>
      <w:bookmarkStart w:id="26" w:name="_Toc236914601"/>
      <w:r w:rsidRPr="00EC2F1C">
        <w:rPr>
          <w:rFonts w:cs="Arial"/>
          <w:sz w:val="22"/>
        </w:rPr>
        <w:t>Conclusion</w:t>
      </w:r>
      <w:r w:rsidR="00CD33A8" w:rsidRPr="00EC2F1C">
        <w:rPr>
          <w:rFonts w:cs="Arial"/>
          <w:sz w:val="22"/>
        </w:rPr>
        <w:t xml:space="preserve"> and Recommendations</w:t>
      </w:r>
      <w:bookmarkEnd w:id="26"/>
      <w:r w:rsidR="001135B4" w:rsidRPr="00EC2F1C">
        <w:rPr>
          <w:rFonts w:cs="Arial"/>
          <w:sz w:val="22"/>
        </w:rPr>
        <w:t xml:space="preserve"> </w:t>
      </w:r>
    </w:p>
    <w:p w14:paraId="0A61B60E" w14:textId="00FAF21A" w:rsidR="00CD33A8" w:rsidRPr="00EC2F1C" w:rsidRDefault="00CD33A8" w:rsidP="00EC2F1C">
      <w:pPr>
        <w:pStyle w:val="Heading2"/>
        <w:spacing w:line="360" w:lineRule="auto"/>
        <w:jc w:val="both"/>
        <w:rPr>
          <w:rFonts w:cs="Arial"/>
          <w:color w:val="auto"/>
          <w:sz w:val="22"/>
          <w:szCs w:val="22"/>
        </w:rPr>
      </w:pPr>
      <w:bookmarkStart w:id="27" w:name="_Toc236914602"/>
      <w:r w:rsidRPr="00EC2F1C">
        <w:rPr>
          <w:rFonts w:cs="Arial"/>
          <w:color w:val="auto"/>
          <w:sz w:val="22"/>
          <w:szCs w:val="22"/>
        </w:rPr>
        <w:t>Summary</w:t>
      </w:r>
      <w:bookmarkEnd w:id="27"/>
      <w:r w:rsidRPr="00EC2F1C">
        <w:rPr>
          <w:rFonts w:cs="Arial"/>
          <w:color w:val="auto"/>
          <w:sz w:val="22"/>
          <w:szCs w:val="22"/>
        </w:rPr>
        <w:t xml:space="preserve"> </w:t>
      </w:r>
    </w:p>
    <w:p w14:paraId="7C6B6112" w14:textId="75FE51B2" w:rsidR="00CB428F" w:rsidRPr="00EC2F1C" w:rsidRDefault="00CB428F" w:rsidP="00EC2F1C">
      <w:pPr>
        <w:tabs>
          <w:tab w:val="left" w:pos="6540"/>
        </w:tabs>
        <w:spacing w:line="360" w:lineRule="auto"/>
        <w:jc w:val="both"/>
        <w:rPr>
          <w:rFonts w:ascii="Arial" w:hAnsi="Arial" w:cs="Arial"/>
          <w:sz w:val="22"/>
        </w:rPr>
      </w:pPr>
      <w:r w:rsidRPr="00EC2F1C">
        <w:rPr>
          <w:rFonts w:ascii="Arial" w:hAnsi="Arial" w:cs="Arial"/>
          <w:sz w:val="22"/>
        </w:rPr>
        <w:t xml:space="preserve">The aim of the scoping review was to synthesise evidence of the effectiveness of telehealth for delivering primary healthcare services in the United Kingdom from six peer-reviewed studies.  The results show that telehealth has enhanced access to primary care by making it more convenient, more accessible for continuing care and more available for remote consultations. It has, however, been affected by a number of issues, such as digital exclusion, communication barriers, technical difficulties and concerns about clinical suitability in complicated cases. Telehealth should be used in conjunction with in-person visits, the review recommends. To ensure sustainable and equitable implementation, ongoing investments in digital infrastructure, workforce capability and patient </w:t>
      </w:r>
      <w:r w:rsidR="00642371" w:rsidRPr="00EC2F1C">
        <w:rPr>
          <w:rFonts w:ascii="Arial" w:hAnsi="Arial" w:cs="Arial"/>
          <w:sz w:val="22"/>
        </w:rPr>
        <w:t>centred</w:t>
      </w:r>
      <w:r w:rsidRPr="00EC2F1C">
        <w:rPr>
          <w:rFonts w:ascii="Arial" w:hAnsi="Arial" w:cs="Arial"/>
          <w:sz w:val="22"/>
        </w:rPr>
        <w:t xml:space="preserve"> models of care to meet diverse healthcare needs must be made.</w:t>
      </w:r>
    </w:p>
    <w:p w14:paraId="6DBC958B" w14:textId="43284D8A" w:rsidR="00CD33A8" w:rsidRPr="00EC2F1C" w:rsidRDefault="00CD33A8" w:rsidP="00EC2F1C">
      <w:pPr>
        <w:pStyle w:val="Heading2"/>
        <w:spacing w:line="360" w:lineRule="auto"/>
        <w:jc w:val="both"/>
        <w:rPr>
          <w:rFonts w:cs="Arial"/>
          <w:color w:val="auto"/>
          <w:sz w:val="22"/>
          <w:szCs w:val="22"/>
        </w:rPr>
      </w:pPr>
      <w:bookmarkStart w:id="28" w:name="_Toc236914603"/>
      <w:r w:rsidRPr="00EC2F1C">
        <w:rPr>
          <w:rFonts w:cs="Arial"/>
          <w:color w:val="auto"/>
          <w:sz w:val="22"/>
          <w:szCs w:val="22"/>
        </w:rPr>
        <w:t>Recommendations</w:t>
      </w:r>
      <w:bookmarkEnd w:id="28"/>
      <w:r w:rsidRPr="00EC2F1C">
        <w:rPr>
          <w:rFonts w:cs="Arial"/>
          <w:color w:val="auto"/>
          <w:sz w:val="22"/>
          <w:szCs w:val="22"/>
        </w:rPr>
        <w:t xml:space="preserve"> </w:t>
      </w:r>
    </w:p>
    <w:p w14:paraId="5D103756" w14:textId="6103C85F" w:rsidR="00CB428F" w:rsidRPr="00EC2F1C" w:rsidRDefault="00CB428F" w:rsidP="00EC2F1C">
      <w:pPr>
        <w:tabs>
          <w:tab w:val="left" w:pos="6540"/>
        </w:tabs>
        <w:spacing w:line="360" w:lineRule="auto"/>
        <w:jc w:val="both"/>
        <w:rPr>
          <w:rFonts w:ascii="Arial" w:hAnsi="Arial" w:cs="Arial"/>
          <w:sz w:val="22"/>
        </w:rPr>
      </w:pPr>
      <w:r w:rsidRPr="00EC2F1C">
        <w:rPr>
          <w:rFonts w:ascii="Arial" w:hAnsi="Arial" w:cs="Arial"/>
          <w:sz w:val="22"/>
        </w:rPr>
        <w:t xml:space="preserve">Future research should evaluate the long-term clinical effectiveness, cost-effectiveness and patient outcomes of telehealth across diverse population groups and primary care settings within the UK. Special care must be taken with vulnerable populations such as older people, digitally illiterate, and socioeconomically disadvantaged. Strategies to address digital inequalities should be given priority, such as through better digital infrastructure, availability of accessible technologies, and targeted digital inclusion initiatives, by policymakers. In health and social care practice, NHS organisations have a duty to enhance workforce training and ensure that the protocol for delivering services using telehealth is standardised, with the </w:t>
      </w:r>
      <w:r w:rsidRPr="00EC2F1C">
        <w:rPr>
          <w:rFonts w:ascii="Arial" w:hAnsi="Arial" w:cs="Arial"/>
          <w:sz w:val="22"/>
        </w:rPr>
        <w:lastRenderedPageBreak/>
        <w:t>incorporation of blended models of care that include a mix of face-to-face and telehealth consultations based on patients' clinical needs, preferences and circumstances.</w:t>
      </w:r>
    </w:p>
    <w:p w14:paraId="6812580D" w14:textId="47452A39" w:rsidR="0090040D" w:rsidRPr="00EC2F1C" w:rsidRDefault="0090040D" w:rsidP="00EC2F1C">
      <w:pPr>
        <w:tabs>
          <w:tab w:val="left" w:pos="6540"/>
        </w:tabs>
        <w:spacing w:line="360" w:lineRule="auto"/>
        <w:jc w:val="both"/>
        <w:rPr>
          <w:rFonts w:ascii="Arial" w:hAnsi="Arial" w:cs="Arial"/>
          <w:sz w:val="22"/>
        </w:rPr>
      </w:pPr>
    </w:p>
    <w:p w14:paraId="364D7618" w14:textId="316AA672" w:rsidR="00C87F5F" w:rsidRPr="00EC2F1C" w:rsidRDefault="00C87F5F" w:rsidP="00EC2F1C">
      <w:pPr>
        <w:spacing w:line="360" w:lineRule="auto"/>
        <w:jc w:val="both"/>
        <w:rPr>
          <w:rFonts w:ascii="Arial" w:hAnsi="Arial" w:cs="Arial"/>
          <w:sz w:val="22"/>
        </w:rPr>
      </w:pPr>
    </w:p>
    <w:p w14:paraId="33F8F0BD" w14:textId="597FD84B" w:rsidR="00B87E75" w:rsidRPr="00EC2F1C" w:rsidRDefault="00B87E75" w:rsidP="00EC2F1C">
      <w:pPr>
        <w:pStyle w:val="Heading1"/>
        <w:jc w:val="both"/>
        <w:rPr>
          <w:rFonts w:cs="Arial"/>
          <w:sz w:val="22"/>
        </w:rPr>
      </w:pPr>
      <w:bookmarkStart w:id="29" w:name="_Toc236914604"/>
      <w:r w:rsidRPr="00EC2F1C">
        <w:rPr>
          <w:rFonts w:cs="Arial"/>
          <w:sz w:val="22"/>
        </w:rPr>
        <w:t>References</w:t>
      </w:r>
      <w:bookmarkEnd w:id="29"/>
    </w:p>
    <w:p w14:paraId="78974F6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Alakeel, A.N., Alskait, B.K., Binshafi, G.B., AlAmro, H.A., Alkharji, S.K., Elsherbini, M., Aleid, N.A., Alfrayan, R.A., Binshafi, G.B.B., AlAmro, H. and Alkharji, S., 2025. The Impact of Telehealth Adoption on Patient Outcomes: A Systematic Review. </w:t>
      </w:r>
      <w:r w:rsidRPr="00EC2F1C">
        <w:rPr>
          <w:rFonts w:ascii="Arial" w:hAnsi="Arial" w:cs="Arial"/>
          <w:i/>
          <w:iCs/>
          <w:sz w:val="22"/>
        </w:rPr>
        <w:t>Cureus</w:t>
      </w:r>
      <w:r w:rsidRPr="00EC2F1C">
        <w:rPr>
          <w:rFonts w:ascii="Arial" w:hAnsi="Arial" w:cs="Arial"/>
          <w:sz w:val="22"/>
        </w:rPr>
        <w:t>, </w:t>
      </w:r>
      <w:r w:rsidRPr="00EC2F1C">
        <w:rPr>
          <w:rFonts w:ascii="Arial" w:hAnsi="Arial" w:cs="Arial"/>
          <w:i/>
          <w:iCs/>
          <w:sz w:val="22"/>
        </w:rPr>
        <w:t>17</w:t>
      </w:r>
      <w:r w:rsidRPr="00EC2F1C">
        <w:rPr>
          <w:rFonts w:ascii="Arial" w:hAnsi="Arial" w:cs="Arial"/>
          <w:sz w:val="22"/>
        </w:rPr>
        <w:t>(10). Available: https://pmc.ncbi.nlm.nih.gov/articles/PMC12598373/ (Accessed on 7/28/2026).</w:t>
      </w:r>
    </w:p>
    <w:p w14:paraId="5FCEC596"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Alboksmaty, A., Lunova, T., Darzi, A. and Neves, A.L., 2026. Communication Challenges and Mitigation Strategies in Primary Care Virtual Consultations: Qualitative Study. </w:t>
      </w:r>
      <w:r w:rsidRPr="00EC2F1C">
        <w:rPr>
          <w:rFonts w:ascii="Arial" w:hAnsi="Arial" w:cs="Arial"/>
          <w:i/>
          <w:iCs/>
          <w:sz w:val="22"/>
        </w:rPr>
        <w:t>Journal of Medical Internet Research</w:t>
      </w:r>
      <w:r w:rsidRPr="00EC2F1C">
        <w:rPr>
          <w:rFonts w:ascii="Arial" w:hAnsi="Arial" w:cs="Arial"/>
          <w:sz w:val="22"/>
        </w:rPr>
        <w:t>, </w:t>
      </w:r>
      <w:r w:rsidRPr="00EC2F1C">
        <w:rPr>
          <w:rFonts w:ascii="Arial" w:hAnsi="Arial" w:cs="Arial"/>
          <w:i/>
          <w:iCs/>
          <w:sz w:val="22"/>
        </w:rPr>
        <w:t>28</w:t>
      </w:r>
      <w:r w:rsidRPr="00EC2F1C">
        <w:rPr>
          <w:rFonts w:ascii="Arial" w:hAnsi="Arial" w:cs="Arial"/>
          <w:sz w:val="22"/>
        </w:rPr>
        <w:t>, p.e79399. Available: https://www.jmir.org/2026/1/e79399/ (Accessed on 7/28/2026).</w:t>
      </w:r>
    </w:p>
    <w:p w14:paraId="1A7F064D"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Anawade, P.A., Sharma, D., Gahane, S., Anawade Sr, P.A. and Sharma, D.S., 2024. A comprehensive review on exploring the impact of telemedicine on healthcare accessibility. </w:t>
      </w:r>
      <w:r w:rsidRPr="00EC2F1C">
        <w:rPr>
          <w:rFonts w:ascii="Arial" w:hAnsi="Arial" w:cs="Arial"/>
          <w:i/>
          <w:iCs/>
          <w:sz w:val="22"/>
        </w:rPr>
        <w:t>Cureus</w:t>
      </w:r>
      <w:r w:rsidRPr="00EC2F1C">
        <w:rPr>
          <w:rFonts w:ascii="Arial" w:hAnsi="Arial" w:cs="Arial"/>
          <w:sz w:val="22"/>
        </w:rPr>
        <w:t>, </w:t>
      </w:r>
      <w:r w:rsidRPr="00EC2F1C">
        <w:rPr>
          <w:rFonts w:ascii="Arial" w:hAnsi="Arial" w:cs="Arial"/>
          <w:i/>
          <w:iCs/>
          <w:sz w:val="22"/>
        </w:rPr>
        <w:t>16</w:t>
      </w:r>
      <w:r w:rsidRPr="00EC2F1C">
        <w:rPr>
          <w:rFonts w:ascii="Arial" w:hAnsi="Arial" w:cs="Arial"/>
          <w:sz w:val="22"/>
        </w:rPr>
        <w:t>(3). Available: https://pmc.ncbi.nlm.nih.gov/articles/PMC11009553/ (Accessed on 7/28/2026).</w:t>
      </w:r>
    </w:p>
    <w:p w14:paraId="162186A6"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Arksey, H. and O'malley, L., 2005. Scoping studies: towards a methodological framework. </w:t>
      </w:r>
      <w:r w:rsidRPr="00EC2F1C">
        <w:rPr>
          <w:rFonts w:ascii="Arial" w:hAnsi="Arial" w:cs="Arial"/>
          <w:i/>
          <w:iCs/>
          <w:sz w:val="22"/>
        </w:rPr>
        <w:t>International journal of social research methodology</w:t>
      </w:r>
      <w:r w:rsidRPr="00EC2F1C">
        <w:rPr>
          <w:rFonts w:ascii="Arial" w:hAnsi="Arial" w:cs="Arial"/>
          <w:sz w:val="22"/>
        </w:rPr>
        <w:t>, </w:t>
      </w:r>
      <w:r w:rsidRPr="00EC2F1C">
        <w:rPr>
          <w:rFonts w:ascii="Arial" w:hAnsi="Arial" w:cs="Arial"/>
          <w:i/>
          <w:iCs/>
          <w:sz w:val="22"/>
        </w:rPr>
        <w:t>8</w:t>
      </w:r>
      <w:r w:rsidRPr="00EC2F1C">
        <w:rPr>
          <w:rFonts w:ascii="Arial" w:hAnsi="Arial" w:cs="Arial"/>
          <w:sz w:val="22"/>
        </w:rPr>
        <w:t>(1), pp.19-32. Available: https://eprints.whiterose.ac.uk/id/eprint/1618/1/Scopingstudies.pdf. (Accessed on 7/7/2026).</w:t>
      </w:r>
    </w:p>
    <w:p w14:paraId="1F375D82"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Atherton, H., Eccles, A., Poltawski, L., Dale, J., Campbell, J. and Abel, G., 2024. Investigating patient use and experience of online appointment booking in primary care: mixed methods study. </w:t>
      </w:r>
      <w:r w:rsidRPr="00EC2F1C">
        <w:rPr>
          <w:rFonts w:ascii="Arial" w:hAnsi="Arial" w:cs="Arial"/>
          <w:i/>
          <w:iCs/>
          <w:sz w:val="22"/>
        </w:rPr>
        <w:t>Journal of Medical Internet Research</w:t>
      </w:r>
      <w:r w:rsidRPr="00EC2F1C">
        <w:rPr>
          <w:rFonts w:ascii="Arial" w:hAnsi="Arial" w:cs="Arial"/>
          <w:sz w:val="22"/>
        </w:rPr>
        <w:t>, </w:t>
      </w:r>
      <w:r w:rsidRPr="00EC2F1C">
        <w:rPr>
          <w:rFonts w:ascii="Arial" w:hAnsi="Arial" w:cs="Arial"/>
          <w:i/>
          <w:iCs/>
          <w:sz w:val="22"/>
        </w:rPr>
        <w:t>26</w:t>
      </w:r>
      <w:r w:rsidRPr="00EC2F1C">
        <w:rPr>
          <w:rFonts w:ascii="Arial" w:hAnsi="Arial" w:cs="Arial"/>
          <w:sz w:val="22"/>
        </w:rPr>
        <w:t>, p.e51931. Available: https://www.jmir.org/2024/1/e51931/ (Accessed on 7/28/2026).</w:t>
      </w:r>
    </w:p>
    <w:p w14:paraId="2A0AF77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Beheshti, L., Kalankesh, L.R., Doshmangir, L. and Farahbakhsh, M., 2022. Telehealth in primary health care: a scoping review of the literature. </w:t>
      </w:r>
      <w:r w:rsidRPr="00EC2F1C">
        <w:rPr>
          <w:rFonts w:ascii="Arial" w:hAnsi="Arial" w:cs="Arial"/>
          <w:i/>
          <w:iCs/>
          <w:sz w:val="22"/>
        </w:rPr>
        <w:t>Perspectives in health information management</w:t>
      </w:r>
      <w:r w:rsidRPr="00EC2F1C">
        <w:rPr>
          <w:rFonts w:ascii="Arial" w:hAnsi="Arial" w:cs="Arial"/>
          <w:sz w:val="22"/>
        </w:rPr>
        <w:t>, </w:t>
      </w:r>
      <w:r w:rsidRPr="00EC2F1C">
        <w:rPr>
          <w:rFonts w:ascii="Arial" w:hAnsi="Arial" w:cs="Arial"/>
          <w:i/>
          <w:iCs/>
          <w:sz w:val="22"/>
        </w:rPr>
        <w:t>19</w:t>
      </w:r>
      <w:r w:rsidRPr="00EC2F1C">
        <w:rPr>
          <w:rFonts w:ascii="Arial" w:hAnsi="Arial" w:cs="Arial"/>
          <w:sz w:val="22"/>
        </w:rPr>
        <w:t>(1). Available: https://pmc.ncbi.nlm.nih.gov/articles/PMC9013222/ (Accessed on 7/27/2026).</w:t>
      </w:r>
    </w:p>
    <w:p w14:paraId="01C4E674"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Bhattacharya, I., van Haperen, O., &amp; Fitzsimons, L. (2024, April 9). </w:t>
      </w:r>
      <w:r w:rsidRPr="00EC2F1C">
        <w:rPr>
          <w:rFonts w:ascii="Arial" w:hAnsi="Arial" w:cs="Arial"/>
          <w:i/>
          <w:iCs/>
          <w:sz w:val="22"/>
        </w:rPr>
        <w:t>Telemedicine: The role of data protection laws</w:t>
      </w:r>
      <w:r w:rsidRPr="00EC2F1C">
        <w:rPr>
          <w:rFonts w:ascii="Arial" w:hAnsi="Arial" w:cs="Arial"/>
          <w:sz w:val="22"/>
        </w:rPr>
        <w:t>. Eversheds Sutherland. Available: https://www.eversheds-</w:t>
      </w:r>
      <w:r w:rsidRPr="00EC2F1C">
        <w:rPr>
          <w:rFonts w:ascii="Arial" w:hAnsi="Arial" w:cs="Arial"/>
          <w:sz w:val="22"/>
        </w:rPr>
        <w:lastRenderedPageBreak/>
        <w:t>sutherland.com/en/global/insights/telemedicine-the-role-of-data-protection-laws (Accessed on 7/28/2026).</w:t>
      </w:r>
    </w:p>
    <w:p w14:paraId="79C9AF87"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Bhoyar, A., Vagha, S., Mishra, V., Agrawal, M.S. and Kambala, S.R., 2024. Addressing the digital divide in health education: A systematic review. </w:t>
      </w:r>
      <w:r w:rsidRPr="00EC2F1C">
        <w:rPr>
          <w:rFonts w:ascii="Arial" w:hAnsi="Arial" w:cs="Arial"/>
          <w:i/>
          <w:iCs/>
          <w:sz w:val="22"/>
        </w:rPr>
        <w:t>Cureus</w:t>
      </w:r>
      <w:r w:rsidRPr="00EC2F1C">
        <w:rPr>
          <w:rFonts w:ascii="Arial" w:hAnsi="Arial" w:cs="Arial"/>
          <w:sz w:val="22"/>
        </w:rPr>
        <w:t>, </w:t>
      </w:r>
      <w:r w:rsidRPr="00EC2F1C">
        <w:rPr>
          <w:rFonts w:ascii="Arial" w:hAnsi="Arial" w:cs="Arial"/>
          <w:i/>
          <w:iCs/>
          <w:sz w:val="22"/>
        </w:rPr>
        <w:t>16</w:t>
      </w:r>
      <w:r w:rsidRPr="00EC2F1C">
        <w:rPr>
          <w:rFonts w:ascii="Arial" w:hAnsi="Arial" w:cs="Arial"/>
          <w:sz w:val="22"/>
        </w:rPr>
        <w:t>(9). Available: https://pmc.ncbi.nlm.nih.gov/articles/PMC11499311/ (Accessed on 7/28/2026).</w:t>
      </w:r>
    </w:p>
    <w:p w14:paraId="495FC182"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Braun, V. and Clarke, V., 2021. Thematic analysis: A practical guide. Available: https://www.researchgate.net/profile/David-Morgan-43/post/How_to_teach_and_or_supervise_qualitatve_data_analysis/attachment/5d448bd33843b0b9825d91e4/AS%3A787530584698880%401564773331825/download/Braun+12+APA+Handbook.pdf (Accessed on 7/7/2026).</w:t>
      </w:r>
    </w:p>
    <w:p w14:paraId="798F858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Caffery, L.J., Taylor, M., Lucas, K. and Smith, A.C., 2016. Substitution rates of video consultations for traditional consultations at a tertiary public hospital. </w:t>
      </w:r>
      <w:r w:rsidRPr="00EC2F1C">
        <w:rPr>
          <w:rFonts w:ascii="Arial" w:hAnsi="Arial" w:cs="Arial"/>
          <w:i/>
          <w:iCs/>
          <w:sz w:val="22"/>
        </w:rPr>
        <w:t>Journal of telemedicine and telecare</w:t>
      </w:r>
      <w:r w:rsidRPr="00EC2F1C">
        <w:rPr>
          <w:rFonts w:ascii="Arial" w:hAnsi="Arial" w:cs="Arial"/>
          <w:sz w:val="22"/>
        </w:rPr>
        <w:t>, </w:t>
      </w:r>
      <w:r w:rsidRPr="00EC2F1C">
        <w:rPr>
          <w:rFonts w:ascii="Arial" w:hAnsi="Arial" w:cs="Arial"/>
          <w:i/>
          <w:iCs/>
          <w:sz w:val="22"/>
        </w:rPr>
        <w:t>22</w:t>
      </w:r>
      <w:r w:rsidRPr="00EC2F1C">
        <w:rPr>
          <w:rFonts w:ascii="Arial" w:hAnsi="Arial" w:cs="Arial"/>
          <w:sz w:val="22"/>
        </w:rPr>
        <w:t>(8), pp.453-458. Available: https://doi.org/10.1177/1357633X16672767 (Accessed on 7/28/2026).</w:t>
      </w:r>
    </w:p>
    <w:p w14:paraId="1203263A"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Calderon, M.E., Ghattas Hasbun, P.E., Salolin Vargas, V.P., García-González, O.Y., Fermin Madera, M.D., Rueda Capistrán, D.E., Campos Carmona, T., Sanchez Cruz, C. and Teran Hooper, C., 2025. A comprehensive guide to conduct a systematic review and meta-analysis in medical research. </w:t>
      </w:r>
      <w:r w:rsidRPr="00EC2F1C">
        <w:rPr>
          <w:rFonts w:ascii="Arial" w:hAnsi="Arial" w:cs="Arial"/>
          <w:i/>
          <w:iCs/>
          <w:sz w:val="22"/>
        </w:rPr>
        <w:t>Medicine</w:t>
      </w:r>
      <w:r w:rsidRPr="00EC2F1C">
        <w:rPr>
          <w:rFonts w:ascii="Arial" w:hAnsi="Arial" w:cs="Arial"/>
          <w:sz w:val="22"/>
        </w:rPr>
        <w:t>, </w:t>
      </w:r>
      <w:r w:rsidRPr="00EC2F1C">
        <w:rPr>
          <w:rFonts w:ascii="Arial" w:hAnsi="Arial" w:cs="Arial"/>
          <w:i/>
          <w:iCs/>
          <w:sz w:val="22"/>
        </w:rPr>
        <w:t>104</w:t>
      </w:r>
      <w:r w:rsidRPr="00EC2F1C">
        <w:rPr>
          <w:rFonts w:ascii="Arial" w:hAnsi="Arial" w:cs="Arial"/>
          <w:sz w:val="22"/>
        </w:rPr>
        <w:t>(33), p.e41868. Available: https://pmc.ncbi.nlm.nih.gov/articles/PMC12366998/ (Accessed on 7/7/2026).</w:t>
      </w:r>
    </w:p>
    <w:p w14:paraId="1DDE34F2"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Department of Health and Social Care, &amp; NHS England. (2022, June 29). </w:t>
      </w:r>
      <w:r w:rsidRPr="00EC2F1C">
        <w:rPr>
          <w:rFonts w:ascii="Arial" w:hAnsi="Arial" w:cs="Arial"/>
          <w:i/>
          <w:iCs/>
          <w:sz w:val="22"/>
        </w:rPr>
        <w:t>A plan for digital health and social care</w:t>
      </w:r>
      <w:r w:rsidRPr="00EC2F1C">
        <w:rPr>
          <w:rFonts w:ascii="Arial" w:hAnsi="Arial" w:cs="Arial"/>
          <w:sz w:val="22"/>
        </w:rPr>
        <w:t>. GOV.UK. Available: https://www.gov.uk/government/publications/a-plan-for-digital-health-and-social-care/a-plan-for-digital-health-and-social-care (Accessed on 7/28/2026).</w:t>
      </w:r>
    </w:p>
    <w:p w14:paraId="70A1F264"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Eady, A.M., Wilczynski, N.L., Haynes, R.B. and Hedges Team, 2008. PsycINFO search strategies identified methodologically sound therapy studies and review articles for use by clinicians and researchers. </w:t>
      </w:r>
      <w:r w:rsidRPr="00EC2F1C">
        <w:rPr>
          <w:rFonts w:ascii="Arial" w:hAnsi="Arial" w:cs="Arial"/>
          <w:i/>
          <w:iCs/>
          <w:sz w:val="22"/>
        </w:rPr>
        <w:t>Journal of clinical epidemiology</w:t>
      </w:r>
      <w:r w:rsidRPr="00EC2F1C">
        <w:rPr>
          <w:rFonts w:ascii="Arial" w:hAnsi="Arial" w:cs="Arial"/>
          <w:sz w:val="22"/>
        </w:rPr>
        <w:t>, </w:t>
      </w:r>
      <w:r w:rsidRPr="00EC2F1C">
        <w:rPr>
          <w:rFonts w:ascii="Arial" w:hAnsi="Arial" w:cs="Arial"/>
          <w:i/>
          <w:iCs/>
          <w:sz w:val="22"/>
        </w:rPr>
        <w:t>61</w:t>
      </w:r>
      <w:r w:rsidRPr="00EC2F1C">
        <w:rPr>
          <w:rFonts w:ascii="Arial" w:hAnsi="Arial" w:cs="Arial"/>
          <w:sz w:val="22"/>
        </w:rPr>
        <w:t>(1), pp.34-40. Available: https://pmc.ncbi.nlm.nih.gov/articles/PMC2254323/ (Accessed on 7/28/2026).</w:t>
      </w:r>
    </w:p>
    <w:p w14:paraId="0FDCD54D"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Ewald, H., Klerings, I., Wagner, G., Heise, T.L., Stratil, J.M., Lhachimi, S.K., Hemkens, L.G., Gartlehner, G., Armijo-Olivo, S. and Nussbaumer-Streit, B., 2022. Searching two or more databases decreased the risk of missing relevant studies: a metaresearch study. </w:t>
      </w:r>
      <w:r w:rsidRPr="00EC2F1C">
        <w:rPr>
          <w:rFonts w:ascii="Arial" w:hAnsi="Arial" w:cs="Arial"/>
          <w:i/>
          <w:iCs/>
          <w:sz w:val="22"/>
        </w:rPr>
        <w:t>Journal of clinical epidemiology</w:t>
      </w:r>
      <w:r w:rsidRPr="00EC2F1C">
        <w:rPr>
          <w:rFonts w:ascii="Arial" w:hAnsi="Arial" w:cs="Arial"/>
          <w:sz w:val="22"/>
        </w:rPr>
        <w:t>, </w:t>
      </w:r>
      <w:r w:rsidRPr="00EC2F1C">
        <w:rPr>
          <w:rFonts w:ascii="Arial" w:hAnsi="Arial" w:cs="Arial"/>
          <w:i/>
          <w:iCs/>
          <w:sz w:val="22"/>
        </w:rPr>
        <w:t>149</w:t>
      </w:r>
      <w:r w:rsidRPr="00EC2F1C">
        <w:rPr>
          <w:rFonts w:ascii="Arial" w:hAnsi="Arial" w:cs="Arial"/>
          <w:sz w:val="22"/>
        </w:rPr>
        <w:t>, pp.154-164. Available: https://www.sciencedirect.com/science/article/pii/S0895435622001445 (Accessed on 7/28/2026).</w:t>
      </w:r>
    </w:p>
    <w:p w14:paraId="25EF9EE6"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lastRenderedPageBreak/>
        <w:t>Ezeamii, V.C., Okobi, O.E., Wambai-Sani, H., Perera, G.S., Zaynieva, S., Okonkwo, C.C., Ohaiba, M.M., William-Enemali, P.C., Obodo, O.R. and Obiefuna, N.G., 2024. Revolutionizing healthcare: how telemedicine is improving patient outcomes and expanding access to care. </w:t>
      </w:r>
      <w:r w:rsidRPr="00EC2F1C">
        <w:rPr>
          <w:rFonts w:ascii="Arial" w:hAnsi="Arial" w:cs="Arial"/>
          <w:i/>
          <w:iCs/>
          <w:sz w:val="22"/>
        </w:rPr>
        <w:t>Cureus</w:t>
      </w:r>
      <w:r w:rsidRPr="00EC2F1C">
        <w:rPr>
          <w:rFonts w:ascii="Arial" w:hAnsi="Arial" w:cs="Arial"/>
          <w:sz w:val="22"/>
        </w:rPr>
        <w:t>, </w:t>
      </w:r>
      <w:r w:rsidRPr="00EC2F1C">
        <w:rPr>
          <w:rFonts w:ascii="Arial" w:hAnsi="Arial" w:cs="Arial"/>
          <w:i/>
          <w:iCs/>
          <w:sz w:val="22"/>
        </w:rPr>
        <w:t>16</w:t>
      </w:r>
      <w:r w:rsidRPr="00EC2F1C">
        <w:rPr>
          <w:rFonts w:ascii="Arial" w:hAnsi="Arial" w:cs="Arial"/>
          <w:sz w:val="22"/>
        </w:rPr>
        <w:t>(7). Available: https://pmc.ncbi.nlm.nih.gov/articles/PMC11298029/ (Accessed on 7/7/2026).</w:t>
      </w:r>
    </w:p>
    <w:p w14:paraId="74AFB2AC"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Gobburi, R.K., Olawade, D.B., Olatunji, G.D., Kokori, E., Aderinto, N. and David-Olawade, A.C., 2025. Telemedicine use in rural areas of the United Kingdom to improve access to healthcare facilities: A review of current evidence. </w:t>
      </w:r>
      <w:r w:rsidRPr="00EC2F1C">
        <w:rPr>
          <w:rFonts w:ascii="Arial" w:hAnsi="Arial" w:cs="Arial"/>
          <w:i/>
          <w:iCs/>
          <w:sz w:val="22"/>
        </w:rPr>
        <w:t>Informatics and Health</w:t>
      </w:r>
      <w:r w:rsidRPr="00EC2F1C">
        <w:rPr>
          <w:rFonts w:ascii="Arial" w:hAnsi="Arial" w:cs="Arial"/>
          <w:sz w:val="22"/>
        </w:rPr>
        <w:t>, </w:t>
      </w:r>
      <w:r w:rsidRPr="00EC2F1C">
        <w:rPr>
          <w:rFonts w:ascii="Arial" w:hAnsi="Arial" w:cs="Arial"/>
          <w:i/>
          <w:iCs/>
          <w:sz w:val="22"/>
        </w:rPr>
        <w:t>2</w:t>
      </w:r>
      <w:r w:rsidRPr="00EC2F1C">
        <w:rPr>
          <w:rFonts w:ascii="Arial" w:hAnsi="Arial" w:cs="Arial"/>
          <w:sz w:val="22"/>
        </w:rPr>
        <w:t>(1), pp.41-48. Available: https://www.sciencedirect.com/science/article/pii/S2949953425000050 (Accessed on 7/28/2026).</w:t>
      </w:r>
    </w:p>
    <w:p w14:paraId="13665784"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Greenhalgh, T., Ladds, E., Hughes, G., Moore, L., Wherton, J., Shaw, S.E., Papoutsi, C., Wieringa, S., Rosen, R., Rushforth, A. and Rybczynska-Bunt, S., 2022. Why do GPs rarely do video consultations? Qualitative study in UK general practice. </w:t>
      </w:r>
      <w:r w:rsidRPr="00EC2F1C">
        <w:rPr>
          <w:rFonts w:ascii="Arial" w:hAnsi="Arial" w:cs="Arial"/>
          <w:i/>
          <w:iCs/>
          <w:sz w:val="22"/>
        </w:rPr>
        <w:t>British Journal of General Practice</w:t>
      </w:r>
      <w:r w:rsidRPr="00EC2F1C">
        <w:rPr>
          <w:rFonts w:ascii="Arial" w:hAnsi="Arial" w:cs="Arial"/>
          <w:sz w:val="22"/>
        </w:rPr>
        <w:t>. Available: https://bjgp.org/content/bjgp/early/2022/03/07/BJGP.2021.0658.full.pdf (Accessed on 7/28/2026).</w:t>
      </w:r>
    </w:p>
    <w:p w14:paraId="58380D23"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Haleem, A., Javaid, M., Singh, R.P. and Suman, R., 2021. Telemedicine for healthcare: Capabilities, features, barriers, and applications. </w:t>
      </w:r>
      <w:r w:rsidRPr="00EC2F1C">
        <w:rPr>
          <w:rFonts w:ascii="Arial" w:hAnsi="Arial" w:cs="Arial"/>
          <w:i/>
          <w:iCs/>
          <w:sz w:val="22"/>
        </w:rPr>
        <w:t>Sensors international</w:t>
      </w:r>
      <w:r w:rsidRPr="00EC2F1C">
        <w:rPr>
          <w:rFonts w:ascii="Arial" w:hAnsi="Arial" w:cs="Arial"/>
          <w:sz w:val="22"/>
        </w:rPr>
        <w:t>, </w:t>
      </w:r>
      <w:r w:rsidRPr="00EC2F1C">
        <w:rPr>
          <w:rFonts w:ascii="Arial" w:hAnsi="Arial" w:cs="Arial"/>
          <w:i/>
          <w:iCs/>
          <w:sz w:val="22"/>
        </w:rPr>
        <w:t>2</w:t>
      </w:r>
      <w:r w:rsidRPr="00EC2F1C">
        <w:rPr>
          <w:rFonts w:ascii="Arial" w:hAnsi="Arial" w:cs="Arial"/>
          <w:sz w:val="22"/>
        </w:rPr>
        <w:t>, p.100117. Available: https://pmc.ncbi.nlm.nih.gov/articles/PMC8590973/ (Accessed on 7/27/2026).</w:t>
      </w:r>
    </w:p>
    <w:p w14:paraId="795CDBAA"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Helbach, J., Pieper, D., Mathes, T., Rombey, T., Zeeb, H., Allers, K. and Hoffmann, F., 2022. Restrictions and their reporting in systematic reviews of effectiveness: an observational study. </w:t>
      </w:r>
      <w:r w:rsidRPr="00EC2F1C">
        <w:rPr>
          <w:rFonts w:ascii="Arial" w:hAnsi="Arial" w:cs="Arial"/>
          <w:i/>
          <w:iCs/>
          <w:sz w:val="22"/>
        </w:rPr>
        <w:t>BMC Medical Research Methodology</w:t>
      </w:r>
      <w:r w:rsidRPr="00EC2F1C">
        <w:rPr>
          <w:rFonts w:ascii="Arial" w:hAnsi="Arial" w:cs="Arial"/>
          <w:sz w:val="22"/>
        </w:rPr>
        <w:t>, </w:t>
      </w:r>
      <w:r w:rsidRPr="00EC2F1C">
        <w:rPr>
          <w:rFonts w:ascii="Arial" w:hAnsi="Arial" w:cs="Arial"/>
          <w:i/>
          <w:iCs/>
          <w:sz w:val="22"/>
        </w:rPr>
        <w:t>22</w:t>
      </w:r>
      <w:r w:rsidRPr="00EC2F1C">
        <w:rPr>
          <w:rFonts w:ascii="Arial" w:hAnsi="Arial" w:cs="Arial"/>
          <w:sz w:val="22"/>
        </w:rPr>
        <w:t>(1), p.230. Available: https://pmc.ncbi.nlm.nih.gov/articles/PMC9392276/ (Accessed on 7/7/2026).</w:t>
      </w:r>
    </w:p>
    <w:p w14:paraId="7A6414CC"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Hopia, H. and Heikkilä, J., 2020. Nursing research priorities based on CINAHL database: A scoping review. </w:t>
      </w:r>
      <w:r w:rsidRPr="00EC2F1C">
        <w:rPr>
          <w:rFonts w:ascii="Arial" w:hAnsi="Arial" w:cs="Arial"/>
          <w:i/>
          <w:iCs/>
          <w:sz w:val="22"/>
        </w:rPr>
        <w:t>Nursing Open</w:t>
      </w:r>
      <w:r w:rsidRPr="00EC2F1C">
        <w:rPr>
          <w:rFonts w:ascii="Arial" w:hAnsi="Arial" w:cs="Arial"/>
          <w:sz w:val="22"/>
        </w:rPr>
        <w:t>, </w:t>
      </w:r>
      <w:r w:rsidRPr="00EC2F1C">
        <w:rPr>
          <w:rFonts w:ascii="Arial" w:hAnsi="Arial" w:cs="Arial"/>
          <w:i/>
          <w:iCs/>
          <w:sz w:val="22"/>
        </w:rPr>
        <w:t>7</w:t>
      </w:r>
      <w:r w:rsidRPr="00EC2F1C">
        <w:rPr>
          <w:rFonts w:ascii="Arial" w:hAnsi="Arial" w:cs="Arial"/>
          <w:sz w:val="22"/>
        </w:rPr>
        <w:t>(2), pp.483-494. Available: https://pmc.ncbi.nlm.nih.gov/articles/PMC7024619/ (Accessed on 7/28/2026).</w:t>
      </w:r>
    </w:p>
    <w:p w14:paraId="6C7EC2AE"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Jones, R.B., Tredinnick-Rowe, J., Baines, R., Maramba, I.D.C. and Chatterjee, A., 2022. Use and usability of GP online services: a mixed-methods sequential study, before and during the COVID-19 pandemic, based on qualitative interviews, analysis of routine eConsult usage and feedback data, and assessment of GP websites in Devon and Cornwall, England. </w:t>
      </w:r>
      <w:r w:rsidRPr="00EC2F1C">
        <w:rPr>
          <w:rFonts w:ascii="Arial" w:hAnsi="Arial" w:cs="Arial"/>
          <w:i/>
          <w:iCs/>
          <w:sz w:val="22"/>
        </w:rPr>
        <w:t>BMJ open</w:t>
      </w:r>
      <w:r w:rsidRPr="00EC2F1C">
        <w:rPr>
          <w:rFonts w:ascii="Arial" w:hAnsi="Arial" w:cs="Arial"/>
          <w:sz w:val="22"/>
        </w:rPr>
        <w:t>, </w:t>
      </w:r>
      <w:r w:rsidRPr="00EC2F1C">
        <w:rPr>
          <w:rFonts w:ascii="Arial" w:hAnsi="Arial" w:cs="Arial"/>
          <w:i/>
          <w:iCs/>
          <w:sz w:val="22"/>
        </w:rPr>
        <w:t>12</w:t>
      </w:r>
      <w:r w:rsidRPr="00EC2F1C">
        <w:rPr>
          <w:rFonts w:ascii="Arial" w:hAnsi="Arial" w:cs="Arial"/>
          <w:sz w:val="22"/>
        </w:rPr>
        <w:t xml:space="preserve">(3), p.e058247. Available: </w:t>
      </w:r>
      <w:r w:rsidRPr="00EC2F1C">
        <w:rPr>
          <w:rFonts w:ascii="Arial" w:hAnsi="Arial" w:cs="Arial"/>
          <w:sz w:val="22"/>
        </w:rPr>
        <w:lastRenderedPageBreak/>
        <w:t>https://bmjopen.bmj.com/content/bmjopen/12/3/e058247.full.pdf (Accessed on 7/28/2026).</w:t>
      </w:r>
    </w:p>
    <w:p w14:paraId="55FF6EB1"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Jowsey, T., Deng, C. and Weller, J., 2021. General-purpose thematic analysis: a useful qualitative method for anaesthesia research. </w:t>
      </w:r>
      <w:r w:rsidRPr="00EC2F1C">
        <w:rPr>
          <w:rFonts w:ascii="Arial" w:hAnsi="Arial" w:cs="Arial"/>
          <w:i/>
          <w:iCs/>
          <w:sz w:val="22"/>
        </w:rPr>
        <w:t>BJA education</w:t>
      </w:r>
      <w:r w:rsidRPr="00EC2F1C">
        <w:rPr>
          <w:rFonts w:ascii="Arial" w:hAnsi="Arial" w:cs="Arial"/>
          <w:sz w:val="22"/>
        </w:rPr>
        <w:t>, </w:t>
      </w:r>
      <w:r w:rsidRPr="00EC2F1C">
        <w:rPr>
          <w:rFonts w:ascii="Arial" w:hAnsi="Arial" w:cs="Arial"/>
          <w:i/>
          <w:iCs/>
          <w:sz w:val="22"/>
        </w:rPr>
        <w:t>21</w:t>
      </w:r>
      <w:r w:rsidRPr="00EC2F1C">
        <w:rPr>
          <w:rFonts w:ascii="Arial" w:hAnsi="Arial" w:cs="Arial"/>
          <w:sz w:val="22"/>
        </w:rPr>
        <w:t>(12), pp.472-478. Available: https://pmc.ncbi.nlm.nih.gov/articles/PMC8606608/ (Accessed on 7/7/2026).</w:t>
      </w:r>
    </w:p>
    <w:p w14:paraId="43466247"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Kemp, M., Rising, K.L., Laynor, G., Miao, J., Worster, B., Chang, A.M., Monick, A.J., Guth, A., Esteves Camacho, T., McIntosh, K. and Amadio, G., 2025. Barriers to telehealth uptake and use: a scoping review. </w:t>
      </w:r>
      <w:r w:rsidRPr="00EC2F1C">
        <w:rPr>
          <w:rFonts w:ascii="Arial" w:hAnsi="Arial" w:cs="Arial"/>
          <w:i/>
          <w:iCs/>
          <w:sz w:val="22"/>
        </w:rPr>
        <w:t>JAMIA open</w:t>
      </w:r>
      <w:r w:rsidRPr="00EC2F1C">
        <w:rPr>
          <w:rFonts w:ascii="Arial" w:hAnsi="Arial" w:cs="Arial"/>
          <w:sz w:val="22"/>
        </w:rPr>
        <w:t>, </w:t>
      </w:r>
      <w:r w:rsidRPr="00EC2F1C">
        <w:rPr>
          <w:rFonts w:ascii="Arial" w:hAnsi="Arial" w:cs="Arial"/>
          <w:i/>
          <w:iCs/>
          <w:sz w:val="22"/>
        </w:rPr>
        <w:t>8</w:t>
      </w:r>
      <w:r w:rsidRPr="00EC2F1C">
        <w:rPr>
          <w:rFonts w:ascii="Arial" w:hAnsi="Arial" w:cs="Arial"/>
          <w:sz w:val="22"/>
        </w:rPr>
        <w:t>(2), p.ooaf019. Available:  https://pmc.ncbi.nlm.nih.gov/articles/PMC11921419/ (Accessed on 7/7/2026).</w:t>
      </w:r>
    </w:p>
    <w:p w14:paraId="7E351FCC"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Laari, L., 2025. Inductive-deductive qualitative data analysis logic in health sciences research: A framework for analysing qualitative data. </w:t>
      </w:r>
      <w:r w:rsidRPr="00EC2F1C">
        <w:rPr>
          <w:rFonts w:ascii="Arial" w:hAnsi="Arial" w:cs="Arial"/>
          <w:i/>
          <w:iCs/>
          <w:sz w:val="22"/>
        </w:rPr>
        <w:t>International Journal of Qualitative Methods</w:t>
      </w:r>
      <w:r w:rsidRPr="00EC2F1C">
        <w:rPr>
          <w:rFonts w:ascii="Arial" w:hAnsi="Arial" w:cs="Arial"/>
          <w:sz w:val="22"/>
        </w:rPr>
        <w:t>, </w:t>
      </w:r>
      <w:r w:rsidRPr="00EC2F1C">
        <w:rPr>
          <w:rFonts w:ascii="Arial" w:hAnsi="Arial" w:cs="Arial"/>
          <w:i/>
          <w:iCs/>
          <w:sz w:val="22"/>
        </w:rPr>
        <w:t>24</w:t>
      </w:r>
      <w:r w:rsidRPr="00EC2F1C">
        <w:rPr>
          <w:rFonts w:ascii="Arial" w:hAnsi="Arial" w:cs="Arial"/>
          <w:sz w:val="22"/>
        </w:rPr>
        <w:t>, p.16094069251381706. Available: https://journals.sagepub.com/doi/10.1177/16094069251381706 (Accessed on 7/28/2026).</w:t>
      </w:r>
    </w:p>
    <w:p w14:paraId="5711C56D"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Labadorf, J., Nichols, M., Williams, T., Cunanan, C. and D'Anza, B., 2025. A Smartphone Is Not Enough: Telehealth Attendance and the Digital Divide. </w:t>
      </w:r>
      <w:r w:rsidRPr="00EC2F1C">
        <w:rPr>
          <w:rFonts w:ascii="Arial" w:hAnsi="Arial" w:cs="Arial"/>
          <w:i/>
          <w:iCs/>
          <w:sz w:val="22"/>
        </w:rPr>
        <w:t>Health Care Science</w:t>
      </w:r>
      <w:r w:rsidRPr="00EC2F1C">
        <w:rPr>
          <w:rFonts w:ascii="Arial" w:hAnsi="Arial" w:cs="Arial"/>
          <w:sz w:val="22"/>
        </w:rPr>
        <w:t>, </w:t>
      </w:r>
      <w:r w:rsidRPr="00EC2F1C">
        <w:rPr>
          <w:rFonts w:ascii="Arial" w:hAnsi="Arial" w:cs="Arial"/>
          <w:i/>
          <w:iCs/>
          <w:sz w:val="22"/>
        </w:rPr>
        <w:t>4</w:t>
      </w:r>
      <w:r w:rsidRPr="00EC2F1C">
        <w:rPr>
          <w:rFonts w:ascii="Arial" w:hAnsi="Arial" w:cs="Arial"/>
          <w:sz w:val="22"/>
        </w:rPr>
        <w:t>(4), pp.259-268. Available:  https://pmc.ncbi.nlm.nih.gov/articles/PMC12371716/ (Accessed on 7/7/2026).</w:t>
      </w:r>
    </w:p>
    <w:p w14:paraId="5FCFCB3A"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Leighton, C., Cooper, A., Porter, A., Edwards, A. and Joseph-Williams, N., 2024. Effectiveness and safety of asynchronous telemedicine consultations in general practice: a systematic review. </w:t>
      </w:r>
      <w:r w:rsidRPr="00EC2F1C">
        <w:rPr>
          <w:rFonts w:ascii="Arial" w:hAnsi="Arial" w:cs="Arial"/>
          <w:i/>
          <w:iCs/>
          <w:sz w:val="22"/>
        </w:rPr>
        <w:t>BJGP open</w:t>
      </w:r>
      <w:r w:rsidRPr="00EC2F1C">
        <w:rPr>
          <w:rFonts w:ascii="Arial" w:hAnsi="Arial" w:cs="Arial"/>
          <w:sz w:val="22"/>
        </w:rPr>
        <w:t>, </w:t>
      </w:r>
      <w:r w:rsidRPr="00EC2F1C">
        <w:rPr>
          <w:rFonts w:ascii="Arial" w:hAnsi="Arial" w:cs="Arial"/>
          <w:i/>
          <w:iCs/>
          <w:sz w:val="22"/>
        </w:rPr>
        <w:t>8</w:t>
      </w:r>
      <w:r w:rsidRPr="00EC2F1C">
        <w:rPr>
          <w:rFonts w:ascii="Arial" w:hAnsi="Arial" w:cs="Arial"/>
          <w:sz w:val="22"/>
        </w:rPr>
        <w:t>(1). Available: http://bjgpopen.org/content/bjgpoa/8/1/BJGPO.2023.0177.full.pdf (Accessed on 7/7/2026).</w:t>
      </w:r>
    </w:p>
    <w:p w14:paraId="41B447BD"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Lindsey, W.T. and Olin, B.R., 2013. PubMed searches: Overview and strategies for clinicians. </w:t>
      </w:r>
      <w:r w:rsidRPr="00EC2F1C">
        <w:rPr>
          <w:rFonts w:ascii="Arial" w:hAnsi="Arial" w:cs="Arial"/>
          <w:i/>
          <w:iCs/>
          <w:sz w:val="22"/>
        </w:rPr>
        <w:t>Nutrition in Clinical Practice</w:t>
      </w:r>
      <w:r w:rsidRPr="00EC2F1C">
        <w:rPr>
          <w:rFonts w:ascii="Arial" w:hAnsi="Arial" w:cs="Arial"/>
          <w:sz w:val="22"/>
        </w:rPr>
        <w:t>, </w:t>
      </w:r>
      <w:r w:rsidRPr="00EC2F1C">
        <w:rPr>
          <w:rFonts w:ascii="Arial" w:hAnsi="Arial" w:cs="Arial"/>
          <w:i/>
          <w:iCs/>
          <w:sz w:val="22"/>
        </w:rPr>
        <w:t>28</w:t>
      </w:r>
      <w:r w:rsidRPr="00EC2F1C">
        <w:rPr>
          <w:rFonts w:ascii="Arial" w:hAnsi="Arial" w:cs="Arial"/>
          <w:sz w:val="22"/>
        </w:rPr>
        <w:t>(2), pp.165-176. Available: https://doi.org/10.1177/0884533613475821 (Accessed on 7/28/2026).</w:t>
      </w:r>
    </w:p>
    <w:p w14:paraId="3C30E511"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Maeckelberghe, E., Zdunek, K., Marceglia, S., Farsides, B. and Rigby, M., 2023. The ethical challenges of personalized digital health. </w:t>
      </w:r>
      <w:r w:rsidRPr="00EC2F1C">
        <w:rPr>
          <w:rFonts w:ascii="Arial" w:hAnsi="Arial" w:cs="Arial"/>
          <w:i/>
          <w:iCs/>
          <w:sz w:val="22"/>
        </w:rPr>
        <w:t>Frontiers in medicine</w:t>
      </w:r>
      <w:r w:rsidRPr="00EC2F1C">
        <w:rPr>
          <w:rFonts w:ascii="Arial" w:hAnsi="Arial" w:cs="Arial"/>
          <w:sz w:val="22"/>
        </w:rPr>
        <w:t>, </w:t>
      </w:r>
      <w:r w:rsidRPr="00EC2F1C">
        <w:rPr>
          <w:rFonts w:ascii="Arial" w:hAnsi="Arial" w:cs="Arial"/>
          <w:i/>
          <w:iCs/>
          <w:sz w:val="22"/>
        </w:rPr>
        <w:t>10</w:t>
      </w:r>
      <w:r w:rsidRPr="00EC2F1C">
        <w:rPr>
          <w:rFonts w:ascii="Arial" w:hAnsi="Arial" w:cs="Arial"/>
          <w:sz w:val="22"/>
        </w:rPr>
        <w:t>, p.1123863. Available: https://pmc.ncbi.nlm.nih.gov/articles/PMC10316710/ (Accessed on 7/28/2026).</w:t>
      </w:r>
    </w:p>
    <w:p w14:paraId="3AD09AFD"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Mathew, S., Green, D., Newton, N., Powell, R., Wakerman, J. and Russell, D.J., 2025. Telehealth for primary healthcare delivery in rural and remote contexts in high-income </w:t>
      </w:r>
      <w:r w:rsidRPr="00EC2F1C">
        <w:rPr>
          <w:rFonts w:ascii="Arial" w:hAnsi="Arial" w:cs="Arial"/>
          <w:sz w:val="22"/>
        </w:rPr>
        <w:lastRenderedPageBreak/>
        <w:t>countries—a scoping review. </w:t>
      </w:r>
      <w:r w:rsidRPr="00EC2F1C">
        <w:rPr>
          <w:rFonts w:ascii="Arial" w:hAnsi="Arial" w:cs="Arial"/>
          <w:i/>
          <w:iCs/>
          <w:sz w:val="22"/>
        </w:rPr>
        <w:t>Mhealth</w:t>
      </w:r>
      <w:r w:rsidRPr="00EC2F1C">
        <w:rPr>
          <w:rFonts w:ascii="Arial" w:hAnsi="Arial" w:cs="Arial"/>
          <w:sz w:val="22"/>
        </w:rPr>
        <w:t>, </w:t>
      </w:r>
      <w:r w:rsidRPr="00EC2F1C">
        <w:rPr>
          <w:rFonts w:ascii="Arial" w:hAnsi="Arial" w:cs="Arial"/>
          <w:i/>
          <w:iCs/>
          <w:sz w:val="22"/>
        </w:rPr>
        <w:t>11</w:t>
      </w:r>
      <w:r w:rsidRPr="00EC2F1C">
        <w:rPr>
          <w:rFonts w:ascii="Arial" w:hAnsi="Arial" w:cs="Arial"/>
          <w:sz w:val="22"/>
        </w:rPr>
        <w:t>, p.34. Available: https://pmc.ncbi.nlm.nih.gov/articles/PMC12314700/ (Accessed on 7/27/2026).</w:t>
      </w:r>
    </w:p>
    <w:p w14:paraId="6FD69F45"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Moher, D., Liberati, A., Tetzlaff, J. and Altman, D.G., 2009. Preferred reporting items for systematic reviews and meta-analyses: the PRISMA statement. </w:t>
      </w:r>
      <w:r w:rsidRPr="00EC2F1C">
        <w:rPr>
          <w:rFonts w:ascii="Arial" w:hAnsi="Arial" w:cs="Arial"/>
          <w:i/>
          <w:iCs/>
          <w:sz w:val="22"/>
        </w:rPr>
        <w:t>Bmj</w:t>
      </w:r>
      <w:r w:rsidRPr="00EC2F1C">
        <w:rPr>
          <w:rFonts w:ascii="Arial" w:hAnsi="Arial" w:cs="Arial"/>
          <w:sz w:val="22"/>
        </w:rPr>
        <w:t>, </w:t>
      </w:r>
      <w:r w:rsidRPr="00EC2F1C">
        <w:rPr>
          <w:rFonts w:ascii="Arial" w:hAnsi="Arial" w:cs="Arial"/>
          <w:i/>
          <w:iCs/>
          <w:sz w:val="22"/>
        </w:rPr>
        <w:t>339</w:t>
      </w:r>
      <w:r w:rsidRPr="00EC2F1C">
        <w:rPr>
          <w:rFonts w:ascii="Arial" w:hAnsi="Arial" w:cs="Arial"/>
          <w:sz w:val="22"/>
        </w:rPr>
        <w:t>. Available: https://www.bmj.com/content/bmj/339/bmj.b2535.full.pdf (Accessed on 7/28/2026).</w:t>
      </w:r>
    </w:p>
    <w:p w14:paraId="17A8FF39"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Mughal, F., Atherton, H., Awan, H., Kingstone, T., Poppleton, A., Silverwood, V. and Chew-Graham, C.A., 2022. The impact of remote consultations on brief conversations in general practice. </w:t>
      </w:r>
      <w:r w:rsidRPr="00EC2F1C">
        <w:rPr>
          <w:rFonts w:ascii="Arial" w:hAnsi="Arial" w:cs="Arial"/>
          <w:i/>
          <w:iCs/>
          <w:sz w:val="22"/>
        </w:rPr>
        <w:t>BJGP open</w:t>
      </w:r>
      <w:r w:rsidRPr="00EC2F1C">
        <w:rPr>
          <w:rFonts w:ascii="Arial" w:hAnsi="Arial" w:cs="Arial"/>
          <w:sz w:val="22"/>
        </w:rPr>
        <w:t>, </w:t>
      </w:r>
      <w:r w:rsidRPr="00EC2F1C">
        <w:rPr>
          <w:rFonts w:ascii="Arial" w:hAnsi="Arial" w:cs="Arial"/>
          <w:i/>
          <w:iCs/>
          <w:sz w:val="22"/>
        </w:rPr>
        <w:t>6</w:t>
      </w:r>
      <w:r w:rsidRPr="00EC2F1C">
        <w:rPr>
          <w:rFonts w:ascii="Arial" w:hAnsi="Arial" w:cs="Arial"/>
          <w:sz w:val="22"/>
        </w:rPr>
        <w:t>(2). Available: https://pmc.ncbi.nlm.nih.gov/articles/PMC9447317/ (Accessed on 7/28/2026).</w:t>
      </w:r>
    </w:p>
    <w:p w14:paraId="4953E993"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Murphy, M., Scott, L.J., Salisbury, C., Turner, A., Scott, A., Denholm, R., Lewis, R., Iyer, G., Macleod, J. and Horwood, J., 2021. Implementation of remote consulting in UK primary care following the COVID-19 pandemic: a mixed-methods longitudinal study. </w:t>
      </w:r>
      <w:r w:rsidRPr="00EC2F1C">
        <w:rPr>
          <w:rFonts w:ascii="Arial" w:hAnsi="Arial" w:cs="Arial"/>
          <w:i/>
          <w:iCs/>
          <w:sz w:val="22"/>
        </w:rPr>
        <w:t>British Journal of General Practice</w:t>
      </w:r>
      <w:r w:rsidRPr="00EC2F1C">
        <w:rPr>
          <w:rFonts w:ascii="Arial" w:hAnsi="Arial" w:cs="Arial"/>
          <w:sz w:val="22"/>
        </w:rPr>
        <w:t>. Available: https://pmc.ncbi.nlm.nih.gov/articles/PMC7909923/ (Accessed on 7/7/2026).</w:t>
      </w:r>
    </w:p>
    <w:p w14:paraId="33348B43"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Neeman, E., Lyon, L., Sun, H., Conell, C., Reed, M., Kumar, D., Kolevska, T., Kotak, D., Sundaresan, T. and Liu, R., 2022. Future of teleoncology: trends and disparities in telehealth and secure message utilization in the COVID-19 era. </w:t>
      </w:r>
      <w:r w:rsidRPr="00EC2F1C">
        <w:rPr>
          <w:rFonts w:ascii="Arial" w:hAnsi="Arial" w:cs="Arial"/>
          <w:i/>
          <w:iCs/>
          <w:sz w:val="22"/>
        </w:rPr>
        <w:t>JCO clinical cancer informatics</w:t>
      </w:r>
      <w:r w:rsidRPr="00EC2F1C">
        <w:rPr>
          <w:rFonts w:ascii="Arial" w:hAnsi="Arial" w:cs="Arial"/>
          <w:sz w:val="22"/>
        </w:rPr>
        <w:t>, </w:t>
      </w:r>
      <w:r w:rsidRPr="00EC2F1C">
        <w:rPr>
          <w:rFonts w:ascii="Arial" w:hAnsi="Arial" w:cs="Arial"/>
          <w:i/>
          <w:iCs/>
          <w:sz w:val="22"/>
        </w:rPr>
        <w:t>6</w:t>
      </w:r>
      <w:r w:rsidRPr="00EC2F1C">
        <w:rPr>
          <w:rFonts w:ascii="Arial" w:hAnsi="Arial" w:cs="Arial"/>
          <w:sz w:val="22"/>
        </w:rPr>
        <w:t>, p.e2100160. Available: https://pmc.ncbi.nlm.nih.gov/articles/PMC9067360/ (Accessed on 7/27/2026).</w:t>
      </w:r>
    </w:p>
    <w:p w14:paraId="01CF6189"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NHS England. (2019, August). </w:t>
      </w:r>
      <w:r w:rsidRPr="00EC2F1C">
        <w:rPr>
          <w:rFonts w:ascii="Arial" w:hAnsi="Arial" w:cs="Arial"/>
          <w:i/>
          <w:iCs/>
          <w:sz w:val="22"/>
        </w:rPr>
        <w:t>The NHS Long Term Plan</w:t>
      </w:r>
      <w:r w:rsidRPr="00EC2F1C">
        <w:rPr>
          <w:rFonts w:ascii="Arial" w:hAnsi="Arial" w:cs="Arial"/>
          <w:sz w:val="22"/>
        </w:rPr>
        <w:t xml:space="preserve"> (Version 1.2). Available: https://webarchive.nationalarchives.gov.uk/ukgwa/20250511091243/https://www.longtermplan.nhs.uk/wp-content/uploads/2019/08/nhs-long-term-plan-version-1.2.pdf (Accessed on 7/28/2026).</w:t>
      </w:r>
    </w:p>
    <w:p w14:paraId="0BDD703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NHS England. (2023). Patient and public participation in primary care commissioning. Available: https://www.england.nhs.uk/get-involved/get-involved/how/primarycare/ (Accessed on 7/27/2026).</w:t>
      </w:r>
    </w:p>
    <w:p w14:paraId="49274866"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NHS England. (2024). </w:t>
      </w:r>
      <w:r w:rsidRPr="00EC2F1C">
        <w:rPr>
          <w:rFonts w:ascii="Arial" w:hAnsi="Arial" w:cs="Arial"/>
          <w:i/>
          <w:iCs/>
          <w:sz w:val="22"/>
        </w:rPr>
        <w:t>Protecting patient data</w:t>
      </w:r>
      <w:r w:rsidRPr="00EC2F1C">
        <w:rPr>
          <w:rFonts w:ascii="Arial" w:hAnsi="Arial" w:cs="Arial"/>
          <w:sz w:val="22"/>
        </w:rPr>
        <w:t>. Available: https://digital.nhs.uk/services/national-data-opt-out/understanding-the-national-data-opt-out/protecting-patient-data (Accessed on 7/28/2026).</w:t>
      </w:r>
    </w:p>
    <w:p w14:paraId="03114E09"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 xml:space="preserve">Nursing and Midwifery Council (NMC). 2018. </w:t>
      </w:r>
      <w:r w:rsidRPr="00EC2F1C">
        <w:rPr>
          <w:rFonts w:ascii="Arial" w:hAnsi="Arial" w:cs="Arial"/>
          <w:i/>
          <w:iCs/>
          <w:sz w:val="22"/>
        </w:rPr>
        <w:t>The Code: Professional standards of practice and behaviour for nurses, midwives and nursing associates</w:t>
      </w:r>
      <w:r w:rsidRPr="00EC2F1C">
        <w:rPr>
          <w:rFonts w:ascii="Arial" w:hAnsi="Arial" w:cs="Arial"/>
          <w:sz w:val="22"/>
        </w:rPr>
        <w:t>. Available: https://www.nmc.org.uk/standards/code/ (Accessed on 7/28/2026).</w:t>
      </w:r>
    </w:p>
    <w:p w14:paraId="49EB636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lastRenderedPageBreak/>
        <w:t>Peters, M.D., Marnie, C., Tricco, A.C., Pollock, D., Munn, Z., Alexander, L., McInerney, P., Godfrey, C.M. and Khalil, H., 2021. Updated methodological guidance for the conduct of scoping reviews. </w:t>
      </w:r>
      <w:r w:rsidRPr="00EC2F1C">
        <w:rPr>
          <w:rFonts w:ascii="Arial" w:hAnsi="Arial" w:cs="Arial"/>
          <w:i/>
          <w:iCs/>
          <w:sz w:val="22"/>
        </w:rPr>
        <w:t>JBI evidence implementation</w:t>
      </w:r>
      <w:r w:rsidRPr="00EC2F1C">
        <w:rPr>
          <w:rFonts w:ascii="Arial" w:hAnsi="Arial" w:cs="Arial"/>
          <w:sz w:val="22"/>
        </w:rPr>
        <w:t>, </w:t>
      </w:r>
      <w:r w:rsidRPr="00EC2F1C">
        <w:rPr>
          <w:rFonts w:ascii="Arial" w:hAnsi="Arial" w:cs="Arial"/>
          <w:i/>
          <w:iCs/>
          <w:sz w:val="22"/>
        </w:rPr>
        <w:t>19</w:t>
      </w:r>
      <w:r w:rsidRPr="00EC2F1C">
        <w:rPr>
          <w:rFonts w:ascii="Arial" w:hAnsi="Arial" w:cs="Arial"/>
          <w:sz w:val="22"/>
        </w:rPr>
        <w:t>(1), pp.3-10. Available: https://www.researchgate.net/profile/Hanan-Khalil/publication/349696581_Updated_methodological_guidance_for_the_conduct_of_scoping_reviews/links/604eeb9592851c2b23cd5f5e/Updated-methodological-guidance-for-the-conduct-of-scoping-reviews.pdf (Accessed on 7/7/2026).</w:t>
      </w:r>
    </w:p>
    <w:p w14:paraId="6651E9E5"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Pranckutė, R., 2021. Web of Science (WoS) and Scopus: The titans of bibliographic information in today’s academic world. </w:t>
      </w:r>
      <w:r w:rsidRPr="00EC2F1C">
        <w:rPr>
          <w:rFonts w:ascii="Arial" w:hAnsi="Arial" w:cs="Arial"/>
          <w:i/>
          <w:iCs/>
          <w:sz w:val="22"/>
        </w:rPr>
        <w:t>Publications</w:t>
      </w:r>
      <w:r w:rsidRPr="00EC2F1C">
        <w:rPr>
          <w:rFonts w:ascii="Arial" w:hAnsi="Arial" w:cs="Arial"/>
          <w:sz w:val="22"/>
        </w:rPr>
        <w:t>, </w:t>
      </w:r>
      <w:r w:rsidRPr="00EC2F1C">
        <w:rPr>
          <w:rFonts w:ascii="Arial" w:hAnsi="Arial" w:cs="Arial"/>
          <w:i/>
          <w:iCs/>
          <w:sz w:val="22"/>
        </w:rPr>
        <w:t>9</w:t>
      </w:r>
      <w:r w:rsidRPr="00EC2F1C">
        <w:rPr>
          <w:rFonts w:ascii="Arial" w:hAnsi="Arial" w:cs="Arial"/>
          <w:sz w:val="22"/>
        </w:rPr>
        <w:t>(1), p.12. Available: https://www.mdpi.com/2304-6775/9/1/12 (Accessed on 7/28/2026).</w:t>
      </w:r>
    </w:p>
    <w:p w14:paraId="6F86E7DB"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Rai, A., Khatri, R.B. and Assefa, Y., 2024. Primary health care systems and their contribution to universal health coverage and improved health status in seven countries: an explanatory Mixed-Methods review. </w:t>
      </w:r>
      <w:r w:rsidRPr="00EC2F1C">
        <w:rPr>
          <w:rFonts w:ascii="Arial" w:hAnsi="Arial" w:cs="Arial"/>
          <w:i/>
          <w:iCs/>
          <w:sz w:val="22"/>
        </w:rPr>
        <w:t>International journal of environmental research and public health</w:t>
      </w:r>
      <w:r w:rsidRPr="00EC2F1C">
        <w:rPr>
          <w:rFonts w:ascii="Arial" w:hAnsi="Arial" w:cs="Arial"/>
          <w:sz w:val="22"/>
        </w:rPr>
        <w:t>, </w:t>
      </w:r>
      <w:r w:rsidRPr="00EC2F1C">
        <w:rPr>
          <w:rFonts w:ascii="Arial" w:hAnsi="Arial" w:cs="Arial"/>
          <w:i/>
          <w:iCs/>
          <w:sz w:val="22"/>
        </w:rPr>
        <w:t>21</w:t>
      </w:r>
      <w:r w:rsidRPr="00EC2F1C">
        <w:rPr>
          <w:rFonts w:ascii="Arial" w:hAnsi="Arial" w:cs="Arial"/>
          <w:sz w:val="22"/>
        </w:rPr>
        <w:t>(12), p.1601. Available: https://www.mdpi.com/1660-4601/21/12/1601 (Accessed on 7/27/2026).</w:t>
      </w:r>
    </w:p>
    <w:p w14:paraId="2579AB74"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Saeed, S.A. and Masters, R.M., 2021. Disparities in health care and the digital divide. </w:t>
      </w:r>
      <w:r w:rsidRPr="00EC2F1C">
        <w:rPr>
          <w:rFonts w:ascii="Arial" w:hAnsi="Arial" w:cs="Arial"/>
          <w:i/>
          <w:iCs/>
          <w:sz w:val="22"/>
        </w:rPr>
        <w:t>Current psychiatry reports</w:t>
      </w:r>
      <w:r w:rsidRPr="00EC2F1C">
        <w:rPr>
          <w:rFonts w:ascii="Arial" w:hAnsi="Arial" w:cs="Arial"/>
          <w:sz w:val="22"/>
        </w:rPr>
        <w:t>, </w:t>
      </w:r>
      <w:r w:rsidRPr="00EC2F1C">
        <w:rPr>
          <w:rFonts w:ascii="Arial" w:hAnsi="Arial" w:cs="Arial"/>
          <w:i/>
          <w:iCs/>
          <w:sz w:val="22"/>
        </w:rPr>
        <w:t>23</w:t>
      </w:r>
      <w:r w:rsidRPr="00EC2F1C">
        <w:rPr>
          <w:rFonts w:ascii="Arial" w:hAnsi="Arial" w:cs="Arial"/>
          <w:sz w:val="22"/>
        </w:rPr>
        <w:t>(9), p.61. Available: https://pmc.ncbi.nlm.nih.gov/articles/PMC8300069/ (Accessed on 7/28/2026).</w:t>
      </w:r>
    </w:p>
    <w:p w14:paraId="47B35463"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Shah, A.Q., Noronha, N., Chin-See, R., Hanna, C., Kadri, Z., Marwaha, A., Rambharack, N. and Ng, J.Y., 2023. The use and effects of telemedicine on complementary, alternative, and integrative medicine practices: a scoping review. </w:t>
      </w:r>
      <w:r w:rsidRPr="00EC2F1C">
        <w:rPr>
          <w:rFonts w:ascii="Arial" w:hAnsi="Arial" w:cs="Arial"/>
          <w:i/>
          <w:iCs/>
          <w:sz w:val="22"/>
        </w:rPr>
        <w:t>BMC Complementary Medicine and Therapies</w:t>
      </w:r>
      <w:r w:rsidRPr="00EC2F1C">
        <w:rPr>
          <w:rFonts w:ascii="Arial" w:hAnsi="Arial" w:cs="Arial"/>
          <w:sz w:val="22"/>
        </w:rPr>
        <w:t>, </w:t>
      </w:r>
      <w:r w:rsidRPr="00EC2F1C">
        <w:rPr>
          <w:rFonts w:ascii="Arial" w:hAnsi="Arial" w:cs="Arial"/>
          <w:i/>
          <w:iCs/>
          <w:sz w:val="22"/>
        </w:rPr>
        <w:t>23</w:t>
      </w:r>
      <w:r w:rsidRPr="00EC2F1C">
        <w:rPr>
          <w:rFonts w:ascii="Arial" w:hAnsi="Arial" w:cs="Arial"/>
          <w:sz w:val="22"/>
        </w:rPr>
        <w:t>(1), p.275. Available: https://link.springer.com/article/10.1186/s12906-023-04100-x (Accessed on 7/28/2026).</w:t>
      </w:r>
    </w:p>
    <w:p w14:paraId="45B92C3C"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Sikkalgar, A.A., Yeole, K.R., Chaurasiya, N., More, S.A., Jadhav, D.K. and Shaikh, Z.S.A., 2025. Telemedicine and remote patient monitoring: Transforming healthcare delivery. In </w:t>
      </w:r>
      <w:r w:rsidRPr="00EC2F1C">
        <w:rPr>
          <w:rFonts w:ascii="Arial" w:hAnsi="Arial" w:cs="Arial"/>
          <w:i/>
          <w:iCs/>
          <w:sz w:val="22"/>
        </w:rPr>
        <w:t>Artificial Intelligence in Smart Healthcare Systems</w:t>
      </w:r>
      <w:r w:rsidRPr="00EC2F1C">
        <w:rPr>
          <w:rFonts w:ascii="Arial" w:hAnsi="Arial" w:cs="Arial"/>
          <w:sz w:val="22"/>
        </w:rPr>
        <w:t> (pp. 124-134). CRC Press. Available: https://www.researchgate.net/publication/395597123_Telemedicine_and_Remote_Patient_Monitoring_Transforming_Healthcare_Delivery (Accessed on 7/27/2026).</w:t>
      </w:r>
    </w:p>
    <w:p w14:paraId="6BE2E491"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Snoswell, C.L., Chelberg, G., De Guzman, K.R., Haydon, H.M., Thomas, E.E., Caffery, L.J. and Smith, A.C., 2023. The clinical effectiveness of telehealth: a systematic review of meta-analyses from 2010 to 2019. </w:t>
      </w:r>
      <w:r w:rsidRPr="00EC2F1C">
        <w:rPr>
          <w:rFonts w:ascii="Arial" w:hAnsi="Arial" w:cs="Arial"/>
          <w:i/>
          <w:iCs/>
          <w:sz w:val="22"/>
        </w:rPr>
        <w:t>Journal of telemedicine and telecare</w:t>
      </w:r>
      <w:r w:rsidRPr="00EC2F1C">
        <w:rPr>
          <w:rFonts w:ascii="Arial" w:hAnsi="Arial" w:cs="Arial"/>
          <w:sz w:val="22"/>
        </w:rPr>
        <w:t>, </w:t>
      </w:r>
      <w:r w:rsidRPr="00EC2F1C">
        <w:rPr>
          <w:rFonts w:ascii="Arial" w:hAnsi="Arial" w:cs="Arial"/>
          <w:i/>
          <w:iCs/>
          <w:sz w:val="22"/>
        </w:rPr>
        <w:t>29</w:t>
      </w:r>
      <w:r w:rsidRPr="00EC2F1C">
        <w:rPr>
          <w:rFonts w:ascii="Arial" w:hAnsi="Arial" w:cs="Arial"/>
          <w:sz w:val="22"/>
        </w:rPr>
        <w:t>(9), pp.669-</w:t>
      </w:r>
      <w:r w:rsidRPr="00EC2F1C">
        <w:rPr>
          <w:rFonts w:ascii="Arial" w:hAnsi="Arial" w:cs="Arial"/>
          <w:sz w:val="22"/>
        </w:rPr>
        <w:lastRenderedPageBreak/>
        <w:t>684. Available at: https://doi.org/10.1177/1357633X211022907 (Accessed on 7/7/2026).</w:t>
      </w:r>
    </w:p>
    <w:p w14:paraId="7A6788A8"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Toh, C.H. and Haynes, R., 2022. The Health and Care Act 2022: challenges and priorities for embedding research in the NHS. </w:t>
      </w:r>
      <w:r w:rsidRPr="00EC2F1C">
        <w:rPr>
          <w:rFonts w:ascii="Arial" w:hAnsi="Arial" w:cs="Arial"/>
          <w:i/>
          <w:iCs/>
          <w:sz w:val="22"/>
        </w:rPr>
        <w:t>The Lancet</w:t>
      </w:r>
      <w:r w:rsidRPr="00EC2F1C">
        <w:rPr>
          <w:rFonts w:ascii="Arial" w:hAnsi="Arial" w:cs="Arial"/>
          <w:sz w:val="22"/>
        </w:rPr>
        <w:t>, </w:t>
      </w:r>
      <w:r w:rsidRPr="00EC2F1C">
        <w:rPr>
          <w:rFonts w:ascii="Arial" w:hAnsi="Arial" w:cs="Arial"/>
          <w:i/>
          <w:iCs/>
          <w:sz w:val="22"/>
        </w:rPr>
        <w:t>400</w:t>
      </w:r>
      <w:r w:rsidRPr="00EC2F1C">
        <w:rPr>
          <w:rFonts w:ascii="Arial" w:hAnsi="Arial" w:cs="Arial"/>
          <w:sz w:val="22"/>
        </w:rPr>
        <w:t>(10349), pp.343-345. Available: https://pmc.ncbi.nlm.nih.gov/articles/PMC9398193/ (Accessed on 7/28/2026).</w:t>
      </w:r>
    </w:p>
    <w:p w14:paraId="70F28A24"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Tricco, A.C., Lillie, E., Zarin, W., O’brien, K., Colquhoun, H., Kastner, M., Levac, D., Ng, C., Sharpe, J.P., Wilson, K. and Kenny, M., 2016. A scoping review on the conduct and reporting of scoping reviews. </w:t>
      </w:r>
      <w:r w:rsidRPr="00EC2F1C">
        <w:rPr>
          <w:rFonts w:ascii="Arial" w:hAnsi="Arial" w:cs="Arial"/>
          <w:i/>
          <w:iCs/>
          <w:sz w:val="22"/>
        </w:rPr>
        <w:t>BMC medical research methodology</w:t>
      </w:r>
      <w:r w:rsidRPr="00EC2F1C">
        <w:rPr>
          <w:rFonts w:ascii="Arial" w:hAnsi="Arial" w:cs="Arial"/>
          <w:sz w:val="22"/>
        </w:rPr>
        <w:t>, </w:t>
      </w:r>
      <w:r w:rsidRPr="00EC2F1C">
        <w:rPr>
          <w:rFonts w:ascii="Arial" w:hAnsi="Arial" w:cs="Arial"/>
          <w:i/>
          <w:iCs/>
          <w:sz w:val="22"/>
        </w:rPr>
        <w:t>16</w:t>
      </w:r>
      <w:r w:rsidRPr="00EC2F1C">
        <w:rPr>
          <w:rFonts w:ascii="Arial" w:hAnsi="Arial" w:cs="Arial"/>
          <w:sz w:val="22"/>
        </w:rPr>
        <w:t>(1), p.15. Available: https://link.springer.com/article/10.1186/s12874-016-0116-4 (Accessed on 7/7/2026).</w:t>
      </w:r>
    </w:p>
    <w:p w14:paraId="23AA83B0"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Turner, A., Morris, R., Rakhra, D., Stevenson, F., McDonagh, L., Hamilton, F., Atherton, H., Farr, M., Blake, S., Banks, J. and Lasseter, G., 2022. Unintended consequences of online consultations: a qualitative study in UK primary care. </w:t>
      </w:r>
      <w:r w:rsidRPr="00EC2F1C">
        <w:rPr>
          <w:rFonts w:ascii="Arial" w:hAnsi="Arial" w:cs="Arial"/>
          <w:i/>
          <w:iCs/>
          <w:sz w:val="22"/>
        </w:rPr>
        <w:t>British Journal of General Practice</w:t>
      </w:r>
      <w:r w:rsidRPr="00EC2F1C">
        <w:rPr>
          <w:rFonts w:ascii="Arial" w:hAnsi="Arial" w:cs="Arial"/>
          <w:sz w:val="22"/>
        </w:rPr>
        <w:t>, </w:t>
      </w:r>
      <w:r w:rsidRPr="00EC2F1C">
        <w:rPr>
          <w:rFonts w:ascii="Arial" w:hAnsi="Arial" w:cs="Arial"/>
          <w:i/>
          <w:iCs/>
          <w:sz w:val="22"/>
        </w:rPr>
        <w:t>72</w:t>
      </w:r>
      <w:r w:rsidRPr="00EC2F1C">
        <w:rPr>
          <w:rFonts w:ascii="Arial" w:hAnsi="Arial" w:cs="Arial"/>
          <w:sz w:val="22"/>
        </w:rPr>
        <w:t>(715), pp e128-e137. Available: https://bjgp.org/content/bjgp/early/2021/12/10/BJGP.2021.0426.full.pdf?versioned=true (Accessed on 7/28/2026).</w:t>
      </w:r>
    </w:p>
    <w:p w14:paraId="5F8AAD1C"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Wong, Y.S., Allotey, P. and Reidpath, D.D., 2016. Sustainable development goals, universal health coverage and equity in health systems: the Orang Asli commons approach. </w:t>
      </w:r>
      <w:r w:rsidRPr="00EC2F1C">
        <w:rPr>
          <w:rFonts w:ascii="Arial" w:hAnsi="Arial" w:cs="Arial"/>
          <w:i/>
          <w:iCs/>
          <w:sz w:val="22"/>
        </w:rPr>
        <w:t>Global health, epidemiology and genomics</w:t>
      </w:r>
      <w:r w:rsidRPr="00EC2F1C">
        <w:rPr>
          <w:rFonts w:ascii="Arial" w:hAnsi="Arial" w:cs="Arial"/>
          <w:sz w:val="22"/>
        </w:rPr>
        <w:t>, </w:t>
      </w:r>
      <w:r w:rsidRPr="00EC2F1C">
        <w:rPr>
          <w:rFonts w:ascii="Arial" w:hAnsi="Arial" w:cs="Arial"/>
          <w:i/>
          <w:iCs/>
          <w:sz w:val="22"/>
        </w:rPr>
        <w:t>1</w:t>
      </w:r>
      <w:r w:rsidRPr="00EC2F1C">
        <w:rPr>
          <w:rFonts w:ascii="Arial" w:hAnsi="Arial" w:cs="Arial"/>
          <w:sz w:val="22"/>
        </w:rPr>
        <w:t>, p.e12. Available: https://pmc.ncbi.nlm.nih.gov/articles/PMC5870403/ (Accessed on 7/28/2026).</w:t>
      </w:r>
    </w:p>
    <w:p w14:paraId="661FF186" w14:textId="77777777" w:rsidR="00145E9C" w:rsidRPr="00EC2F1C" w:rsidRDefault="00145E9C" w:rsidP="00EC2F1C">
      <w:pPr>
        <w:spacing w:line="360" w:lineRule="auto"/>
        <w:ind w:left="720" w:hanging="720"/>
        <w:jc w:val="both"/>
        <w:rPr>
          <w:rFonts w:ascii="Arial" w:hAnsi="Arial" w:cs="Arial"/>
          <w:sz w:val="22"/>
        </w:rPr>
      </w:pPr>
      <w:r w:rsidRPr="00EC2F1C">
        <w:rPr>
          <w:rFonts w:ascii="Arial" w:hAnsi="Arial" w:cs="Arial"/>
          <w:sz w:val="22"/>
        </w:rPr>
        <w:t>Xing, K., Wen, J., Xing, D. and Liang, B., 2026. Digital first primary care in NHS England: evaluating alignment with patient-centered care and implications for future practice. </w:t>
      </w:r>
      <w:r w:rsidRPr="00EC2F1C">
        <w:rPr>
          <w:rFonts w:ascii="Arial" w:hAnsi="Arial" w:cs="Arial"/>
          <w:i/>
          <w:iCs/>
          <w:sz w:val="22"/>
        </w:rPr>
        <w:t>Frontiers in Digital Health</w:t>
      </w:r>
      <w:r w:rsidRPr="00EC2F1C">
        <w:rPr>
          <w:rFonts w:ascii="Arial" w:hAnsi="Arial" w:cs="Arial"/>
          <w:sz w:val="22"/>
        </w:rPr>
        <w:t>, </w:t>
      </w:r>
      <w:r w:rsidRPr="00EC2F1C">
        <w:rPr>
          <w:rFonts w:ascii="Arial" w:hAnsi="Arial" w:cs="Arial"/>
          <w:i/>
          <w:iCs/>
          <w:sz w:val="22"/>
        </w:rPr>
        <w:t>8</w:t>
      </w:r>
      <w:r w:rsidRPr="00EC2F1C">
        <w:rPr>
          <w:rFonts w:ascii="Arial" w:hAnsi="Arial" w:cs="Arial"/>
          <w:sz w:val="22"/>
        </w:rPr>
        <w:t>, p.1723805. Available: https://www.frontiersin.org/journals/digital-health/articles/10.3389/fdgth.2026.1723805/full (Accessed on 7/7/2026).</w:t>
      </w:r>
    </w:p>
    <w:p w14:paraId="4686D2A4" w14:textId="1466C133" w:rsidR="006927A5" w:rsidRPr="00EC2F1C" w:rsidRDefault="006927A5" w:rsidP="00EC2F1C">
      <w:pPr>
        <w:spacing w:line="360" w:lineRule="auto"/>
        <w:jc w:val="both"/>
        <w:rPr>
          <w:rFonts w:ascii="Arial" w:hAnsi="Arial" w:cs="Arial"/>
          <w:sz w:val="22"/>
        </w:rPr>
      </w:pPr>
      <w:r w:rsidRPr="00EC2F1C">
        <w:rPr>
          <w:rFonts w:ascii="Arial" w:hAnsi="Arial" w:cs="Arial"/>
          <w:sz w:val="22"/>
        </w:rPr>
        <w:br w:type="page"/>
      </w:r>
    </w:p>
    <w:p w14:paraId="21DB9477" w14:textId="77777777" w:rsidR="006927A5" w:rsidRPr="00EC2F1C" w:rsidRDefault="006927A5" w:rsidP="00EC2F1C">
      <w:pPr>
        <w:spacing w:line="360" w:lineRule="auto"/>
        <w:ind w:left="720" w:hanging="720"/>
        <w:jc w:val="both"/>
        <w:rPr>
          <w:rFonts w:ascii="Arial" w:hAnsi="Arial" w:cs="Arial"/>
          <w:b/>
          <w:bCs/>
          <w:sz w:val="22"/>
        </w:rPr>
      </w:pPr>
      <w:r w:rsidRPr="00EC2F1C">
        <w:rPr>
          <w:rFonts w:ascii="Arial" w:hAnsi="Arial" w:cs="Arial"/>
          <w:b/>
          <w:bCs/>
          <w:sz w:val="22"/>
        </w:rPr>
        <w:lastRenderedPageBreak/>
        <w:t>Appendices</w:t>
      </w:r>
    </w:p>
    <w:p w14:paraId="4B744255" w14:textId="6801BBD6" w:rsidR="006927A5" w:rsidRPr="00EC2F1C" w:rsidRDefault="006927A5" w:rsidP="00EC2F1C">
      <w:pPr>
        <w:spacing w:line="360" w:lineRule="auto"/>
        <w:ind w:left="720" w:hanging="720"/>
        <w:jc w:val="both"/>
        <w:rPr>
          <w:rFonts w:ascii="Arial" w:hAnsi="Arial" w:cs="Arial"/>
          <w:b/>
          <w:bCs/>
          <w:sz w:val="22"/>
        </w:rPr>
      </w:pPr>
      <w:r w:rsidRPr="00EC2F1C">
        <w:rPr>
          <w:rFonts w:ascii="Arial" w:hAnsi="Arial" w:cs="Arial"/>
          <w:noProof/>
          <w:sz w:val="22"/>
        </w:rPr>
        <w:drawing>
          <wp:inline distT="0" distB="0" distL="0" distR="0" wp14:anchorId="1F665C6F" wp14:editId="7A327A2C">
            <wp:extent cx="5731510" cy="5704205"/>
            <wp:effectExtent l="0" t="0" r="2540" b="0"/>
            <wp:docPr id="835916300"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704205"/>
                    </a:xfrm>
                    <a:prstGeom prst="rect">
                      <a:avLst/>
                    </a:prstGeom>
                    <a:noFill/>
                    <a:ln>
                      <a:noFill/>
                    </a:ln>
                  </pic:spPr>
                </pic:pic>
              </a:graphicData>
            </a:graphic>
          </wp:inline>
        </w:drawing>
      </w:r>
    </w:p>
    <w:p w14:paraId="0ABD50E9" w14:textId="0E3CA30D" w:rsidR="006927A5" w:rsidRPr="00EC2F1C" w:rsidRDefault="006927A5" w:rsidP="00EC2F1C">
      <w:pPr>
        <w:spacing w:line="360" w:lineRule="auto"/>
        <w:jc w:val="both"/>
        <w:rPr>
          <w:rFonts w:ascii="Arial" w:hAnsi="Arial" w:cs="Arial"/>
          <w:b/>
          <w:bCs/>
          <w:sz w:val="22"/>
        </w:rPr>
      </w:pPr>
      <w:r w:rsidRPr="00EC2F1C">
        <w:rPr>
          <w:rFonts w:ascii="Arial" w:hAnsi="Arial" w:cs="Arial"/>
          <w:b/>
          <w:bCs/>
          <w:sz w:val="22"/>
        </w:rPr>
        <w:br w:type="page"/>
      </w:r>
    </w:p>
    <w:p w14:paraId="6EB6B63E" w14:textId="3DAF6EDB" w:rsidR="006927A5" w:rsidRPr="00EC2F1C" w:rsidRDefault="006927A5" w:rsidP="00EC2F1C">
      <w:pPr>
        <w:spacing w:line="360" w:lineRule="auto"/>
        <w:ind w:left="720" w:hanging="720"/>
        <w:jc w:val="both"/>
        <w:rPr>
          <w:rFonts w:ascii="Arial" w:hAnsi="Arial" w:cs="Arial"/>
          <w:b/>
          <w:bCs/>
          <w:sz w:val="22"/>
        </w:rPr>
      </w:pPr>
      <w:r w:rsidRPr="00EC2F1C">
        <w:rPr>
          <w:rFonts w:ascii="Arial" w:hAnsi="Arial" w:cs="Arial"/>
          <w:b/>
          <w:bCs/>
          <w:sz w:val="22"/>
        </w:rPr>
        <w:lastRenderedPageBreak/>
        <w:t>Appendix 2</w:t>
      </w:r>
    </w:p>
    <w:p w14:paraId="1C04F764" w14:textId="77777777" w:rsidR="006927A5" w:rsidRPr="00EC2F1C" w:rsidRDefault="006927A5" w:rsidP="00EC2F1C">
      <w:pPr>
        <w:spacing w:line="360" w:lineRule="auto"/>
        <w:jc w:val="both"/>
        <w:rPr>
          <w:rFonts w:ascii="Arial" w:hAnsi="Arial" w:cs="Arial"/>
          <w:sz w:val="22"/>
        </w:rPr>
      </w:pPr>
      <w:r w:rsidRPr="00EC2F1C">
        <w:rPr>
          <w:rFonts w:ascii="Arial" w:hAnsi="Arial" w:cs="Arial"/>
          <w:b/>
          <w:bCs/>
          <w:i/>
          <w:iCs/>
          <w:sz w:val="22"/>
        </w:rPr>
        <w:t>Table 1 information from the selected studies.</w:t>
      </w:r>
    </w:p>
    <w:tbl>
      <w:tblPr>
        <w:tblStyle w:val="GridTable1Light-Accent6"/>
        <w:tblW w:w="0" w:type="auto"/>
        <w:tblLayout w:type="fixed"/>
        <w:tblLook w:val="04A0" w:firstRow="1" w:lastRow="0" w:firstColumn="1" w:lastColumn="0" w:noHBand="0" w:noVBand="1"/>
      </w:tblPr>
      <w:tblGrid>
        <w:gridCol w:w="1464"/>
        <w:gridCol w:w="1330"/>
        <w:gridCol w:w="2282"/>
        <w:gridCol w:w="1708"/>
        <w:gridCol w:w="2232"/>
      </w:tblGrid>
      <w:tr w:rsidR="006927A5" w:rsidRPr="00EC2F1C" w14:paraId="06AB658A" w14:textId="77777777" w:rsidTr="00C86E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4" w:type="dxa"/>
            <w:hideMark/>
          </w:tcPr>
          <w:p w14:paraId="059388B4"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t>Author (Year)</w:t>
            </w:r>
          </w:p>
        </w:tc>
        <w:tc>
          <w:tcPr>
            <w:tcW w:w="1330" w:type="dxa"/>
            <w:hideMark/>
          </w:tcPr>
          <w:p w14:paraId="07F01EE9" w14:textId="77777777" w:rsidR="006927A5" w:rsidRPr="00EC2F1C" w:rsidRDefault="006927A5" w:rsidP="00EC2F1C">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Study Design</w:t>
            </w:r>
          </w:p>
        </w:tc>
        <w:tc>
          <w:tcPr>
            <w:tcW w:w="2282" w:type="dxa"/>
            <w:hideMark/>
          </w:tcPr>
          <w:p w14:paraId="21DE88FE" w14:textId="77777777" w:rsidR="006927A5" w:rsidRPr="00EC2F1C" w:rsidRDefault="006927A5" w:rsidP="00EC2F1C">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Setting/Participants</w:t>
            </w:r>
          </w:p>
        </w:tc>
        <w:tc>
          <w:tcPr>
            <w:tcW w:w="1708" w:type="dxa"/>
            <w:hideMark/>
          </w:tcPr>
          <w:p w14:paraId="713A4286" w14:textId="77777777" w:rsidR="006927A5" w:rsidRPr="00EC2F1C" w:rsidRDefault="006927A5" w:rsidP="00EC2F1C">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Aim</w:t>
            </w:r>
          </w:p>
        </w:tc>
        <w:tc>
          <w:tcPr>
            <w:tcW w:w="2232" w:type="dxa"/>
            <w:hideMark/>
          </w:tcPr>
          <w:p w14:paraId="63170F1B" w14:textId="77777777" w:rsidR="006927A5" w:rsidRPr="00EC2F1C" w:rsidRDefault="006927A5" w:rsidP="00EC2F1C">
            <w:pPr>
              <w:tabs>
                <w:tab w:val="left" w:pos="6540"/>
              </w:tabs>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Key Findings</w:t>
            </w:r>
          </w:p>
        </w:tc>
      </w:tr>
      <w:tr w:rsidR="006927A5" w:rsidRPr="00EC2F1C" w14:paraId="1610FB4E"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786313BB"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t>Murphy et al. (2021)</w:t>
            </w:r>
          </w:p>
        </w:tc>
        <w:tc>
          <w:tcPr>
            <w:tcW w:w="1330" w:type="dxa"/>
            <w:hideMark/>
          </w:tcPr>
          <w:p w14:paraId="0BF8DA68"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Mixed-methods longitudinal study</w:t>
            </w:r>
          </w:p>
        </w:tc>
        <w:tc>
          <w:tcPr>
            <w:tcW w:w="2282" w:type="dxa"/>
            <w:hideMark/>
          </w:tcPr>
          <w:p w14:paraId="64DF89CB"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21 UK general practices; quantitative consultation data and 87 staff interviews</w:t>
            </w:r>
          </w:p>
        </w:tc>
        <w:tc>
          <w:tcPr>
            <w:tcW w:w="1708" w:type="dxa"/>
            <w:hideMark/>
          </w:tcPr>
          <w:p w14:paraId="6EB60B8F"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investigate the rapid implementation of remote consulting during COVID-19</w:t>
            </w:r>
          </w:p>
        </w:tc>
        <w:tc>
          <w:tcPr>
            <w:tcW w:w="2232" w:type="dxa"/>
            <w:hideMark/>
          </w:tcPr>
          <w:p w14:paraId="58E64C7B"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Remote consulting rapidly increased, with telephone consultations becoming the dominant mode. Practices maintained care for vulnerable patients, but clinicians expressed concerns regarding clinical risk, reduced face-to-face assessment and the long-term sustainability of remote care.</w:t>
            </w:r>
          </w:p>
        </w:tc>
      </w:tr>
      <w:tr w:rsidR="006927A5" w:rsidRPr="00EC2F1C" w14:paraId="3768684A"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2485930A"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t>Greenhalgh et al. (2022)</w:t>
            </w:r>
          </w:p>
        </w:tc>
        <w:tc>
          <w:tcPr>
            <w:tcW w:w="1330" w:type="dxa"/>
            <w:hideMark/>
          </w:tcPr>
          <w:p w14:paraId="3366A6D9"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Qualitative study</w:t>
            </w:r>
          </w:p>
        </w:tc>
        <w:tc>
          <w:tcPr>
            <w:tcW w:w="2282" w:type="dxa"/>
            <w:hideMark/>
          </w:tcPr>
          <w:p w14:paraId="041B9FDD"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121 participants including GPs, patients, clinicians, managers and policymakers</w:t>
            </w:r>
          </w:p>
        </w:tc>
        <w:tc>
          <w:tcPr>
            <w:tcW w:w="1708" w:type="dxa"/>
            <w:hideMark/>
          </w:tcPr>
          <w:p w14:paraId="32D08A46"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explore why video consultations remain uncommon in UK general practice</w:t>
            </w:r>
          </w:p>
        </w:tc>
        <w:tc>
          <w:tcPr>
            <w:tcW w:w="2232" w:type="dxa"/>
            <w:hideMark/>
          </w:tcPr>
          <w:p w14:paraId="0555609F"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 xml:space="preserve">Video consultations offered limited additional clinical value compared with telephone consultations. They were considered useful only in selected situations, such as remote communities, nursing homes and out-of-hours care. </w:t>
            </w:r>
            <w:r w:rsidRPr="00EC2F1C">
              <w:rPr>
                <w:rFonts w:ascii="Arial" w:hAnsi="Arial" w:cs="Arial"/>
                <w:sz w:val="22"/>
              </w:rPr>
              <w:lastRenderedPageBreak/>
              <w:t>Technical problems and workflow disruption limited wider adoption.</w:t>
            </w:r>
          </w:p>
        </w:tc>
      </w:tr>
      <w:tr w:rsidR="006927A5" w:rsidRPr="00EC2F1C" w14:paraId="62BA2F5D"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3B759F06"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lastRenderedPageBreak/>
              <w:t>Turner et al. (2022)</w:t>
            </w:r>
          </w:p>
        </w:tc>
        <w:tc>
          <w:tcPr>
            <w:tcW w:w="1330" w:type="dxa"/>
            <w:hideMark/>
          </w:tcPr>
          <w:p w14:paraId="2A626F3D"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Qualitative interview study</w:t>
            </w:r>
          </w:p>
        </w:tc>
        <w:tc>
          <w:tcPr>
            <w:tcW w:w="2282" w:type="dxa"/>
            <w:hideMark/>
          </w:tcPr>
          <w:p w14:paraId="1D524AA2"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19 patients and 18 general practice staff from eight UK practices</w:t>
            </w:r>
          </w:p>
        </w:tc>
        <w:tc>
          <w:tcPr>
            <w:tcW w:w="1708" w:type="dxa"/>
            <w:hideMark/>
          </w:tcPr>
          <w:p w14:paraId="7905E9A9"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identify unintended consequences of online consultations</w:t>
            </w:r>
          </w:p>
        </w:tc>
        <w:tc>
          <w:tcPr>
            <w:tcW w:w="2232" w:type="dxa"/>
            <w:hideMark/>
          </w:tcPr>
          <w:p w14:paraId="72E1FD2A"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Online consultations improved access for some patients but disadvantaged digitally excluded groups, increased staff workload and altered clinician-patient communication, reducing relational continuity and creating a more transactional style of care.</w:t>
            </w:r>
          </w:p>
        </w:tc>
      </w:tr>
      <w:tr w:rsidR="006927A5" w:rsidRPr="00EC2F1C" w14:paraId="6919AA10"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1BB7ED69"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t>Jones et al. (2022)</w:t>
            </w:r>
          </w:p>
        </w:tc>
        <w:tc>
          <w:tcPr>
            <w:tcW w:w="1330" w:type="dxa"/>
            <w:hideMark/>
          </w:tcPr>
          <w:p w14:paraId="7A1B9AD3"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Mixed-methods sequential study</w:t>
            </w:r>
          </w:p>
        </w:tc>
        <w:tc>
          <w:tcPr>
            <w:tcW w:w="2282" w:type="dxa"/>
            <w:hideMark/>
          </w:tcPr>
          <w:p w14:paraId="100F8E03"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Seven GP practices; 50 interviews, eConsult data and GP website evaluation</w:t>
            </w:r>
          </w:p>
        </w:tc>
        <w:tc>
          <w:tcPr>
            <w:tcW w:w="1708" w:type="dxa"/>
            <w:hideMark/>
          </w:tcPr>
          <w:p w14:paraId="3FC7B838"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examine the use and usability of GP online services</w:t>
            </w:r>
          </w:p>
        </w:tc>
        <w:tc>
          <w:tcPr>
            <w:tcW w:w="2232" w:type="dxa"/>
            <w:hideMark/>
          </w:tcPr>
          <w:p w14:paraId="6BF31FD9"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eConsult use increased substantially during COVID-19. Patients valued convenience but reported repetitive questionnaires, poor continuity and limited opportunities to provide feedback. Many GP websites also failed accessibility standards, reducing equitable access.</w:t>
            </w:r>
          </w:p>
        </w:tc>
      </w:tr>
      <w:tr w:rsidR="006927A5" w:rsidRPr="00EC2F1C" w14:paraId="743F226E"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189E06C0"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lastRenderedPageBreak/>
              <w:t>Atherton et al. (2024)</w:t>
            </w:r>
          </w:p>
        </w:tc>
        <w:tc>
          <w:tcPr>
            <w:tcW w:w="1330" w:type="dxa"/>
            <w:hideMark/>
          </w:tcPr>
          <w:p w14:paraId="0175AC8D"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Mixed-methods study</w:t>
            </w:r>
          </w:p>
        </w:tc>
        <w:tc>
          <w:tcPr>
            <w:tcW w:w="2282" w:type="dxa"/>
            <w:hideMark/>
          </w:tcPr>
          <w:p w14:paraId="1A694490"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Analysis of 1,327,693 GP Patient Survey responses and 43 patient interviews</w:t>
            </w:r>
          </w:p>
        </w:tc>
        <w:tc>
          <w:tcPr>
            <w:tcW w:w="1708" w:type="dxa"/>
            <w:hideMark/>
          </w:tcPr>
          <w:p w14:paraId="537809A6"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investigate patient use and experiences of online appointment booking</w:t>
            </w:r>
          </w:p>
        </w:tc>
        <w:tc>
          <w:tcPr>
            <w:tcW w:w="2232" w:type="dxa"/>
            <w:hideMark/>
          </w:tcPr>
          <w:p w14:paraId="3F1719A2"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Online booking was valued for convenience, particularly by working adults and patients with long-term conditions. However, awareness and use were substantially lower among older adults and people living in deprived communities, highlighting persistent digital inequalities.</w:t>
            </w:r>
          </w:p>
        </w:tc>
      </w:tr>
      <w:tr w:rsidR="006927A5" w:rsidRPr="00EC2F1C" w14:paraId="49600634" w14:textId="77777777" w:rsidTr="00C86E9A">
        <w:tc>
          <w:tcPr>
            <w:cnfStyle w:val="001000000000" w:firstRow="0" w:lastRow="0" w:firstColumn="1" w:lastColumn="0" w:oddVBand="0" w:evenVBand="0" w:oddHBand="0" w:evenHBand="0" w:firstRowFirstColumn="0" w:firstRowLastColumn="0" w:lastRowFirstColumn="0" w:lastRowLastColumn="0"/>
            <w:tcW w:w="1464" w:type="dxa"/>
            <w:hideMark/>
          </w:tcPr>
          <w:p w14:paraId="3518DA36" w14:textId="77777777" w:rsidR="006927A5" w:rsidRPr="00EC2F1C" w:rsidRDefault="006927A5" w:rsidP="00EC2F1C">
            <w:pPr>
              <w:tabs>
                <w:tab w:val="left" w:pos="6540"/>
              </w:tabs>
              <w:spacing w:after="160" w:line="360" w:lineRule="auto"/>
              <w:jc w:val="both"/>
              <w:rPr>
                <w:rFonts w:ascii="Arial" w:hAnsi="Arial" w:cs="Arial"/>
                <w:sz w:val="22"/>
              </w:rPr>
            </w:pPr>
            <w:r w:rsidRPr="00EC2F1C">
              <w:rPr>
                <w:rFonts w:ascii="Arial" w:hAnsi="Arial" w:cs="Arial"/>
                <w:sz w:val="22"/>
              </w:rPr>
              <w:t>Alboksmaty et al. (2026)</w:t>
            </w:r>
          </w:p>
        </w:tc>
        <w:tc>
          <w:tcPr>
            <w:tcW w:w="1330" w:type="dxa"/>
            <w:hideMark/>
          </w:tcPr>
          <w:p w14:paraId="15781406"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Qualitative study</w:t>
            </w:r>
          </w:p>
        </w:tc>
        <w:tc>
          <w:tcPr>
            <w:tcW w:w="2282" w:type="dxa"/>
            <w:hideMark/>
          </w:tcPr>
          <w:p w14:paraId="3AA4EBD1"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Four online focus groups involving 21 UK participants (12 patients, 9 GPs)</w:t>
            </w:r>
          </w:p>
        </w:tc>
        <w:tc>
          <w:tcPr>
            <w:tcW w:w="1708" w:type="dxa"/>
            <w:hideMark/>
          </w:tcPr>
          <w:p w14:paraId="63F78F42"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To explore communication challenges and mitigation strategies in virtual consultations</w:t>
            </w:r>
          </w:p>
        </w:tc>
        <w:tc>
          <w:tcPr>
            <w:tcW w:w="2232" w:type="dxa"/>
            <w:hideMark/>
          </w:tcPr>
          <w:p w14:paraId="2B3FCB1E" w14:textId="77777777" w:rsidR="006927A5" w:rsidRPr="00EC2F1C" w:rsidRDefault="006927A5" w:rsidP="00EC2F1C">
            <w:pPr>
              <w:tabs>
                <w:tab w:val="left" w:pos="6540"/>
              </w:tabs>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EC2F1C">
              <w:rPr>
                <w:rFonts w:ascii="Arial" w:hAnsi="Arial" w:cs="Arial"/>
                <w:sz w:val="22"/>
              </w:rPr>
              <w:t>Six communication challenges were identified, including reduced visual cues, difficulty explaining symptoms remotely and reduced perceived empathy. Participants recommended structured training, improved digital tools, standardised communication approaches and flexible consultation models.</w:t>
            </w:r>
          </w:p>
        </w:tc>
      </w:tr>
    </w:tbl>
    <w:p w14:paraId="5DBCD1BF" w14:textId="77777777" w:rsidR="006927A5" w:rsidRPr="00EC2F1C" w:rsidRDefault="006927A5" w:rsidP="00EC2F1C">
      <w:pPr>
        <w:spacing w:line="360" w:lineRule="auto"/>
        <w:ind w:left="720" w:hanging="720"/>
        <w:jc w:val="both"/>
        <w:rPr>
          <w:rFonts w:ascii="Arial" w:hAnsi="Arial" w:cs="Arial"/>
          <w:b/>
          <w:bCs/>
          <w:sz w:val="22"/>
        </w:rPr>
      </w:pPr>
    </w:p>
    <w:sectPr w:rsidR="006927A5" w:rsidRPr="00EC2F1C"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F476C" w14:textId="77777777" w:rsidR="00251F61" w:rsidRDefault="00251F61" w:rsidP="003E4ECF">
      <w:pPr>
        <w:spacing w:after="0" w:line="240" w:lineRule="auto"/>
      </w:pPr>
      <w:r>
        <w:separator/>
      </w:r>
    </w:p>
  </w:endnote>
  <w:endnote w:type="continuationSeparator" w:id="0">
    <w:p w14:paraId="6EF99C06" w14:textId="77777777" w:rsidR="00251F61" w:rsidRDefault="00251F61"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233642"/>
      <w:docPartObj>
        <w:docPartGallery w:val="Page Numbers (Bottom of Page)"/>
        <w:docPartUnique/>
      </w:docPartObj>
    </w:sdtPr>
    <w:sdtEndPr>
      <w:rPr>
        <w:noProof/>
      </w:rPr>
    </w:sdtEndPr>
    <w:sdtContent>
      <w:p w14:paraId="0FD0A6F2" w14:textId="0BA741E9" w:rsidR="007F3F23" w:rsidRDefault="007F3F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D446D" w14:textId="77777777" w:rsidR="00251F61" w:rsidRDefault="00251F61" w:rsidP="003E4ECF">
      <w:pPr>
        <w:spacing w:after="0" w:line="240" w:lineRule="auto"/>
      </w:pPr>
      <w:r>
        <w:separator/>
      </w:r>
    </w:p>
  </w:footnote>
  <w:footnote w:type="continuationSeparator" w:id="0">
    <w:p w14:paraId="10D5E7CF" w14:textId="77777777" w:rsidR="00251F61" w:rsidRDefault="00251F61"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E2070"/>
    <w:multiLevelType w:val="hybridMultilevel"/>
    <w:tmpl w:val="2780A872"/>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76793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348B"/>
    <w:rsid w:val="000264FD"/>
    <w:rsid w:val="000536DE"/>
    <w:rsid w:val="00055BB1"/>
    <w:rsid w:val="000572BF"/>
    <w:rsid w:val="00074402"/>
    <w:rsid w:val="00081ECD"/>
    <w:rsid w:val="000974F4"/>
    <w:rsid w:val="000C07AC"/>
    <w:rsid w:val="001135B4"/>
    <w:rsid w:val="00145E9C"/>
    <w:rsid w:val="001506C8"/>
    <w:rsid w:val="00165105"/>
    <w:rsid w:val="00173882"/>
    <w:rsid w:val="001A24ED"/>
    <w:rsid w:val="001A5D51"/>
    <w:rsid w:val="001A70B7"/>
    <w:rsid w:val="001D7C03"/>
    <w:rsid w:val="002054D4"/>
    <w:rsid w:val="0021419F"/>
    <w:rsid w:val="00216C85"/>
    <w:rsid w:val="0023711A"/>
    <w:rsid w:val="00240499"/>
    <w:rsid w:val="00251F61"/>
    <w:rsid w:val="002563B0"/>
    <w:rsid w:val="00262373"/>
    <w:rsid w:val="0026393A"/>
    <w:rsid w:val="00273EDD"/>
    <w:rsid w:val="0028780C"/>
    <w:rsid w:val="00292D58"/>
    <w:rsid w:val="002A6B70"/>
    <w:rsid w:val="002C1776"/>
    <w:rsid w:val="002C3965"/>
    <w:rsid w:val="002D597E"/>
    <w:rsid w:val="002E6105"/>
    <w:rsid w:val="002E644B"/>
    <w:rsid w:val="002F24DF"/>
    <w:rsid w:val="002F5A5F"/>
    <w:rsid w:val="00313C7D"/>
    <w:rsid w:val="00321C4C"/>
    <w:rsid w:val="00392BBC"/>
    <w:rsid w:val="003B1FAA"/>
    <w:rsid w:val="003B3F0E"/>
    <w:rsid w:val="003E253D"/>
    <w:rsid w:val="003E4ECF"/>
    <w:rsid w:val="003E635F"/>
    <w:rsid w:val="003F1929"/>
    <w:rsid w:val="003F6172"/>
    <w:rsid w:val="004059E3"/>
    <w:rsid w:val="00410090"/>
    <w:rsid w:val="004126D3"/>
    <w:rsid w:val="004234DB"/>
    <w:rsid w:val="00440A08"/>
    <w:rsid w:val="00460C7D"/>
    <w:rsid w:val="00464354"/>
    <w:rsid w:val="00495045"/>
    <w:rsid w:val="004A112D"/>
    <w:rsid w:val="004A736E"/>
    <w:rsid w:val="004B4122"/>
    <w:rsid w:val="004D0376"/>
    <w:rsid w:val="004F2BE1"/>
    <w:rsid w:val="005076F9"/>
    <w:rsid w:val="00525D9E"/>
    <w:rsid w:val="005267D0"/>
    <w:rsid w:val="005479A3"/>
    <w:rsid w:val="0057020A"/>
    <w:rsid w:val="0057213A"/>
    <w:rsid w:val="00621A99"/>
    <w:rsid w:val="00631693"/>
    <w:rsid w:val="00642371"/>
    <w:rsid w:val="00643D1E"/>
    <w:rsid w:val="00655C75"/>
    <w:rsid w:val="0067558D"/>
    <w:rsid w:val="0067799D"/>
    <w:rsid w:val="00681B0B"/>
    <w:rsid w:val="00683A7C"/>
    <w:rsid w:val="006925AA"/>
    <w:rsid w:val="006927A5"/>
    <w:rsid w:val="006A2473"/>
    <w:rsid w:val="006F17B8"/>
    <w:rsid w:val="00701153"/>
    <w:rsid w:val="00725177"/>
    <w:rsid w:val="00747E7C"/>
    <w:rsid w:val="00751B04"/>
    <w:rsid w:val="0076402C"/>
    <w:rsid w:val="0077258B"/>
    <w:rsid w:val="0077793B"/>
    <w:rsid w:val="00795801"/>
    <w:rsid w:val="007A25AE"/>
    <w:rsid w:val="007C212F"/>
    <w:rsid w:val="007F3F23"/>
    <w:rsid w:val="00800512"/>
    <w:rsid w:val="008008F5"/>
    <w:rsid w:val="00811E25"/>
    <w:rsid w:val="008138E5"/>
    <w:rsid w:val="00814A9E"/>
    <w:rsid w:val="008276D3"/>
    <w:rsid w:val="0089607A"/>
    <w:rsid w:val="008C325B"/>
    <w:rsid w:val="008E120F"/>
    <w:rsid w:val="008E211B"/>
    <w:rsid w:val="008F5012"/>
    <w:rsid w:val="0090040D"/>
    <w:rsid w:val="009532D1"/>
    <w:rsid w:val="00953C58"/>
    <w:rsid w:val="0095418C"/>
    <w:rsid w:val="00967937"/>
    <w:rsid w:val="009768BC"/>
    <w:rsid w:val="00982A23"/>
    <w:rsid w:val="00990480"/>
    <w:rsid w:val="009977ED"/>
    <w:rsid w:val="009C3142"/>
    <w:rsid w:val="009D052C"/>
    <w:rsid w:val="009D1D1E"/>
    <w:rsid w:val="009E0D21"/>
    <w:rsid w:val="009F67EE"/>
    <w:rsid w:val="00A035FD"/>
    <w:rsid w:val="00A20E27"/>
    <w:rsid w:val="00A2449D"/>
    <w:rsid w:val="00A33E03"/>
    <w:rsid w:val="00A42937"/>
    <w:rsid w:val="00A7267D"/>
    <w:rsid w:val="00A81741"/>
    <w:rsid w:val="00AA562E"/>
    <w:rsid w:val="00AB367D"/>
    <w:rsid w:val="00AC0621"/>
    <w:rsid w:val="00AC6995"/>
    <w:rsid w:val="00AF63A9"/>
    <w:rsid w:val="00B279CA"/>
    <w:rsid w:val="00B30679"/>
    <w:rsid w:val="00B433EA"/>
    <w:rsid w:val="00B82B1F"/>
    <w:rsid w:val="00B8304B"/>
    <w:rsid w:val="00B87E75"/>
    <w:rsid w:val="00BD5EE0"/>
    <w:rsid w:val="00C174E6"/>
    <w:rsid w:val="00C51E0F"/>
    <w:rsid w:val="00C55D5F"/>
    <w:rsid w:val="00C84274"/>
    <w:rsid w:val="00C86693"/>
    <w:rsid w:val="00C87F5F"/>
    <w:rsid w:val="00C91248"/>
    <w:rsid w:val="00CB428F"/>
    <w:rsid w:val="00CC3155"/>
    <w:rsid w:val="00CD33A8"/>
    <w:rsid w:val="00CF28B9"/>
    <w:rsid w:val="00CF2D62"/>
    <w:rsid w:val="00D044DD"/>
    <w:rsid w:val="00D20B63"/>
    <w:rsid w:val="00D34344"/>
    <w:rsid w:val="00D947CC"/>
    <w:rsid w:val="00DA30E1"/>
    <w:rsid w:val="00DF2C7F"/>
    <w:rsid w:val="00DF5B71"/>
    <w:rsid w:val="00E37459"/>
    <w:rsid w:val="00E45E90"/>
    <w:rsid w:val="00E47C37"/>
    <w:rsid w:val="00E569FD"/>
    <w:rsid w:val="00E620E7"/>
    <w:rsid w:val="00E80FEA"/>
    <w:rsid w:val="00E91740"/>
    <w:rsid w:val="00EC2F1C"/>
    <w:rsid w:val="00EC564A"/>
    <w:rsid w:val="00F40E23"/>
    <w:rsid w:val="00F5122B"/>
    <w:rsid w:val="00F53540"/>
    <w:rsid w:val="00F66E1B"/>
    <w:rsid w:val="00F67D95"/>
    <w:rsid w:val="00F73603"/>
    <w:rsid w:val="00F8091A"/>
    <w:rsid w:val="00F80CE0"/>
    <w:rsid w:val="00FA7982"/>
    <w:rsid w:val="00FB7B14"/>
    <w:rsid w:val="00FC11A5"/>
    <w:rsid w:val="00FE0B08"/>
    <w:rsid w:val="00FE5D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2E"/>
  </w:style>
  <w:style w:type="paragraph" w:styleId="Heading1">
    <w:name w:val="heading 1"/>
    <w:basedOn w:val="Normal"/>
    <w:next w:val="Normal"/>
    <w:link w:val="Heading1Char"/>
    <w:autoRedefine/>
    <w:uiPriority w:val="9"/>
    <w:qFormat/>
    <w:rsid w:val="00240499"/>
    <w:pPr>
      <w:keepNext/>
      <w:keepLines/>
      <w:spacing w:before="240" w:after="0" w:line="360" w:lineRule="auto"/>
      <w:jc w:val="center"/>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3E635F"/>
    <w:pPr>
      <w:keepNext/>
      <w:keepLines/>
      <w:spacing w:before="40" w:after="0"/>
      <w:outlineLvl w:val="1"/>
    </w:pPr>
    <w:rPr>
      <w:rFonts w:ascii="Arial" w:eastAsiaTheme="majorEastAsia" w:hAnsi="Arial" w:cstheme="majorBidi"/>
      <w:b/>
      <w:iCs/>
      <w:color w:val="2F5496" w:themeColor="accent1" w:themeShade="BF"/>
      <w:sz w:val="26"/>
      <w:szCs w:val="26"/>
    </w:rPr>
  </w:style>
  <w:style w:type="paragraph" w:styleId="Heading3">
    <w:name w:val="heading 3"/>
    <w:basedOn w:val="Normal"/>
    <w:link w:val="Heading3Char"/>
    <w:autoRedefine/>
    <w:uiPriority w:val="9"/>
    <w:qFormat/>
    <w:rsid w:val="00F80CE0"/>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FE0B0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499"/>
    <w:rPr>
      <w:rFonts w:ascii="Arial" w:eastAsiaTheme="majorEastAsia" w:hAnsi="Arial"/>
      <w:b/>
      <w:sz w:val="32"/>
    </w:rPr>
  </w:style>
  <w:style w:type="character" w:customStyle="1" w:styleId="Heading2Char">
    <w:name w:val="Heading 2 Char"/>
    <w:basedOn w:val="DefaultParagraphFont"/>
    <w:link w:val="Heading2"/>
    <w:uiPriority w:val="9"/>
    <w:rsid w:val="003E635F"/>
    <w:rPr>
      <w:rFonts w:ascii="Arial" w:eastAsiaTheme="majorEastAsia" w:hAnsi="Arial" w:cstheme="majorBidi"/>
      <w:b/>
      <w:iCs/>
      <w:color w:val="2F5496" w:themeColor="accent1" w:themeShade="BF"/>
      <w:sz w:val="26"/>
      <w:szCs w:val="26"/>
    </w:rPr>
  </w:style>
  <w:style w:type="character" w:customStyle="1" w:styleId="Heading3Char">
    <w:name w:val="Heading 3 Char"/>
    <w:basedOn w:val="DefaultParagraphFont"/>
    <w:link w:val="Heading3"/>
    <w:uiPriority w:val="9"/>
    <w:rsid w:val="00F80CE0"/>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1135B4"/>
    <w:pPr>
      <w:ind w:left="720"/>
      <w:contextualSpacing/>
    </w:pPr>
  </w:style>
  <w:style w:type="character" w:styleId="Hyperlink">
    <w:name w:val="Hyperlink"/>
    <w:basedOn w:val="DefaultParagraphFont"/>
    <w:uiPriority w:val="99"/>
    <w:unhideWhenUsed/>
    <w:rsid w:val="00464354"/>
    <w:rPr>
      <w:color w:val="0563C1" w:themeColor="hyperlink"/>
      <w:u w:val="single"/>
    </w:rPr>
  </w:style>
  <w:style w:type="character" w:styleId="UnresolvedMention">
    <w:name w:val="Unresolved Mention"/>
    <w:basedOn w:val="DefaultParagraphFont"/>
    <w:uiPriority w:val="99"/>
    <w:semiHidden/>
    <w:unhideWhenUsed/>
    <w:rsid w:val="00464354"/>
    <w:rPr>
      <w:color w:val="605E5C"/>
      <w:shd w:val="clear" w:color="auto" w:fill="E1DFDD"/>
    </w:rPr>
  </w:style>
  <w:style w:type="table" w:styleId="GridTable6Colorful-Accent6">
    <w:name w:val="Grid Table 6 Colorful Accent 6"/>
    <w:basedOn w:val="TableNormal"/>
    <w:uiPriority w:val="51"/>
    <w:rsid w:val="0021419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C55D5F"/>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FE0B0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A33E03"/>
    <w:pPr>
      <w:spacing w:line="259" w:lineRule="auto"/>
      <w:jc w:val="left"/>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A33E03"/>
    <w:pPr>
      <w:spacing w:after="100"/>
    </w:pPr>
  </w:style>
  <w:style w:type="paragraph" w:styleId="TOC2">
    <w:name w:val="toc 2"/>
    <w:basedOn w:val="Normal"/>
    <w:next w:val="Normal"/>
    <w:autoRedefine/>
    <w:uiPriority w:val="39"/>
    <w:unhideWhenUsed/>
    <w:rsid w:val="00A33E03"/>
    <w:pPr>
      <w:spacing w:after="100"/>
      <w:ind w:left="240"/>
    </w:pPr>
  </w:style>
  <w:style w:type="paragraph" w:styleId="TOC3">
    <w:name w:val="toc 3"/>
    <w:basedOn w:val="Normal"/>
    <w:next w:val="Normal"/>
    <w:autoRedefine/>
    <w:uiPriority w:val="39"/>
    <w:unhideWhenUsed/>
    <w:rsid w:val="00A33E0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25833-207E-4D57-9081-98156BC5F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6554</Words>
  <Characters>42998</Characters>
  <Application>Microsoft Office Word</Application>
  <DocSecurity>0</DocSecurity>
  <Lines>977</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2026-08-06T12:16:00Z</dcterms:created>
  <dcterms:modified xsi:type="dcterms:W3CDTF">2026-08-06T12:17:00Z</dcterms:modified>
</cp:coreProperties>
</file>