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2557AEE4" w:rsidR="00F3619A" w:rsidRDefault="00A86F7A" w:rsidP="0081625A">
      <w:pPr>
        <w:spacing w:line="480" w:lineRule="auto"/>
      </w:pPr>
      <w:r>
        <w:t>Men’s experiences of the UK Criminal Justice System following female-perpetrated intimate partner violence by McCarrick, J, Davis-McCabe and Hirst-Winthrop, S, published in the Journal of Family Violence (2015)</w:t>
      </w:r>
      <w:r w:rsidR="00314278">
        <w:t>.</w:t>
      </w:r>
    </w:p>
    <w:p w14:paraId="00000002" w14:textId="77777777" w:rsidR="00F3619A" w:rsidRDefault="00F3619A" w:rsidP="0081625A">
      <w:pPr>
        <w:spacing w:line="480" w:lineRule="auto"/>
      </w:pPr>
    </w:p>
    <w:p w14:paraId="00000003" w14:textId="77777777" w:rsidR="00F3619A" w:rsidRDefault="00F3619A" w:rsidP="0081625A">
      <w:pPr>
        <w:spacing w:line="480" w:lineRule="auto"/>
      </w:pPr>
    </w:p>
    <w:p w14:paraId="00000004" w14:textId="77777777" w:rsidR="00F3619A" w:rsidRDefault="00F3619A" w:rsidP="0081625A">
      <w:pPr>
        <w:spacing w:line="480" w:lineRule="auto"/>
      </w:pPr>
    </w:p>
    <w:p w14:paraId="00000005" w14:textId="289D87CA" w:rsidR="00F3619A" w:rsidRDefault="00A86F7A" w:rsidP="0081625A">
      <w:pPr>
        <w:spacing w:line="480" w:lineRule="auto"/>
      </w:pPr>
      <w:r>
        <w:t xml:space="preserve">The title of the article is relatively </w:t>
      </w:r>
      <w:proofErr w:type="gramStart"/>
      <w:r w:rsidR="0081625A">
        <w:t>self-explanatory</w:t>
      </w:r>
      <w:proofErr w:type="gramEnd"/>
      <w:r>
        <w:t xml:space="preserve"> and the content of the article does not require the reader to have previous knowledge or experience of intimate partner violence in order to understand and interpret the </w:t>
      </w:r>
      <w:r w:rsidR="0081625A">
        <w:t>study’s</w:t>
      </w:r>
      <w:r>
        <w:t xml:space="preserve"> findings</w:t>
      </w:r>
      <w:r w:rsidR="0006428A">
        <w:t>.</w:t>
      </w:r>
      <w:r>
        <w:t xml:space="preserve"> </w:t>
      </w:r>
      <w:r w:rsidR="0006428A">
        <w:t>For this reason</w:t>
      </w:r>
      <w:r w:rsidR="008D615C">
        <w:t>, it is</w:t>
      </w:r>
      <w:r>
        <w:t xml:space="preserve"> insightful to a lay audience, making this article a pleasant and informative read. The article aims to obtain a gender-informed perspective of female perpetrated intimate partner violence (IPV) whereby males are the victims</w:t>
      </w:r>
      <w:r w:rsidR="00F442E6">
        <w:t>,</w:t>
      </w:r>
      <w:r>
        <w:t xml:space="preserve"> and further explores their subsequent experiences of the U.K Criminal Justice System (CJS). Research surrounding IPV and domestic abuse is largely dominated by female victims</w:t>
      </w:r>
      <w:r w:rsidR="002E712D">
        <w:t>,</w:t>
      </w:r>
      <w:r>
        <w:t xml:space="preserve"> with predominantly male perpetrators, meaning research surrounding male victims with a female perpetrator is severely lacking. Through the implementation of unstructured interviews with male victims of IPV, McCarrick and Davis-McCabe (2015) aim to provide an insight into men’s experiences in order for services, such as the CJS, to not only meet the needs of male victims now and in the future, but also aims to improve attitudes towards both male and female victims of IPV.  In light of the fact that IPV and domestic abuse predominantly remains a ‘behind closed doors’ act that is sensitive in nature for those who endure it, it is appreciated that, although female victims ordinarily outweigh the male with a ratio of two to one (Mankind,2019), research that focuses on the plight of male victims, rather than the common female </w:t>
      </w:r>
      <w:r>
        <w:lastRenderedPageBreak/>
        <w:t xml:space="preserve">perspective, is a welcomed addition to what is still a largely under explored, under researched and misunderstood topic in today’s society. </w:t>
      </w:r>
    </w:p>
    <w:p w14:paraId="00000006" w14:textId="77777777" w:rsidR="00F3619A" w:rsidRDefault="00F3619A" w:rsidP="0081625A">
      <w:pPr>
        <w:spacing w:line="480" w:lineRule="auto"/>
      </w:pPr>
    </w:p>
    <w:p w14:paraId="00000007" w14:textId="69BB4FCA" w:rsidR="00F3619A" w:rsidRDefault="00A86F7A" w:rsidP="0081625A">
      <w:pPr>
        <w:spacing w:line="480" w:lineRule="auto"/>
      </w:pPr>
      <w:r>
        <w:t>The article highlighted several main themes, the pressure cooker effect, light at the end of the tunnel, guilty until proven innocent: victim cast as the perpetrator by the Criminal Justice System and society and masculine identity. The result of the victim cast as the perpetrator, led to the participants feeling that they were unfairly treated despite being the victim, further victimizing some of the participants. One researcher cites ‘</w:t>
      </w:r>
      <w:r>
        <w:rPr>
          <w:i/>
        </w:rPr>
        <w:t xml:space="preserve">the fact that David refers to himself as the perpetrator is reflective of his confusion over his role as a victim or perpetrator’ </w:t>
      </w:r>
      <w:r>
        <w:t>leaving some of the participants with a sense of injustice. The researchers attributed the sense of injustice felt by some of the participants to gender stereotyping, citing ‘....</w:t>
      </w:r>
      <w:r>
        <w:rPr>
          <w:i/>
        </w:rPr>
        <w:t xml:space="preserve">which affects society as a whole…...not surprising that those professionals within CJS are also influenced’. </w:t>
      </w:r>
      <w:r>
        <w:t xml:space="preserve">The masculine identity of the participants was also negatively affected by their experiences of the Criminal Justice System, with the participants highlighting the disparities in their treatment based on their gender, one participant said </w:t>
      </w:r>
      <w:r>
        <w:rPr>
          <w:i/>
        </w:rPr>
        <w:t xml:space="preserve">‘they’re very black and white…..I personally got the impression that, if your male, you’re the perpetrator, if you’re female, you’re the victim’. </w:t>
      </w:r>
      <w:r>
        <w:t>The study found that the participants' negative experiences of the criminal justice system revolved around a lack of empathy and an unwillingness by the police to listen to the male’s experience of IPV or even responding to calls made to the police by the victims. Based on the findings, the researchers concluded that with the added pressure of societal expectations of gender roles and stereotypes</w:t>
      </w:r>
      <w:r w:rsidR="00D91154">
        <w:t>,</w:t>
      </w:r>
      <w:r>
        <w:t xml:space="preserve"> there is a need to develop and provide more tailored emotional and psychological support for male victims. Doing so would allow men to feel free to release their feelings and enable them to recover from their trauma in a </w:t>
      </w:r>
      <w:r>
        <w:lastRenderedPageBreak/>
        <w:t xml:space="preserve">safe therapeutic environment. Removing or alleviating the stigma associated with being a male victim of IPV can aid in reducing the sense of isolation and stigmatisation, paving the way for other men in similar situations to come forward, leave abusive relationships and seek the help and support they need to live a safe and happy life.  </w:t>
      </w:r>
    </w:p>
    <w:p w14:paraId="00000008" w14:textId="77777777" w:rsidR="00F3619A" w:rsidRDefault="00F3619A" w:rsidP="0081625A">
      <w:pPr>
        <w:spacing w:line="480" w:lineRule="auto"/>
      </w:pPr>
    </w:p>
    <w:p w14:paraId="00000009" w14:textId="77777777" w:rsidR="00F3619A" w:rsidRDefault="00F3619A" w:rsidP="0081625A">
      <w:pPr>
        <w:spacing w:line="480" w:lineRule="auto"/>
      </w:pPr>
    </w:p>
    <w:p w14:paraId="0000000A" w14:textId="2410A49B" w:rsidR="00F3619A" w:rsidRDefault="00A86F7A" w:rsidP="0081625A">
      <w:pPr>
        <w:spacing w:line="480" w:lineRule="auto"/>
      </w:pPr>
      <w:r>
        <w:t xml:space="preserve">Prior to the critiquing of this article, it is important to note that there is such an affect as, gender-of-interviewer effect, whereby the responses provided by participants can be influenced by the gender of the interviewer, especially so when exploring topics sensitive in nature (Harling et al, 2019). It is commendable </w:t>
      </w:r>
      <w:r w:rsidR="003C5349">
        <w:t xml:space="preserve">that </w:t>
      </w:r>
      <w:r>
        <w:t xml:space="preserve">the authors of this study have acknowledged the potential impact their gender may have on the responses of the male participants. To avoid or minimize the potential of influence, the authors have engaged in a process of reflexivity, a process that has not been acknowledged in similar studies such as that conducted by Hines and Douglas (2010). Moreover, in doing so, the authors have, throughout, produced a </w:t>
      </w:r>
      <w:r w:rsidR="0081625A">
        <w:t>well-balanced</w:t>
      </w:r>
      <w:r>
        <w:t xml:space="preserve">, unbiased, relatively informative research article. </w:t>
      </w:r>
    </w:p>
    <w:p w14:paraId="0000000B" w14:textId="77777777" w:rsidR="00F3619A" w:rsidRDefault="00F3619A" w:rsidP="0081625A">
      <w:pPr>
        <w:spacing w:line="480" w:lineRule="auto"/>
      </w:pPr>
    </w:p>
    <w:p w14:paraId="0000000C" w14:textId="7D970B5A" w:rsidR="00F3619A" w:rsidRDefault="00A86F7A" w:rsidP="0081625A">
      <w:pPr>
        <w:spacing w:line="480" w:lineRule="auto"/>
      </w:pPr>
      <w:r>
        <w:t xml:space="preserve">Six participants took part in the study, a considerably small sample size when compared to other similar studies, one being, a study conducted by </w:t>
      </w:r>
      <w:proofErr w:type="spellStart"/>
      <w:r>
        <w:t>Migliaccio</w:t>
      </w:r>
      <w:proofErr w:type="spellEnd"/>
      <w:r>
        <w:t xml:space="preserve"> (2002) that had double the participants, at twelve, and a second by Hines and Douglas (2010) that contained three hundred and two participants. The small sample size may hinder the ability to generalize the findings as a means of informing professional bodies, such as the Criminal Justice System, in the implementation of future support provisions. It is important to note, the studies used as a means of comparison within </w:t>
      </w:r>
      <w:r>
        <w:lastRenderedPageBreak/>
        <w:t xml:space="preserve">this critique, such as the ones carried out by Hines and Douglas (2010) and </w:t>
      </w:r>
      <w:proofErr w:type="spellStart"/>
      <w:r>
        <w:t>Migliaccio</w:t>
      </w:r>
      <w:proofErr w:type="spellEnd"/>
      <w:r>
        <w:t xml:space="preserve"> (2002), were not carried out in the United Kingdom; it is however, due to the similar definitions of IPV by all of the studies mentioned, possible to correlate the studies. The authors adopted Unstructured interviews which were carried out with one core question posed to the participants ‘</w:t>
      </w:r>
      <w:r>
        <w:rPr>
          <w:i/>
        </w:rPr>
        <w:t xml:space="preserve">Please tell me about your experiences with the Criminal Justice System due to the intimate partner violence that you’ve experienced’. </w:t>
      </w:r>
      <w:r>
        <w:t>The use of unstructured interviews provides an informal and relaxed environment that allows for the participant to freely discuss or express their feelings in their own words, without being led by the interviewer. This approach also allows the interviewer to go with the flow</w:t>
      </w:r>
      <w:r w:rsidR="0004136D">
        <w:t>,</w:t>
      </w:r>
      <w:r>
        <w:t xml:space="preserve"> allowing for further questions to be posed in relation to the participants' replies to gain a deeper understanding. However, it is unfortunate that the authors did not provide details on any further questions that were posed to the participants or specific responses to those questions. Whereas, some similar studies, such as the one conducted by Hines and Douglas (2010) and </w:t>
      </w:r>
      <w:proofErr w:type="spellStart"/>
      <w:r>
        <w:t>Tsui</w:t>
      </w:r>
      <w:proofErr w:type="spellEnd"/>
      <w:r>
        <w:t xml:space="preserve"> (2014) provided an anonymous survey for the participants to complete, it is believed that providing the participants in this study with an additional survey with specific questions may have provided further in depth information that may have been helpful to the reader’s explorations of the topic. The implementation of an unstructured interview approach to this type of study is relatively popular within IPV research and does, at face value, appear to yield much needed in-depth knowledge on, what is commonly a ‘behind closed doors’ issue.</w:t>
      </w:r>
    </w:p>
    <w:p w14:paraId="0000000D" w14:textId="77777777" w:rsidR="00F3619A" w:rsidRDefault="00F3619A" w:rsidP="0081625A">
      <w:pPr>
        <w:spacing w:line="480" w:lineRule="auto"/>
      </w:pPr>
    </w:p>
    <w:p w14:paraId="0000000E" w14:textId="2E635E53" w:rsidR="00F3619A" w:rsidRDefault="00A86F7A" w:rsidP="0081625A">
      <w:pPr>
        <w:spacing w:line="480" w:lineRule="auto"/>
      </w:pPr>
      <w:r>
        <w:t>The participants within this study were recruited through male support web pages much like  the participants in Hines and Douglas’ (2010) study, the benefit being</w:t>
      </w:r>
      <w:r w:rsidR="00520F4A">
        <w:t>,</w:t>
      </w:r>
      <w:r>
        <w:t xml:space="preserve"> that the researchers are recruiting participants specific to the topic of investigation. The </w:t>
      </w:r>
      <w:r>
        <w:lastRenderedPageBreak/>
        <w:t>age of the participants is between 40-65 years, making it difficult to correlate the findings with younger male victims, an issue the authors acknowledge and address in their discussion section. The lack of young participants could be attributed to several factors, one factor being  that the young are less likely to experience IPV, however, it is more likely that young male victims are not engaging with support services, be that, the police or domestic abuse organisations. The lack of representation of those aged below 40 highlights the need for all to improve engagement.</w:t>
      </w:r>
    </w:p>
    <w:p w14:paraId="0000000F" w14:textId="77777777" w:rsidR="00F3619A" w:rsidRDefault="00F3619A" w:rsidP="0081625A">
      <w:pPr>
        <w:spacing w:line="480" w:lineRule="auto"/>
      </w:pPr>
    </w:p>
    <w:p w14:paraId="00000010" w14:textId="33B7F809" w:rsidR="00F3619A" w:rsidRDefault="00A86F7A" w:rsidP="0081625A">
      <w:pPr>
        <w:spacing w:line="480" w:lineRule="auto"/>
      </w:pPr>
      <w:r>
        <w:t xml:space="preserve">An issue noted, relates to the time disparities of the participants’ experiences between this study and the aforementioned similar studies that explored men’s experiences of IPV, which could have an influence on the research findings and thus, the credence. Hines and Douglas (2010) implemented strict time constraints; participants were required to have experienced and sought help within the last year of the study taking part, meaning, the experiences the participants were referring too, were relatively new memories or ongoing experiences. This study had no such constraints, some participants relied heavily on the retrospective recall of their experiences, with some experiences taking place more than ten years prior to the study. Although any information surrounding this topic is valuable, the issue remains that over time memories can become distorted. Bridge and </w:t>
      </w:r>
      <w:proofErr w:type="spellStart"/>
      <w:r>
        <w:t>Paller</w:t>
      </w:r>
      <w:proofErr w:type="spellEnd"/>
      <w:r>
        <w:t xml:space="preserve"> (2012) argue that each time a memory is recalled it becomes less precise, to the point, it can become totally false. Thus,</w:t>
      </w:r>
      <w:r w:rsidR="00085B46">
        <w:t xml:space="preserve"> </w:t>
      </w:r>
      <w:r w:rsidR="00FF4B51">
        <w:t>unfortunately</w:t>
      </w:r>
      <w:r>
        <w:t xml:space="preserve"> </w:t>
      </w:r>
      <w:r w:rsidR="00F92402">
        <w:t>can reduce</w:t>
      </w:r>
      <w:r>
        <w:t xml:space="preserve"> the credibility </w:t>
      </w:r>
      <w:r w:rsidR="00691E5C">
        <w:t xml:space="preserve">of the findings </w:t>
      </w:r>
      <w:r w:rsidR="00B35FBB">
        <w:t xml:space="preserve">for </w:t>
      </w:r>
      <w:r w:rsidR="00691E5C">
        <w:t xml:space="preserve">the </w:t>
      </w:r>
      <w:r w:rsidR="00B35FBB">
        <w:t>provisions of support</w:t>
      </w:r>
      <w:r>
        <w:t xml:space="preserve">. </w:t>
      </w:r>
    </w:p>
    <w:p w14:paraId="00000011" w14:textId="77777777" w:rsidR="00F3619A" w:rsidRDefault="00F3619A" w:rsidP="0081625A">
      <w:pPr>
        <w:spacing w:line="480" w:lineRule="auto"/>
      </w:pPr>
    </w:p>
    <w:p w14:paraId="00000012" w14:textId="1117F4A7" w:rsidR="00F3619A" w:rsidRDefault="00A86F7A" w:rsidP="0081625A">
      <w:pPr>
        <w:spacing w:line="480" w:lineRule="auto"/>
      </w:pPr>
      <w:r>
        <w:lastRenderedPageBreak/>
        <w:t xml:space="preserve">It seems there are several themes that run within this study and the similar studies that explore </w:t>
      </w:r>
      <w:r w:rsidR="0081625A">
        <w:t>males’</w:t>
      </w:r>
      <w:r>
        <w:t xml:space="preserve"> experiences of female perpetrated IPV, one being, the participants masculine identity and its negative impact on receiving support. For example, some participants in this study spoke about the disparities in their treatment and their experience of not being believed by professionals, such as the police, or the police refusing to respond to calls</w:t>
      </w:r>
      <w:r w:rsidR="001459CA">
        <w:t>,</w:t>
      </w:r>
      <w:r>
        <w:t xml:space="preserve"> whereby the male was the suspected victim of the abuse due to their gender, size and </w:t>
      </w:r>
      <w:r w:rsidR="0081625A">
        <w:t>supposed</w:t>
      </w:r>
      <w:r>
        <w:t xml:space="preserve"> ability to overpower a female attacker based around gender stereotypes, a theme congruent within the aforementioned study conducted by </w:t>
      </w:r>
      <w:proofErr w:type="spellStart"/>
      <w:r>
        <w:t>Migliaccio</w:t>
      </w:r>
      <w:proofErr w:type="spellEnd"/>
      <w:r>
        <w:t xml:space="preserve"> (2002) and </w:t>
      </w:r>
      <w:proofErr w:type="spellStart"/>
      <w:r>
        <w:t>Tsui</w:t>
      </w:r>
      <w:proofErr w:type="spellEnd"/>
      <w:r>
        <w:t xml:space="preserve"> (2014).</w:t>
      </w:r>
      <w:r w:rsidR="007575E4">
        <w:t xml:space="preserve"> Furthermore</w:t>
      </w:r>
      <w:r>
        <w:t xml:space="preserve">, one of </w:t>
      </w:r>
      <w:proofErr w:type="spellStart"/>
      <w:r>
        <w:t>Tsui’s</w:t>
      </w:r>
      <w:proofErr w:type="spellEnd"/>
      <w:r>
        <w:t xml:space="preserve"> (2014) participants commented that ‘</w:t>
      </w:r>
      <w:r>
        <w:rPr>
          <w:i/>
        </w:rPr>
        <w:t xml:space="preserve">The police were, in fact, actively unhelpful’. </w:t>
      </w:r>
      <w:r>
        <w:t>It could be argued that the responses provided are tantamount to blatant discrimination</w:t>
      </w:r>
      <w:r w:rsidR="00551968">
        <w:t>,</w:t>
      </w:r>
      <w:r>
        <w:t xml:space="preserve"> based on the </w:t>
      </w:r>
      <w:r w:rsidR="0081625A">
        <w:t>victims</w:t>
      </w:r>
      <w:r>
        <w:t xml:space="preserve"> and </w:t>
      </w:r>
      <w:r w:rsidR="0081625A">
        <w:t>perpetrators</w:t>
      </w:r>
      <w:r>
        <w:t xml:space="preserve"> gender. Another theme echoed within many studies regarding IPV </w:t>
      </w:r>
      <w:r w:rsidR="00551968">
        <w:t>is</w:t>
      </w:r>
      <w:r>
        <w:t xml:space="preserve"> guilty until proven innocent: victim cast as perpetrator, which is believed to stem from gender stereotypes. Participants within the study conducted by </w:t>
      </w:r>
      <w:proofErr w:type="spellStart"/>
      <w:r>
        <w:t>Tsui</w:t>
      </w:r>
      <w:proofErr w:type="spellEnd"/>
      <w:r>
        <w:t xml:space="preserve"> (2014) also cited that they believed they were discriminated against by the police and falsely arrested as the perpetrator</w:t>
      </w:r>
      <w:r w:rsidR="00D94F39">
        <w:t>,</w:t>
      </w:r>
      <w:r>
        <w:t xml:space="preserve"> upon reporting instances due to the disbelief, by the police, that a male can be a victim. However, it is important to note that some participants within this study did have positive experiences of CJS.</w:t>
      </w:r>
    </w:p>
    <w:p w14:paraId="00000013" w14:textId="77777777" w:rsidR="00F3619A" w:rsidRDefault="00F3619A" w:rsidP="0081625A">
      <w:pPr>
        <w:spacing w:line="480" w:lineRule="auto"/>
      </w:pPr>
    </w:p>
    <w:p w14:paraId="00000014" w14:textId="1EFA3EDE" w:rsidR="00F3619A" w:rsidRDefault="0081625A" w:rsidP="0081625A">
      <w:pPr>
        <w:spacing w:line="480" w:lineRule="auto"/>
      </w:pPr>
      <w:r>
        <w:t>Overall</w:t>
      </w:r>
      <w:r w:rsidR="00A86F7A">
        <w:t xml:space="preserve">, research surrounding IPV is relatively dominated by female victims and as such any research that explores men’s experiences is greatly welcomed. Although female victims currently outweigh the male, it is apparent that males can and do experience IPV and as such require sufficient support upon reporting incidences. Several limitations have been raised with regards to this study, however, the study </w:t>
      </w:r>
      <w:r w:rsidR="00A86F7A">
        <w:lastRenderedPageBreak/>
        <w:t xml:space="preserve">has highlighted many key issues, in relation to victims' experiences of the Criminal Justice System, with gender stereotyping being one of the main issues requiring addressing. Some participants had a positive experience, which on the face of it, had a positive impact on the </w:t>
      </w:r>
      <w:r>
        <w:t>victims’</w:t>
      </w:r>
      <w:r w:rsidR="00A86F7A">
        <w:t xml:space="preserve"> false arrest. However, far too many victims </w:t>
      </w:r>
      <w:r w:rsidR="00CD5A25">
        <w:t>were</w:t>
      </w:r>
      <w:r w:rsidR="00A86F7A">
        <w:t xml:space="preserve"> not so fortunate. </w:t>
      </w:r>
      <w:r>
        <w:t>To</w:t>
      </w:r>
      <w:r w:rsidR="00A86F7A">
        <w:t xml:space="preserve"> better understand female perpetrated IPV and in turn improve on male victims' experiences of the Criminal Justice System, further research is required as a matter of urgency as the numbers of victims rises. To achieve </w:t>
      </w:r>
      <w:r>
        <w:t>this,</w:t>
      </w:r>
      <w:r w:rsidR="00A86F7A">
        <w:t xml:space="preserve"> it is recommended to conduct further qualitative research, perhaps implementing a longitudinal study that includes large numbers of male victims, from all age ranges. Carrying out a longitudinal study would allow for the monitoring of changes or variables and as such allow for services and policy to develop, </w:t>
      </w:r>
      <w:r>
        <w:t>amend,</w:t>
      </w:r>
      <w:r w:rsidR="00A86F7A">
        <w:t xml:space="preserve"> or reduce ineffective approaches or support provisions in certain areas. In carrying out in-depth studies, which incorporates a wider demographic, can provide invaluable knowledge on a topic that, for many, is sensitive in nature</w:t>
      </w:r>
      <w:r w:rsidR="00EC7F4E">
        <w:t>,</w:t>
      </w:r>
      <w:r w:rsidR="00A86F7A">
        <w:t xml:space="preserve"> which in turn can provide credible findings in order to provide professional bodies such as the CRJ with the in depth knowledge needed to provide all victims with the vital support they need, be that emotional, physical, legal or psychological . </w:t>
      </w:r>
    </w:p>
    <w:p w14:paraId="00000015" w14:textId="77777777" w:rsidR="00F3619A" w:rsidRDefault="00F3619A" w:rsidP="0081625A">
      <w:pPr>
        <w:spacing w:line="480" w:lineRule="auto"/>
      </w:pPr>
    </w:p>
    <w:p w14:paraId="00000016" w14:textId="77777777" w:rsidR="00F3619A" w:rsidRDefault="00F3619A" w:rsidP="0081625A">
      <w:pPr>
        <w:spacing w:line="480" w:lineRule="auto"/>
      </w:pPr>
    </w:p>
    <w:p w14:paraId="00000017" w14:textId="77777777" w:rsidR="00F3619A" w:rsidRDefault="00F3619A" w:rsidP="0081625A">
      <w:pPr>
        <w:spacing w:line="480" w:lineRule="auto"/>
      </w:pPr>
    </w:p>
    <w:p w14:paraId="00000018" w14:textId="77777777" w:rsidR="00F3619A" w:rsidRDefault="00A86F7A" w:rsidP="0081625A">
      <w:pPr>
        <w:spacing w:line="480" w:lineRule="auto"/>
      </w:pPr>
      <w:r>
        <w:t xml:space="preserve">   </w:t>
      </w:r>
    </w:p>
    <w:p w14:paraId="00000019" w14:textId="77777777" w:rsidR="00F3619A" w:rsidRDefault="00F3619A" w:rsidP="0081625A">
      <w:pPr>
        <w:spacing w:line="480" w:lineRule="auto"/>
      </w:pPr>
    </w:p>
    <w:p w14:paraId="0000001A" w14:textId="77777777" w:rsidR="00F3619A" w:rsidRDefault="00F3619A" w:rsidP="0081625A">
      <w:pPr>
        <w:spacing w:line="480" w:lineRule="auto"/>
      </w:pPr>
    </w:p>
    <w:p w14:paraId="0000001B" w14:textId="77777777" w:rsidR="00F3619A" w:rsidRDefault="00F3619A" w:rsidP="0081625A">
      <w:pPr>
        <w:spacing w:line="480" w:lineRule="auto"/>
      </w:pPr>
    </w:p>
    <w:p w14:paraId="0050D9E7" w14:textId="77777777" w:rsidR="00D05145" w:rsidRDefault="00D05145" w:rsidP="0081625A">
      <w:pPr>
        <w:spacing w:line="480" w:lineRule="auto"/>
      </w:pPr>
    </w:p>
    <w:p w14:paraId="0000003E" w14:textId="5159E271" w:rsidR="00F3619A" w:rsidRDefault="00A86F7A" w:rsidP="0081625A">
      <w:pPr>
        <w:spacing w:line="480" w:lineRule="auto"/>
      </w:pPr>
      <w:r>
        <w:lastRenderedPageBreak/>
        <w:t>References</w:t>
      </w:r>
    </w:p>
    <w:p w14:paraId="0000003F" w14:textId="77777777" w:rsidR="00F3619A" w:rsidRDefault="00F3619A" w:rsidP="0081625A">
      <w:pPr>
        <w:spacing w:line="480" w:lineRule="auto"/>
      </w:pPr>
    </w:p>
    <w:p w14:paraId="00000040" w14:textId="77777777" w:rsidR="00F3619A" w:rsidRDefault="00A86F7A" w:rsidP="0081625A">
      <w:pPr>
        <w:spacing w:line="480" w:lineRule="auto"/>
      </w:pPr>
      <w:r>
        <w:t xml:space="preserve">Bridge, D and Peller, K (2012) Neural Correlates of Reactivation and Retrieval-induced Distortion. </w:t>
      </w:r>
      <w:r>
        <w:rPr>
          <w:i/>
        </w:rPr>
        <w:t xml:space="preserve">Journal of Neuroscience. </w:t>
      </w:r>
      <w:r>
        <w:t>(Online) 32(35). P.12144-12151. Available from: https://www.jneurosci.org/content/32/35/12144 (Accessed on the 14th of November 2020)</w:t>
      </w:r>
    </w:p>
    <w:p w14:paraId="00000041" w14:textId="77777777" w:rsidR="00F3619A" w:rsidRDefault="00F3619A" w:rsidP="0081625A">
      <w:pPr>
        <w:spacing w:line="480" w:lineRule="auto"/>
      </w:pPr>
    </w:p>
    <w:p w14:paraId="00000042" w14:textId="77777777" w:rsidR="00F3619A" w:rsidRDefault="00A86F7A" w:rsidP="0081625A">
      <w:pPr>
        <w:spacing w:line="480" w:lineRule="auto"/>
      </w:pPr>
      <w:r>
        <w:t xml:space="preserve">Harling, G, Chanda, M, </w:t>
      </w:r>
      <w:proofErr w:type="spellStart"/>
      <w:r>
        <w:t>Ortblad</w:t>
      </w:r>
      <w:proofErr w:type="spellEnd"/>
      <w:r>
        <w:t xml:space="preserve">, K, </w:t>
      </w:r>
      <w:proofErr w:type="spellStart"/>
      <w:r>
        <w:t>Mwale</w:t>
      </w:r>
      <w:proofErr w:type="spellEnd"/>
      <w:r>
        <w:t xml:space="preserve">, M, </w:t>
      </w:r>
      <w:proofErr w:type="spellStart"/>
      <w:r>
        <w:t>Chango</w:t>
      </w:r>
      <w:proofErr w:type="spellEnd"/>
      <w:r>
        <w:t xml:space="preserve">, S, </w:t>
      </w:r>
      <w:proofErr w:type="spellStart"/>
      <w:r>
        <w:t>Kanchele</w:t>
      </w:r>
      <w:proofErr w:type="spellEnd"/>
      <w:r>
        <w:t xml:space="preserve">, C, </w:t>
      </w:r>
      <w:proofErr w:type="spellStart"/>
      <w:r>
        <w:t>Kamungoma</w:t>
      </w:r>
      <w:proofErr w:type="spellEnd"/>
      <w:r>
        <w:t xml:space="preserve">, N, Barresi, L, </w:t>
      </w:r>
      <w:proofErr w:type="spellStart"/>
      <w:r>
        <w:t>Barrnighausen</w:t>
      </w:r>
      <w:proofErr w:type="spellEnd"/>
      <w:r>
        <w:t xml:space="preserve">, T and Oldenburg, C (2019) The influence of interviewers on survey responses among female sex workers in Zambia. </w:t>
      </w:r>
      <w:r>
        <w:rPr>
          <w:i/>
        </w:rPr>
        <w:t xml:space="preserve"> </w:t>
      </w:r>
      <w:hyperlink r:id="rId7">
        <w:r>
          <w:rPr>
            <w:i/>
            <w:highlight w:val="white"/>
          </w:rPr>
          <w:t>BMC Medical Research Methodology</w:t>
        </w:r>
      </w:hyperlink>
      <w:r>
        <w:rPr>
          <w:i/>
        </w:rPr>
        <w:t xml:space="preserve">. </w:t>
      </w:r>
      <w:r>
        <w:t>(Online) 60(3) Available from: https://bmcmedresmethodol.biomedcentral.com/articles/10.1186/s12874-019-0703-2. (Accessed on the 13th of November 2020)</w:t>
      </w:r>
    </w:p>
    <w:p w14:paraId="00000043" w14:textId="77777777" w:rsidR="00F3619A" w:rsidRDefault="00F3619A" w:rsidP="0081625A">
      <w:pPr>
        <w:spacing w:line="480" w:lineRule="auto"/>
      </w:pPr>
    </w:p>
    <w:p w14:paraId="00000044" w14:textId="77777777" w:rsidR="00F3619A" w:rsidRDefault="00A86F7A" w:rsidP="0081625A">
      <w:pPr>
        <w:spacing w:line="480" w:lineRule="auto"/>
        <w:rPr>
          <w:i/>
          <w:sz w:val="20"/>
          <w:szCs w:val="20"/>
        </w:rPr>
      </w:pPr>
      <w:r>
        <w:t xml:space="preserve">Hines, D and Douglas, E (2010) A Closer Look at Men Who Sustain Intimate Terrorism by Women. </w:t>
      </w:r>
      <w:r>
        <w:rPr>
          <w:i/>
        </w:rPr>
        <w:t xml:space="preserve">HH Public Access. </w:t>
      </w:r>
      <w:r>
        <w:t xml:space="preserve">3(1). p.286-313. </w:t>
      </w:r>
    </w:p>
    <w:p w14:paraId="00000045" w14:textId="77777777" w:rsidR="00F3619A" w:rsidRDefault="00F3619A" w:rsidP="0081625A">
      <w:pPr>
        <w:spacing w:line="480" w:lineRule="auto"/>
      </w:pPr>
    </w:p>
    <w:p w14:paraId="00000046" w14:textId="77777777" w:rsidR="00F3619A" w:rsidRDefault="00A86F7A" w:rsidP="0081625A">
      <w:pPr>
        <w:spacing w:line="480" w:lineRule="auto"/>
      </w:pPr>
      <w:r>
        <w:t xml:space="preserve">Mankind (2019) </w:t>
      </w:r>
      <w:r>
        <w:rPr>
          <w:i/>
        </w:rPr>
        <w:t xml:space="preserve">Statistics and research. </w:t>
      </w:r>
      <w:r>
        <w:t>(Online) Available from: https://www.mankind.org.uk/statistics/ (Accessed on the 12th of November 2020)</w:t>
      </w:r>
    </w:p>
    <w:p w14:paraId="00000047" w14:textId="77777777" w:rsidR="00F3619A" w:rsidRDefault="00F3619A" w:rsidP="0081625A">
      <w:pPr>
        <w:spacing w:line="480" w:lineRule="auto"/>
      </w:pPr>
    </w:p>
    <w:p w14:paraId="00000048" w14:textId="77777777" w:rsidR="00F3619A" w:rsidRDefault="00A86F7A" w:rsidP="0081625A">
      <w:pPr>
        <w:spacing w:line="480" w:lineRule="auto"/>
      </w:pPr>
      <w:proofErr w:type="spellStart"/>
      <w:r>
        <w:t>Migliaccio</w:t>
      </w:r>
      <w:proofErr w:type="spellEnd"/>
      <w:r>
        <w:t xml:space="preserve">, T (2002) Abused Husbands. </w:t>
      </w:r>
      <w:r>
        <w:rPr>
          <w:i/>
        </w:rPr>
        <w:t xml:space="preserve">Journal of Family Issues. </w:t>
      </w:r>
      <w:r>
        <w:t>23(1). P.26-52.</w:t>
      </w:r>
    </w:p>
    <w:p w14:paraId="00000049" w14:textId="77777777" w:rsidR="00F3619A" w:rsidRDefault="00F3619A" w:rsidP="0081625A">
      <w:pPr>
        <w:spacing w:line="480" w:lineRule="auto"/>
      </w:pPr>
    </w:p>
    <w:p w14:paraId="0000004A" w14:textId="716DB038" w:rsidR="00F3619A" w:rsidRDefault="00A86F7A" w:rsidP="0081625A">
      <w:pPr>
        <w:spacing w:line="480" w:lineRule="auto"/>
      </w:pPr>
      <w:proofErr w:type="spellStart"/>
      <w:r>
        <w:t>Tsui</w:t>
      </w:r>
      <w:proofErr w:type="spellEnd"/>
      <w:r>
        <w:t>, V (2014) Male Victims of Intimate Partner Abuse: Use and Helpfulness of Services.</w:t>
      </w:r>
      <w:r w:rsidR="00D80493">
        <w:t xml:space="preserve"> </w:t>
      </w:r>
      <w:r>
        <w:rPr>
          <w:i/>
        </w:rPr>
        <w:t xml:space="preserve">National Association of Social Workers.  </w:t>
      </w:r>
      <w:r>
        <w:t>59(4). P.121-130.</w:t>
      </w:r>
    </w:p>
    <w:p w14:paraId="5E6DEDA2" w14:textId="36403292" w:rsidR="00207ED4" w:rsidRDefault="00207ED4" w:rsidP="0081625A">
      <w:pPr>
        <w:spacing w:line="480" w:lineRule="auto"/>
      </w:pPr>
    </w:p>
    <w:p w14:paraId="408C59CF" w14:textId="4C6AFA79" w:rsidR="00D5279F" w:rsidRDefault="00F1159E" w:rsidP="0081625A">
      <w:pPr>
        <w:spacing w:line="480" w:lineRule="auto"/>
      </w:pPr>
      <w:r>
        <w:rPr>
          <w:noProof/>
        </w:rPr>
        <w:lastRenderedPageBreak/>
        <mc:AlternateContent>
          <mc:Choice Requires="wps">
            <w:drawing>
              <wp:anchor distT="0" distB="0" distL="114300" distR="114300" simplePos="0" relativeHeight="251649024" behindDoc="0" locked="0" layoutInCell="1" allowOverlap="1" wp14:anchorId="1597E019" wp14:editId="3F17DF1B">
                <wp:simplePos x="0" y="0"/>
                <wp:positionH relativeFrom="margin">
                  <wp:align>left</wp:align>
                </wp:positionH>
                <wp:positionV relativeFrom="paragraph">
                  <wp:posOffset>336245</wp:posOffset>
                </wp:positionV>
                <wp:extent cx="5775158" cy="6875"/>
                <wp:effectExtent l="0" t="0" r="35560" b="31750"/>
                <wp:wrapNone/>
                <wp:docPr id="6" name="Straight Connector 6"/>
                <wp:cNvGraphicFramePr/>
                <a:graphic xmlns:a="http://schemas.openxmlformats.org/drawingml/2006/main">
                  <a:graphicData uri="http://schemas.microsoft.com/office/word/2010/wordprocessingShape">
                    <wps:wsp>
                      <wps:cNvCnPr/>
                      <wps:spPr>
                        <a:xfrm>
                          <a:off x="0" y="0"/>
                          <a:ext cx="5775158" cy="6875"/>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8BAC7B" id="Straight Connector 6" o:spid="_x0000_s1026" style="position:absolute;z-index:251649024;visibility:visible;mso-wrap-style:square;mso-wrap-distance-left:9pt;mso-wrap-distance-top:0;mso-wrap-distance-right:9pt;mso-wrap-distance-bottom:0;mso-position-horizontal:left;mso-position-horizontal-relative:margin;mso-position-vertical:absolute;mso-position-vertical-relative:text" from="0,26.5pt" to="45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" strokecolor="black [3040]">
                <w10:wrap anchorx="margin"/>
              </v:line>
            </w:pict>
          </mc:Fallback>
        </mc:AlternateContent>
      </w:r>
      <w:r>
        <w:rPr>
          <w:noProof/>
        </w:rPr>
        <mc:AlternateContent>
          <mc:Choice Requires="wps">
            <w:drawing>
              <wp:anchor distT="0" distB="0" distL="114300" distR="114300" simplePos="0" relativeHeight="251656192" behindDoc="0" locked="0" layoutInCell="1" allowOverlap="1" wp14:anchorId="072EF98F" wp14:editId="4FB26171">
                <wp:simplePos x="0" y="0"/>
                <wp:positionH relativeFrom="rightMargin">
                  <wp:align>left</wp:align>
                </wp:positionH>
                <wp:positionV relativeFrom="paragraph">
                  <wp:posOffset>357510</wp:posOffset>
                </wp:positionV>
                <wp:extent cx="0" cy="4293120"/>
                <wp:effectExtent l="57150" t="19050" r="76200" b="88900"/>
                <wp:wrapNone/>
                <wp:docPr id="7" name="Straight Connector 7"/>
                <wp:cNvGraphicFramePr/>
                <a:graphic xmlns:a="http://schemas.openxmlformats.org/drawingml/2006/main">
                  <a:graphicData uri="http://schemas.microsoft.com/office/word/2010/wordprocessingShape">
                    <wps:wsp>
                      <wps:cNvCnPr/>
                      <wps:spPr>
                        <a:xfrm>
                          <a:off x="0" y="0"/>
                          <a:ext cx="0" cy="4293120"/>
                        </a:xfrm>
                        <a:prstGeom prst="line">
                          <a:avLst/>
                        </a:prstGeom>
                        <a:ln w="3175">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102752" id="Straight Connector 7" o:spid="_x0000_s1026" style="position:absolute;z-index:25165619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from="0,28.15pt" to="0,3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" strokecolor="black [3213]" strokeweight=".25pt">
                <v:shadow on="t" color="black" opacity="24903f" origin=",.5" offset="0,.55556mm"/>
                <w10:wrap anchorx="margin"/>
              </v:line>
            </w:pict>
          </mc:Fallback>
        </mc:AlternateContent>
      </w:r>
      <w:r w:rsidR="003E5DA1">
        <w:t>Poster</w:t>
      </w:r>
      <w:r w:rsidR="00F50437">
        <w:t xml:space="preserve"> </w:t>
      </w:r>
    </w:p>
    <w:p w14:paraId="29F7C807" w14:textId="6957126E" w:rsidR="00685E6E" w:rsidRDefault="00F1159E" w:rsidP="0081625A">
      <w:pPr>
        <w:spacing w:line="480" w:lineRule="auto"/>
      </w:pPr>
      <w:r>
        <w:rPr>
          <w:noProof/>
        </w:rPr>
        <mc:AlternateContent>
          <mc:Choice Requires="wps">
            <w:drawing>
              <wp:anchor distT="0" distB="0" distL="114300" distR="114300" simplePos="0" relativeHeight="251661312" behindDoc="0" locked="0" layoutInCell="1" allowOverlap="1" wp14:anchorId="74AC34A1" wp14:editId="5055D7ED">
                <wp:simplePos x="0" y="0"/>
                <wp:positionH relativeFrom="column">
                  <wp:posOffset>2147</wp:posOffset>
                </wp:positionH>
                <wp:positionV relativeFrom="paragraph">
                  <wp:posOffset>4274738</wp:posOffset>
                </wp:positionV>
                <wp:extent cx="5788909" cy="5161"/>
                <wp:effectExtent l="57150" t="38100" r="59690" b="90170"/>
                <wp:wrapNone/>
                <wp:docPr id="8" name="Straight Connector 8"/>
                <wp:cNvGraphicFramePr/>
                <a:graphic xmlns:a="http://schemas.openxmlformats.org/drawingml/2006/main">
                  <a:graphicData uri="http://schemas.microsoft.com/office/word/2010/wordprocessingShape">
                    <wps:wsp>
                      <wps:cNvCnPr/>
                      <wps:spPr>
                        <a:xfrm flipH="1">
                          <a:off x="0" y="0"/>
                          <a:ext cx="5788909" cy="5161"/>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C1A36" id="Straight Connector 8"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336.6pt" to="455.95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" strokecolor="black [3200]" strokeweight=".25pt">
                <v:shadow on="t" color="black" opacity="24903f" origin=",.5" offset="0,.55556mm"/>
              </v:line>
            </w:pict>
          </mc:Fallback>
        </mc:AlternateContent>
      </w:r>
      <w:r w:rsidR="00326E01">
        <w:rPr>
          <w:noProof/>
        </w:rPr>
        <mc:AlternateContent>
          <mc:Choice Requires="wps">
            <w:drawing>
              <wp:anchor distT="0" distB="0" distL="114300" distR="114300" simplePos="0" relativeHeight="251668480" behindDoc="0" locked="0" layoutInCell="1" allowOverlap="1" wp14:anchorId="67ED43E1" wp14:editId="464DDAED">
                <wp:simplePos x="0" y="0"/>
                <wp:positionH relativeFrom="column">
                  <wp:posOffset>-20626</wp:posOffset>
                </wp:positionH>
                <wp:positionV relativeFrom="paragraph">
                  <wp:posOffset>-6875</wp:posOffset>
                </wp:positionV>
                <wp:extent cx="20626" cy="4283242"/>
                <wp:effectExtent l="57150" t="19050" r="74930" b="79375"/>
                <wp:wrapNone/>
                <wp:docPr id="9" name="Straight Connector 9"/>
                <wp:cNvGraphicFramePr/>
                <a:graphic xmlns:a="http://schemas.openxmlformats.org/drawingml/2006/main">
                  <a:graphicData uri="http://schemas.microsoft.com/office/word/2010/wordprocessingShape">
                    <wps:wsp>
                      <wps:cNvCnPr/>
                      <wps:spPr>
                        <a:xfrm>
                          <a:off x="0" y="0"/>
                          <a:ext cx="20626" cy="4283242"/>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EB1DED4" id="Straight Connector 9"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6pt,-.55pt" to="0,3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" strokecolor="black [3200]" strokeweight=".25pt">
                <v:shadow on="t" color="black" opacity="24903f" origin=",.5" offset="0,.55556mm"/>
              </v:line>
            </w:pict>
          </mc:Fallback>
        </mc:AlternateContent>
      </w:r>
      <w:r w:rsidR="00490893">
        <w:rPr>
          <w:noProof/>
        </w:rPr>
        <w:drawing>
          <wp:inline distT="0" distB="0" distL="0" distR="0" wp14:anchorId="1131CDF0" wp14:editId="490AA78D">
            <wp:extent cx="5733415" cy="4300220"/>
            <wp:effectExtent l="0" t="0" r="635" b="5080"/>
            <wp:docPr id="2" name="Picture 2"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3415" cy="4300220"/>
                    </a:xfrm>
                    <a:prstGeom prst="rect">
                      <a:avLst/>
                    </a:prstGeom>
                  </pic:spPr>
                </pic:pic>
              </a:graphicData>
            </a:graphic>
          </wp:inline>
        </w:drawing>
      </w:r>
    </w:p>
    <w:p w14:paraId="191E5BAC" w14:textId="52BFB27D" w:rsidR="00685E6E" w:rsidRDefault="00685E6E" w:rsidP="0081625A">
      <w:pPr>
        <w:spacing w:line="480" w:lineRule="auto"/>
      </w:pPr>
    </w:p>
    <w:p w14:paraId="4DF610CC" w14:textId="73EF379A" w:rsidR="00D80493" w:rsidRDefault="00D80493" w:rsidP="0081625A">
      <w:pPr>
        <w:spacing w:line="480" w:lineRule="auto"/>
      </w:pPr>
    </w:p>
    <w:p w14:paraId="3B34F273" w14:textId="199B8848" w:rsidR="00D80493" w:rsidRDefault="00D80493" w:rsidP="0081625A">
      <w:pPr>
        <w:spacing w:line="480" w:lineRule="auto"/>
        <w:rPr>
          <w:sz w:val="20"/>
          <w:szCs w:val="20"/>
        </w:rPr>
      </w:pPr>
    </w:p>
    <w:sectPr w:rsidR="00D8049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9A"/>
    <w:rsid w:val="0004136D"/>
    <w:rsid w:val="0006428A"/>
    <w:rsid w:val="00085B46"/>
    <w:rsid w:val="00140C8C"/>
    <w:rsid w:val="001459CA"/>
    <w:rsid w:val="00207ED4"/>
    <w:rsid w:val="002902EA"/>
    <w:rsid w:val="002D5F04"/>
    <w:rsid w:val="002E712D"/>
    <w:rsid w:val="00314278"/>
    <w:rsid w:val="00322997"/>
    <w:rsid w:val="00326E01"/>
    <w:rsid w:val="003436C1"/>
    <w:rsid w:val="003C5349"/>
    <w:rsid w:val="003E5DA1"/>
    <w:rsid w:val="00490893"/>
    <w:rsid w:val="00520F4A"/>
    <w:rsid w:val="00551968"/>
    <w:rsid w:val="0058570C"/>
    <w:rsid w:val="00685E6E"/>
    <w:rsid w:val="00691E5C"/>
    <w:rsid w:val="0074125A"/>
    <w:rsid w:val="007575E4"/>
    <w:rsid w:val="007E0DA5"/>
    <w:rsid w:val="0081625A"/>
    <w:rsid w:val="008D615C"/>
    <w:rsid w:val="00A86F7A"/>
    <w:rsid w:val="00AF07C0"/>
    <w:rsid w:val="00B35FBB"/>
    <w:rsid w:val="00C5225F"/>
    <w:rsid w:val="00CD5A25"/>
    <w:rsid w:val="00D05145"/>
    <w:rsid w:val="00D450B4"/>
    <w:rsid w:val="00D5279F"/>
    <w:rsid w:val="00D80493"/>
    <w:rsid w:val="00D91154"/>
    <w:rsid w:val="00D94F39"/>
    <w:rsid w:val="00E42F5E"/>
    <w:rsid w:val="00EC7F4E"/>
    <w:rsid w:val="00F1159E"/>
    <w:rsid w:val="00F3619A"/>
    <w:rsid w:val="00F442E6"/>
    <w:rsid w:val="00F50437"/>
    <w:rsid w:val="00F86400"/>
    <w:rsid w:val="00F92402"/>
    <w:rsid w:val="00FF4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4187D"/>
  <w15:docId w15:val="{173EF34E-6506-434D-A4C0-AEAD6D1A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B4"/>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hyperlink" Target="https://bmcmedresmethodol.biomedcentr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8" ma:contentTypeDescription="Create a new document." ma:contentTypeScope="" ma:versionID="5d4460fd3499af40a8ea351b3ec41a75">
  <xsd:schema xmlns:xsd="http://www.w3.org/2001/XMLSchema" xmlns:xs="http://www.w3.org/2001/XMLSchema" xmlns:p="http://schemas.microsoft.com/office/2006/metadata/properties" xmlns:ns3="6ce03418-4b85-46e6-9705-46dd5ee7fda4" targetNamespace="http://schemas.microsoft.com/office/2006/metadata/properties" ma:root="true" ma:fieldsID="c897a3eebeb57a6cc4c7766c77dee18c"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8E9027-C4B0-4898-A620-F215B69CD7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0322EC-D786-4782-9AA9-97BCB697425A}">
  <ds:schemaRefs>
    <ds:schemaRef ds:uri="http://schemas.microsoft.com/sharepoint/v3/contenttype/forms"/>
  </ds:schemaRefs>
</ds:datastoreItem>
</file>

<file path=customXml/itemProps3.xml><?xml version="1.0" encoding="utf-8"?>
<ds:datastoreItem xmlns:ds="http://schemas.openxmlformats.org/officeDocument/2006/customXml" ds:itemID="{F21BEC20-71EC-4B39-97CA-713A47AD9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9</Pages>
  <Words>2039</Words>
  <Characters>11623</Characters>
  <Application>Microsoft Office Word</Application>
  <DocSecurity>0</DocSecurity>
  <Lines>96</Lines>
  <Paragraphs>27</Paragraphs>
  <ScaleCrop>false</ScaleCrop>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Michelle Hill (1708278)</cp:lastModifiedBy>
  <cp:revision>3</cp:revision>
  <dcterms:created xsi:type="dcterms:W3CDTF">2020-11-19T11:05:00Z</dcterms:created>
  <dcterms:modified xsi:type="dcterms:W3CDTF">2020-11-19T19:53:00Z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