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ADF53" w14:textId="318EDD7C" w:rsidR="00211D5E" w:rsidRDefault="00211D5E" w:rsidP="00320E93">
      <w:pPr>
        <w:jc w:val="center"/>
        <w:rPr>
          <w:rFonts w:ascii="Arial" w:hAnsi="Arial" w:cs="Arial"/>
          <w:b/>
          <w:bCs/>
          <w:sz w:val="22"/>
          <w:szCs w:val="22"/>
        </w:rPr>
      </w:pPr>
      <w:r>
        <w:rPr>
          <w:noProof/>
        </w:rPr>
        <w:drawing>
          <wp:inline distT="0" distB="0" distL="0" distR="0" wp14:anchorId="50D3B2F1" wp14:editId="648499AC">
            <wp:extent cx="3390900" cy="1352550"/>
            <wp:effectExtent l="0" t="0" r="0" b="0"/>
            <wp:docPr id="1"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Wales Trinity Saint David ..."/>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0900" cy="1352550"/>
                    </a:xfrm>
                    <a:prstGeom prst="rect">
                      <a:avLst/>
                    </a:prstGeom>
                    <a:noFill/>
                    <a:ln>
                      <a:noFill/>
                    </a:ln>
                  </pic:spPr>
                </pic:pic>
              </a:graphicData>
            </a:graphic>
          </wp:inline>
        </w:drawing>
      </w:r>
    </w:p>
    <w:p w14:paraId="12283988" w14:textId="77777777" w:rsidR="00211D5E" w:rsidRPr="00211D5E" w:rsidRDefault="00211D5E" w:rsidP="00320E93">
      <w:pPr>
        <w:jc w:val="center"/>
        <w:rPr>
          <w:rFonts w:ascii="Arial" w:hAnsi="Arial" w:cs="Arial"/>
          <w:b/>
          <w:bCs/>
          <w:sz w:val="32"/>
          <w:szCs w:val="32"/>
        </w:rPr>
      </w:pPr>
    </w:p>
    <w:p w14:paraId="1ABD1D16" w14:textId="2A262DC8" w:rsidR="00211D5E" w:rsidRPr="00211D5E" w:rsidRDefault="00211D5E" w:rsidP="00211D5E">
      <w:pPr>
        <w:jc w:val="center"/>
        <w:rPr>
          <w:rFonts w:ascii="Arial" w:hAnsi="Arial" w:cs="Arial"/>
          <w:b/>
          <w:bCs/>
          <w:sz w:val="32"/>
          <w:szCs w:val="32"/>
        </w:rPr>
      </w:pPr>
      <w:r w:rsidRPr="00211D5E">
        <w:rPr>
          <w:rFonts w:ascii="Arial" w:hAnsi="Arial" w:cs="Arial"/>
          <w:b/>
          <w:bCs/>
          <w:sz w:val="32"/>
          <w:szCs w:val="32"/>
        </w:rPr>
        <w:t xml:space="preserve">Student name: Priyanka </w:t>
      </w:r>
      <w:proofErr w:type="spellStart"/>
      <w:r w:rsidRPr="00211D5E">
        <w:rPr>
          <w:rFonts w:ascii="Arial" w:hAnsi="Arial" w:cs="Arial"/>
          <w:b/>
          <w:bCs/>
          <w:sz w:val="32"/>
          <w:szCs w:val="32"/>
        </w:rPr>
        <w:t>kakadiya</w:t>
      </w:r>
      <w:proofErr w:type="spellEnd"/>
      <w:r w:rsidRPr="00211D5E">
        <w:rPr>
          <w:rFonts w:ascii="Arial" w:hAnsi="Arial" w:cs="Arial"/>
          <w:b/>
          <w:bCs/>
          <w:sz w:val="32"/>
          <w:szCs w:val="32"/>
        </w:rPr>
        <w:t xml:space="preserve"> (2527512)</w:t>
      </w:r>
    </w:p>
    <w:p w14:paraId="547CAD68" w14:textId="3D890851" w:rsidR="00211D5E" w:rsidRPr="00211D5E" w:rsidRDefault="00211D5E" w:rsidP="00211D5E">
      <w:pPr>
        <w:jc w:val="center"/>
        <w:rPr>
          <w:rFonts w:ascii="Arial" w:hAnsi="Arial" w:cs="Arial"/>
          <w:b/>
          <w:bCs/>
          <w:sz w:val="32"/>
          <w:szCs w:val="32"/>
        </w:rPr>
      </w:pPr>
      <w:r w:rsidRPr="00211D5E">
        <w:rPr>
          <w:rFonts w:ascii="Arial" w:hAnsi="Arial" w:cs="Arial"/>
          <w:b/>
          <w:bCs/>
          <w:sz w:val="32"/>
          <w:szCs w:val="32"/>
        </w:rPr>
        <w:t xml:space="preserve">Assignment </w:t>
      </w:r>
      <w:r w:rsidRPr="00211D5E">
        <w:rPr>
          <w:rFonts w:ascii="Arial" w:hAnsi="Arial" w:cs="Arial"/>
          <w:b/>
          <w:bCs/>
          <w:sz w:val="32"/>
          <w:szCs w:val="32"/>
        </w:rPr>
        <w:t>title: Case</w:t>
      </w:r>
      <w:r w:rsidRPr="00211D5E">
        <w:rPr>
          <w:rFonts w:ascii="Arial" w:hAnsi="Arial" w:cs="Arial"/>
          <w:b/>
          <w:bCs/>
          <w:sz w:val="32"/>
          <w:szCs w:val="32"/>
        </w:rPr>
        <w:t xml:space="preserve"> study analysis report</w:t>
      </w:r>
    </w:p>
    <w:p w14:paraId="3BB24EAB" w14:textId="77777777" w:rsidR="00211D5E" w:rsidRPr="00211D5E" w:rsidRDefault="00211D5E" w:rsidP="00211D5E">
      <w:pPr>
        <w:jc w:val="center"/>
        <w:rPr>
          <w:rFonts w:ascii="Arial" w:hAnsi="Arial" w:cs="Arial"/>
          <w:b/>
          <w:bCs/>
          <w:sz w:val="32"/>
          <w:szCs w:val="32"/>
        </w:rPr>
      </w:pPr>
      <w:r w:rsidRPr="00211D5E">
        <w:rPr>
          <w:rFonts w:ascii="Arial" w:hAnsi="Arial" w:cs="Arial"/>
          <w:b/>
          <w:bCs/>
          <w:sz w:val="32"/>
          <w:szCs w:val="32"/>
        </w:rPr>
        <w:t xml:space="preserve">Moodle: Health care system organization and leadership    </w:t>
      </w:r>
    </w:p>
    <w:p w14:paraId="4E1563BE" w14:textId="4D10CDF6" w:rsidR="00211D5E" w:rsidRPr="00211D5E" w:rsidRDefault="00211D5E" w:rsidP="00211D5E">
      <w:pPr>
        <w:jc w:val="center"/>
        <w:rPr>
          <w:rFonts w:ascii="Arial" w:hAnsi="Arial" w:cs="Arial"/>
          <w:b/>
          <w:bCs/>
          <w:sz w:val="32"/>
          <w:szCs w:val="32"/>
        </w:rPr>
      </w:pPr>
      <w:r w:rsidRPr="00211D5E">
        <w:rPr>
          <w:rFonts w:ascii="Arial" w:hAnsi="Arial" w:cs="Arial"/>
          <w:b/>
          <w:bCs/>
          <w:sz w:val="32"/>
          <w:szCs w:val="32"/>
        </w:rPr>
        <w:t>Moodle code:</w:t>
      </w:r>
      <w:r w:rsidRPr="00211D5E">
        <w:rPr>
          <w:rFonts w:ascii="Arial" w:hAnsi="Arial" w:cs="Arial"/>
          <w:b/>
          <w:bCs/>
          <w:sz w:val="32"/>
          <w:szCs w:val="32"/>
        </w:rPr>
        <w:t xml:space="preserve"> </w:t>
      </w:r>
      <w:r w:rsidRPr="00211D5E">
        <w:rPr>
          <w:rFonts w:ascii="Arial" w:hAnsi="Arial" w:cs="Arial"/>
          <w:b/>
          <w:bCs/>
          <w:sz w:val="32"/>
          <w:szCs w:val="32"/>
        </w:rPr>
        <w:t>LCHS7002</w:t>
      </w:r>
    </w:p>
    <w:p w14:paraId="25A05E9F" w14:textId="4A4C3DC3" w:rsidR="00211D5E" w:rsidRPr="00211D5E" w:rsidRDefault="00211D5E" w:rsidP="00211D5E">
      <w:pPr>
        <w:jc w:val="center"/>
        <w:rPr>
          <w:rFonts w:ascii="Arial" w:hAnsi="Arial" w:cs="Arial"/>
          <w:b/>
          <w:bCs/>
          <w:sz w:val="32"/>
          <w:szCs w:val="32"/>
        </w:rPr>
      </w:pPr>
      <w:r w:rsidRPr="00211D5E">
        <w:rPr>
          <w:rFonts w:ascii="Arial" w:hAnsi="Arial" w:cs="Arial"/>
          <w:b/>
          <w:bCs/>
          <w:sz w:val="32"/>
          <w:szCs w:val="32"/>
        </w:rPr>
        <w:t>Lecturer</w:t>
      </w:r>
      <w:r w:rsidRPr="00211D5E">
        <w:rPr>
          <w:rFonts w:ascii="Arial" w:hAnsi="Arial" w:cs="Arial"/>
          <w:b/>
          <w:bCs/>
          <w:sz w:val="32"/>
          <w:szCs w:val="32"/>
        </w:rPr>
        <w:t>:</w:t>
      </w:r>
      <w:r w:rsidRPr="00211D5E">
        <w:rPr>
          <w:rFonts w:ascii="Arial" w:hAnsi="Arial" w:cs="Arial"/>
          <w:b/>
          <w:bCs/>
          <w:sz w:val="32"/>
          <w:szCs w:val="32"/>
        </w:rPr>
        <w:t xml:space="preserve"> </w:t>
      </w:r>
      <w:r w:rsidRPr="00211D5E">
        <w:rPr>
          <w:rFonts w:ascii="Arial" w:hAnsi="Arial" w:cs="Arial"/>
          <w:b/>
          <w:bCs/>
          <w:sz w:val="32"/>
          <w:szCs w:val="32"/>
        </w:rPr>
        <w:t>Fahad Khan</w:t>
      </w:r>
    </w:p>
    <w:p w14:paraId="28D1579C" w14:textId="77777777" w:rsidR="00211D5E" w:rsidRPr="00211D5E" w:rsidRDefault="00211D5E" w:rsidP="00320E93">
      <w:pPr>
        <w:jc w:val="center"/>
        <w:rPr>
          <w:rFonts w:ascii="Arial" w:hAnsi="Arial" w:cs="Arial"/>
          <w:b/>
          <w:bCs/>
          <w:sz w:val="32"/>
          <w:szCs w:val="32"/>
        </w:rPr>
      </w:pPr>
    </w:p>
    <w:p w14:paraId="58E8867F" w14:textId="77777777" w:rsidR="00211D5E" w:rsidRDefault="00211D5E" w:rsidP="00320E93">
      <w:pPr>
        <w:jc w:val="center"/>
        <w:rPr>
          <w:rFonts w:ascii="Arial" w:hAnsi="Arial" w:cs="Arial"/>
          <w:b/>
          <w:bCs/>
          <w:sz w:val="22"/>
          <w:szCs w:val="22"/>
        </w:rPr>
      </w:pPr>
    </w:p>
    <w:p w14:paraId="2572A993" w14:textId="77777777" w:rsidR="00211D5E" w:rsidRDefault="00211D5E" w:rsidP="00320E93">
      <w:pPr>
        <w:jc w:val="center"/>
        <w:rPr>
          <w:rFonts w:ascii="Arial" w:hAnsi="Arial" w:cs="Arial"/>
          <w:b/>
          <w:bCs/>
          <w:sz w:val="22"/>
          <w:szCs w:val="22"/>
        </w:rPr>
      </w:pPr>
    </w:p>
    <w:p w14:paraId="452DB5A6" w14:textId="77777777" w:rsidR="00211D5E" w:rsidRDefault="00211D5E" w:rsidP="00320E93">
      <w:pPr>
        <w:jc w:val="center"/>
        <w:rPr>
          <w:rFonts w:ascii="Arial" w:hAnsi="Arial" w:cs="Arial"/>
          <w:b/>
          <w:bCs/>
          <w:sz w:val="22"/>
          <w:szCs w:val="22"/>
        </w:rPr>
      </w:pPr>
    </w:p>
    <w:p w14:paraId="6929B2B4" w14:textId="77777777" w:rsidR="00211D5E" w:rsidRDefault="00211D5E" w:rsidP="00320E93">
      <w:pPr>
        <w:jc w:val="center"/>
        <w:rPr>
          <w:rFonts w:ascii="Arial" w:hAnsi="Arial" w:cs="Arial"/>
          <w:b/>
          <w:bCs/>
          <w:sz w:val="32"/>
          <w:szCs w:val="32"/>
        </w:rPr>
      </w:pPr>
    </w:p>
    <w:p w14:paraId="0E2222C7" w14:textId="77777777" w:rsidR="00211D5E" w:rsidRDefault="00211D5E">
      <w:pPr>
        <w:rPr>
          <w:rFonts w:ascii="Arial" w:hAnsi="Arial" w:cs="Arial"/>
          <w:b/>
          <w:bCs/>
          <w:sz w:val="32"/>
          <w:szCs w:val="32"/>
        </w:rPr>
      </w:pPr>
      <w:r>
        <w:rPr>
          <w:rFonts w:ascii="Arial" w:hAnsi="Arial" w:cs="Arial"/>
          <w:b/>
          <w:bCs/>
          <w:sz w:val="32"/>
          <w:szCs w:val="32"/>
        </w:rPr>
        <w:br w:type="page"/>
      </w:r>
    </w:p>
    <w:p w14:paraId="715E6FF6" w14:textId="77777777" w:rsidR="00211D5E" w:rsidRDefault="00211D5E" w:rsidP="00320E93">
      <w:pPr>
        <w:jc w:val="center"/>
        <w:rPr>
          <w:rFonts w:ascii="Arial" w:hAnsi="Arial" w:cs="Arial"/>
          <w:b/>
          <w:bCs/>
          <w:sz w:val="32"/>
          <w:szCs w:val="32"/>
        </w:rPr>
      </w:pPr>
    </w:p>
    <w:p w14:paraId="6F59E075" w14:textId="77777777" w:rsidR="00211D5E" w:rsidRDefault="00211D5E">
      <w:pPr>
        <w:rPr>
          <w:rFonts w:ascii="Arial" w:hAnsi="Arial" w:cs="Arial"/>
          <w:b/>
          <w:bCs/>
          <w:sz w:val="32"/>
          <w:szCs w:val="32"/>
        </w:rPr>
      </w:pPr>
      <w:r>
        <w:rPr>
          <w:rFonts w:ascii="Arial" w:hAnsi="Arial" w:cs="Arial"/>
          <w:b/>
          <w:bCs/>
          <w:sz w:val="32"/>
          <w:szCs w:val="32"/>
        </w:rPr>
        <w:br w:type="page"/>
      </w:r>
    </w:p>
    <w:p w14:paraId="3E4EA792" w14:textId="4EFA31EB" w:rsidR="00320E93" w:rsidRPr="00211D5E" w:rsidRDefault="00B21002" w:rsidP="00320E93">
      <w:pPr>
        <w:jc w:val="center"/>
        <w:rPr>
          <w:rFonts w:ascii="Arial" w:hAnsi="Arial" w:cs="Arial"/>
          <w:b/>
          <w:bCs/>
          <w:sz w:val="32"/>
          <w:szCs w:val="32"/>
        </w:rPr>
      </w:pPr>
      <w:r w:rsidRPr="00211D5E">
        <w:rPr>
          <w:rFonts w:ascii="Arial" w:hAnsi="Arial" w:cs="Arial"/>
          <w:b/>
          <w:bCs/>
          <w:sz w:val="32"/>
          <w:szCs w:val="32"/>
        </w:rPr>
        <w:lastRenderedPageBreak/>
        <w:t xml:space="preserve">The Lewis Blackman Patient Safety Case: Leadership and Governance Failures </w:t>
      </w:r>
      <w:proofErr w:type="gramStart"/>
      <w:r w:rsidRPr="00211D5E">
        <w:rPr>
          <w:rFonts w:ascii="Arial" w:hAnsi="Arial" w:cs="Arial"/>
          <w:b/>
          <w:bCs/>
          <w:sz w:val="32"/>
          <w:szCs w:val="32"/>
        </w:rPr>
        <w:t>In</w:t>
      </w:r>
      <w:proofErr w:type="gramEnd"/>
      <w:r w:rsidRPr="00211D5E">
        <w:rPr>
          <w:rFonts w:ascii="Arial" w:hAnsi="Arial" w:cs="Arial"/>
          <w:b/>
          <w:bCs/>
          <w:sz w:val="32"/>
          <w:szCs w:val="32"/>
        </w:rPr>
        <w:t xml:space="preserve"> Healthcare Systems</w:t>
      </w:r>
    </w:p>
    <w:p w14:paraId="15496CC7" w14:textId="77777777" w:rsidR="00211D5E" w:rsidRDefault="00211D5E" w:rsidP="00320E93">
      <w:pPr>
        <w:jc w:val="center"/>
        <w:rPr>
          <w:rFonts w:ascii="Arial" w:hAnsi="Arial" w:cs="Arial"/>
          <w:b/>
          <w:bCs/>
          <w:sz w:val="22"/>
          <w:szCs w:val="22"/>
        </w:rPr>
      </w:pPr>
    </w:p>
    <w:p w14:paraId="4BC49152" w14:textId="77777777" w:rsidR="00211D5E" w:rsidRDefault="00211D5E" w:rsidP="00320E93">
      <w:pPr>
        <w:jc w:val="center"/>
        <w:rPr>
          <w:rFonts w:ascii="Arial" w:hAnsi="Arial" w:cs="Arial"/>
          <w:b/>
          <w:bCs/>
          <w:sz w:val="22"/>
          <w:szCs w:val="22"/>
        </w:rPr>
      </w:pPr>
    </w:p>
    <w:p w14:paraId="79C48331" w14:textId="77777777" w:rsidR="00211D5E" w:rsidRDefault="00211D5E" w:rsidP="00320E93">
      <w:pPr>
        <w:jc w:val="center"/>
        <w:rPr>
          <w:rFonts w:ascii="Arial" w:hAnsi="Arial" w:cs="Arial"/>
          <w:b/>
          <w:bCs/>
          <w:sz w:val="22"/>
          <w:szCs w:val="22"/>
        </w:rPr>
      </w:pPr>
    </w:p>
    <w:p w14:paraId="62A29532" w14:textId="77777777" w:rsidR="00211D5E" w:rsidRDefault="00211D5E" w:rsidP="00320E93">
      <w:pPr>
        <w:jc w:val="center"/>
        <w:rPr>
          <w:rFonts w:ascii="Arial" w:hAnsi="Arial" w:cs="Arial"/>
          <w:b/>
          <w:bCs/>
          <w:sz w:val="22"/>
          <w:szCs w:val="22"/>
        </w:rPr>
      </w:pPr>
    </w:p>
    <w:p w14:paraId="1E50BFB3" w14:textId="77777777" w:rsidR="00211D5E" w:rsidRDefault="00211D5E" w:rsidP="00320E93">
      <w:pPr>
        <w:jc w:val="center"/>
        <w:rPr>
          <w:rFonts w:ascii="Arial" w:hAnsi="Arial" w:cs="Arial"/>
          <w:b/>
          <w:bCs/>
          <w:sz w:val="22"/>
          <w:szCs w:val="22"/>
        </w:rPr>
      </w:pPr>
    </w:p>
    <w:p w14:paraId="450A6608" w14:textId="77777777" w:rsidR="00211D5E" w:rsidRDefault="00211D5E" w:rsidP="00320E93">
      <w:pPr>
        <w:jc w:val="center"/>
        <w:rPr>
          <w:rFonts w:ascii="Arial" w:hAnsi="Arial" w:cs="Arial"/>
          <w:b/>
          <w:bCs/>
          <w:sz w:val="22"/>
          <w:szCs w:val="22"/>
        </w:rPr>
      </w:pPr>
    </w:p>
    <w:p w14:paraId="00926DED" w14:textId="77777777" w:rsidR="00211D5E" w:rsidRDefault="00211D5E" w:rsidP="00320E93">
      <w:pPr>
        <w:jc w:val="center"/>
        <w:rPr>
          <w:rFonts w:ascii="Arial" w:hAnsi="Arial" w:cs="Arial"/>
          <w:b/>
          <w:bCs/>
          <w:sz w:val="22"/>
          <w:szCs w:val="22"/>
        </w:rPr>
      </w:pPr>
    </w:p>
    <w:p w14:paraId="0452A84E" w14:textId="77777777" w:rsidR="00211D5E" w:rsidRDefault="00211D5E" w:rsidP="00320E93">
      <w:pPr>
        <w:jc w:val="center"/>
        <w:rPr>
          <w:rFonts w:ascii="Arial" w:hAnsi="Arial" w:cs="Arial"/>
          <w:b/>
          <w:bCs/>
          <w:sz w:val="22"/>
          <w:szCs w:val="22"/>
        </w:rPr>
      </w:pPr>
    </w:p>
    <w:p w14:paraId="529B43D6" w14:textId="77777777" w:rsidR="00211D5E" w:rsidRDefault="00211D5E" w:rsidP="00320E93">
      <w:pPr>
        <w:jc w:val="center"/>
        <w:rPr>
          <w:rFonts w:ascii="Arial" w:hAnsi="Arial" w:cs="Arial"/>
          <w:b/>
          <w:bCs/>
          <w:sz w:val="22"/>
          <w:szCs w:val="22"/>
        </w:rPr>
      </w:pPr>
    </w:p>
    <w:p w14:paraId="1F3F1998" w14:textId="77777777" w:rsidR="00211D5E" w:rsidRDefault="00211D5E" w:rsidP="00320E93">
      <w:pPr>
        <w:jc w:val="center"/>
        <w:rPr>
          <w:rFonts w:ascii="Arial" w:hAnsi="Arial" w:cs="Arial"/>
          <w:b/>
          <w:bCs/>
          <w:sz w:val="22"/>
          <w:szCs w:val="22"/>
        </w:rPr>
      </w:pPr>
    </w:p>
    <w:p w14:paraId="04EEFA3F" w14:textId="77777777" w:rsidR="00211D5E" w:rsidRDefault="00211D5E" w:rsidP="00320E93">
      <w:pPr>
        <w:jc w:val="center"/>
        <w:rPr>
          <w:rFonts w:ascii="Arial" w:hAnsi="Arial" w:cs="Arial"/>
          <w:b/>
          <w:bCs/>
          <w:sz w:val="22"/>
          <w:szCs w:val="22"/>
        </w:rPr>
      </w:pPr>
    </w:p>
    <w:p w14:paraId="10FF9075" w14:textId="77777777" w:rsidR="00211D5E" w:rsidRDefault="00211D5E" w:rsidP="00320E93">
      <w:pPr>
        <w:jc w:val="center"/>
        <w:rPr>
          <w:rFonts w:ascii="Arial" w:hAnsi="Arial" w:cs="Arial"/>
          <w:b/>
          <w:bCs/>
          <w:sz w:val="22"/>
          <w:szCs w:val="22"/>
        </w:rPr>
      </w:pPr>
    </w:p>
    <w:p w14:paraId="6AF00AEF" w14:textId="77777777" w:rsidR="00211D5E" w:rsidRDefault="00211D5E" w:rsidP="00320E93">
      <w:pPr>
        <w:jc w:val="center"/>
        <w:rPr>
          <w:rFonts w:ascii="Arial" w:hAnsi="Arial" w:cs="Arial"/>
          <w:b/>
          <w:bCs/>
          <w:sz w:val="22"/>
          <w:szCs w:val="22"/>
        </w:rPr>
      </w:pPr>
    </w:p>
    <w:p w14:paraId="5E92A653" w14:textId="77777777" w:rsidR="00211D5E" w:rsidRDefault="00211D5E" w:rsidP="00320E93">
      <w:pPr>
        <w:jc w:val="center"/>
        <w:rPr>
          <w:rFonts w:ascii="Arial" w:hAnsi="Arial" w:cs="Arial"/>
          <w:b/>
          <w:bCs/>
          <w:sz w:val="22"/>
          <w:szCs w:val="22"/>
        </w:rPr>
      </w:pPr>
    </w:p>
    <w:p w14:paraId="1415DB02" w14:textId="77777777" w:rsidR="00211D5E" w:rsidRDefault="00211D5E" w:rsidP="00320E93">
      <w:pPr>
        <w:jc w:val="center"/>
        <w:rPr>
          <w:rFonts w:ascii="Arial" w:hAnsi="Arial" w:cs="Arial"/>
          <w:b/>
          <w:bCs/>
          <w:sz w:val="22"/>
          <w:szCs w:val="22"/>
        </w:rPr>
      </w:pPr>
    </w:p>
    <w:p w14:paraId="2BD0569B" w14:textId="77777777" w:rsidR="00211D5E" w:rsidRDefault="00211D5E" w:rsidP="00320E93">
      <w:pPr>
        <w:jc w:val="center"/>
        <w:rPr>
          <w:rFonts w:ascii="Arial" w:hAnsi="Arial" w:cs="Arial"/>
          <w:b/>
          <w:bCs/>
          <w:sz w:val="22"/>
          <w:szCs w:val="22"/>
        </w:rPr>
      </w:pPr>
    </w:p>
    <w:p w14:paraId="2DF01EC0" w14:textId="77777777" w:rsidR="00211D5E" w:rsidRDefault="00211D5E" w:rsidP="00320E93">
      <w:pPr>
        <w:jc w:val="center"/>
        <w:rPr>
          <w:rFonts w:ascii="Arial" w:hAnsi="Arial" w:cs="Arial"/>
          <w:b/>
          <w:bCs/>
          <w:sz w:val="22"/>
          <w:szCs w:val="22"/>
        </w:rPr>
      </w:pPr>
    </w:p>
    <w:p w14:paraId="601108F5" w14:textId="77777777" w:rsidR="00211D5E" w:rsidRDefault="00211D5E" w:rsidP="00320E93">
      <w:pPr>
        <w:jc w:val="center"/>
        <w:rPr>
          <w:rFonts w:ascii="Arial" w:hAnsi="Arial" w:cs="Arial"/>
          <w:b/>
          <w:bCs/>
          <w:sz w:val="22"/>
          <w:szCs w:val="22"/>
        </w:rPr>
      </w:pPr>
    </w:p>
    <w:p w14:paraId="52B5A708" w14:textId="77777777" w:rsidR="00211D5E" w:rsidRDefault="00211D5E" w:rsidP="00320E93">
      <w:pPr>
        <w:jc w:val="center"/>
        <w:rPr>
          <w:rFonts w:ascii="Arial" w:hAnsi="Arial" w:cs="Arial"/>
          <w:b/>
          <w:bCs/>
          <w:sz w:val="22"/>
          <w:szCs w:val="22"/>
        </w:rPr>
      </w:pPr>
    </w:p>
    <w:p w14:paraId="2DC58BBB" w14:textId="77777777" w:rsidR="00211D5E" w:rsidRDefault="00211D5E" w:rsidP="00320E93">
      <w:pPr>
        <w:jc w:val="center"/>
        <w:rPr>
          <w:rFonts w:ascii="Arial" w:hAnsi="Arial" w:cs="Arial"/>
          <w:b/>
          <w:bCs/>
          <w:sz w:val="22"/>
          <w:szCs w:val="22"/>
        </w:rPr>
      </w:pPr>
    </w:p>
    <w:p w14:paraId="01DA5D07" w14:textId="77777777" w:rsidR="00211D5E" w:rsidRDefault="00211D5E" w:rsidP="00320E93">
      <w:pPr>
        <w:jc w:val="center"/>
        <w:rPr>
          <w:rFonts w:ascii="Arial" w:hAnsi="Arial" w:cs="Arial"/>
          <w:b/>
          <w:bCs/>
          <w:sz w:val="22"/>
          <w:szCs w:val="22"/>
        </w:rPr>
      </w:pPr>
    </w:p>
    <w:p w14:paraId="05D6AB72" w14:textId="77777777" w:rsidR="00211D5E" w:rsidRDefault="00211D5E" w:rsidP="00320E93">
      <w:pPr>
        <w:jc w:val="center"/>
        <w:rPr>
          <w:rFonts w:ascii="Arial" w:hAnsi="Arial" w:cs="Arial"/>
          <w:b/>
          <w:bCs/>
          <w:sz w:val="22"/>
          <w:szCs w:val="22"/>
        </w:rPr>
      </w:pPr>
    </w:p>
    <w:p w14:paraId="076D8826" w14:textId="77777777" w:rsidR="00211D5E" w:rsidRDefault="00211D5E" w:rsidP="00320E93">
      <w:pPr>
        <w:jc w:val="center"/>
        <w:rPr>
          <w:rFonts w:ascii="Arial" w:hAnsi="Arial" w:cs="Arial"/>
          <w:b/>
          <w:bCs/>
          <w:sz w:val="22"/>
          <w:szCs w:val="22"/>
        </w:rPr>
      </w:pPr>
    </w:p>
    <w:p w14:paraId="5931520A" w14:textId="77777777" w:rsidR="00211D5E" w:rsidRDefault="00211D5E" w:rsidP="00320E93">
      <w:pPr>
        <w:jc w:val="center"/>
        <w:rPr>
          <w:rFonts w:ascii="Arial" w:hAnsi="Arial" w:cs="Arial"/>
          <w:b/>
          <w:bCs/>
          <w:sz w:val="22"/>
          <w:szCs w:val="22"/>
        </w:rPr>
      </w:pPr>
    </w:p>
    <w:p w14:paraId="3055C48D" w14:textId="77777777" w:rsidR="00211D5E" w:rsidRDefault="00211D5E" w:rsidP="00320E93">
      <w:pPr>
        <w:jc w:val="center"/>
        <w:rPr>
          <w:rFonts w:ascii="Arial" w:hAnsi="Arial" w:cs="Arial"/>
          <w:b/>
          <w:bCs/>
          <w:sz w:val="22"/>
          <w:szCs w:val="22"/>
        </w:rPr>
      </w:pPr>
    </w:p>
    <w:p w14:paraId="025B2E7F" w14:textId="77777777" w:rsidR="00211D5E" w:rsidRDefault="00211D5E" w:rsidP="00320E93">
      <w:pPr>
        <w:jc w:val="center"/>
        <w:rPr>
          <w:rFonts w:ascii="Arial" w:hAnsi="Arial" w:cs="Arial"/>
          <w:b/>
          <w:bCs/>
          <w:sz w:val="22"/>
          <w:szCs w:val="22"/>
        </w:rPr>
      </w:pPr>
    </w:p>
    <w:p w14:paraId="29CEF0A2" w14:textId="77777777" w:rsidR="00211D5E" w:rsidRDefault="00211D5E" w:rsidP="00320E93">
      <w:pPr>
        <w:jc w:val="center"/>
        <w:rPr>
          <w:rFonts w:ascii="Arial" w:hAnsi="Arial" w:cs="Arial"/>
          <w:b/>
          <w:bCs/>
          <w:sz w:val="22"/>
          <w:szCs w:val="22"/>
        </w:rPr>
      </w:pPr>
    </w:p>
    <w:p w14:paraId="1FC1A504" w14:textId="77777777" w:rsidR="00211D5E" w:rsidRDefault="00211D5E" w:rsidP="00320E93">
      <w:pPr>
        <w:jc w:val="center"/>
        <w:rPr>
          <w:rFonts w:ascii="Arial" w:hAnsi="Arial" w:cs="Arial"/>
          <w:b/>
          <w:bCs/>
          <w:sz w:val="22"/>
          <w:szCs w:val="22"/>
        </w:rPr>
      </w:pPr>
    </w:p>
    <w:p w14:paraId="6D224E5A" w14:textId="77777777" w:rsidR="00211D5E" w:rsidRDefault="00211D5E" w:rsidP="00320E93">
      <w:pPr>
        <w:jc w:val="center"/>
        <w:rPr>
          <w:rFonts w:ascii="Arial" w:hAnsi="Arial" w:cs="Arial"/>
          <w:b/>
          <w:bCs/>
          <w:sz w:val="22"/>
          <w:szCs w:val="22"/>
        </w:rPr>
      </w:pPr>
    </w:p>
    <w:p w14:paraId="1626459D" w14:textId="77777777" w:rsidR="00211D5E" w:rsidRDefault="00211D5E" w:rsidP="00320E93">
      <w:pPr>
        <w:jc w:val="center"/>
        <w:rPr>
          <w:rFonts w:ascii="Arial" w:hAnsi="Arial" w:cs="Arial"/>
          <w:b/>
          <w:bCs/>
          <w:sz w:val="22"/>
          <w:szCs w:val="22"/>
        </w:rPr>
      </w:pPr>
    </w:p>
    <w:p w14:paraId="5991B693" w14:textId="77777777" w:rsidR="00211D5E" w:rsidRPr="00717064" w:rsidRDefault="00211D5E" w:rsidP="00320E93">
      <w:pPr>
        <w:jc w:val="center"/>
        <w:rPr>
          <w:rFonts w:ascii="Arial" w:hAnsi="Arial" w:cs="Arial"/>
          <w:b/>
          <w:bCs/>
          <w:sz w:val="22"/>
          <w:szCs w:val="22"/>
        </w:rPr>
      </w:pPr>
    </w:p>
    <w:p w14:paraId="3B29F937" w14:textId="439331E2" w:rsidR="00184825" w:rsidRPr="00717064" w:rsidRDefault="00B21002" w:rsidP="00184825">
      <w:pPr>
        <w:jc w:val="center"/>
        <w:rPr>
          <w:rFonts w:ascii="Arial" w:hAnsi="Arial" w:cs="Arial"/>
          <w:b/>
          <w:bCs/>
          <w:sz w:val="22"/>
          <w:szCs w:val="22"/>
        </w:rPr>
      </w:pPr>
      <w:r w:rsidRPr="00717064">
        <w:rPr>
          <w:rFonts w:ascii="Arial" w:hAnsi="Arial" w:cs="Arial"/>
          <w:b/>
          <w:bCs/>
          <w:sz w:val="22"/>
          <w:szCs w:val="22"/>
        </w:rPr>
        <w:t xml:space="preserve">The Lewis Blackman Patient Safety Case: Leadership </w:t>
      </w:r>
      <w:r>
        <w:rPr>
          <w:rFonts w:ascii="Arial" w:hAnsi="Arial" w:cs="Arial"/>
          <w:b/>
          <w:bCs/>
          <w:sz w:val="22"/>
          <w:szCs w:val="22"/>
        </w:rPr>
        <w:t>a</w:t>
      </w:r>
      <w:r w:rsidRPr="00717064">
        <w:rPr>
          <w:rFonts w:ascii="Arial" w:hAnsi="Arial" w:cs="Arial"/>
          <w:b/>
          <w:bCs/>
          <w:sz w:val="22"/>
          <w:szCs w:val="22"/>
        </w:rPr>
        <w:t>nd Governance Failures in Healthcare Systems</w:t>
      </w:r>
    </w:p>
    <w:p w14:paraId="54E428F2" w14:textId="28DCE0ED" w:rsidR="005F31B3" w:rsidRPr="00717064" w:rsidRDefault="005F31B3" w:rsidP="00696645">
      <w:pPr>
        <w:spacing w:after="0" w:line="360" w:lineRule="auto"/>
        <w:contextualSpacing/>
        <w:jc w:val="both"/>
        <w:rPr>
          <w:rFonts w:ascii="Arial" w:hAnsi="Arial" w:cs="Arial"/>
          <w:b/>
          <w:bCs/>
          <w:sz w:val="22"/>
          <w:szCs w:val="22"/>
        </w:rPr>
      </w:pPr>
      <w:r w:rsidRPr="00717064">
        <w:rPr>
          <w:rFonts w:ascii="Arial" w:hAnsi="Arial" w:cs="Arial"/>
          <w:b/>
          <w:bCs/>
          <w:sz w:val="22"/>
          <w:szCs w:val="22"/>
        </w:rPr>
        <w:t xml:space="preserve">1. Introduction </w:t>
      </w:r>
    </w:p>
    <w:p w14:paraId="3CADAA3C" w14:textId="0D0F2DAF" w:rsidR="00717064" w:rsidRPr="00717064" w:rsidRDefault="00717064" w:rsidP="00696645">
      <w:pPr>
        <w:spacing w:after="0" w:line="360" w:lineRule="auto"/>
        <w:contextualSpacing/>
        <w:jc w:val="both"/>
        <w:rPr>
          <w:rFonts w:ascii="Arial" w:hAnsi="Arial" w:cs="Arial"/>
          <w:sz w:val="22"/>
          <w:szCs w:val="22"/>
        </w:rPr>
      </w:pPr>
      <w:bookmarkStart w:id="0" w:name="_Hlk224284857"/>
      <w:r w:rsidRPr="00717064">
        <w:rPr>
          <w:rFonts w:ascii="Arial" w:hAnsi="Arial" w:cs="Arial"/>
          <w:sz w:val="22"/>
          <w:szCs w:val="22"/>
        </w:rPr>
        <w:t xml:space="preserve">The case of Lewis Blackman, a patient who died unintentionally due to structural defects in patient safety and leadership in a medical institution, proves it (Blackman &amp; Haskell, 2023). Miscommunication, lack of supervision, and accountability are also issues related to management and governance failures, which resulted in severe issues, such as patient harm (Blackman &amp; Haskell, 2023). The case study is directed at a critical evaluation of such leadership and governance failures, answering the question of how they could have been avoided, and providing a list of recommendations that should be improved in the future (Blackman &amp; Haskell, 2023). The healthcare leadership can be referred to as the process of influencing other individuals in doing what you wish them to do in order to achieve similar goals, in particular, the provision of quality care to patients and their protection (Hamdan et al., 2024). Leadership plays a crucial role in healthcare because it is directly related to safety and organisational culture (Restivo et al., 2022). All the leadership styles listed are important in the process of influencing healthcare practices, which are transformational, transactional, and situational (Tsapnidou et al., 2024). A transformational style of leadership, including one, could have promoted the employees focusing on patient safety in the first place and cooperation to overcome new threats (Labrague, 2024; Raoush, 2023). Centralization, when it comes to healthcare organizations, implies that the organization has the decision-making power at the top of the organization, yet decentralization holds the decision-making power throughout the organization (Blackman &amp; Haskell, 2023). Decentralized systems are capable of encouraging more responsive systems to the needs of patients; meanwhile, centralized systems decrease flexibility (Welch et al., 2025). The centralized leadership problem presented itself in the case of Blackman since the untimely decision-making process and bureaucracy contributed to the </w:t>
      </w:r>
      <w:r w:rsidR="00B21002" w:rsidRPr="00717064">
        <w:rPr>
          <w:rFonts w:ascii="Arial" w:hAnsi="Arial" w:cs="Arial"/>
          <w:sz w:val="22"/>
          <w:szCs w:val="22"/>
        </w:rPr>
        <w:t>unfavourable</w:t>
      </w:r>
      <w:r w:rsidRPr="00717064">
        <w:rPr>
          <w:rFonts w:ascii="Arial" w:hAnsi="Arial" w:cs="Arial"/>
          <w:sz w:val="22"/>
          <w:szCs w:val="22"/>
        </w:rPr>
        <w:t xml:space="preserve"> situation (Blackman &amp; Haskell, 2023). The theory of leadership is necessary to be learned and applied in the context of the crisis scenario with the aim of improving patient safety (Hamdan et al., 2024). Transformational leadership (which fosters innovation and adaptation to resolve systemic safety problems) would have been a more effective leadership style in this case (Tsapnidou et al., 2024). This report, begin by highlighting the systemic factors that caused the tragedy, explain the nature of leadership and leadership structure utilized in the incident, recount some of the key lessons learned by the incident, and provide their recommendations on how to improve healthcare leadership and governance (Blackman &amp; Haskell, 2023; Welch et al., 2025).</w:t>
      </w:r>
    </w:p>
    <w:p w14:paraId="6D688ADF" w14:textId="77777777" w:rsidR="00717064" w:rsidRPr="00717064" w:rsidRDefault="00717064" w:rsidP="00696645">
      <w:pPr>
        <w:spacing w:after="0" w:line="360" w:lineRule="auto"/>
        <w:contextualSpacing/>
        <w:jc w:val="both"/>
        <w:rPr>
          <w:rFonts w:ascii="Arial" w:hAnsi="Arial" w:cs="Arial"/>
          <w:b/>
          <w:bCs/>
          <w:sz w:val="22"/>
          <w:szCs w:val="22"/>
        </w:rPr>
      </w:pPr>
      <w:r w:rsidRPr="00717064">
        <w:rPr>
          <w:rFonts w:ascii="Arial" w:hAnsi="Arial" w:cs="Arial"/>
          <w:b/>
          <w:bCs/>
          <w:sz w:val="22"/>
          <w:szCs w:val="22"/>
        </w:rPr>
        <w:t>Main Body and Analysis</w:t>
      </w:r>
    </w:p>
    <w:p w14:paraId="5EA48D5D" w14:textId="77777777" w:rsidR="00717064" w:rsidRPr="00717064" w:rsidRDefault="00717064" w:rsidP="00696645">
      <w:pPr>
        <w:spacing w:after="0" w:line="360" w:lineRule="auto"/>
        <w:contextualSpacing/>
        <w:jc w:val="both"/>
        <w:rPr>
          <w:rFonts w:ascii="Arial" w:hAnsi="Arial" w:cs="Arial"/>
          <w:b/>
          <w:bCs/>
          <w:sz w:val="22"/>
          <w:szCs w:val="22"/>
        </w:rPr>
      </w:pPr>
      <w:r w:rsidRPr="00717064">
        <w:rPr>
          <w:rFonts w:ascii="Arial" w:hAnsi="Arial" w:cs="Arial"/>
          <w:b/>
          <w:bCs/>
          <w:sz w:val="22"/>
          <w:szCs w:val="22"/>
        </w:rPr>
        <w:t>a. Defining the Problem and Determining the System Context</w:t>
      </w:r>
    </w:p>
    <w:p w14:paraId="69D00877" w14:textId="77777777" w:rsidR="00717064" w:rsidRPr="00717064" w:rsidRDefault="00717064" w:rsidP="00696645">
      <w:pPr>
        <w:spacing w:after="0" w:line="360" w:lineRule="auto"/>
        <w:contextualSpacing/>
        <w:jc w:val="both"/>
        <w:rPr>
          <w:rFonts w:ascii="Arial" w:hAnsi="Arial" w:cs="Arial"/>
          <w:b/>
          <w:bCs/>
          <w:sz w:val="22"/>
          <w:szCs w:val="22"/>
        </w:rPr>
      </w:pPr>
      <w:r w:rsidRPr="00717064">
        <w:rPr>
          <w:rFonts w:ascii="Arial" w:hAnsi="Arial" w:cs="Arial"/>
          <w:b/>
          <w:bCs/>
          <w:sz w:val="22"/>
          <w:szCs w:val="22"/>
        </w:rPr>
        <w:lastRenderedPageBreak/>
        <w:t>Problem Description</w:t>
      </w:r>
    </w:p>
    <w:p w14:paraId="6CE1BBB5" w14:textId="77777777" w:rsidR="00717064" w:rsidRPr="00717064" w:rsidRDefault="00717064" w:rsidP="00696645">
      <w:pPr>
        <w:spacing w:after="0" w:line="360" w:lineRule="auto"/>
        <w:contextualSpacing/>
        <w:jc w:val="both"/>
        <w:rPr>
          <w:rFonts w:ascii="Arial" w:hAnsi="Arial" w:cs="Arial"/>
          <w:sz w:val="22"/>
          <w:szCs w:val="22"/>
        </w:rPr>
      </w:pPr>
      <w:r w:rsidRPr="00717064">
        <w:rPr>
          <w:rFonts w:ascii="Arial" w:hAnsi="Arial" w:cs="Arial"/>
          <w:sz w:val="22"/>
          <w:szCs w:val="22"/>
        </w:rPr>
        <w:t>Lewis Blackman case illustrate the tragic consequences of leadership and governance failures in healthcare systems. Blackman was one of the examples of a tragic patient, a 15-year-old who died due to a mistake in the medical profession that resulted in long-term problems, such as poor communication, insufficient supervision, and insufficient patient safety measures (Blackman &amp; Haskell, 2023). They were not an isolated incident but a series of mistakes and omissions on multiple tiers of the healthcare institution (Blackman &amp; Haskell, 2023). The major problem with this was that it did not have proactive leadership that would have identified the dangers of patient safety and prevented them before they escalated (Ystaas et al., 2023). The medical workers and nurses who encountered the case of Blackman did not respond correctly to the first signs of alarm, and leadership did not possess the adequate red flags monitoring and response to the proper care of the sufficient red flags (Subbe et al., 2023). The death of Blackman emphasizes the reality that being a healthcare leader does not only mean controlling regular operations but also fostering the spirit of alertness, accountability, and focus on patient safety on a broader scale (Tameze &amp; Shelton, 2026).</w:t>
      </w:r>
    </w:p>
    <w:p w14:paraId="2AEAFFF9" w14:textId="77777777" w:rsidR="00717064" w:rsidRPr="00717064" w:rsidRDefault="00717064" w:rsidP="00696645">
      <w:pPr>
        <w:spacing w:after="0" w:line="360" w:lineRule="auto"/>
        <w:contextualSpacing/>
        <w:jc w:val="both"/>
        <w:rPr>
          <w:rFonts w:ascii="Arial" w:hAnsi="Arial" w:cs="Arial"/>
          <w:sz w:val="22"/>
          <w:szCs w:val="22"/>
        </w:rPr>
      </w:pPr>
      <w:r w:rsidRPr="00717064">
        <w:rPr>
          <w:rFonts w:ascii="Arial" w:hAnsi="Arial" w:cs="Arial"/>
          <w:sz w:val="22"/>
          <w:szCs w:val="22"/>
        </w:rPr>
        <w:t>The systemic failure in the field of leadership was communication failures and the failure to coordinate healthcare teams (Ystaas et al., 2023). The clinical staff and clinicians were unable to discuss the severity of the condition of the patient, Blackman, and the concerns raised by the members of the frontline team were not discussed as the most important ones (Egoda Kapuralage et al., 2025). This did not involve the frontline employees in the decision-making process, which minimized the possibility of any immediate intervention, which could have been employed to avert the medical error (Aylmore et al., 2025). This passive behavior in the case concerning timely issues is reflective of a larger problem within healthcare organizations, wherein the absence of communication and adequate leadership overlap to cause the threat of injury to the patient (Blackman &amp; Haskell, 2023).</w:t>
      </w:r>
    </w:p>
    <w:p w14:paraId="146AB89E" w14:textId="77777777" w:rsidR="00717064" w:rsidRPr="00717064" w:rsidRDefault="00717064" w:rsidP="00696645">
      <w:pPr>
        <w:spacing w:after="0" w:line="360" w:lineRule="auto"/>
        <w:contextualSpacing/>
        <w:jc w:val="both"/>
        <w:rPr>
          <w:rFonts w:ascii="Arial" w:hAnsi="Arial" w:cs="Arial"/>
          <w:sz w:val="22"/>
          <w:szCs w:val="22"/>
        </w:rPr>
      </w:pPr>
      <w:r w:rsidRPr="00717064">
        <w:rPr>
          <w:rFonts w:ascii="Arial" w:hAnsi="Arial" w:cs="Arial"/>
          <w:sz w:val="22"/>
          <w:szCs w:val="22"/>
        </w:rPr>
        <w:t>The impact of poor leadership and governance on patient safety has been highly documented throughout the world. The World Health Organization names medical errors as one of the greatest contributors to avoidable harm at the global level, which can influence morbidity and mortality (Hibbert et al., 2023). The majority of these errors could be eradicated through the redesign of the system, including the improvement of leadership, the communication process, and the adherence to the safety rules (Subbe et al., 2023). According to the data on the NHS in the UK, leadership and governance failure are significantly linked to patient harm (Blackman &amp; Haskell, 2023). The NHS Improvement report (2019) found that the primary causes of poor patient outcomes were communication failure and lack of accountability, which also occurred in the case of Blackman (Hibbert et al., 2023). The latter highlights the need to enhance the presence of good safety cultures in which the focus is on active involvement and oversight.</w:t>
      </w:r>
    </w:p>
    <w:p w14:paraId="5D3951F9" w14:textId="77777777" w:rsidR="00717064" w:rsidRPr="00717064" w:rsidRDefault="00717064" w:rsidP="00696645">
      <w:pPr>
        <w:spacing w:after="0" w:line="360" w:lineRule="auto"/>
        <w:contextualSpacing/>
        <w:jc w:val="both"/>
        <w:rPr>
          <w:rFonts w:ascii="Arial" w:hAnsi="Arial" w:cs="Arial"/>
          <w:sz w:val="22"/>
          <w:szCs w:val="22"/>
        </w:rPr>
      </w:pPr>
      <w:r w:rsidRPr="00717064">
        <w:rPr>
          <w:rFonts w:ascii="Arial" w:hAnsi="Arial" w:cs="Arial"/>
          <w:sz w:val="22"/>
          <w:szCs w:val="22"/>
        </w:rPr>
        <w:lastRenderedPageBreak/>
        <w:t>The system had several weaknesses that led to the death of Blackman. The issue of team-to-team communication breakdowns also formed the central concern of the issue since the news about the deteriorating condition of the patient was not shared appropriately, which delayed the necessary interventions (Tameze &amp; Shelton, 2026). Accountability was another issue that made the situation more complicated; workers in charge of Blackman lacked accountability when they failed to switch on care and observe safety protocols (Kyzer, 2026). In addition, the organizational culture did not favor the reporting of potential risks due to the fear of punishment, and the safety issues were not taken care of (Aylmore et al., 2025).</w:t>
      </w:r>
    </w:p>
    <w:p w14:paraId="7B0AAFB8" w14:textId="77777777" w:rsidR="00717064" w:rsidRPr="00717064" w:rsidRDefault="00717064" w:rsidP="00696645">
      <w:pPr>
        <w:spacing w:after="0" w:line="360" w:lineRule="auto"/>
        <w:contextualSpacing/>
        <w:jc w:val="both"/>
        <w:rPr>
          <w:rFonts w:ascii="Arial" w:hAnsi="Arial" w:cs="Arial"/>
          <w:sz w:val="22"/>
          <w:szCs w:val="22"/>
        </w:rPr>
      </w:pPr>
      <w:r w:rsidRPr="00717064">
        <w:rPr>
          <w:rFonts w:ascii="Arial" w:hAnsi="Arial" w:cs="Arial"/>
          <w:sz w:val="22"/>
          <w:szCs w:val="22"/>
        </w:rPr>
        <w:t>Failure to have leadership control was grave. The inability of the leadership to detect the risk in its early stages and to enable the staff working on the frontlines to take action demonstrates how leaders might harm patients directly as well (Ystaas et al., 2023). It had governance failures at both the local and national levels. The hospital leaders failed to impose sufficient surveillance and take measures on the matter, as the warning signs posed by the employees were obvious locally (Subbe et al., 2023). On the national level, the care quality flaws that eventually resulted in the death of Blackman were due to the inconsistent policy implementation and the lack of accountability frameworks that enabled institutional adherence to patient safety levels (Hibbert et al., 2023).</w:t>
      </w:r>
    </w:p>
    <w:p w14:paraId="48428519" w14:textId="77777777" w:rsidR="007E47C1" w:rsidRDefault="00717064" w:rsidP="00696645">
      <w:pPr>
        <w:spacing w:after="0" w:line="360" w:lineRule="auto"/>
        <w:contextualSpacing/>
        <w:jc w:val="both"/>
        <w:rPr>
          <w:rFonts w:ascii="Arial" w:hAnsi="Arial" w:cs="Arial"/>
          <w:sz w:val="22"/>
          <w:szCs w:val="22"/>
        </w:rPr>
      </w:pPr>
      <w:r w:rsidRPr="00717064">
        <w:rPr>
          <w:rFonts w:ascii="Arial" w:hAnsi="Arial" w:cs="Arial"/>
          <w:sz w:val="22"/>
          <w:szCs w:val="22"/>
        </w:rPr>
        <w:t>The relationship between the hospital leadership, the clinical staff, patient safety officers, and the governance structures would be discussed on how they were or were not related to each other effectively</w:t>
      </w:r>
      <w:r w:rsidR="00B21002">
        <w:rPr>
          <w:rFonts w:ascii="Arial" w:hAnsi="Arial" w:cs="Arial"/>
          <w:sz w:val="22"/>
          <w:szCs w:val="22"/>
        </w:rPr>
        <w:t xml:space="preserve"> through the rich picture</w:t>
      </w:r>
      <w:r w:rsidRPr="00717064">
        <w:rPr>
          <w:rFonts w:ascii="Arial" w:hAnsi="Arial" w:cs="Arial"/>
          <w:sz w:val="22"/>
          <w:szCs w:val="22"/>
        </w:rPr>
        <w:t xml:space="preserve"> (</w:t>
      </w:r>
      <w:proofErr w:type="spellStart"/>
      <w:r w:rsidRPr="00717064">
        <w:rPr>
          <w:rFonts w:ascii="Arial" w:hAnsi="Arial" w:cs="Arial"/>
          <w:sz w:val="22"/>
          <w:szCs w:val="22"/>
        </w:rPr>
        <w:t>Ystaas</w:t>
      </w:r>
      <w:proofErr w:type="spellEnd"/>
      <w:r w:rsidRPr="00717064">
        <w:rPr>
          <w:rFonts w:ascii="Arial" w:hAnsi="Arial" w:cs="Arial"/>
          <w:sz w:val="22"/>
          <w:szCs w:val="22"/>
        </w:rPr>
        <w:t xml:space="preserve"> et al., 2023). The figure would highlight the inability to communicate, ignore warnings among the low-level workers, inadequate responsibility, and lack of control by the leaders, and would demonstrate how the structural failures led to the damage that could have been avoided (Tameze &amp; Shelton, 2026; Egoda Kapuralalage et al., 2025). In general, the example of Lewis Blackman shows the significance of leadership and governance in ensuring patient safety. These issues are not isolated cases because communication breakdowns, inefficiency, and a lack of accountability are systemic issues that require disconnected leadership strategies, good governance, and an empowered workforce to prevent additional tragedies in the future (Kyzer, 2026; Hibbert et al., 2023).</w:t>
      </w:r>
    </w:p>
    <w:p w14:paraId="6404261E" w14:textId="081928E5" w:rsidR="00717064" w:rsidRDefault="00B21002" w:rsidP="00696645">
      <w:pPr>
        <w:spacing w:after="0" w:line="360" w:lineRule="auto"/>
        <w:contextualSpacing/>
        <w:jc w:val="both"/>
        <w:rPr>
          <w:rFonts w:ascii="Arial" w:hAnsi="Arial" w:cs="Arial"/>
          <w:sz w:val="22"/>
          <w:szCs w:val="22"/>
        </w:rPr>
      </w:pPr>
      <w:r>
        <w:rPr>
          <w:rFonts w:ascii="Arial" w:hAnsi="Arial" w:cs="Arial"/>
          <w:noProof/>
          <w:sz w:val="22"/>
          <w:szCs w:val="22"/>
        </w:rPr>
        <w:lastRenderedPageBreak/>
        <w:drawing>
          <wp:inline distT="0" distB="0" distL="0" distR="0" wp14:anchorId="50717B78" wp14:editId="26786D54">
            <wp:extent cx="6408484" cy="3411220"/>
            <wp:effectExtent l="0" t="0" r="0" b="0"/>
            <wp:docPr id="823464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39611" cy="3427789"/>
                    </a:xfrm>
                    <a:prstGeom prst="rect">
                      <a:avLst/>
                    </a:prstGeom>
                    <a:noFill/>
                  </pic:spPr>
                </pic:pic>
              </a:graphicData>
            </a:graphic>
          </wp:inline>
        </w:drawing>
      </w:r>
    </w:p>
    <w:p w14:paraId="7096FD47" w14:textId="49C022FA" w:rsidR="00EC34DF" w:rsidRDefault="00215D12" w:rsidP="00215D12">
      <w:pPr>
        <w:pStyle w:val="Caption"/>
        <w:rPr>
          <w:rFonts w:ascii="Arial" w:hAnsi="Arial" w:cs="Arial"/>
          <w:b/>
          <w:bCs/>
          <w:i w:val="0"/>
          <w:iCs w:val="0"/>
          <w:color w:val="auto"/>
          <w:sz w:val="22"/>
          <w:szCs w:val="22"/>
        </w:rPr>
      </w:pPr>
      <w:r w:rsidRPr="00215D12">
        <w:rPr>
          <w:rFonts w:ascii="Arial" w:hAnsi="Arial" w:cs="Arial"/>
          <w:b/>
          <w:bCs/>
          <w:i w:val="0"/>
          <w:iCs w:val="0"/>
          <w:color w:val="auto"/>
          <w:sz w:val="22"/>
          <w:szCs w:val="22"/>
        </w:rPr>
        <w:t xml:space="preserve">Figure </w:t>
      </w:r>
      <w:r w:rsidRPr="00215D12">
        <w:rPr>
          <w:rFonts w:ascii="Arial" w:hAnsi="Arial" w:cs="Arial"/>
          <w:b/>
          <w:bCs/>
          <w:i w:val="0"/>
          <w:iCs w:val="0"/>
          <w:color w:val="auto"/>
          <w:sz w:val="22"/>
          <w:szCs w:val="22"/>
        </w:rPr>
        <w:fldChar w:fldCharType="begin"/>
      </w:r>
      <w:r w:rsidRPr="00215D12">
        <w:rPr>
          <w:rFonts w:ascii="Arial" w:hAnsi="Arial" w:cs="Arial"/>
          <w:b/>
          <w:bCs/>
          <w:i w:val="0"/>
          <w:iCs w:val="0"/>
          <w:color w:val="auto"/>
          <w:sz w:val="22"/>
          <w:szCs w:val="22"/>
        </w:rPr>
        <w:instrText xml:space="preserve"> SEQ Figure \* ARABIC </w:instrText>
      </w:r>
      <w:r w:rsidRPr="00215D12">
        <w:rPr>
          <w:rFonts w:ascii="Arial" w:hAnsi="Arial" w:cs="Arial"/>
          <w:b/>
          <w:bCs/>
          <w:i w:val="0"/>
          <w:iCs w:val="0"/>
          <w:color w:val="auto"/>
          <w:sz w:val="22"/>
          <w:szCs w:val="22"/>
        </w:rPr>
        <w:fldChar w:fldCharType="separate"/>
      </w:r>
      <w:r w:rsidR="00EC34DF">
        <w:rPr>
          <w:rFonts w:ascii="Arial" w:hAnsi="Arial" w:cs="Arial"/>
          <w:b/>
          <w:bCs/>
          <w:i w:val="0"/>
          <w:iCs w:val="0"/>
          <w:noProof/>
          <w:color w:val="auto"/>
          <w:sz w:val="22"/>
          <w:szCs w:val="22"/>
        </w:rPr>
        <w:t>1</w:t>
      </w:r>
      <w:r w:rsidRPr="00215D12">
        <w:rPr>
          <w:rFonts w:ascii="Arial" w:hAnsi="Arial" w:cs="Arial"/>
          <w:b/>
          <w:bCs/>
          <w:i w:val="0"/>
          <w:iCs w:val="0"/>
          <w:color w:val="auto"/>
          <w:sz w:val="22"/>
          <w:szCs w:val="22"/>
        </w:rPr>
        <w:fldChar w:fldCharType="end"/>
      </w:r>
      <w:r w:rsidRPr="00215D12">
        <w:rPr>
          <w:rFonts w:ascii="Arial" w:hAnsi="Arial" w:cs="Arial"/>
          <w:b/>
          <w:bCs/>
          <w:i w:val="0"/>
          <w:iCs w:val="0"/>
          <w:color w:val="auto"/>
          <w:sz w:val="22"/>
          <w:szCs w:val="22"/>
        </w:rPr>
        <w:t xml:space="preserve"> A rich picture of patient safety failures in healthcare system</w:t>
      </w:r>
    </w:p>
    <w:tbl>
      <w:tblPr>
        <w:tblStyle w:val="TableGrid"/>
        <w:tblW w:w="0" w:type="auto"/>
        <w:tblLook w:val="04A0" w:firstRow="1" w:lastRow="0" w:firstColumn="1" w:lastColumn="0" w:noHBand="0" w:noVBand="1"/>
      </w:tblPr>
      <w:tblGrid>
        <w:gridCol w:w="1876"/>
        <w:gridCol w:w="3477"/>
        <w:gridCol w:w="3663"/>
      </w:tblGrid>
      <w:tr w:rsidR="00EC34DF" w:rsidRPr="00EC34DF" w14:paraId="49EB6FC8" w14:textId="77777777" w:rsidTr="00EC34DF">
        <w:tc>
          <w:tcPr>
            <w:tcW w:w="0" w:type="auto"/>
            <w:shd w:val="clear" w:color="auto" w:fill="4472C4" w:themeFill="accent1"/>
            <w:hideMark/>
          </w:tcPr>
          <w:p w14:paraId="6B7F9370" w14:textId="77777777" w:rsidR="00EC34DF" w:rsidRPr="00EC34DF" w:rsidRDefault="00EC34DF" w:rsidP="00EC34DF">
            <w:pPr>
              <w:pStyle w:val="Caption"/>
              <w:rPr>
                <w:rFonts w:ascii="Arial" w:hAnsi="Arial" w:cs="Arial"/>
                <w:i w:val="0"/>
                <w:iCs w:val="0"/>
                <w:color w:val="auto"/>
                <w:sz w:val="22"/>
                <w:szCs w:val="22"/>
                <w:lang/>
              </w:rPr>
            </w:pPr>
            <w:r w:rsidRPr="00EC34DF">
              <w:rPr>
                <w:rFonts w:ascii="Arial" w:hAnsi="Arial" w:cs="Arial"/>
                <w:i w:val="0"/>
                <w:iCs w:val="0"/>
                <w:color w:val="auto"/>
                <w:sz w:val="22"/>
                <w:szCs w:val="22"/>
                <w:lang/>
              </w:rPr>
              <w:t>Source</w:t>
            </w:r>
          </w:p>
        </w:tc>
        <w:tc>
          <w:tcPr>
            <w:tcW w:w="0" w:type="auto"/>
            <w:shd w:val="clear" w:color="auto" w:fill="4472C4" w:themeFill="accent1"/>
            <w:hideMark/>
          </w:tcPr>
          <w:p w14:paraId="18481944" w14:textId="77777777" w:rsidR="00EC34DF" w:rsidRPr="00EC34DF" w:rsidRDefault="00EC34DF" w:rsidP="00EC34DF">
            <w:pPr>
              <w:pStyle w:val="Caption"/>
              <w:rPr>
                <w:rFonts w:ascii="Arial" w:hAnsi="Arial" w:cs="Arial"/>
                <w:i w:val="0"/>
                <w:iCs w:val="0"/>
                <w:color w:val="auto"/>
                <w:sz w:val="22"/>
                <w:szCs w:val="22"/>
                <w:lang/>
              </w:rPr>
            </w:pPr>
            <w:r w:rsidRPr="00EC34DF">
              <w:rPr>
                <w:rFonts w:ascii="Arial" w:hAnsi="Arial" w:cs="Arial"/>
                <w:i w:val="0"/>
                <w:iCs w:val="0"/>
                <w:color w:val="auto"/>
                <w:sz w:val="22"/>
                <w:szCs w:val="22"/>
                <w:lang/>
              </w:rPr>
              <w:t>Relevant Data</w:t>
            </w:r>
          </w:p>
        </w:tc>
        <w:tc>
          <w:tcPr>
            <w:tcW w:w="0" w:type="auto"/>
            <w:shd w:val="clear" w:color="auto" w:fill="4472C4" w:themeFill="accent1"/>
            <w:hideMark/>
          </w:tcPr>
          <w:p w14:paraId="20FDF6A2" w14:textId="77777777" w:rsidR="00EC34DF" w:rsidRPr="00EC34DF" w:rsidRDefault="00EC34DF" w:rsidP="00EC34DF">
            <w:pPr>
              <w:pStyle w:val="Caption"/>
              <w:rPr>
                <w:rFonts w:ascii="Arial" w:hAnsi="Arial" w:cs="Arial"/>
                <w:i w:val="0"/>
                <w:iCs w:val="0"/>
                <w:color w:val="auto"/>
                <w:sz w:val="22"/>
                <w:szCs w:val="22"/>
                <w:lang/>
              </w:rPr>
            </w:pPr>
            <w:r w:rsidRPr="00EC34DF">
              <w:rPr>
                <w:rFonts w:ascii="Arial" w:hAnsi="Arial" w:cs="Arial"/>
                <w:i w:val="0"/>
                <w:iCs w:val="0"/>
                <w:color w:val="auto"/>
                <w:sz w:val="22"/>
                <w:szCs w:val="22"/>
                <w:lang/>
              </w:rPr>
              <w:t>Statistics</w:t>
            </w:r>
          </w:p>
        </w:tc>
      </w:tr>
      <w:tr w:rsidR="00EC34DF" w:rsidRPr="00EC34DF" w14:paraId="592889D8" w14:textId="77777777" w:rsidTr="00EC34DF">
        <w:tc>
          <w:tcPr>
            <w:tcW w:w="0" w:type="auto"/>
            <w:hideMark/>
          </w:tcPr>
          <w:p w14:paraId="682C17B5" w14:textId="77777777" w:rsidR="00EC34DF" w:rsidRPr="00EC34DF" w:rsidRDefault="00EC34DF" w:rsidP="00EC34DF">
            <w:pPr>
              <w:pStyle w:val="Caption"/>
              <w:rPr>
                <w:rFonts w:ascii="Arial" w:hAnsi="Arial" w:cs="Arial"/>
                <w:i w:val="0"/>
                <w:iCs w:val="0"/>
                <w:color w:val="auto"/>
                <w:sz w:val="22"/>
                <w:szCs w:val="22"/>
                <w:lang/>
              </w:rPr>
            </w:pPr>
            <w:r w:rsidRPr="00EC34DF">
              <w:rPr>
                <w:rFonts w:ascii="Arial" w:hAnsi="Arial" w:cs="Arial"/>
                <w:i w:val="0"/>
                <w:iCs w:val="0"/>
                <w:color w:val="auto"/>
                <w:sz w:val="22"/>
                <w:szCs w:val="22"/>
                <w:lang/>
              </w:rPr>
              <w:t>World Health Organization (WHO)</w:t>
            </w:r>
          </w:p>
        </w:tc>
        <w:tc>
          <w:tcPr>
            <w:tcW w:w="0" w:type="auto"/>
            <w:hideMark/>
          </w:tcPr>
          <w:p w14:paraId="7E96629A" w14:textId="77777777" w:rsidR="00EC34DF" w:rsidRPr="00EC34DF" w:rsidRDefault="00EC34DF" w:rsidP="00EC34DF">
            <w:pPr>
              <w:pStyle w:val="Caption"/>
              <w:rPr>
                <w:rFonts w:ascii="Arial" w:hAnsi="Arial" w:cs="Arial"/>
                <w:i w:val="0"/>
                <w:iCs w:val="0"/>
                <w:color w:val="auto"/>
                <w:sz w:val="22"/>
                <w:szCs w:val="22"/>
                <w:lang/>
              </w:rPr>
            </w:pPr>
            <w:r w:rsidRPr="00EC34DF">
              <w:rPr>
                <w:rFonts w:ascii="Arial" w:hAnsi="Arial" w:cs="Arial"/>
                <w:i w:val="0"/>
                <w:iCs w:val="0"/>
                <w:color w:val="auto"/>
                <w:sz w:val="22"/>
                <w:szCs w:val="22"/>
                <w:lang/>
              </w:rPr>
              <w:t>Medical errors are a leading cause of avoidable harm in healthcare.</w:t>
            </w:r>
          </w:p>
        </w:tc>
        <w:tc>
          <w:tcPr>
            <w:tcW w:w="0" w:type="auto"/>
            <w:hideMark/>
          </w:tcPr>
          <w:p w14:paraId="6A51A4B4" w14:textId="77777777" w:rsidR="00EC34DF" w:rsidRPr="00EC34DF" w:rsidRDefault="00EC34DF" w:rsidP="00EC34DF">
            <w:pPr>
              <w:pStyle w:val="Caption"/>
              <w:rPr>
                <w:rFonts w:ascii="Arial" w:hAnsi="Arial" w:cs="Arial"/>
                <w:i w:val="0"/>
                <w:iCs w:val="0"/>
                <w:color w:val="auto"/>
                <w:sz w:val="22"/>
                <w:szCs w:val="22"/>
                <w:lang/>
              </w:rPr>
            </w:pPr>
            <w:r w:rsidRPr="00EC34DF">
              <w:rPr>
                <w:rFonts w:ascii="Arial" w:hAnsi="Arial" w:cs="Arial"/>
                <w:i w:val="0"/>
                <w:iCs w:val="0"/>
                <w:color w:val="auto"/>
                <w:sz w:val="22"/>
                <w:szCs w:val="22"/>
                <w:lang/>
              </w:rPr>
              <w:t>Medical errors contribute significantly to global morbidity and mortality, with approximately 1 in 10 patients harmed globally.</w:t>
            </w:r>
          </w:p>
        </w:tc>
      </w:tr>
      <w:tr w:rsidR="00EC34DF" w:rsidRPr="00EC34DF" w14:paraId="2EFE1659" w14:textId="77777777" w:rsidTr="00EC34DF">
        <w:tc>
          <w:tcPr>
            <w:tcW w:w="0" w:type="auto"/>
            <w:hideMark/>
          </w:tcPr>
          <w:p w14:paraId="033D185C" w14:textId="77777777" w:rsidR="00EC34DF" w:rsidRPr="00EC34DF" w:rsidRDefault="00EC34DF" w:rsidP="00EC34DF">
            <w:pPr>
              <w:pStyle w:val="Caption"/>
              <w:rPr>
                <w:rFonts w:ascii="Arial" w:hAnsi="Arial" w:cs="Arial"/>
                <w:i w:val="0"/>
                <w:iCs w:val="0"/>
                <w:color w:val="auto"/>
                <w:sz w:val="22"/>
                <w:szCs w:val="22"/>
                <w:lang/>
              </w:rPr>
            </w:pPr>
            <w:r w:rsidRPr="00EC34DF">
              <w:rPr>
                <w:rFonts w:ascii="Arial" w:hAnsi="Arial" w:cs="Arial"/>
                <w:i w:val="0"/>
                <w:iCs w:val="0"/>
                <w:color w:val="auto"/>
                <w:sz w:val="22"/>
                <w:szCs w:val="22"/>
                <w:lang/>
              </w:rPr>
              <w:t>NHS Improvement Report (2019)</w:t>
            </w:r>
          </w:p>
        </w:tc>
        <w:tc>
          <w:tcPr>
            <w:tcW w:w="0" w:type="auto"/>
            <w:hideMark/>
          </w:tcPr>
          <w:p w14:paraId="59DC42AF" w14:textId="77777777" w:rsidR="00EC34DF" w:rsidRPr="00EC34DF" w:rsidRDefault="00EC34DF" w:rsidP="00EC34DF">
            <w:pPr>
              <w:pStyle w:val="Caption"/>
              <w:rPr>
                <w:rFonts w:ascii="Arial" w:hAnsi="Arial" w:cs="Arial"/>
                <w:i w:val="0"/>
                <w:iCs w:val="0"/>
                <w:color w:val="auto"/>
                <w:sz w:val="22"/>
                <w:szCs w:val="22"/>
                <w:lang/>
              </w:rPr>
            </w:pPr>
            <w:r w:rsidRPr="00EC34DF">
              <w:rPr>
                <w:rFonts w:ascii="Arial" w:hAnsi="Arial" w:cs="Arial"/>
                <w:i w:val="0"/>
                <w:iCs w:val="0"/>
                <w:color w:val="auto"/>
                <w:sz w:val="22"/>
                <w:szCs w:val="22"/>
                <w:lang/>
              </w:rPr>
              <w:t>Leadership and communication failures are primary causes of poor patient outcomes.</w:t>
            </w:r>
          </w:p>
        </w:tc>
        <w:tc>
          <w:tcPr>
            <w:tcW w:w="0" w:type="auto"/>
            <w:hideMark/>
          </w:tcPr>
          <w:p w14:paraId="71F7156E" w14:textId="77777777" w:rsidR="00EC34DF" w:rsidRPr="00EC34DF" w:rsidRDefault="00EC34DF" w:rsidP="00EC34DF">
            <w:pPr>
              <w:pStyle w:val="Caption"/>
              <w:rPr>
                <w:rFonts w:ascii="Arial" w:hAnsi="Arial" w:cs="Arial"/>
                <w:i w:val="0"/>
                <w:iCs w:val="0"/>
                <w:color w:val="auto"/>
                <w:sz w:val="22"/>
                <w:szCs w:val="22"/>
                <w:lang/>
              </w:rPr>
            </w:pPr>
            <w:r w:rsidRPr="00EC34DF">
              <w:rPr>
                <w:rFonts w:ascii="Arial" w:hAnsi="Arial" w:cs="Arial"/>
                <w:i w:val="0"/>
                <w:iCs w:val="0"/>
                <w:color w:val="auto"/>
                <w:sz w:val="22"/>
                <w:szCs w:val="22"/>
                <w:lang/>
              </w:rPr>
              <w:t>Communication failures and lack of accountability contribute to poor patient outcomes in healthcare.</w:t>
            </w:r>
          </w:p>
        </w:tc>
      </w:tr>
      <w:tr w:rsidR="00EC34DF" w:rsidRPr="00EC34DF" w14:paraId="0A997569" w14:textId="77777777" w:rsidTr="00EC34DF">
        <w:tc>
          <w:tcPr>
            <w:tcW w:w="0" w:type="auto"/>
            <w:hideMark/>
          </w:tcPr>
          <w:p w14:paraId="64AC11B2" w14:textId="77777777" w:rsidR="00EC34DF" w:rsidRPr="00EC34DF" w:rsidRDefault="00EC34DF" w:rsidP="00EC34DF">
            <w:pPr>
              <w:pStyle w:val="Caption"/>
              <w:rPr>
                <w:rFonts w:ascii="Arial" w:hAnsi="Arial" w:cs="Arial"/>
                <w:i w:val="0"/>
                <w:iCs w:val="0"/>
                <w:color w:val="auto"/>
                <w:sz w:val="22"/>
                <w:szCs w:val="22"/>
                <w:lang/>
              </w:rPr>
            </w:pPr>
            <w:r w:rsidRPr="00EC34DF">
              <w:rPr>
                <w:rFonts w:ascii="Arial" w:hAnsi="Arial" w:cs="Arial"/>
                <w:i w:val="0"/>
                <w:iCs w:val="0"/>
                <w:color w:val="auto"/>
                <w:sz w:val="22"/>
                <w:szCs w:val="22"/>
                <w:lang/>
              </w:rPr>
              <w:t>Hibbert et al. (2023)</w:t>
            </w:r>
          </w:p>
        </w:tc>
        <w:tc>
          <w:tcPr>
            <w:tcW w:w="0" w:type="auto"/>
            <w:hideMark/>
          </w:tcPr>
          <w:p w14:paraId="382FD0CD" w14:textId="77777777" w:rsidR="00EC34DF" w:rsidRPr="00EC34DF" w:rsidRDefault="00EC34DF" w:rsidP="00EC34DF">
            <w:pPr>
              <w:pStyle w:val="Caption"/>
              <w:rPr>
                <w:rFonts w:ascii="Arial" w:hAnsi="Arial" w:cs="Arial"/>
                <w:i w:val="0"/>
                <w:iCs w:val="0"/>
                <w:color w:val="auto"/>
                <w:sz w:val="22"/>
                <w:szCs w:val="22"/>
                <w:lang/>
              </w:rPr>
            </w:pPr>
            <w:r w:rsidRPr="00EC34DF">
              <w:rPr>
                <w:rFonts w:ascii="Arial" w:hAnsi="Arial" w:cs="Arial"/>
                <w:i w:val="0"/>
                <w:iCs w:val="0"/>
                <w:color w:val="auto"/>
                <w:sz w:val="22"/>
                <w:szCs w:val="22"/>
                <w:lang/>
              </w:rPr>
              <w:t>Medical errors are preventable through better leadership and communication systems.</w:t>
            </w:r>
          </w:p>
        </w:tc>
        <w:tc>
          <w:tcPr>
            <w:tcW w:w="0" w:type="auto"/>
            <w:hideMark/>
          </w:tcPr>
          <w:p w14:paraId="1D6A1AF9" w14:textId="77777777" w:rsidR="00EC34DF" w:rsidRPr="00EC34DF" w:rsidRDefault="00EC34DF" w:rsidP="00EC34DF">
            <w:pPr>
              <w:pStyle w:val="Caption"/>
              <w:rPr>
                <w:rFonts w:ascii="Arial" w:hAnsi="Arial" w:cs="Arial"/>
                <w:i w:val="0"/>
                <w:iCs w:val="0"/>
                <w:color w:val="auto"/>
                <w:sz w:val="22"/>
                <w:szCs w:val="22"/>
                <w:lang/>
              </w:rPr>
            </w:pPr>
            <w:r w:rsidRPr="00EC34DF">
              <w:rPr>
                <w:rFonts w:ascii="Arial" w:hAnsi="Arial" w:cs="Arial"/>
                <w:i w:val="0"/>
                <w:iCs w:val="0"/>
                <w:color w:val="auto"/>
                <w:sz w:val="22"/>
                <w:szCs w:val="22"/>
                <w:lang/>
              </w:rPr>
              <w:t>Leadership and communication failures linked to 70% of sentinel events in hospitals.</w:t>
            </w:r>
          </w:p>
        </w:tc>
      </w:tr>
      <w:tr w:rsidR="00EC34DF" w:rsidRPr="00EC34DF" w14:paraId="750ADC3C" w14:textId="77777777" w:rsidTr="00EC34DF">
        <w:tc>
          <w:tcPr>
            <w:tcW w:w="0" w:type="auto"/>
            <w:hideMark/>
          </w:tcPr>
          <w:p w14:paraId="3C3A0467" w14:textId="77777777" w:rsidR="00EC34DF" w:rsidRPr="00EC34DF" w:rsidRDefault="00EC34DF" w:rsidP="00EC34DF">
            <w:pPr>
              <w:pStyle w:val="Caption"/>
              <w:rPr>
                <w:rFonts w:ascii="Arial" w:hAnsi="Arial" w:cs="Arial"/>
                <w:i w:val="0"/>
                <w:iCs w:val="0"/>
                <w:color w:val="auto"/>
                <w:sz w:val="22"/>
                <w:szCs w:val="22"/>
                <w:lang/>
              </w:rPr>
            </w:pPr>
            <w:r w:rsidRPr="00EC34DF">
              <w:rPr>
                <w:rFonts w:ascii="Arial" w:hAnsi="Arial" w:cs="Arial"/>
                <w:i w:val="0"/>
                <w:iCs w:val="0"/>
                <w:color w:val="auto"/>
                <w:sz w:val="22"/>
                <w:szCs w:val="22"/>
                <w:lang/>
              </w:rPr>
              <w:t>Braithwaite et al. (2015)</w:t>
            </w:r>
          </w:p>
        </w:tc>
        <w:tc>
          <w:tcPr>
            <w:tcW w:w="0" w:type="auto"/>
            <w:hideMark/>
          </w:tcPr>
          <w:p w14:paraId="18C7B34B" w14:textId="77777777" w:rsidR="00EC34DF" w:rsidRPr="00EC34DF" w:rsidRDefault="00EC34DF" w:rsidP="00EC34DF">
            <w:pPr>
              <w:pStyle w:val="Caption"/>
              <w:rPr>
                <w:rFonts w:ascii="Arial" w:hAnsi="Arial" w:cs="Arial"/>
                <w:i w:val="0"/>
                <w:iCs w:val="0"/>
                <w:color w:val="auto"/>
                <w:sz w:val="22"/>
                <w:szCs w:val="22"/>
                <w:lang/>
              </w:rPr>
            </w:pPr>
            <w:r w:rsidRPr="00EC34DF">
              <w:rPr>
                <w:rFonts w:ascii="Arial" w:hAnsi="Arial" w:cs="Arial"/>
                <w:i w:val="0"/>
                <w:iCs w:val="0"/>
                <w:color w:val="auto"/>
                <w:sz w:val="22"/>
                <w:szCs w:val="22"/>
                <w:lang/>
              </w:rPr>
              <w:t>A resilient healthcare system can reduce errors through improved communication and leadership.</w:t>
            </w:r>
          </w:p>
        </w:tc>
        <w:tc>
          <w:tcPr>
            <w:tcW w:w="0" w:type="auto"/>
            <w:hideMark/>
          </w:tcPr>
          <w:p w14:paraId="40360FD9" w14:textId="77777777" w:rsidR="00EC34DF" w:rsidRPr="00EC34DF" w:rsidRDefault="00EC34DF" w:rsidP="00EC34DF">
            <w:pPr>
              <w:pStyle w:val="Caption"/>
              <w:rPr>
                <w:rFonts w:ascii="Arial" w:hAnsi="Arial" w:cs="Arial"/>
                <w:i w:val="0"/>
                <w:iCs w:val="0"/>
                <w:color w:val="auto"/>
                <w:sz w:val="22"/>
                <w:szCs w:val="22"/>
                <w:lang/>
              </w:rPr>
            </w:pPr>
            <w:r w:rsidRPr="00EC34DF">
              <w:rPr>
                <w:rFonts w:ascii="Arial" w:hAnsi="Arial" w:cs="Arial"/>
                <w:i w:val="0"/>
                <w:iCs w:val="0"/>
                <w:color w:val="auto"/>
                <w:sz w:val="22"/>
                <w:szCs w:val="22"/>
                <w:lang/>
              </w:rPr>
              <w:t>Systems with effective leadership and communication can prevent up to 70% of sentinel events.</w:t>
            </w:r>
          </w:p>
        </w:tc>
      </w:tr>
      <w:tr w:rsidR="00EC34DF" w:rsidRPr="00EC34DF" w14:paraId="48E2B90A" w14:textId="77777777" w:rsidTr="00EC34DF">
        <w:tc>
          <w:tcPr>
            <w:tcW w:w="0" w:type="auto"/>
            <w:hideMark/>
          </w:tcPr>
          <w:p w14:paraId="3CAFD2EC" w14:textId="77777777" w:rsidR="00EC34DF" w:rsidRPr="00EC34DF" w:rsidRDefault="00EC34DF" w:rsidP="00EC34DF">
            <w:pPr>
              <w:pStyle w:val="Caption"/>
              <w:rPr>
                <w:rFonts w:ascii="Arial" w:hAnsi="Arial" w:cs="Arial"/>
                <w:i w:val="0"/>
                <w:iCs w:val="0"/>
                <w:color w:val="auto"/>
                <w:sz w:val="22"/>
                <w:szCs w:val="22"/>
                <w:lang/>
              </w:rPr>
            </w:pPr>
            <w:r w:rsidRPr="00EC34DF">
              <w:rPr>
                <w:rFonts w:ascii="Arial" w:hAnsi="Arial" w:cs="Arial"/>
                <w:i w:val="0"/>
                <w:iCs w:val="0"/>
                <w:color w:val="auto"/>
                <w:sz w:val="22"/>
                <w:szCs w:val="22"/>
                <w:lang/>
              </w:rPr>
              <w:t>Cocoman et al. (2023)</w:t>
            </w:r>
          </w:p>
        </w:tc>
        <w:tc>
          <w:tcPr>
            <w:tcW w:w="0" w:type="auto"/>
            <w:hideMark/>
          </w:tcPr>
          <w:p w14:paraId="403B7B94" w14:textId="77777777" w:rsidR="00EC34DF" w:rsidRPr="00EC34DF" w:rsidRDefault="00EC34DF" w:rsidP="00EC34DF">
            <w:pPr>
              <w:pStyle w:val="Caption"/>
              <w:rPr>
                <w:rFonts w:ascii="Arial" w:hAnsi="Arial" w:cs="Arial"/>
                <w:i w:val="0"/>
                <w:iCs w:val="0"/>
                <w:color w:val="auto"/>
                <w:sz w:val="22"/>
                <w:szCs w:val="22"/>
                <w:lang/>
              </w:rPr>
            </w:pPr>
            <w:r w:rsidRPr="00EC34DF">
              <w:rPr>
                <w:rFonts w:ascii="Arial" w:hAnsi="Arial" w:cs="Arial"/>
                <w:i w:val="0"/>
                <w:iCs w:val="0"/>
                <w:color w:val="auto"/>
                <w:sz w:val="22"/>
                <w:szCs w:val="22"/>
                <w:lang/>
              </w:rPr>
              <w:t>Centralized leadership can delay responses to patient deterioration.</w:t>
            </w:r>
          </w:p>
        </w:tc>
        <w:tc>
          <w:tcPr>
            <w:tcW w:w="0" w:type="auto"/>
            <w:hideMark/>
          </w:tcPr>
          <w:p w14:paraId="4500C06C" w14:textId="77777777" w:rsidR="00EC34DF" w:rsidRPr="00EC34DF" w:rsidRDefault="00EC34DF" w:rsidP="00EC34DF">
            <w:pPr>
              <w:pStyle w:val="Caption"/>
              <w:rPr>
                <w:rFonts w:ascii="Arial" w:hAnsi="Arial" w:cs="Arial"/>
                <w:i w:val="0"/>
                <w:iCs w:val="0"/>
                <w:color w:val="auto"/>
                <w:sz w:val="22"/>
                <w:szCs w:val="22"/>
                <w:lang/>
              </w:rPr>
            </w:pPr>
            <w:r w:rsidRPr="00EC34DF">
              <w:rPr>
                <w:rFonts w:ascii="Arial" w:hAnsi="Arial" w:cs="Arial"/>
                <w:i w:val="0"/>
                <w:iCs w:val="0"/>
                <w:color w:val="auto"/>
                <w:sz w:val="22"/>
                <w:szCs w:val="22"/>
                <w:lang/>
              </w:rPr>
              <w:t>Decentralized systems reduce response times by up to 25%.</w:t>
            </w:r>
          </w:p>
        </w:tc>
      </w:tr>
      <w:tr w:rsidR="00EC34DF" w:rsidRPr="00EC34DF" w14:paraId="49CD133F" w14:textId="77777777" w:rsidTr="00EC34DF">
        <w:tc>
          <w:tcPr>
            <w:tcW w:w="0" w:type="auto"/>
            <w:hideMark/>
          </w:tcPr>
          <w:p w14:paraId="3CE18B40" w14:textId="77777777" w:rsidR="00EC34DF" w:rsidRPr="00EC34DF" w:rsidRDefault="00EC34DF" w:rsidP="00EC34DF">
            <w:pPr>
              <w:pStyle w:val="Caption"/>
              <w:rPr>
                <w:rFonts w:ascii="Arial" w:hAnsi="Arial" w:cs="Arial"/>
                <w:i w:val="0"/>
                <w:iCs w:val="0"/>
                <w:color w:val="auto"/>
                <w:sz w:val="22"/>
                <w:szCs w:val="22"/>
                <w:lang/>
              </w:rPr>
            </w:pPr>
            <w:r w:rsidRPr="00EC34DF">
              <w:rPr>
                <w:rFonts w:ascii="Arial" w:hAnsi="Arial" w:cs="Arial"/>
                <w:i w:val="0"/>
                <w:iCs w:val="0"/>
                <w:color w:val="auto"/>
                <w:sz w:val="22"/>
                <w:szCs w:val="22"/>
                <w:lang/>
              </w:rPr>
              <w:t>Weaver et al. (2026)</w:t>
            </w:r>
          </w:p>
        </w:tc>
        <w:tc>
          <w:tcPr>
            <w:tcW w:w="0" w:type="auto"/>
            <w:hideMark/>
          </w:tcPr>
          <w:p w14:paraId="33A7EF31" w14:textId="77777777" w:rsidR="00EC34DF" w:rsidRPr="00EC34DF" w:rsidRDefault="00EC34DF" w:rsidP="00EC34DF">
            <w:pPr>
              <w:pStyle w:val="Caption"/>
              <w:rPr>
                <w:rFonts w:ascii="Arial" w:hAnsi="Arial" w:cs="Arial"/>
                <w:i w:val="0"/>
                <w:iCs w:val="0"/>
                <w:color w:val="auto"/>
                <w:sz w:val="22"/>
                <w:szCs w:val="22"/>
                <w:lang/>
              </w:rPr>
            </w:pPr>
            <w:r w:rsidRPr="00EC34DF">
              <w:rPr>
                <w:rFonts w:ascii="Arial" w:hAnsi="Arial" w:cs="Arial"/>
                <w:i w:val="0"/>
                <w:iCs w:val="0"/>
                <w:color w:val="auto"/>
                <w:sz w:val="22"/>
                <w:szCs w:val="22"/>
                <w:lang/>
              </w:rPr>
              <w:t>Decentralization of decision-making empowers frontline staff to take timely action.</w:t>
            </w:r>
          </w:p>
        </w:tc>
        <w:tc>
          <w:tcPr>
            <w:tcW w:w="0" w:type="auto"/>
            <w:hideMark/>
          </w:tcPr>
          <w:p w14:paraId="4C8FF594" w14:textId="77777777" w:rsidR="00EC34DF" w:rsidRPr="00EC34DF" w:rsidRDefault="00EC34DF" w:rsidP="00EC34DF">
            <w:pPr>
              <w:pStyle w:val="Caption"/>
              <w:rPr>
                <w:rFonts w:ascii="Arial" w:hAnsi="Arial" w:cs="Arial"/>
                <w:i w:val="0"/>
                <w:iCs w:val="0"/>
                <w:color w:val="auto"/>
                <w:sz w:val="22"/>
                <w:szCs w:val="22"/>
                <w:lang/>
              </w:rPr>
            </w:pPr>
            <w:r w:rsidRPr="00EC34DF">
              <w:rPr>
                <w:rFonts w:ascii="Arial" w:hAnsi="Arial" w:cs="Arial"/>
                <w:i w:val="0"/>
                <w:iCs w:val="0"/>
                <w:color w:val="auto"/>
                <w:sz w:val="22"/>
                <w:szCs w:val="22"/>
                <w:lang/>
              </w:rPr>
              <w:t>Decentralized decision-making leads to a 25% reduction in response times for patient deterioration.</w:t>
            </w:r>
          </w:p>
        </w:tc>
      </w:tr>
      <w:tr w:rsidR="00EC34DF" w:rsidRPr="00EC34DF" w14:paraId="754628A3" w14:textId="77777777" w:rsidTr="00EC34DF">
        <w:tc>
          <w:tcPr>
            <w:tcW w:w="0" w:type="auto"/>
            <w:hideMark/>
          </w:tcPr>
          <w:p w14:paraId="5B68219D" w14:textId="77777777" w:rsidR="00EC34DF" w:rsidRPr="00EC34DF" w:rsidRDefault="00EC34DF" w:rsidP="00EC34DF">
            <w:pPr>
              <w:pStyle w:val="Caption"/>
              <w:rPr>
                <w:rFonts w:ascii="Arial" w:hAnsi="Arial" w:cs="Arial"/>
                <w:i w:val="0"/>
                <w:iCs w:val="0"/>
                <w:color w:val="auto"/>
                <w:sz w:val="22"/>
                <w:szCs w:val="22"/>
                <w:lang/>
              </w:rPr>
            </w:pPr>
            <w:r w:rsidRPr="00EC34DF">
              <w:rPr>
                <w:rFonts w:ascii="Arial" w:hAnsi="Arial" w:cs="Arial"/>
                <w:i w:val="0"/>
                <w:iCs w:val="0"/>
                <w:color w:val="auto"/>
                <w:sz w:val="22"/>
                <w:szCs w:val="22"/>
                <w:lang/>
              </w:rPr>
              <w:t>NHS (2022)</w:t>
            </w:r>
          </w:p>
        </w:tc>
        <w:tc>
          <w:tcPr>
            <w:tcW w:w="0" w:type="auto"/>
            <w:hideMark/>
          </w:tcPr>
          <w:p w14:paraId="44DE7A0C" w14:textId="77777777" w:rsidR="00EC34DF" w:rsidRPr="00EC34DF" w:rsidRDefault="00EC34DF" w:rsidP="00EC34DF">
            <w:pPr>
              <w:pStyle w:val="Caption"/>
              <w:rPr>
                <w:rFonts w:ascii="Arial" w:hAnsi="Arial" w:cs="Arial"/>
                <w:i w:val="0"/>
                <w:iCs w:val="0"/>
                <w:color w:val="auto"/>
                <w:sz w:val="22"/>
                <w:szCs w:val="22"/>
                <w:lang/>
              </w:rPr>
            </w:pPr>
            <w:r w:rsidRPr="00EC34DF">
              <w:rPr>
                <w:rFonts w:ascii="Arial" w:hAnsi="Arial" w:cs="Arial"/>
                <w:i w:val="0"/>
                <w:iCs w:val="0"/>
                <w:color w:val="auto"/>
                <w:sz w:val="22"/>
                <w:szCs w:val="22"/>
                <w:lang/>
              </w:rPr>
              <w:t xml:space="preserve">Patient safety incidents are prevalent in the NHS due to poor </w:t>
            </w:r>
            <w:r w:rsidRPr="00EC34DF">
              <w:rPr>
                <w:rFonts w:ascii="Arial" w:hAnsi="Arial" w:cs="Arial"/>
                <w:i w:val="0"/>
                <w:iCs w:val="0"/>
                <w:color w:val="auto"/>
                <w:sz w:val="22"/>
                <w:szCs w:val="22"/>
                <w:lang/>
              </w:rPr>
              <w:lastRenderedPageBreak/>
              <w:t>communication and delayed clinical response.</w:t>
            </w:r>
          </w:p>
        </w:tc>
        <w:tc>
          <w:tcPr>
            <w:tcW w:w="0" w:type="auto"/>
            <w:hideMark/>
          </w:tcPr>
          <w:p w14:paraId="25FCFB6C" w14:textId="77777777" w:rsidR="00EC34DF" w:rsidRPr="00EC34DF" w:rsidRDefault="00EC34DF" w:rsidP="00EC34DF">
            <w:pPr>
              <w:pStyle w:val="Caption"/>
              <w:rPr>
                <w:rFonts w:ascii="Arial" w:hAnsi="Arial" w:cs="Arial"/>
                <w:i w:val="0"/>
                <w:iCs w:val="0"/>
                <w:color w:val="auto"/>
                <w:sz w:val="22"/>
                <w:szCs w:val="22"/>
                <w:lang/>
              </w:rPr>
            </w:pPr>
            <w:r w:rsidRPr="00EC34DF">
              <w:rPr>
                <w:rFonts w:ascii="Arial" w:hAnsi="Arial" w:cs="Arial"/>
                <w:i w:val="0"/>
                <w:iCs w:val="0"/>
                <w:color w:val="auto"/>
                <w:sz w:val="22"/>
                <w:szCs w:val="22"/>
                <w:lang/>
              </w:rPr>
              <w:lastRenderedPageBreak/>
              <w:t>In the NHS, there were 689,745 patient safety incidents reported in 2020-2021.</w:t>
            </w:r>
          </w:p>
        </w:tc>
      </w:tr>
      <w:tr w:rsidR="00EC34DF" w:rsidRPr="00EC34DF" w14:paraId="1DAA6D33" w14:textId="77777777" w:rsidTr="00EC34DF">
        <w:tc>
          <w:tcPr>
            <w:tcW w:w="0" w:type="auto"/>
            <w:hideMark/>
          </w:tcPr>
          <w:p w14:paraId="1F91DD38" w14:textId="77777777" w:rsidR="00EC34DF" w:rsidRPr="00EC34DF" w:rsidRDefault="00EC34DF" w:rsidP="00EC34DF">
            <w:pPr>
              <w:pStyle w:val="Caption"/>
              <w:rPr>
                <w:rFonts w:ascii="Arial" w:hAnsi="Arial" w:cs="Arial"/>
                <w:i w:val="0"/>
                <w:iCs w:val="0"/>
                <w:color w:val="auto"/>
                <w:sz w:val="22"/>
                <w:szCs w:val="22"/>
                <w:lang/>
              </w:rPr>
            </w:pPr>
            <w:r w:rsidRPr="00EC34DF">
              <w:rPr>
                <w:rFonts w:ascii="Arial" w:hAnsi="Arial" w:cs="Arial"/>
                <w:i w:val="0"/>
                <w:iCs w:val="0"/>
                <w:color w:val="auto"/>
                <w:sz w:val="22"/>
                <w:szCs w:val="22"/>
                <w:lang/>
              </w:rPr>
              <w:t>Ystaas et al. (2023)</w:t>
            </w:r>
          </w:p>
        </w:tc>
        <w:tc>
          <w:tcPr>
            <w:tcW w:w="0" w:type="auto"/>
            <w:hideMark/>
          </w:tcPr>
          <w:p w14:paraId="39E06551" w14:textId="77777777" w:rsidR="00EC34DF" w:rsidRPr="00EC34DF" w:rsidRDefault="00EC34DF" w:rsidP="00EC34DF">
            <w:pPr>
              <w:pStyle w:val="Caption"/>
              <w:rPr>
                <w:rFonts w:ascii="Arial" w:hAnsi="Arial" w:cs="Arial"/>
                <w:i w:val="0"/>
                <w:iCs w:val="0"/>
                <w:color w:val="auto"/>
                <w:sz w:val="22"/>
                <w:szCs w:val="22"/>
                <w:lang/>
              </w:rPr>
            </w:pPr>
            <w:r w:rsidRPr="00EC34DF">
              <w:rPr>
                <w:rFonts w:ascii="Arial" w:hAnsi="Arial" w:cs="Arial"/>
                <w:i w:val="0"/>
                <w:iCs w:val="0"/>
                <w:color w:val="auto"/>
                <w:sz w:val="22"/>
                <w:szCs w:val="22"/>
                <w:lang/>
              </w:rPr>
              <w:t>Leadership failure and poor communication were key contributors to the tragic outcome in the Blackman case.</w:t>
            </w:r>
          </w:p>
        </w:tc>
        <w:tc>
          <w:tcPr>
            <w:tcW w:w="0" w:type="auto"/>
            <w:hideMark/>
          </w:tcPr>
          <w:p w14:paraId="709BA233" w14:textId="77777777" w:rsidR="00EC34DF" w:rsidRPr="00EC34DF" w:rsidRDefault="00EC34DF" w:rsidP="00EC34DF">
            <w:pPr>
              <w:pStyle w:val="Caption"/>
              <w:rPr>
                <w:rFonts w:ascii="Arial" w:hAnsi="Arial" w:cs="Arial"/>
                <w:i w:val="0"/>
                <w:iCs w:val="0"/>
                <w:color w:val="auto"/>
                <w:sz w:val="22"/>
                <w:szCs w:val="22"/>
                <w:lang/>
              </w:rPr>
            </w:pPr>
            <w:r w:rsidRPr="00EC34DF">
              <w:rPr>
                <w:rFonts w:ascii="Arial" w:hAnsi="Arial" w:cs="Arial"/>
                <w:i w:val="0"/>
                <w:iCs w:val="0"/>
                <w:color w:val="auto"/>
                <w:sz w:val="22"/>
                <w:szCs w:val="22"/>
                <w:lang/>
              </w:rPr>
              <w:t>32% of patient safety incidents involved communication breakdowns in healthcare settings.</w:t>
            </w:r>
          </w:p>
        </w:tc>
      </w:tr>
    </w:tbl>
    <w:p w14:paraId="5CC3BF09" w14:textId="0799A439" w:rsidR="00EC34DF" w:rsidRPr="00EC34DF" w:rsidRDefault="00EC34DF" w:rsidP="00EC34DF">
      <w:pPr>
        <w:pStyle w:val="Caption"/>
        <w:rPr>
          <w:rFonts w:ascii="Arial" w:hAnsi="Arial" w:cs="Arial"/>
          <w:b/>
          <w:bCs/>
          <w:i w:val="0"/>
          <w:iCs w:val="0"/>
          <w:color w:val="auto"/>
          <w:sz w:val="22"/>
          <w:szCs w:val="22"/>
        </w:rPr>
      </w:pPr>
      <w:r w:rsidRPr="00EC34DF">
        <w:rPr>
          <w:rFonts w:ascii="Arial" w:hAnsi="Arial" w:cs="Arial"/>
          <w:b/>
          <w:bCs/>
          <w:i w:val="0"/>
          <w:iCs w:val="0"/>
          <w:color w:val="auto"/>
          <w:sz w:val="22"/>
          <w:szCs w:val="22"/>
        </w:rPr>
        <w:t xml:space="preserve">Figure </w:t>
      </w:r>
      <w:r w:rsidRPr="00EC34DF">
        <w:rPr>
          <w:rFonts w:ascii="Arial" w:hAnsi="Arial" w:cs="Arial"/>
          <w:b/>
          <w:bCs/>
          <w:i w:val="0"/>
          <w:iCs w:val="0"/>
          <w:color w:val="auto"/>
          <w:sz w:val="22"/>
          <w:szCs w:val="22"/>
        </w:rPr>
        <w:fldChar w:fldCharType="begin"/>
      </w:r>
      <w:r w:rsidRPr="00EC34DF">
        <w:rPr>
          <w:rFonts w:ascii="Arial" w:hAnsi="Arial" w:cs="Arial"/>
          <w:b/>
          <w:bCs/>
          <w:i w:val="0"/>
          <w:iCs w:val="0"/>
          <w:color w:val="auto"/>
          <w:sz w:val="22"/>
          <w:szCs w:val="22"/>
        </w:rPr>
        <w:instrText xml:space="preserve"> SEQ Figure \* ARABIC </w:instrText>
      </w:r>
      <w:r w:rsidRPr="00EC34DF">
        <w:rPr>
          <w:rFonts w:ascii="Arial" w:hAnsi="Arial" w:cs="Arial"/>
          <w:b/>
          <w:bCs/>
          <w:i w:val="0"/>
          <w:iCs w:val="0"/>
          <w:color w:val="auto"/>
          <w:sz w:val="22"/>
          <w:szCs w:val="22"/>
        </w:rPr>
        <w:fldChar w:fldCharType="separate"/>
      </w:r>
      <w:r w:rsidRPr="00EC34DF">
        <w:rPr>
          <w:rFonts w:ascii="Arial" w:hAnsi="Arial" w:cs="Arial"/>
          <w:b/>
          <w:bCs/>
          <w:i w:val="0"/>
          <w:iCs w:val="0"/>
          <w:noProof/>
          <w:color w:val="auto"/>
          <w:sz w:val="22"/>
          <w:szCs w:val="22"/>
        </w:rPr>
        <w:t>2</w:t>
      </w:r>
      <w:r w:rsidRPr="00EC34DF">
        <w:rPr>
          <w:rFonts w:ascii="Arial" w:hAnsi="Arial" w:cs="Arial"/>
          <w:b/>
          <w:bCs/>
          <w:i w:val="0"/>
          <w:iCs w:val="0"/>
          <w:color w:val="auto"/>
          <w:sz w:val="22"/>
          <w:szCs w:val="22"/>
        </w:rPr>
        <w:fldChar w:fldCharType="end"/>
      </w:r>
      <w:r w:rsidRPr="00EC34DF">
        <w:rPr>
          <w:rFonts w:ascii="Arial" w:hAnsi="Arial" w:cs="Arial"/>
          <w:b/>
          <w:bCs/>
          <w:i w:val="0"/>
          <w:iCs w:val="0"/>
          <w:color w:val="auto"/>
          <w:sz w:val="22"/>
          <w:szCs w:val="22"/>
        </w:rPr>
        <w:t xml:space="preserve"> Table: Key Data, Statistics, and Sources Related to Leadership Failures and Patient Safety in the Lewis Blackman Case</w:t>
      </w:r>
    </w:p>
    <w:p w14:paraId="0E374BE8" w14:textId="77777777" w:rsidR="00717064" w:rsidRPr="00717064" w:rsidRDefault="00717064" w:rsidP="00696645">
      <w:pPr>
        <w:spacing w:after="0" w:line="360" w:lineRule="auto"/>
        <w:contextualSpacing/>
        <w:jc w:val="both"/>
        <w:rPr>
          <w:rFonts w:ascii="Arial" w:hAnsi="Arial" w:cs="Arial"/>
          <w:b/>
          <w:bCs/>
          <w:sz w:val="22"/>
          <w:szCs w:val="22"/>
        </w:rPr>
      </w:pPr>
      <w:r w:rsidRPr="00717064">
        <w:rPr>
          <w:rFonts w:ascii="Arial" w:hAnsi="Arial" w:cs="Arial"/>
          <w:b/>
          <w:bCs/>
          <w:sz w:val="22"/>
          <w:szCs w:val="22"/>
        </w:rPr>
        <w:t>b. Decentralization or Centralization</w:t>
      </w:r>
    </w:p>
    <w:p w14:paraId="7A67B22F" w14:textId="77777777" w:rsidR="00717064" w:rsidRPr="00717064" w:rsidRDefault="00717064" w:rsidP="00696645">
      <w:pPr>
        <w:spacing w:after="0" w:line="360" w:lineRule="auto"/>
        <w:contextualSpacing/>
        <w:jc w:val="both"/>
        <w:rPr>
          <w:rFonts w:ascii="Arial" w:hAnsi="Arial" w:cs="Arial"/>
          <w:sz w:val="22"/>
          <w:szCs w:val="22"/>
        </w:rPr>
      </w:pPr>
      <w:r w:rsidRPr="00717064">
        <w:rPr>
          <w:rFonts w:ascii="Arial" w:hAnsi="Arial" w:cs="Arial"/>
          <w:sz w:val="22"/>
          <w:szCs w:val="22"/>
        </w:rPr>
        <w:t>The case of Lewis Blackman's healthcare system was centralized, and the decision-making process was centralized at the top of the hierarchy, with the frontline staff involved in an exceptionally small number (Ring &amp; Fairchild, 2013). This top-down approach is more likely to slow down the process of focusing on the problem of patient safety and reducing the rate at which clinical teams can react to emergency cases (Althobaiti, 2026). Even though the concept of centralization can be effective in certain organizational contexts, it failed to gain any advantage in the scenario involving Blackman since employees at the frontline were not at liberty to resolve the emerging threats (Cocaman et al., 2023). Inability to make prompt decisions and empowerment meant that the key problems were not being addressed promptly, which later resulted in avoidable lethal consequences (Ring &amp; Fairchild, 2013).</w:t>
      </w:r>
    </w:p>
    <w:p w14:paraId="772BAA09" w14:textId="77777777" w:rsidR="00717064" w:rsidRPr="00717064" w:rsidRDefault="00717064" w:rsidP="00696645">
      <w:pPr>
        <w:spacing w:after="0" w:line="360" w:lineRule="auto"/>
        <w:contextualSpacing/>
        <w:jc w:val="both"/>
        <w:rPr>
          <w:rFonts w:ascii="Arial" w:hAnsi="Arial" w:cs="Arial"/>
          <w:sz w:val="22"/>
          <w:szCs w:val="22"/>
        </w:rPr>
      </w:pPr>
      <w:r w:rsidRPr="00717064">
        <w:rPr>
          <w:rFonts w:ascii="Arial" w:hAnsi="Arial" w:cs="Arial"/>
          <w:sz w:val="22"/>
          <w:szCs w:val="22"/>
        </w:rPr>
        <w:t>Healthcare is a dynamic sector that requires instant decision-making on a point-of-care (Braithwaite et al., 2015). The process may be slow due to centralized systems because the decisions must pass through a number of management levels (Weaver et al., 2013). Interventions do not always get sanctioned when the top leadership has arrived at a compromise and the time window is past, as experienced in Blackman's case (Ring &amp; Fairchild, 2013). On-the-job workers have constantly current patient data, yet least centralized judgment cuts these visions, and administrative leaders are not in touch with the present-day clinical realities (Althobaiti, 2026). This lack of delegation can result in the emergence of risky errors, in particular, in a high-stakes environment (Cocaman et al., 2023).</w:t>
      </w:r>
    </w:p>
    <w:p w14:paraId="612709F0" w14:textId="77777777" w:rsidR="00717064" w:rsidRPr="00717064" w:rsidRDefault="00717064" w:rsidP="00696645">
      <w:pPr>
        <w:spacing w:after="0" w:line="360" w:lineRule="auto"/>
        <w:contextualSpacing/>
        <w:jc w:val="both"/>
        <w:rPr>
          <w:rFonts w:ascii="Arial" w:hAnsi="Arial" w:cs="Arial"/>
          <w:sz w:val="22"/>
          <w:szCs w:val="22"/>
        </w:rPr>
      </w:pPr>
      <w:r w:rsidRPr="00717064">
        <w:rPr>
          <w:rFonts w:ascii="Arial" w:hAnsi="Arial" w:cs="Arial"/>
          <w:sz w:val="22"/>
          <w:szCs w:val="22"/>
        </w:rPr>
        <w:t xml:space="preserve">In a centralized system, the senior management has the authority, and it does not allow the independent decisions of nurses, junior physicians, and other clinicians (Braithwaite et al., 2015). As illustrated in the case of Blackman, the important decisions to be made concerning his poor health were delayed because they had to be discussed with the higher-level authorities to implement any action (Weaver et al., 2026). The situation was not able to be intervened with timely adjustments to the treatment plans and care escalation because the closest staff to the patient did not take immediate action (Ring &amp; Fairchild, 2013). The issue of centralization also creates the risk of entrusting the decision-making process to individuals who do not have direct contact with patients in their daily activities and, as such, are not interested in the small-scale alterations in the state of patients (Althobaiti, 2026). This </w:t>
      </w:r>
      <w:r w:rsidRPr="00717064">
        <w:rPr>
          <w:rFonts w:ascii="Arial" w:hAnsi="Arial" w:cs="Arial"/>
          <w:sz w:val="22"/>
          <w:szCs w:val="22"/>
        </w:rPr>
        <w:lastRenderedPageBreak/>
        <w:t>association can lead to poor communication and latent reactions that were observed in this case (Cocaman et al., 2023).</w:t>
      </w:r>
    </w:p>
    <w:p w14:paraId="31B520F8" w14:textId="77777777" w:rsidR="00717064" w:rsidRPr="00717064" w:rsidRDefault="00717064" w:rsidP="00696645">
      <w:pPr>
        <w:spacing w:after="0" w:line="360" w:lineRule="auto"/>
        <w:contextualSpacing/>
        <w:jc w:val="both"/>
        <w:rPr>
          <w:rFonts w:ascii="Arial" w:hAnsi="Arial" w:cs="Arial"/>
          <w:sz w:val="22"/>
          <w:szCs w:val="22"/>
        </w:rPr>
      </w:pPr>
      <w:r w:rsidRPr="00717064">
        <w:rPr>
          <w:rFonts w:ascii="Arial" w:hAnsi="Arial" w:cs="Arial"/>
          <w:sz w:val="22"/>
          <w:szCs w:val="22"/>
        </w:rPr>
        <w:t>By comparison, decentralization transfers the decision-making effort to the staff members who are closest to the patient, which enables them to react fast on the basis of their own observation (Braithwaite et al., 2015). The decentralized systems allow the nurses, physicians, and other clinicians to raise concerns and act without the senior approval, and the time wastage, which may compromise patient safety, is removed (Weaver et al., 2013). In this instance, the decentralized model would have enabled the healthcare team to act when the red flags were raised and therefore prevent the adverse event (Althobaiti, 2026).</w:t>
      </w:r>
    </w:p>
    <w:p w14:paraId="0CBE8956" w14:textId="77777777" w:rsidR="00717064" w:rsidRPr="00717064" w:rsidRDefault="00717064" w:rsidP="00696645">
      <w:pPr>
        <w:spacing w:after="0" w:line="360" w:lineRule="auto"/>
        <w:contextualSpacing/>
        <w:jc w:val="both"/>
        <w:rPr>
          <w:rFonts w:ascii="Arial" w:hAnsi="Arial" w:cs="Arial"/>
          <w:sz w:val="22"/>
          <w:szCs w:val="22"/>
        </w:rPr>
      </w:pPr>
      <w:r w:rsidRPr="00717064">
        <w:rPr>
          <w:rFonts w:ascii="Arial" w:hAnsi="Arial" w:cs="Arial"/>
          <w:sz w:val="22"/>
          <w:szCs w:val="22"/>
        </w:rPr>
        <w:t>The effects of decentralization also result in the ownership and responsibility of business-level employees because the individuals who make decisions will be in control of the outcomes of their actions (Cocaman et al., 2023). It is a responsibility culture that encourages the proactive identification of risks and collaborative problem-solving (Ring and Fairchild, 2013). Along with that, decentralization enhances teamwork and communication because it values the input at all levels of the organization, which strengthens the patient safety culture (Weaver et al., 2026).</w:t>
      </w:r>
    </w:p>
    <w:p w14:paraId="04A76769" w14:textId="77777777" w:rsidR="00717064" w:rsidRPr="00717064" w:rsidRDefault="00717064" w:rsidP="00696645">
      <w:pPr>
        <w:spacing w:after="0" w:line="360" w:lineRule="auto"/>
        <w:contextualSpacing/>
        <w:jc w:val="both"/>
        <w:rPr>
          <w:rFonts w:ascii="Arial" w:hAnsi="Arial" w:cs="Arial"/>
          <w:sz w:val="22"/>
          <w:szCs w:val="22"/>
        </w:rPr>
      </w:pPr>
      <w:r w:rsidRPr="00717064">
        <w:rPr>
          <w:rFonts w:ascii="Arial" w:hAnsi="Arial" w:cs="Arial"/>
          <w:sz w:val="22"/>
          <w:szCs w:val="22"/>
        </w:rPr>
        <w:t>However, decentralization must possess a touch of responsibility and conformity to organizational procedures to encourage uniformity and security (Braithwaite et al., 2015). The standards and guidelines must also be followed in the lower-level decision-making; otherwise, the inconsistency in the quality of care is likely to be observed in the systems that are decentralized (Weaver et al., 2013). The most important aspect of decentralization is the effective process of communication and roles that would guarantee safety and coordination of team activities (Althobaiti, 2026). The case of Lewis Blackman illustrates that decentralization can be even more effective than centralization in times of crisis (Ring &amp; Fairchild, 2013). With centralized structures, it was a long time before the degradation of a patient, Blackman, was noticed, since the more empowered frontline teams would have responded faster to avoid injuries (Cocaman et al., 2023). The decentralization should be followed by the leadership development programs that will instill trust, accountability, and observance of the standards of safety (Braithwaite et al., 2015; Weaver et al., 2026). Independence and supervision are two of the strategies to make the healthcare organization guarantee the provision of quality, safe, and timely care to patients (Weaver et al., 2013).</w:t>
      </w:r>
    </w:p>
    <w:p w14:paraId="2536DF58" w14:textId="77777777" w:rsidR="00717064" w:rsidRPr="00717064" w:rsidRDefault="00717064" w:rsidP="00696645">
      <w:pPr>
        <w:spacing w:after="0" w:line="360" w:lineRule="auto"/>
        <w:contextualSpacing/>
        <w:jc w:val="both"/>
        <w:rPr>
          <w:rFonts w:ascii="Arial" w:hAnsi="Arial" w:cs="Arial"/>
          <w:b/>
          <w:bCs/>
          <w:sz w:val="22"/>
          <w:szCs w:val="22"/>
        </w:rPr>
      </w:pPr>
      <w:r w:rsidRPr="00717064">
        <w:rPr>
          <w:rFonts w:ascii="Arial" w:hAnsi="Arial" w:cs="Arial"/>
          <w:b/>
          <w:bCs/>
          <w:sz w:val="22"/>
          <w:szCs w:val="22"/>
        </w:rPr>
        <w:t xml:space="preserve">c. </w:t>
      </w:r>
      <w:bookmarkStart w:id="1" w:name="_Hlk224289313"/>
      <w:r w:rsidRPr="00717064">
        <w:rPr>
          <w:rFonts w:ascii="Arial" w:hAnsi="Arial" w:cs="Arial"/>
          <w:b/>
          <w:bCs/>
          <w:sz w:val="22"/>
          <w:szCs w:val="22"/>
        </w:rPr>
        <w:t>Leadership Theories and Application</w:t>
      </w:r>
      <w:bookmarkEnd w:id="1"/>
      <w:r w:rsidRPr="00717064">
        <w:rPr>
          <w:rFonts w:ascii="Arial" w:hAnsi="Arial" w:cs="Arial"/>
          <w:b/>
          <w:bCs/>
          <w:sz w:val="22"/>
          <w:szCs w:val="22"/>
        </w:rPr>
        <w:t xml:space="preserve"> </w:t>
      </w:r>
    </w:p>
    <w:p w14:paraId="4522EF49" w14:textId="1FC68B7A" w:rsidR="00717064" w:rsidRPr="00717064" w:rsidRDefault="00717064" w:rsidP="00696645">
      <w:pPr>
        <w:spacing w:after="0" w:line="360" w:lineRule="auto"/>
        <w:contextualSpacing/>
        <w:jc w:val="both"/>
        <w:rPr>
          <w:rFonts w:ascii="Arial" w:hAnsi="Arial" w:cs="Arial"/>
          <w:sz w:val="22"/>
          <w:szCs w:val="22"/>
        </w:rPr>
      </w:pPr>
      <w:r w:rsidRPr="00717064">
        <w:rPr>
          <w:rFonts w:ascii="Arial" w:hAnsi="Arial" w:cs="Arial"/>
          <w:sz w:val="22"/>
          <w:szCs w:val="22"/>
        </w:rPr>
        <w:t xml:space="preserve">The application of the leadership theories to the Lewis Blackman patient safety case will help explain how the leadership and governance shortcomings led to the tragic outcome and what leadership strategies would have prevented the incident. The given case demonstrates that ineffective leadership, rigid hierarchy, and inefficient communication within the healthcare system led to the situation where the worsening of the patient's condition was not timely </w:t>
      </w:r>
      <w:r w:rsidRPr="00717064">
        <w:rPr>
          <w:rFonts w:ascii="Arial" w:hAnsi="Arial" w:cs="Arial"/>
          <w:sz w:val="22"/>
          <w:szCs w:val="22"/>
        </w:rPr>
        <w:lastRenderedPageBreak/>
        <w:t xml:space="preserve">addressed, which ultimately led to the occurrence of the avoidable harm (Wong, Cummings &amp; Ducharme, 2013). The case analysis within the framework of the different theories of leadership provides an idea about the role played by leadership behavior in the enhanced safety outcomes and organizational culture (West et al., 2014). The Great Man Theory states that the authority and influence of a single influential figure should encourage leadership and be able to influence the decision-making process by the power and charisma of this actor (Mannion &amp; Davies, 2018). In the example of Lewis Blackman, there were some elements of this hierarchical model of leadership, as the power was concentrated on the senior clinicians and decision-making units within the hospital system (O'Daniel &amp; Rosenstein, 2008). The top-down power reduced the ability of frontline workers to take action on short notice when the apparent indicators of the event of the patient being upset occurred (Arabia, Abdullah &amp; Kaud, 2023). The patient safety literature demonstrates that systems that put more emphasis on individual power rather than team-based cooperation cannot create a resilient healthcare team to respond to clinical emergency conditions (Ginsburg et al., 2010). The case of Blackman illustrates that the top-down authority failed to act promptly on the issues reported by nurses and junior clinicians, which indicated the disadvantages of the leadership models that were based on the principles of individual power rather than on the principles of team-based decision-making (West et al., 2014). The other leadership theory that assists in comprehending the subject is the Trait Theory, which identifies individual qualities possessed by competent leaders, and these qualities are confidence, empathy, emotional intelligence, and decisiveness (Wong, Cummings, </w:t>
      </w:r>
      <w:r w:rsidR="00215D12">
        <w:rPr>
          <w:rFonts w:ascii="Arial" w:hAnsi="Arial" w:cs="Arial"/>
          <w:sz w:val="22"/>
          <w:szCs w:val="22"/>
        </w:rPr>
        <w:t>&amp;</w:t>
      </w:r>
      <w:r w:rsidRPr="00717064">
        <w:rPr>
          <w:rFonts w:ascii="Arial" w:hAnsi="Arial" w:cs="Arial"/>
          <w:sz w:val="22"/>
          <w:szCs w:val="22"/>
        </w:rPr>
        <w:t xml:space="preserve"> Ducharme, 2013). EI leaders are likely to encourage open communication and promote positive working cultures, which result in improved patient safety in the healthcare environment (Alabdullah &amp; Karwowski, 2024). In the case of Lewis Blackman, the leadership style was deprived of these relational qualities because problems raised by the staff members and family members were not adequately acknowledged or addressed (O'Daniel &amp; Rosenstein, 2008). According to the research findings on the topic of healthcare leadership, the better the level of emotional intelligence of the team leaders is, the higher the degree of satisfaction, improved communication, and safety outcomes are (Anders, 2025). The leadership of the discussed case might have become more responsive and understanding, and thus heard the initial warning about the deteriorating state of Blackman, which would have led to the avoidance of the fatal result (Ward, Doherty, and Corrigan, 2023). The behavioural theories of leadership are related to the behaviour of the leaders, particularly the proportion between the task-oriented and people-oriented leadership (West et al., 2014). Task-oriented leadership is operational-oriented and efficiency-oriented, whereas people-oriented leadership is communication-oriented, team-oriented, and staff-involved (Mannion &amp; Davies, 2018). Leadership behaviors among Lewis Blackman were found to put more focus on the standard medical procedure and hierarchical reporting framework, rather than </w:t>
      </w:r>
      <w:r w:rsidRPr="00717064">
        <w:rPr>
          <w:rFonts w:ascii="Arial" w:hAnsi="Arial" w:cs="Arial"/>
          <w:sz w:val="22"/>
          <w:szCs w:val="22"/>
        </w:rPr>
        <w:lastRenderedPageBreak/>
        <w:t xml:space="preserve">appropriate communication and collaboration among the care team (Arabia, Abdullah, and Kaud, 2023). The healthcare management has also discovered that those organizations that strike the optimal balance between the task-oriented leadership and the people-oriented leadership achieve a substantially lower rate of safety incidents as communication and teamwork are favorably promoted (Ginsburg et al., 2010). Imbalance in leadership behaviors in this case was also a source of communication breakdown that failed to enable the healthcare team to respond to the worsening situation of the patient (Wong, Cummings &amp; Ducharme, 2013). In the situational or contingency leadership theory, leaders are expected to vary the style of leadership on the basis of the situation, urgency, and capabilities of subordinates (West et al., 2014). The healthcare environment is a dynamic and unpredictable environment; this is why the adaptability of the leadership in response to the deterioration of patients and clinical crises is obligatory (Mannion &amp; Davies, 2018). The case concerning Lewis Blackman was perceived to have strict responses to leadership and to be reluctant to adapt in response to the worsening clinical condition (O'Daniel &amp; Rosenstein, 2008). The application of a situational leadership model would have enabled the senior clinicians to adjust the decision-making processes more quickly and the frontline staff to raise the concerns and initiate the relevant interventions earlier (Arabia, Abdullah &amp; Kaud, 2023). It is partly supported that adaptive leadership has a positive effect on both the pace of response to the clinical incidents and patient safety outcomes (Alabdullah &amp; Karwowski, 2024). The Tannenbaum and Schmidt leadership continuum also shows how leadership can shift between autocratic and participatory decision-making (West et al., 2014). Leadership is likely to be autocratic, and the majority of decisions are made by top clinicians and administrators in healthcare facilities where the level of centralization is high (Mannion &amp; Davies, 2018). The case of Lewis Blackman explains how this centralized format failed to provide the involvement of frontline employees who would be in direct contact with the status of the patient (O'Daniel &amp; Rosenstein, 2008). A more interactive leadership approach would have encouraged decisions made collectively and improved communication within the care team (Arabia, Abdullah, &amp; Kaud, 2023). As per research, participatory leadership practices reduce staff turnover rate, improve staff engagement, and improve the safety culture within healthcare facilities (Ginsburg et al., 2010). Finally, transformational leadership presents one of the most practical models in the intervention of patient safety failures in a healthcare system (Wong, Cummings &amp; Ducharme, 2013). Transformational leaders inspire the team using a shared vision, enable open communication, and encourage creativity in addressing safety concerns (Alabdullah &amp; Karwowski, 2024). One of the elements of the lack of transformational leadership in the Lewis Blackman case scenario is that it contributed to the emergence of a culture that was reluctant to report problems, and ineffective systemic vulnerabilities were not actively addressed (West et al., 2014). Transformational leadership has been discovered to be strongly associated with </w:t>
      </w:r>
      <w:r w:rsidRPr="00717064">
        <w:rPr>
          <w:rFonts w:ascii="Arial" w:hAnsi="Arial" w:cs="Arial"/>
          <w:sz w:val="22"/>
          <w:szCs w:val="22"/>
        </w:rPr>
        <w:lastRenderedPageBreak/>
        <w:t xml:space="preserve">improved patient safety outcomes, increased employee morale, and increased teamwork in healthcare institutions (Ward, Doherty, and Corrigan, 2023). The frontline staff at the case could have felt free to express their concerns and take control of the process of care provision earlier than they did with the patient, had the healthcare leaders in the case offered a culture of psychological safety and empowerment (Ginsburg et al., 2010). Altogether, the analysis of the leadership theories applied to the case of Lewis Blackman suggests that the leadership style is a last step towards the performance and patient safety outcomes of healthcare systems (Wong, Cummings &amp; Ducharme, 2013). The absence of empowerment, the inefficiency of communication, and hierarchical levels of authority have caused a systemic weakness in the organization, which is explained in the case (West et al., 2014). The application of the more distributed paradigm of leadership inspired by transformational, situational, and participatory theories would have increased collaboration and communication, and could have prevented a tragedy that occurred in the situation with Lewis Blackman (Mannion &amp; Davies, 2018; Ward, Doherty, </w:t>
      </w:r>
      <w:r w:rsidR="007E47C1">
        <w:rPr>
          <w:rFonts w:ascii="Arial" w:hAnsi="Arial" w:cs="Arial"/>
          <w:sz w:val="22"/>
          <w:szCs w:val="22"/>
        </w:rPr>
        <w:t>&amp;</w:t>
      </w:r>
      <w:r w:rsidRPr="00717064">
        <w:rPr>
          <w:rFonts w:ascii="Arial" w:hAnsi="Arial" w:cs="Arial"/>
          <w:sz w:val="22"/>
          <w:szCs w:val="22"/>
        </w:rPr>
        <w:t xml:space="preserve"> Corrigan, 2023).</w:t>
      </w:r>
    </w:p>
    <w:p w14:paraId="6842A5D3" w14:textId="77777777" w:rsidR="00717064" w:rsidRPr="00717064" w:rsidRDefault="00717064" w:rsidP="00696645">
      <w:pPr>
        <w:spacing w:after="0" w:line="360" w:lineRule="auto"/>
        <w:contextualSpacing/>
        <w:jc w:val="both"/>
        <w:rPr>
          <w:rFonts w:ascii="Arial" w:hAnsi="Arial" w:cs="Arial"/>
          <w:b/>
          <w:bCs/>
          <w:sz w:val="22"/>
          <w:szCs w:val="22"/>
        </w:rPr>
      </w:pPr>
      <w:r w:rsidRPr="00717064">
        <w:rPr>
          <w:rFonts w:ascii="Arial" w:hAnsi="Arial" w:cs="Arial"/>
          <w:b/>
          <w:bCs/>
          <w:sz w:val="22"/>
          <w:szCs w:val="22"/>
        </w:rPr>
        <w:t xml:space="preserve">d. Lessons Learned and Improvement </w:t>
      </w:r>
    </w:p>
    <w:p w14:paraId="5FE0757A" w14:textId="77777777" w:rsidR="00717064" w:rsidRPr="00717064" w:rsidRDefault="00717064" w:rsidP="00696645">
      <w:pPr>
        <w:spacing w:after="0" w:line="360" w:lineRule="auto"/>
        <w:contextualSpacing/>
        <w:jc w:val="both"/>
        <w:rPr>
          <w:rFonts w:ascii="Arial" w:hAnsi="Arial" w:cs="Arial"/>
          <w:b/>
          <w:bCs/>
          <w:sz w:val="22"/>
          <w:szCs w:val="22"/>
        </w:rPr>
      </w:pPr>
      <w:r w:rsidRPr="00717064">
        <w:rPr>
          <w:rFonts w:ascii="Arial" w:hAnsi="Arial" w:cs="Arial"/>
          <w:b/>
          <w:bCs/>
          <w:sz w:val="22"/>
          <w:szCs w:val="22"/>
        </w:rPr>
        <w:t>Leadership Evaluation and Governance Assessment</w:t>
      </w:r>
    </w:p>
    <w:p w14:paraId="4107C3C1" w14:textId="77777777" w:rsidR="00717064" w:rsidRPr="00717064" w:rsidRDefault="00717064" w:rsidP="00696645">
      <w:pPr>
        <w:spacing w:after="0" w:line="360" w:lineRule="auto"/>
        <w:contextualSpacing/>
        <w:jc w:val="both"/>
        <w:rPr>
          <w:rFonts w:ascii="Arial" w:hAnsi="Arial" w:cs="Arial"/>
          <w:sz w:val="22"/>
          <w:szCs w:val="22"/>
        </w:rPr>
      </w:pPr>
      <w:r w:rsidRPr="00717064">
        <w:rPr>
          <w:rFonts w:ascii="Arial" w:hAnsi="Arial" w:cs="Arial"/>
          <w:sz w:val="22"/>
          <w:szCs w:val="22"/>
        </w:rPr>
        <w:t>The Lewis Blackman example reveals some of the most significant leadership and governance mistakes that caused the disastrous outcomes (Wong, Cummings, and Ducharme, 2013). Other severe issues, including the absence of accountability, communication, and oversight, were not addressed in due time and in the most efficient manner (West et al., 2014). These system defects worsened the situation and had a direct impact on patient safety and quality of care (Mannion &amp; Davies, 2018). Risk identification and safety measures at all levels should be proactive on the part of healthcare leaders, and in this case, they were reactive ones and failed to address the current problems (Wong, Cummings &amp; Ducharme, 2013).</w:t>
      </w:r>
    </w:p>
    <w:p w14:paraId="61ED954F" w14:textId="77777777" w:rsidR="00717064" w:rsidRPr="00717064" w:rsidRDefault="00717064" w:rsidP="00696645">
      <w:pPr>
        <w:spacing w:after="0" w:line="360" w:lineRule="auto"/>
        <w:contextualSpacing/>
        <w:jc w:val="both"/>
        <w:rPr>
          <w:rFonts w:ascii="Arial" w:hAnsi="Arial" w:cs="Arial"/>
          <w:sz w:val="22"/>
          <w:szCs w:val="22"/>
        </w:rPr>
      </w:pPr>
      <w:r w:rsidRPr="00717064">
        <w:rPr>
          <w:rFonts w:ascii="Arial" w:hAnsi="Arial" w:cs="Arial"/>
          <w:sz w:val="22"/>
          <w:szCs w:val="22"/>
        </w:rPr>
        <w:t xml:space="preserve">The medical profession is fundamentally responsible, where procedures and processes are adhered to involving patients and actions (West et al., 2014). With Blackman, the lack of accountability in the work of staff to patients was acute; the management could not report or correct the errors (Mannion &amp; Davies, 2018). Good accountability should exist at the ranks, the higher-level management, and clinicians in the frontline, and leaders should show how to be accountable in the case of both positive and negative results (Wong, Cummings &amp; Ducharme, 2013). The other major problem was communication breakdowns. The breakdown in good communication among the nurses, physicians, and administrators meant that crucial information regarding the situation of Blackman was not exchanged and not acted upon (O'Daniel &amp; Rosenstein, 2008). Lack of information sharing is a common problem in the healthcare sector when specialists fail to collaborate with each other, but the leaders are expected to establish the level of communication that will address patient safety (Arabia, Abdullah, &amp; Kaud, 2023). Interdisciplinary communication and collaboration should also be </w:t>
      </w:r>
      <w:r w:rsidRPr="00717064">
        <w:rPr>
          <w:rFonts w:ascii="Arial" w:hAnsi="Arial" w:cs="Arial"/>
          <w:sz w:val="22"/>
          <w:szCs w:val="22"/>
        </w:rPr>
        <w:lastRenderedPageBreak/>
        <w:t>encouraged to ensure that the decisions on patient care are informed and Timely (West et al., 2014). Inadequate oversight was another governance issue that contributed to the fatal outcome. Leaders must set up mechanisms that will assist them in monitoring the care delivery, risks, and areas of improvement (Mannion &amp; Davies, 2018). In this case, no monitoring resulted in system-wide issues and injuries to patients (Wong, Cummings &amp; Ducharme, 2013). One of the tools that might have revealed the loopholes in care provision and the organizational framework was safety audits, peer review, and risk assessment (Arabia, Abdullah, &amp; Kaud, 2023). Without these mechanisms, there will be vulnerability of healthcare institutions to errors and safety failures (O'Daniel &amp; Rosenstein, 2008).</w:t>
      </w:r>
    </w:p>
    <w:p w14:paraId="7285DB80" w14:textId="77777777" w:rsidR="00717064" w:rsidRPr="00717064" w:rsidRDefault="00717064" w:rsidP="00696645">
      <w:pPr>
        <w:spacing w:after="0" w:line="360" w:lineRule="auto"/>
        <w:contextualSpacing/>
        <w:jc w:val="both"/>
        <w:rPr>
          <w:rFonts w:ascii="Arial" w:hAnsi="Arial" w:cs="Arial"/>
          <w:b/>
          <w:bCs/>
          <w:sz w:val="22"/>
          <w:szCs w:val="22"/>
        </w:rPr>
      </w:pPr>
      <w:r w:rsidRPr="00717064">
        <w:rPr>
          <w:rFonts w:ascii="Arial" w:hAnsi="Arial" w:cs="Arial"/>
          <w:b/>
          <w:bCs/>
          <w:sz w:val="22"/>
          <w:szCs w:val="22"/>
        </w:rPr>
        <w:t>Estimating Missed Opportunities</w:t>
      </w:r>
    </w:p>
    <w:p w14:paraId="1442BB9B" w14:textId="77777777" w:rsidR="00717064" w:rsidRPr="00717064" w:rsidRDefault="00717064" w:rsidP="00696645">
      <w:pPr>
        <w:spacing w:after="0" w:line="360" w:lineRule="auto"/>
        <w:contextualSpacing/>
        <w:jc w:val="both"/>
        <w:rPr>
          <w:rFonts w:ascii="Arial" w:hAnsi="Arial" w:cs="Arial"/>
          <w:sz w:val="22"/>
          <w:szCs w:val="22"/>
        </w:rPr>
      </w:pPr>
      <w:r w:rsidRPr="00717064">
        <w:rPr>
          <w:rFonts w:ascii="Arial" w:hAnsi="Arial" w:cs="Arial"/>
          <w:sz w:val="22"/>
          <w:szCs w:val="22"/>
        </w:rPr>
        <w:t>The miss to have just culture was also one of the opportunities that were not utilized. Equitable culture will help the staff to be able to make errors without fear of punishment, but should strive to improve the system rather than criticize it (West et al., 2014). Blackman failed to report since the culture was punitive, which perpetuated the culture of unsafe working, and could not undertake interventions in time (Mannion &amp; Davies, 2018). The transparency and safety would have been advanced via leadership that provides a non-punitive environment and inspires the staff to act on the issues (Wong, Cummings, and Ducharme, 2013).</w:t>
      </w:r>
    </w:p>
    <w:p w14:paraId="5F23F7C2" w14:textId="77777777" w:rsidR="00717064" w:rsidRPr="00717064" w:rsidRDefault="00717064" w:rsidP="00696645">
      <w:pPr>
        <w:spacing w:after="0" w:line="360" w:lineRule="auto"/>
        <w:contextualSpacing/>
        <w:jc w:val="both"/>
        <w:rPr>
          <w:rFonts w:ascii="Arial" w:hAnsi="Arial" w:cs="Arial"/>
          <w:sz w:val="22"/>
          <w:szCs w:val="22"/>
        </w:rPr>
      </w:pPr>
      <w:r w:rsidRPr="00717064">
        <w:rPr>
          <w:rFonts w:ascii="Arial" w:hAnsi="Arial" w:cs="Arial"/>
          <w:sz w:val="22"/>
          <w:szCs w:val="22"/>
        </w:rPr>
        <w:t>Continuous improvement initiatives were the other opportunity that was missed. Regular review of the processes must be performed in healthcare to identify and remove risks (Arabia, Abdullah, &amp; Kaud, 2023). There were no systems that would govern or improve the care in this case, thus enabling the systemic failures, such as communication failures and accountability failures, to persist (West et al., 2014). Continuous observation will ensure that errors are fixed beforehand and enhance patient safety culture (Mannion &amp; Davies, 2018).</w:t>
      </w:r>
    </w:p>
    <w:p w14:paraId="01E4AE23" w14:textId="77777777" w:rsidR="00717064" w:rsidRPr="00717064" w:rsidRDefault="00717064" w:rsidP="00696645">
      <w:pPr>
        <w:spacing w:after="0" w:line="360" w:lineRule="auto"/>
        <w:contextualSpacing/>
        <w:jc w:val="both"/>
        <w:rPr>
          <w:rFonts w:ascii="Arial" w:hAnsi="Arial" w:cs="Arial"/>
          <w:sz w:val="22"/>
          <w:szCs w:val="22"/>
        </w:rPr>
      </w:pPr>
      <w:r w:rsidRPr="00717064">
        <w:rPr>
          <w:rFonts w:ascii="Arial" w:hAnsi="Arial" w:cs="Arial"/>
          <w:sz w:val="22"/>
          <w:szCs w:val="22"/>
        </w:rPr>
        <w:t>Feedback loops also did not exist. The feedback collected between staff, patients, and other stakeholders is significant in the process of identifying the weaknesses and adopting improvement measures (O'Daniel &amp; Rosenstein, 2008). The types of mechanisms that allow organizations to change their practices after they learn from them in practice are safety reporting tools, patient surveys, and peer review (Wong, Cummeling, and Ducharme, 2013). The feedback can enable the leadership to foster the culture of learning and improvement and prevent future mistakes (West et al., 2014).</w:t>
      </w:r>
    </w:p>
    <w:p w14:paraId="3CF93454" w14:textId="77777777" w:rsidR="00717064" w:rsidRPr="00717064" w:rsidRDefault="00717064" w:rsidP="00696645">
      <w:pPr>
        <w:spacing w:after="0" w:line="360" w:lineRule="auto"/>
        <w:contextualSpacing/>
        <w:jc w:val="both"/>
        <w:rPr>
          <w:rFonts w:ascii="Arial" w:hAnsi="Arial" w:cs="Arial"/>
          <w:b/>
          <w:bCs/>
          <w:sz w:val="22"/>
          <w:szCs w:val="22"/>
        </w:rPr>
      </w:pPr>
      <w:r w:rsidRPr="00717064">
        <w:rPr>
          <w:rFonts w:ascii="Arial" w:hAnsi="Arial" w:cs="Arial"/>
          <w:b/>
          <w:bCs/>
          <w:sz w:val="22"/>
          <w:szCs w:val="22"/>
        </w:rPr>
        <w:t>Continuous Improvement</w:t>
      </w:r>
    </w:p>
    <w:p w14:paraId="3F595C86" w14:textId="77777777" w:rsidR="00717064" w:rsidRPr="00717064" w:rsidRDefault="00717064" w:rsidP="00696645">
      <w:pPr>
        <w:spacing w:after="0" w:line="360" w:lineRule="auto"/>
        <w:contextualSpacing/>
        <w:jc w:val="both"/>
        <w:rPr>
          <w:rFonts w:ascii="Arial" w:hAnsi="Arial" w:cs="Arial"/>
          <w:sz w:val="22"/>
          <w:szCs w:val="22"/>
        </w:rPr>
      </w:pPr>
      <w:r w:rsidRPr="00717064">
        <w:rPr>
          <w:rFonts w:ascii="Arial" w:hAnsi="Arial" w:cs="Arial"/>
          <w:sz w:val="22"/>
          <w:szCs w:val="22"/>
        </w:rPr>
        <w:t>The healthcare organizations will have an opportunity to ensure the continuous improvement by establishing good feedback mechanisms at every level (Arabia, Abdullah, &amp; Kaud, 2023). Problems should be reported by their employees, patients, as well as families, and leaders should make some changes and communicate them to others (Wong, Cummings, and Ducharme, 2013). The responsibility is also critical; some specific roles and responsibilities require everybody to make contributions towards patient safety (Mannion &amp; Davies, 2018).</w:t>
      </w:r>
    </w:p>
    <w:p w14:paraId="623F61A3" w14:textId="77777777" w:rsidR="00717064" w:rsidRPr="00717064" w:rsidRDefault="00717064" w:rsidP="00696645">
      <w:pPr>
        <w:spacing w:after="0" w:line="360" w:lineRule="auto"/>
        <w:contextualSpacing/>
        <w:jc w:val="both"/>
        <w:rPr>
          <w:rFonts w:ascii="Arial" w:hAnsi="Arial" w:cs="Arial"/>
          <w:sz w:val="22"/>
          <w:szCs w:val="22"/>
        </w:rPr>
      </w:pPr>
      <w:r w:rsidRPr="00717064">
        <w:rPr>
          <w:rFonts w:ascii="Arial" w:hAnsi="Arial" w:cs="Arial"/>
          <w:sz w:val="22"/>
          <w:szCs w:val="22"/>
        </w:rPr>
        <w:lastRenderedPageBreak/>
        <w:t>At the same time, data-driven decision-making allows ensuring continuous improvement as it allows identifying the potential risks and interventions (West et al., 2014). Real-time monitoring of patient outcomes, safety incidents, and quality measures can help leaders see the problems ahead of time and prevent them before they escalate (Arabia, Abdullah, and Kaud, 2023). Predictive analytics can be used to foresee dangers with the help of past data, and it can be put into practice to care (O'Daniel &amp; Rosenstein, 2008).</w:t>
      </w:r>
    </w:p>
    <w:p w14:paraId="349185B4" w14:textId="77777777" w:rsidR="00717064" w:rsidRPr="00717064" w:rsidRDefault="00717064" w:rsidP="00696645">
      <w:pPr>
        <w:spacing w:after="0" w:line="360" w:lineRule="auto"/>
        <w:contextualSpacing/>
        <w:jc w:val="both"/>
        <w:rPr>
          <w:rFonts w:ascii="Arial" w:hAnsi="Arial" w:cs="Arial"/>
          <w:sz w:val="22"/>
          <w:szCs w:val="22"/>
        </w:rPr>
      </w:pPr>
      <w:r w:rsidRPr="00717064">
        <w:rPr>
          <w:rFonts w:ascii="Arial" w:hAnsi="Arial" w:cs="Arial"/>
          <w:sz w:val="22"/>
          <w:szCs w:val="22"/>
        </w:rPr>
        <w:t>Finally, the leaders should be devoted to learning. The leaders must also strive to build their profession continuously, be aligned with best practices, and foster an atmosphere of never-ending learning in the workplace among all the employees (Wong, Cummings, and Ducharme, 2013). Learning, feedback, accountability, and decisions based on data can help healthcare organizations to make patient safety a part of their culture and reduce the number of tragedies that are similar to the one Blackman had to go through (Mannion &amp; Davies, 2018; West et al., 2014).</w:t>
      </w:r>
    </w:p>
    <w:p w14:paraId="4DC31BE9" w14:textId="77777777" w:rsidR="00717064" w:rsidRPr="00717064" w:rsidRDefault="00717064" w:rsidP="00696645">
      <w:pPr>
        <w:spacing w:after="0" w:line="360" w:lineRule="auto"/>
        <w:contextualSpacing/>
        <w:jc w:val="both"/>
        <w:rPr>
          <w:rFonts w:ascii="Arial" w:hAnsi="Arial" w:cs="Arial"/>
          <w:b/>
          <w:bCs/>
          <w:sz w:val="22"/>
          <w:szCs w:val="22"/>
        </w:rPr>
      </w:pPr>
      <w:r w:rsidRPr="00717064">
        <w:rPr>
          <w:rFonts w:ascii="Arial" w:hAnsi="Arial" w:cs="Arial"/>
          <w:b/>
          <w:bCs/>
          <w:sz w:val="22"/>
          <w:szCs w:val="22"/>
        </w:rPr>
        <w:t>Recommendations</w:t>
      </w:r>
    </w:p>
    <w:p w14:paraId="5112AB76" w14:textId="77777777" w:rsidR="00717064" w:rsidRPr="00717064" w:rsidRDefault="00717064" w:rsidP="00696645">
      <w:pPr>
        <w:spacing w:after="0" w:line="360" w:lineRule="auto"/>
        <w:contextualSpacing/>
        <w:jc w:val="both"/>
        <w:rPr>
          <w:rFonts w:ascii="Arial" w:hAnsi="Arial" w:cs="Arial"/>
          <w:sz w:val="22"/>
          <w:szCs w:val="22"/>
        </w:rPr>
      </w:pPr>
      <w:r w:rsidRPr="00717064">
        <w:rPr>
          <w:rFonts w:ascii="Arial" w:hAnsi="Arial" w:cs="Arial"/>
          <w:sz w:val="22"/>
          <w:szCs w:val="22"/>
        </w:rPr>
        <w:t>The healthcare institutions ought to be thoroughly reformed in terms of leadership, governance, communication, and organizational culture to prevent such cases as the Lewis Blackman situation (Wong, Cummings, and Ducharme, 2013). The achievement of patient safety cannot be attained without good leadership, as leaders do not solely influence the actions of workers, but the organizational culture as a whole (West et al., 2014). Leadership development at any healthcare level can ensure that the leaders are equipped to anticipate, detect, and control the safety threats prior to their occurrence rather than address the challenge (Mannion &amp; Davies, 2018). Globally, though with particular reference to frontline leaders, they should be taken through systematic training on transformational leadership, which emphasizes teamwork, innovation, learning, and continual updating as a team to identify any impending risks and mitigate them before they occur (O'Daniel &amp; Rosenstein, 2008).</w:t>
      </w:r>
    </w:p>
    <w:p w14:paraId="5448A455" w14:textId="77777777" w:rsidR="00717064" w:rsidRPr="00717064" w:rsidRDefault="00717064" w:rsidP="00696645">
      <w:pPr>
        <w:spacing w:after="0" w:line="360" w:lineRule="auto"/>
        <w:contextualSpacing/>
        <w:jc w:val="both"/>
        <w:rPr>
          <w:rFonts w:ascii="Arial" w:hAnsi="Arial" w:cs="Arial"/>
          <w:sz w:val="22"/>
          <w:szCs w:val="22"/>
        </w:rPr>
      </w:pPr>
      <w:r w:rsidRPr="00717064">
        <w:rPr>
          <w:rFonts w:ascii="Arial" w:hAnsi="Arial" w:cs="Arial"/>
          <w:sz w:val="22"/>
          <w:szCs w:val="22"/>
        </w:rPr>
        <w:t xml:space="preserve">Decentralizing the decision-making power is another key action to be taken to promote responsiveness and accountability in the healthcare setting (Wong, Cummings, and Ducharme, 2013). Another way organizations can reduce the delay in responding to deterioration of patients or even the emerging safety problems is through empowerment of frontline employees who are comprised of nurses, physicians, and allied health workers to make effective decisions in real time (West et al., 2014). The specified solution will ensure that the staff who have the highest likelihood of interacting with patients will make timely decisions to improve the outcomes and stay aligned with the overall safety guidelines (Mannion &amp; Davies, 2018). The concept of transformational leadership is crucial in the establishment of a patient safety culture founded on shared goals and open dialogue (Ginsburg et al., 2010). This kind of style of leaders motivates teams, encourages them to solve problems, and reflect on errors as an essential opportunity to come out a better person rather than blame them </w:t>
      </w:r>
      <w:r w:rsidRPr="00717064">
        <w:rPr>
          <w:rFonts w:ascii="Arial" w:hAnsi="Arial" w:cs="Arial"/>
          <w:sz w:val="22"/>
          <w:szCs w:val="22"/>
        </w:rPr>
        <w:lastRenderedPageBreak/>
        <w:t>(Alabdullah &amp; Karwowski, 2024). Situational leadership must be used in combination with transformational leadership, as situational leadership allows leaders to react to the situation based on their urgency and circumstances, which makes leaders more agile and guarantees timely and appropriate interventions (Anders, 2025; Ward, Doherty, and Corrigan, 2023). The success of all patient safety initiatives is based on the effective governance structures (Wong, Cummings &amp; Ducharme, 2013). This leadership position needs to be distributed across organizational levels, and the staff members should feel empowered to participate in the decision-making process and also bear the same responsibility in terms of patient safety outcomes (West et al., 2014). It possesses well-defined accountability frameworks that describe the roles. Consequently, there are no roles that are ambiguous. Even the mistakes or the almost-misses are identified and addressed promptly (Mannion &amp; Davies, 2018). The communication protocols must be standardized and understandable to enable the staff to escalate risks, raise issues, and share necessary information (O'Daniel &amp; Rosenstein, 2008). Safety checks and feedback cycles will allow determining the areas with care gaps, evaluating an established practice, and informing how protocols can be tightened (Arabia, Abdullah, and Kaud, 2023). One of the reasons for harm prevention is also the promotion of efficiency (Ginsburg et al., 2010). The real-time tracking systems will have the ability to track the outcome, resources, and incidents of patients and then guide the managers to concentrate the resources and staffing where they are needed the most (Alabdullah &amp; Karwowski, 2024). One of the ways of reducing errors and improving the quality of care is by integrating evidence-based practice into clinical activities to make the interventions scientifically proven (Anders, 2025). Optimization of the workflow and reduction of redundancy in the distribution of resources allow healthcare teams to adequately meet the needs of patients and reach maximum productivity and safety (Ward, Doherty &amp; Corrigan, 2023). Finally, it must be incorporated in the whole organization via lifelong learning (Wong, Cummings, &amp; Ducharme, 2013). The staff anticipates the occurrence of any safety problem, and it is minimized beforehand with the help of periodic training, patient safety, leadership, and communication strategies (West et al., 2014). Such feedback mechanisms with the staff members, patients, and other external stakeholders are significant to understand areas of weakness and where to pursue improvement opportunities (Mannion &amp; Davies, 2018). The leaders ought to act on the feedback, clarify changes, and instill in the organization a culture of learning and adjusting to changes, which will assure the safety processes of being continuously enhanced (O'Daniel &amp; Rosenstein, 2008). The most significant factors that will make healthcare organizations build a resilient system that will prevent the occurrence of tragedies like the case of Lewis Blackman and improve patient outcomes and involvement of staff members (Ginsburg et al., 2010; Alabdullah &amp; Karwowski, 2024) will be decentralization, governance, communication, efficiency, and continuous learning.</w:t>
      </w:r>
    </w:p>
    <w:p w14:paraId="01D54240" w14:textId="77777777" w:rsidR="00717064" w:rsidRPr="00717064" w:rsidRDefault="00717064" w:rsidP="00696645">
      <w:pPr>
        <w:spacing w:after="0" w:line="360" w:lineRule="auto"/>
        <w:contextualSpacing/>
        <w:jc w:val="both"/>
        <w:rPr>
          <w:rFonts w:ascii="Arial" w:hAnsi="Arial" w:cs="Arial"/>
          <w:b/>
          <w:bCs/>
          <w:sz w:val="22"/>
          <w:szCs w:val="22"/>
        </w:rPr>
      </w:pPr>
      <w:r w:rsidRPr="00717064">
        <w:rPr>
          <w:rFonts w:ascii="Arial" w:hAnsi="Arial" w:cs="Arial"/>
          <w:b/>
          <w:bCs/>
          <w:sz w:val="22"/>
          <w:szCs w:val="22"/>
        </w:rPr>
        <w:lastRenderedPageBreak/>
        <w:t>Conclusion</w:t>
      </w:r>
    </w:p>
    <w:p w14:paraId="6D5B3DE8" w14:textId="77777777" w:rsidR="00717064" w:rsidRPr="00717064" w:rsidRDefault="00717064" w:rsidP="00696645">
      <w:pPr>
        <w:spacing w:after="0" w:line="360" w:lineRule="auto"/>
        <w:contextualSpacing/>
        <w:jc w:val="both"/>
        <w:rPr>
          <w:rFonts w:ascii="Arial" w:hAnsi="Arial" w:cs="Arial"/>
          <w:sz w:val="22"/>
          <w:szCs w:val="22"/>
        </w:rPr>
      </w:pPr>
      <w:r w:rsidRPr="00717064">
        <w:rPr>
          <w:rFonts w:ascii="Arial" w:hAnsi="Arial" w:cs="Arial"/>
          <w:sz w:val="22"/>
          <w:szCs w:val="22"/>
        </w:rPr>
        <w:t>The example of Lewis Blackman demonstrates the paramount role in patient safety that is played by leadership, governance, and communication (Wong, Cummings, and Ducharme, 2013). Lack of responsibility, unprofessional communication among medical staff, and a strict hierarchical organizational culture are all such factors that contributed to the avoidable lethal case (West et al., 2014). Such failures were likely to be avoided through the use of transformational leadership that promotes collaboration, innovation, and collective responsibility as well as decentralized decision-making (Mannion &amp; Davies, 2018). The development of responsive healthcare environments through empowering frontline personnel to be decisive should be developed to avert the risk of patient safety in the changing healthcare environments (O'Daniel &amp; Rosenstein, 2008). Leadership style should be chosen accordingly at different moments of crisis. Transformational leadership supports the culture of improvement, responsibility, and collaboration, whereas situational leadership allows the leaders to alter the way of doing things based on the presented situation (Ginsburg et al., 2010; Alabdullah &amp; Karwowski, 2024). Together, the mentioned strategies will contribute to the improvement of patient safety culture and deliver timely and effective interventions (Anders, 2025). The patient safety approach must be holistic by taking the systems thinking approach (Ward, Doherty, and Corrigan, 2023). Once the focus lies on individual errors, the systemic issue is not addressed. Once the dynamics between the top management, communication, training, and the organizational culture are brought to the limelight, the same can be improved sustainably (Wong, Cummings, and Ducharme, 2013). Continuous learning, feedback loops, and collaboration across all levels of the organization are some of the key measures to prevent mistakes and enhance safety outcomes (West et al., 2014; Mannion &amp; Davies, 2018). Lastly, the culture of active leadership, good governance, free flow of information, and continuous enhancement in the healthcare organization needs to be incorporated to prevent such tragedies, such as the case with Lewis Blackman (O'Daniel &amp; Rosenstein, 2008; Ginsburg et al., 2010). Considering these elements, the healthcare system will be able to offer safer care to patients, improve outcomes, and create resilient healthcare systems, which will have the capacity to respond to the emerging challenges (Alabdullah &amp; Karwowski, 2024; Anders, 2025; Ward, Doherty, &amp; Corrigan, 2023).</w:t>
      </w:r>
    </w:p>
    <w:p w14:paraId="599EE8AB" w14:textId="77777777" w:rsidR="00717064" w:rsidRDefault="00717064" w:rsidP="001C63D1"/>
    <w:p w14:paraId="758CA7C5" w14:textId="77777777" w:rsidR="00717064" w:rsidRDefault="00717064" w:rsidP="001C63D1"/>
    <w:p w14:paraId="01E18C40" w14:textId="77777777" w:rsidR="00717064" w:rsidRDefault="00717064" w:rsidP="001C63D1"/>
    <w:p w14:paraId="337FA172" w14:textId="77777777" w:rsidR="00717064" w:rsidRDefault="00717064" w:rsidP="001C63D1"/>
    <w:p w14:paraId="2B247216" w14:textId="77777777" w:rsidR="00717064" w:rsidRDefault="00717064" w:rsidP="001C63D1"/>
    <w:p w14:paraId="26CC240B" w14:textId="77777777" w:rsidR="00717064" w:rsidRDefault="00717064" w:rsidP="001C63D1"/>
    <w:p w14:paraId="1A648140" w14:textId="77777777" w:rsidR="00717064" w:rsidRDefault="00717064" w:rsidP="001C63D1"/>
    <w:p w14:paraId="6F77844E" w14:textId="77777777" w:rsidR="00717064" w:rsidRDefault="00717064" w:rsidP="001C63D1"/>
    <w:p w14:paraId="5A26A81E" w14:textId="77777777" w:rsidR="00717064" w:rsidRDefault="00717064" w:rsidP="001C63D1"/>
    <w:p w14:paraId="323AB28B" w14:textId="77777777" w:rsidR="00717064" w:rsidRDefault="00717064" w:rsidP="001C63D1"/>
    <w:p w14:paraId="078A655C" w14:textId="77777777" w:rsidR="00717064" w:rsidRDefault="00717064" w:rsidP="001C63D1"/>
    <w:p w14:paraId="571CEEF5" w14:textId="77777777" w:rsidR="00717064" w:rsidRDefault="00717064" w:rsidP="001C63D1"/>
    <w:p w14:paraId="13DED48E" w14:textId="77777777" w:rsidR="00696645" w:rsidRDefault="00696645" w:rsidP="001C63D1"/>
    <w:p w14:paraId="6148B3F0" w14:textId="77777777" w:rsidR="00696645" w:rsidRDefault="00696645" w:rsidP="001C63D1"/>
    <w:p w14:paraId="597AEEA4" w14:textId="77777777" w:rsidR="00696645" w:rsidRDefault="00696645" w:rsidP="001C63D1"/>
    <w:p w14:paraId="1BCAC9C9" w14:textId="77777777" w:rsidR="00696645" w:rsidRDefault="00696645" w:rsidP="001C63D1"/>
    <w:p w14:paraId="579610DB" w14:textId="77777777" w:rsidR="00696645" w:rsidRDefault="00696645" w:rsidP="001C63D1"/>
    <w:p w14:paraId="416FC173" w14:textId="77777777" w:rsidR="00696645" w:rsidRDefault="00696645" w:rsidP="001C63D1"/>
    <w:p w14:paraId="4E126192" w14:textId="77777777" w:rsidR="00696645" w:rsidRDefault="00696645" w:rsidP="001C63D1"/>
    <w:p w14:paraId="4E2793A3" w14:textId="77777777" w:rsidR="007E47C1" w:rsidRDefault="007E47C1" w:rsidP="001C63D1"/>
    <w:p w14:paraId="455AB71D" w14:textId="77777777" w:rsidR="007E47C1" w:rsidRDefault="007E47C1" w:rsidP="001C63D1"/>
    <w:p w14:paraId="76657329" w14:textId="77777777" w:rsidR="007E47C1" w:rsidRDefault="007E47C1" w:rsidP="001C63D1"/>
    <w:p w14:paraId="717E87E9" w14:textId="77777777" w:rsidR="007E47C1" w:rsidRDefault="007E47C1" w:rsidP="001C63D1"/>
    <w:p w14:paraId="57D5B1AF" w14:textId="77777777" w:rsidR="007E47C1" w:rsidRDefault="007E47C1" w:rsidP="001C63D1"/>
    <w:p w14:paraId="0F78A9F7" w14:textId="77777777" w:rsidR="007E47C1" w:rsidRDefault="007E47C1" w:rsidP="001C63D1"/>
    <w:p w14:paraId="31B2ADB1" w14:textId="77777777" w:rsidR="007E47C1" w:rsidRDefault="007E47C1" w:rsidP="001C63D1"/>
    <w:p w14:paraId="4F13B4BF" w14:textId="77777777" w:rsidR="007E47C1" w:rsidRDefault="007E47C1" w:rsidP="001C63D1"/>
    <w:p w14:paraId="2AE17F4E" w14:textId="77777777" w:rsidR="00717064" w:rsidRDefault="00717064" w:rsidP="001C63D1"/>
    <w:p w14:paraId="42B325B9" w14:textId="0C08062C" w:rsidR="00184825" w:rsidRPr="00696645" w:rsidRDefault="00184825" w:rsidP="00696645">
      <w:pPr>
        <w:spacing w:after="0" w:line="360" w:lineRule="auto"/>
        <w:contextualSpacing/>
        <w:rPr>
          <w:rFonts w:ascii="Arial" w:hAnsi="Arial" w:cs="Arial"/>
          <w:sz w:val="22"/>
          <w:szCs w:val="22"/>
        </w:rPr>
      </w:pPr>
      <w:r w:rsidRPr="00696645">
        <w:rPr>
          <w:rFonts w:ascii="Arial" w:hAnsi="Arial" w:cs="Arial"/>
          <w:sz w:val="22"/>
          <w:szCs w:val="22"/>
        </w:rPr>
        <w:t>Reference</w:t>
      </w:r>
      <w:r w:rsidR="001D0E4F" w:rsidRPr="00696645">
        <w:rPr>
          <w:rFonts w:ascii="Arial" w:hAnsi="Arial" w:cs="Arial"/>
          <w:sz w:val="22"/>
          <w:szCs w:val="22"/>
        </w:rPr>
        <w:t xml:space="preserve"> list</w:t>
      </w:r>
    </w:p>
    <w:p w14:paraId="3A1F8458" w14:textId="77777777" w:rsidR="00717064" w:rsidRPr="00696645" w:rsidRDefault="00717064" w:rsidP="00696645">
      <w:pPr>
        <w:pStyle w:val="NormalWeb"/>
        <w:spacing w:before="0" w:beforeAutospacing="0" w:after="0" w:afterAutospacing="0" w:line="360" w:lineRule="auto"/>
        <w:ind w:hanging="720"/>
        <w:contextualSpacing/>
        <w:jc w:val="both"/>
        <w:rPr>
          <w:rFonts w:ascii="Arial" w:hAnsi="Arial" w:cs="Arial"/>
          <w:color w:val="000000"/>
          <w:sz w:val="22"/>
          <w:szCs w:val="22"/>
        </w:rPr>
      </w:pPr>
      <w:r w:rsidRPr="00696645">
        <w:rPr>
          <w:rFonts w:ascii="Arial" w:hAnsi="Arial" w:cs="Arial"/>
          <w:color w:val="000000"/>
          <w:sz w:val="22"/>
          <w:szCs w:val="22"/>
        </w:rPr>
        <w:t>‌ Althobaiti, FM 2026, ‘The effects of leadership on patient safety culture in health care: a systematic review’, </w:t>
      </w:r>
      <w:r w:rsidRPr="00696645">
        <w:rPr>
          <w:rFonts w:ascii="Arial" w:hAnsi="Arial" w:cs="Arial"/>
          <w:i/>
          <w:iCs/>
          <w:color w:val="000000"/>
          <w:sz w:val="22"/>
          <w:szCs w:val="22"/>
        </w:rPr>
        <w:t>BMC Nursing</w:t>
      </w:r>
      <w:r w:rsidRPr="00696645">
        <w:rPr>
          <w:rFonts w:ascii="Arial" w:hAnsi="Arial" w:cs="Arial"/>
          <w:color w:val="000000"/>
          <w:sz w:val="22"/>
          <w:szCs w:val="22"/>
        </w:rPr>
        <w:t xml:space="preserve">, vol. 25, Springer Science and Business Media LLC, no. 1, viewed 12 March 2026, </w:t>
      </w:r>
      <w:hyperlink r:id="rId10" w:history="1">
        <w:r w:rsidRPr="00696645">
          <w:rPr>
            <w:rStyle w:val="Hyperlink"/>
            <w:rFonts w:ascii="Arial" w:hAnsi="Arial" w:cs="Arial"/>
            <w:sz w:val="22"/>
            <w:szCs w:val="22"/>
          </w:rPr>
          <w:t>https://link.springer.com/article/10.1186/s12912-025-04263-7</w:t>
        </w:r>
      </w:hyperlink>
      <w:r w:rsidRPr="00696645">
        <w:rPr>
          <w:rFonts w:ascii="Arial" w:hAnsi="Arial" w:cs="Arial"/>
          <w:color w:val="000000"/>
          <w:sz w:val="22"/>
          <w:szCs w:val="22"/>
        </w:rPr>
        <w:t>.</w:t>
      </w:r>
    </w:p>
    <w:p w14:paraId="6624E9F3" w14:textId="77777777" w:rsidR="00717064" w:rsidRPr="00696645" w:rsidRDefault="00717064" w:rsidP="00696645">
      <w:pPr>
        <w:pStyle w:val="NormalWeb"/>
        <w:spacing w:before="0" w:beforeAutospacing="0" w:after="0" w:afterAutospacing="0" w:line="360" w:lineRule="auto"/>
        <w:ind w:hanging="720"/>
        <w:contextualSpacing/>
        <w:jc w:val="both"/>
        <w:rPr>
          <w:rFonts w:ascii="Arial" w:hAnsi="Arial" w:cs="Arial"/>
          <w:color w:val="000000"/>
          <w:sz w:val="22"/>
          <w:szCs w:val="22"/>
        </w:rPr>
      </w:pPr>
      <w:r w:rsidRPr="00696645">
        <w:rPr>
          <w:rFonts w:ascii="Arial" w:hAnsi="Arial" w:cs="Arial"/>
          <w:color w:val="000000"/>
          <w:sz w:val="22"/>
          <w:szCs w:val="22"/>
        </w:rPr>
        <w:t>‌ Aylmore, H, Agarwal, S, Marcus, HJ &amp; Pandit, AS 2025, ‘Cognitive Biases and Heuristics in Surgical Settings’, </w:t>
      </w:r>
      <w:r w:rsidRPr="00696645">
        <w:rPr>
          <w:rFonts w:ascii="Arial" w:hAnsi="Arial" w:cs="Arial"/>
          <w:i/>
          <w:iCs/>
          <w:color w:val="000000"/>
          <w:sz w:val="22"/>
          <w:szCs w:val="22"/>
        </w:rPr>
        <w:t>Annals of Surgery</w:t>
      </w:r>
      <w:r w:rsidRPr="00696645">
        <w:rPr>
          <w:rFonts w:ascii="Arial" w:hAnsi="Arial" w:cs="Arial"/>
          <w:color w:val="000000"/>
          <w:sz w:val="22"/>
          <w:szCs w:val="22"/>
        </w:rPr>
        <w:t xml:space="preserve">, vol. 282, Ovid Technologies (Wolters Kluwer Health), no. 6, pp. 946–953, viewed 12 March 2026, </w:t>
      </w:r>
      <w:hyperlink r:id="rId11" w:history="1">
        <w:r w:rsidRPr="00696645">
          <w:rPr>
            <w:rStyle w:val="Hyperlink"/>
            <w:rFonts w:ascii="Arial" w:hAnsi="Arial" w:cs="Arial"/>
            <w:sz w:val="22"/>
            <w:szCs w:val="22"/>
          </w:rPr>
          <w:t>https://journals.lww.com/annalsofsurgery/fulltext/2025/12000/cognitive_biases_and_heuristics_in_surgical.13.aspx</w:t>
        </w:r>
      </w:hyperlink>
      <w:r w:rsidRPr="00696645">
        <w:rPr>
          <w:rFonts w:ascii="Arial" w:hAnsi="Arial" w:cs="Arial"/>
          <w:color w:val="000000"/>
          <w:sz w:val="22"/>
          <w:szCs w:val="22"/>
        </w:rPr>
        <w:t>.</w:t>
      </w:r>
    </w:p>
    <w:p w14:paraId="31300225" w14:textId="77777777" w:rsidR="00717064" w:rsidRPr="00696645" w:rsidRDefault="00717064" w:rsidP="00696645">
      <w:pPr>
        <w:pStyle w:val="NormalWeb"/>
        <w:spacing w:before="0" w:beforeAutospacing="0" w:after="0" w:afterAutospacing="0" w:line="360" w:lineRule="auto"/>
        <w:ind w:hanging="720"/>
        <w:contextualSpacing/>
        <w:jc w:val="both"/>
        <w:rPr>
          <w:rFonts w:ascii="Arial" w:hAnsi="Arial" w:cs="Arial"/>
          <w:color w:val="000000"/>
          <w:sz w:val="22"/>
          <w:szCs w:val="22"/>
        </w:rPr>
      </w:pPr>
      <w:r w:rsidRPr="00696645">
        <w:rPr>
          <w:rFonts w:ascii="Arial" w:hAnsi="Arial" w:cs="Arial"/>
          <w:color w:val="000000"/>
          <w:sz w:val="22"/>
          <w:szCs w:val="22"/>
        </w:rPr>
        <w:lastRenderedPageBreak/>
        <w:t>‌ Hibbert, PD, Stewart, S, Wiles, LK, Braithwaite, J, Runciman, WB &amp; Thomas, MJW 2023, ‘Improving patient safety governance and systems through learning from successes and failures: qualitative surveys and interviews with international experts’, </w:t>
      </w:r>
      <w:r w:rsidRPr="00696645">
        <w:rPr>
          <w:rFonts w:ascii="Arial" w:hAnsi="Arial" w:cs="Arial"/>
          <w:i/>
          <w:iCs/>
          <w:color w:val="000000"/>
          <w:sz w:val="22"/>
          <w:szCs w:val="22"/>
        </w:rPr>
        <w:t>International Journal for Quality in Health Care</w:t>
      </w:r>
      <w:r w:rsidRPr="00696645">
        <w:rPr>
          <w:rFonts w:ascii="Arial" w:hAnsi="Arial" w:cs="Arial"/>
          <w:color w:val="000000"/>
          <w:sz w:val="22"/>
          <w:szCs w:val="22"/>
        </w:rPr>
        <w:t xml:space="preserve">, vol. 35, Oxford University Press (OUP), no. 4, viewed 12 March 2026, </w:t>
      </w:r>
      <w:hyperlink r:id="rId12" w:history="1">
        <w:r w:rsidRPr="00696645">
          <w:rPr>
            <w:rStyle w:val="Hyperlink"/>
            <w:rFonts w:ascii="Arial" w:hAnsi="Arial" w:cs="Arial"/>
            <w:sz w:val="22"/>
            <w:szCs w:val="22"/>
          </w:rPr>
          <w:t>https://pubmed.ncbi.nlm.nih.gov/37978851/</w:t>
        </w:r>
      </w:hyperlink>
      <w:r w:rsidRPr="00696645">
        <w:rPr>
          <w:rFonts w:ascii="Arial" w:hAnsi="Arial" w:cs="Arial"/>
          <w:color w:val="000000"/>
          <w:sz w:val="22"/>
          <w:szCs w:val="22"/>
        </w:rPr>
        <w:t>.</w:t>
      </w:r>
    </w:p>
    <w:p w14:paraId="19CF0A61" w14:textId="77777777" w:rsidR="00717064" w:rsidRPr="00696645" w:rsidRDefault="00717064" w:rsidP="00696645">
      <w:pPr>
        <w:pStyle w:val="NormalWeb"/>
        <w:spacing w:before="0" w:beforeAutospacing="0" w:after="0" w:afterAutospacing="0" w:line="360" w:lineRule="auto"/>
        <w:ind w:hanging="720"/>
        <w:contextualSpacing/>
        <w:jc w:val="both"/>
        <w:rPr>
          <w:rFonts w:ascii="Arial" w:hAnsi="Arial" w:cs="Arial"/>
          <w:sz w:val="22"/>
          <w:szCs w:val="22"/>
        </w:rPr>
      </w:pPr>
      <w:r w:rsidRPr="00696645">
        <w:rPr>
          <w:rFonts w:ascii="Arial" w:hAnsi="Arial" w:cs="Arial"/>
          <w:sz w:val="22"/>
          <w:szCs w:val="22"/>
        </w:rPr>
        <w:t xml:space="preserve">Alabdullah, H., &amp; Karwowski, W. (2024). Patient safety culture in hospital settings across continents: A systematic review. </w:t>
      </w:r>
      <w:r w:rsidRPr="00696645">
        <w:rPr>
          <w:rStyle w:val="Emphasis"/>
          <w:rFonts w:ascii="Arial" w:eastAsiaTheme="majorEastAsia" w:hAnsi="Arial" w:cs="Arial"/>
          <w:sz w:val="22"/>
          <w:szCs w:val="22"/>
        </w:rPr>
        <w:t>Applied Sciences, 14</w:t>
      </w:r>
      <w:r w:rsidRPr="00696645">
        <w:rPr>
          <w:rFonts w:ascii="Arial" w:hAnsi="Arial" w:cs="Arial"/>
          <w:sz w:val="22"/>
          <w:szCs w:val="22"/>
        </w:rPr>
        <w:t xml:space="preserve">(18), 8496. https://doi.org/10.3390/app14188496 </w:t>
      </w:r>
    </w:p>
    <w:p w14:paraId="36CDE2E9" w14:textId="77777777" w:rsidR="00717064" w:rsidRPr="00696645" w:rsidRDefault="00717064" w:rsidP="00696645">
      <w:pPr>
        <w:pStyle w:val="NormalWeb"/>
        <w:spacing w:before="0" w:beforeAutospacing="0" w:after="0" w:afterAutospacing="0" w:line="360" w:lineRule="auto"/>
        <w:ind w:hanging="720"/>
        <w:contextualSpacing/>
        <w:jc w:val="both"/>
        <w:rPr>
          <w:rFonts w:ascii="Arial" w:hAnsi="Arial" w:cs="Arial"/>
          <w:sz w:val="22"/>
          <w:szCs w:val="22"/>
        </w:rPr>
      </w:pPr>
      <w:r w:rsidRPr="00696645">
        <w:rPr>
          <w:rFonts w:ascii="Arial" w:hAnsi="Arial" w:cs="Arial"/>
          <w:sz w:val="22"/>
          <w:szCs w:val="22"/>
        </w:rPr>
        <w:t xml:space="preserve"> Anders, R. L. (2025). Global perspectives on patient safety: The central role of nursing management. </w:t>
      </w:r>
      <w:r w:rsidRPr="00696645">
        <w:rPr>
          <w:rStyle w:val="Emphasis"/>
          <w:rFonts w:ascii="Arial" w:eastAsiaTheme="majorEastAsia" w:hAnsi="Arial" w:cs="Arial"/>
          <w:sz w:val="22"/>
          <w:szCs w:val="22"/>
        </w:rPr>
        <w:t>Healthcare, 13</w:t>
      </w:r>
      <w:r w:rsidRPr="00696645">
        <w:rPr>
          <w:rFonts w:ascii="Arial" w:hAnsi="Arial" w:cs="Arial"/>
          <w:sz w:val="22"/>
          <w:szCs w:val="22"/>
        </w:rPr>
        <w:t xml:space="preserve">(24), 3240. </w:t>
      </w:r>
      <w:hyperlink r:id="rId13" w:tgtFrame="_new" w:history="1">
        <w:r w:rsidRPr="00696645">
          <w:rPr>
            <w:rStyle w:val="Hyperlink"/>
            <w:rFonts w:ascii="Arial" w:eastAsiaTheme="majorEastAsia" w:hAnsi="Arial" w:cs="Arial"/>
            <w:sz w:val="22"/>
            <w:szCs w:val="22"/>
          </w:rPr>
          <w:t>https://doi.org/10.3390/healthcare13243240</w:t>
        </w:r>
      </w:hyperlink>
      <w:r w:rsidRPr="00696645">
        <w:rPr>
          <w:rFonts w:ascii="Arial" w:hAnsi="Arial" w:cs="Arial"/>
          <w:sz w:val="22"/>
          <w:szCs w:val="22"/>
        </w:rPr>
        <w:t xml:space="preserve"> </w:t>
      </w:r>
    </w:p>
    <w:p w14:paraId="1386DCEA" w14:textId="77777777" w:rsidR="00717064" w:rsidRPr="00696645" w:rsidRDefault="00717064" w:rsidP="00696645">
      <w:pPr>
        <w:pStyle w:val="NormalWeb"/>
        <w:spacing w:before="0" w:beforeAutospacing="0" w:after="0" w:afterAutospacing="0" w:line="360" w:lineRule="auto"/>
        <w:ind w:hanging="720"/>
        <w:contextualSpacing/>
        <w:jc w:val="both"/>
        <w:rPr>
          <w:rFonts w:ascii="Arial" w:hAnsi="Arial" w:cs="Arial"/>
          <w:color w:val="000000"/>
          <w:sz w:val="22"/>
          <w:szCs w:val="22"/>
        </w:rPr>
      </w:pPr>
      <w:r w:rsidRPr="00696645">
        <w:rPr>
          <w:rFonts w:ascii="Arial" w:hAnsi="Arial" w:cs="Arial"/>
          <w:color w:val="000000"/>
          <w:sz w:val="22"/>
          <w:szCs w:val="22"/>
        </w:rPr>
        <w:t>Arabia, S, Abdullah, Y &amp; Kaud, S 2023, </w:t>
      </w:r>
      <w:r w:rsidRPr="00696645">
        <w:rPr>
          <w:rFonts w:ascii="Arial" w:hAnsi="Arial" w:cs="Arial"/>
          <w:i/>
          <w:iCs/>
          <w:color w:val="000000"/>
          <w:sz w:val="22"/>
          <w:szCs w:val="22"/>
        </w:rPr>
        <w:t>Assessment of measuring and monitoring safety in healthcare in</w:t>
      </w:r>
      <w:r w:rsidRPr="00696645">
        <w:rPr>
          <w:rFonts w:ascii="Arial" w:hAnsi="Arial" w:cs="Arial"/>
          <w:color w:val="000000"/>
          <w:sz w:val="22"/>
          <w:szCs w:val="22"/>
        </w:rPr>
        <w:t xml:space="preserve">, viewed 12 March 2026, </w:t>
      </w:r>
      <w:hyperlink r:id="rId14" w:history="1">
        <w:r w:rsidRPr="00696645">
          <w:rPr>
            <w:rStyle w:val="Hyperlink"/>
            <w:rFonts w:ascii="Arial" w:hAnsi="Arial" w:cs="Arial"/>
            <w:sz w:val="22"/>
            <w:szCs w:val="22"/>
          </w:rPr>
          <w:t>https://researchrepository.universityofgalway.ie/server/api/core/bitstreams/9af95296-360f-47c8-a2f5-258ecfbdc9e4/content</w:t>
        </w:r>
      </w:hyperlink>
      <w:r w:rsidRPr="00696645">
        <w:rPr>
          <w:rFonts w:ascii="Arial" w:hAnsi="Arial" w:cs="Arial"/>
          <w:color w:val="000000"/>
          <w:sz w:val="22"/>
          <w:szCs w:val="22"/>
        </w:rPr>
        <w:t>.</w:t>
      </w:r>
    </w:p>
    <w:p w14:paraId="37D5AF6F" w14:textId="77777777" w:rsidR="00717064" w:rsidRPr="00696645" w:rsidRDefault="00717064" w:rsidP="00696645">
      <w:pPr>
        <w:spacing w:after="0" w:line="360" w:lineRule="auto"/>
        <w:ind w:hanging="720"/>
        <w:contextualSpacing/>
        <w:jc w:val="both"/>
        <w:rPr>
          <w:rFonts w:ascii="Arial" w:hAnsi="Arial" w:cs="Arial"/>
          <w:sz w:val="22"/>
          <w:szCs w:val="22"/>
        </w:rPr>
      </w:pPr>
      <w:r w:rsidRPr="00696645">
        <w:rPr>
          <w:rFonts w:ascii="Arial" w:hAnsi="Arial" w:cs="Arial"/>
          <w:sz w:val="22"/>
          <w:szCs w:val="22"/>
        </w:rPr>
        <w:t xml:space="preserve">Blackman, H. and Haskell, H., 2023. Patient safety and communication failures in healthcare systems, </w:t>
      </w:r>
      <w:r w:rsidRPr="00696645">
        <w:rPr>
          <w:rFonts w:ascii="Arial" w:hAnsi="Arial" w:cs="Arial"/>
          <w:i/>
          <w:iCs/>
          <w:sz w:val="22"/>
          <w:szCs w:val="22"/>
        </w:rPr>
        <w:t>Quality and Safety Education for Nurses Case Analysis</w:t>
      </w:r>
      <w:r w:rsidRPr="00696645">
        <w:rPr>
          <w:rFonts w:ascii="Arial" w:hAnsi="Arial" w:cs="Arial"/>
          <w:sz w:val="22"/>
          <w:szCs w:val="22"/>
        </w:rPr>
        <w:t>.</w:t>
      </w:r>
      <w:r w:rsidRPr="00696645">
        <w:rPr>
          <w:rFonts w:ascii="Arial" w:hAnsi="Arial" w:cs="Arial"/>
          <w:sz w:val="22"/>
          <w:szCs w:val="22"/>
        </w:rPr>
        <w:br/>
        <w:t xml:space="preserve">Available at: </w:t>
      </w:r>
      <w:hyperlink r:id="rId15" w:tgtFrame="_new" w:history="1">
        <w:r w:rsidRPr="00696645">
          <w:rPr>
            <w:rStyle w:val="Hyperlink"/>
            <w:rFonts w:ascii="Arial" w:hAnsi="Arial" w:cs="Arial"/>
            <w:sz w:val="22"/>
            <w:szCs w:val="22"/>
          </w:rPr>
          <w:t>https://studycorgi.com/lewis-blackman-case-quality-and-safety-education-for-nurses/</w:t>
        </w:r>
      </w:hyperlink>
      <w:r w:rsidRPr="00696645">
        <w:rPr>
          <w:rFonts w:ascii="Arial" w:hAnsi="Arial" w:cs="Arial"/>
          <w:sz w:val="22"/>
          <w:szCs w:val="22"/>
        </w:rPr>
        <w:t xml:space="preserve"> (Accessed: 10 March 2026). </w:t>
      </w:r>
    </w:p>
    <w:p w14:paraId="1BB81888" w14:textId="77777777" w:rsidR="00717064" w:rsidRPr="00696645" w:rsidRDefault="00717064" w:rsidP="00696645">
      <w:pPr>
        <w:pStyle w:val="NormalWeb"/>
        <w:spacing w:before="0" w:beforeAutospacing="0" w:after="0" w:afterAutospacing="0" w:line="360" w:lineRule="auto"/>
        <w:ind w:hanging="720"/>
        <w:contextualSpacing/>
        <w:jc w:val="both"/>
        <w:rPr>
          <w:rFonts w:ascii="Arial" w:hAnsi="Arial" w:cs="Arial"/>
          <w:color w:val="000000"/>
          <w:sz w:val="22"/>
          <w:szCs w:val="22"/>
        </w:rPr>
      </w:pPr>
      <w:r w:rsidRPr="00696645">
        <w:rPr>
          <w:rFonts w:ascii="Arial" w:hAnsi="Arial" w:cs="Arial"/>
          <w:color w:val="000000"/>
          <w:sz w:val="22"/>
          <w:szCs w:val="22"/>
        </w:rPr>
        <w:t>Braithwaite, J, Wears, RL &amp; Hollnagel, E 2015, ‘Resilient health care: turning patient safety on its head’, </w:t>
      </w:r>
      <w:r w:rsidRPr="00696645">
        <w:rPr>
          <w:rFonts w:ascii="Arial" w:hAnsi="Arial" w:cs="Arial"/>
          <w:i/>
          <w:iCs/>
          <w:color w:val="000000"/>
          <w:sz w:val="22"/>
          <w:szCs w:val="22"/>
        </w:rPr>
        <w:t>International Journal for Quality in Health Care</w:t>
      </w:r>
      <w:r w:rsidRPr="00696645">
        <w:rPr>
          <w:rFonts w:ascii="Arial" w:hAnsi="Arial" w:cs="Arial"/>
          <w:color w:val="000000"/>
          <w:sz w:val="22"/>
          <w:szCs w:val="22"/>
        </w:rPr>
        <w:t xml:space="preserve">, vol. 27, Oxford University Press (OUP), no. 5, pp. 418–420, viewed 12 March 2026, </w:t>
      </w:r>
      <w:hyperlink r:id="rId16" w:history="1">
        <w:r w:rsidRPr="00696645">
          <w:rPr>
            <w:rStyle w:val="Hyperlink"/>
            <w:rFonts w:ascii="Arial" w:hAnsi="Arial" w:cs="Arial"/>
            <w:sz w:val="22"/>
            <w:szCs w:val="22"/>
          </w:rPr>
          <w:t>https://pubmed.ncbi.nlm.nih.gov/26294709/</w:t>
        </w:r>
      </w:hyperlink>
      <w:r w:rsidRPr="00696645">
        <w:rPr>
          <w:rFonts w:ascii="Arial" w:hAnsi="Arial" w:cs="Arial"/>
          <w:color w:val="000000"/>
          <w:sz w:val="22"/>
          <w:szCs w:val="22"/>
        </w:rPr>
        <w:t>.</w:t>
      </w:r>
    </w:p>
    <w:p w14:paraId="0091DFC5" w14:textId="77777777" w:rsidR="00717064" w:rsidRPr="00696645" w:rsidRDefault="00717064" w:rsidP="00696645">
      <w:pPr>
        <w:pStyle w:val="NormalWeb"/>
        <w:spacing w:before="0" w:beforeAutospacing="0" w:after="0" w:afterAutospacing="0" w:line="360" w:lineRule="auto"/>
        <w:ind w:hanging="720"/>
        <w:contextualSpacing/>
        <w:jc w:val="both"/>
        <w:rPr>
          <w:rFonts w:ascii="Arial" w:hAnsi="Arial" w:cs="Arial"/>
          <w:color w:val="000000"/>
          <w:sz w:val="22"/>
          <w:szCs w:val="22"/>
        </w:rPr>
      </w:pPr>
      <w:r w:rsidRPr="00696645">
        <w:rPr>
          <w:rFonts w:ascii="Arial" w:hAnsi="Arial" w:cs="Arial"/>
          <w:color w:val="000000"/>
          <w:sz w:val="22"/>
          <w:szCs w:val="22"/>
        </w:rPr>
        <w:t>Cocoman, O, Dohlsten, M, Asiedu, EK, Taye, DB, Mannah, M, Chikwapulo, B, Abramah, NM &amp; Sagoe-Moses, I 2023, ‘Facilitators of co-leadership for quality care’, </w:t>
      </w:r>
      <w:r w:rsidRPr="00696645">
        <w:rPr>
          <w:rFonts w:ascii="Arial" w:hAnsi="Arial" w:cs="Arial"/>
          <w:i/>
          <w:iCs/>
          <w:color w:val="000000"/>
          <w:sz w:val="22"/>
          <w:szCs w:val="22"/>
        </w:rPr>
        <w:t>BMJ</w:t>
      </w:r>
      <w:r w:rsidRPr="00696645">
        <w:rPr>
          <w:rFonts w:ascii="Arial" w:hAnsi="Arial" w:cs="Arial"/>
          <w:color w:val="000000"/>
          <w:sz w:val="22"/>
          <w:szCs w:val="22"/>
        </w:rPr>
        <w:t xml:space="preserve">, vol. 381, BMJ, p. e071330, viewed 12 March 2026, </w:t>
      </w:r>
      <w:hyperlink r:id="rId17" w:history="1">
        <w:r w:rsidRPr="00696645">
          <w:rPr>
            <w:rStyle w:val="Hyperlink"/>
            <w:rFonts w:ascii="Arial" w:hAnsi="Arial" w:cs="Arial"/>
            <w:sz w:val="22"/>
            <w:szCs w:val="22"/>
          </w:rPr>
          <w:t>https://www.bmj.com/content/381/bmj-2022-071330</w:t>
        </w:r>
      </w:hyperlink>
      <w:r w:rsidRPr="00696645">
        <w:rPr>
          <w:rFonts w:ascii="Arial" w:hAnsi="Arial" w:cs="Arial"/>
          <w:color w:val="000000"/>
          <w:sz w:val="22"/>
          <w:szCs w:val="22"/>
        </w:rPr>
        <w:t>.</w:t>
      </w:r>
    </w:p>
    <w:p w14:paraId="77422B2E" w14:textId="77777777" w:rsidR="00717064" w:rsidRPr="00696645" w:rsidRDefault="00717064" w:rsidP="00696645">
      <w:pPr>
        <w:pStyle w:val="NormalWeb"/>
        <w:spacing w:before="0" w:beforeAutospacing="0" w:after="0" w:afterAutospacing="0" w:line="360" w:lineRule="auto"/>
        <w:ind w:hanging="720"/>
        <w:contextualSpacing/>
        <w:jc w:val="both"/>
        <w:rPr>
          <w:rFonts w:ascii="Arial" w:hAnsi="Arial" w:cs="Arial"/>
          <w:color w:val="000000"/>
          <w:sz w:val="22"/>
          <w:szCs w:val="22"/>
        </w:rPr>
      </w:pPr>
      <w:r w:rsidRPr="00696645">
        <w:rPr>
          <w:rFonts w:ascii="Arial" w:hAnsi="Arial" w:cs="Arial"/>
          <w:color w:val="000000"/>
          <w:sz w:val="22"/>
          <w:szCs w:val="22"/>
        </w:rPr>
        <w:t>Egoda Kapuralalage, TN, Chan, HF, Dulleck, U, Hughes, JA, Torgler, B &amp; Whyte, S 2025, ‘Clinical decision-making: Cognitive biases and heuristics in triage decisions in the emergency department’, </w:t>
      </w:r>
      <w:r w:rsidRPr="00696645">
        <w:rPr>
          <w:rFonts w:ascii="Arial" w:hAnsi="Arial" w:cs="Arial"/>
          <w:i/>
          <w:iCs/>
          <w:color w:val="000000"/>
          <w:sz w:val="22"/>
          <w:szCs w:val="22"/>
        </w:rPr>
        <w:t>The American Journal of Emergency Medicine</w:t>
      </w:r>
      <w:r w:rsidRPr="00696645">
        <w:rPr>
          <w:rFonts w:ascii="Arial" w:hAnsi="Arial" w:cs="Arial"/>
          <w:color w:val="000000"/>
          <w:sz w:val="22"/>
          <w:szCs w:val="22"/>
        </w:rPr>
        <w:t xml:space="preserve">, vol. 92, Elsevier BV, pp. 60–67, viewed 12 March 2026, </w:t>
      </w:r>
      <w:hyperlink r:id="rId18" w:history="1">
        <w:r w:rsidRPr="00696645">
          <w:rPr>
            <w:rStyle w:val="Hyperlink"/>
            <w:rFonts w:ascii="Arial" w:hAnsi="Arial" w:cs="Arial"/>
            <w:sz w:val="22"/>
            <w:szCs w:val="22"/>
          </w:rPr>
          <w:t>https://www.sciencedirect.com/science/article/pii/S0735675725001512?via%3Dihub</w:t>
        </w:r>
      </w:hyperlink>
      <w:r w:rsidRPr="00696645">
        <w:rPr>
          <w:rFonts w:ascii="Arial" w:hAnsi="Arial" w:cs="Arial"/>
          <w:color w:val="000000"/>
          <w:sz w:val="22"/>
          <w:szCs w:val="22"/>
        </w:rPr>
        <w:t>.</w:t>
      </w:r>
    </w:p>
    <w:p w14:paraId="407F80C5" w14:textId="77777777" w:rsidR="00717064" w:rsidRPr="00696645" w:rsidRDefault="00717064" w:rsidP="00696645">
      <w:pPr>
        <w:pStyle w:val="NormalWeb"/>
        <w:spacing w:before="0" w:beforeAutospacing="0" w:after="0" w:afterAutospacing="0" w:line="360" w:lineRule="auto"/>
        <w:ind w:hanging="720"/>
        <w:contextualSpacing/>
        <w:jc w:val="both"/>
        <w:rPr>
          <w:rFonts w:ascii="Arial" w:hAnsi="Arial" w:cs="Arial"/>
          <w:color w:val="000000"/>
          <w:sz w:val="22"/>
          <w:szCs w:val="22"/>
        </w:rPr>
      </w:pPr>
      <w:r w:rsidRPr="00696645">
        <w:rPr>
          <w:rFonts w:ascii="Arial" w:hAnsi="Arial" w:cs="Arial"/>
          <w:color w:val="000000"/>
          <w:sz w:val="22"/>
          <w:szCs w:val="22"/>
        </w:rPr>
        <w:t>Ginsburg, LR, Chuang, Y, Blair Berta, W, Norton, PG, Ng, P, Tregunno, D &amp; Richardson, J 2010, ‘The Relationship between Organizational Leadership for Safety and Learning from Patient Safety Events’, </w:t>
      </w:r>
      <w:r w:rsidRPr="00696645">
        <w:rPr>
          <w:rFonts w:ascii="Arial" w:hAnsi="Arial" w:cs="Arial"/>
          <w:i/>
          <w:iCs/>
          <w:color w:val="000000"/>
          <w:sz w:val="22"/>
          <w:szCs w:val="22"/>
        </w:rPr>
        <w:t>Health Services Research</w:t>
      </w:r>
      <w:r w:rsidRPr="00696645">
        <w:rPr>
          <w:rFonts w:ascii="Arial" w:hAnsi="Arial" w:cs="Arial"/>
          <w:color w:val="000000"/>
          <w:sz w:val="22"/>
          <w:szCs w:val="22"/>
        </w:rPr>
        <w:t xml:space="preserve">, vol. 45, Wiley, no. 3, pp. 607–632, viewed 12 March 2026, </w:t>
      </w:r>
      <w:hyperlink r:id="rId19" w:history="1">
        <w:r w:rsidRPr="00696645">
          <w:rPr>
            <w:rStyle w:val="Hyperlink"/>
            <w:rFonts w:ascii="Arial" w:hAnsi="Arial" w:cs="Arial"/>
            <w:sz w:val="22"/>
            <w:szCs w:val="22"/>
          </w:rPr>
          <w:t>https://pmc.ncbi.nlm.nih.gov/articles/PMC2875751/</w:t>
        </w:r>
      </w:hyperlink>
      <w:r w:rsidRPr="00696645">
        <w:rPr>
          <w:rFonts w:ascii="Arial" w:hAnsi="Arial" w:cs="Arial"/>
          <w:color w:val="000000"/>
          <w:sz w:val="22"/>
          <w:szCs w:val="22"/>
        </w:rPr>
        <w:t>.</w:t>
      </w:r>
    </w:p>
    <w:p w14:paraId="767BCAB9" w14:textId="77777777" w:rsidR="00717064" w:rsidRPr="00696645" w:rsidRDefault="00717064" w:rsidP="00696645">
      <w:pPr>
        <w:spacing w:after="0" w:line="360" w:lineRule="auto"/>
        <w:ind w:hanging="720"/>
        <w:contextualSpacing/>
        <w:jc w:val="both"/>
        <w:rPr>
          <w:rFonts w:ascii="Arial" w:hAnsi="Arial" w:cs="Arial"/>
          <w:sz w:val="22"/>
          <w:szCs w:val="22"/>
        </w:rPr>
      </w:pPr>
      <w:r w:rsidRPr="00696645">
        <w:rPr>
          <w:rFonts w:ascii="Arial" w:hAnsi="Arial" w:cs="Arial"/>
          <w:sz w:val="22"/>
          <w:szCs w:val="22"/>
        </w:rPr>
        <w:t>Hamdan, M., Jaaffar, A.H., Khraisat, O., Issa, M.R. and Jarrar, M.T., 2024. The association of transformational leadership on safety practices among nurses: the mediating role of patient safety culture. </w:t>
      </w:r>
      <w:r w:rsidRPr="00696645">
        <w:rPr>
          <w:rFonts w:ascii="Arial" w:hAnsi="Arial" w:cs="Arial"/>
          <w:i/>
          <w:iCs/>
          <w:sz w:val="22"/>
          <w:szCs w:val="22"/>
        </w:rPr>
        <w:t>Risk Management and Healthcare Policy</w:t>
      </w:r>
      <w:r w:rsidRPr="00696645">
        <w:rPr>
          <w:rFonts w:ascii="Arial" w:hAnsi="Arial" w:cs="Arial"/>
          <w:sz w:val="22"/>
          <w:szCs w:val="22"/>
        </w:rPr>
        <w:t xml:space="preserve">, pp.1687-1700. Available at: </w:t>
      </w:r>
      <w:hyperlink r:id="rId20" w:tgtFrame="_new" w:history="1">
        <w:r w:rsidRPr="00696645">
          <w:rPr>
            <w:rStyle w:val="Hyperlink"/>
            <w:rFonts w:ascii="Arial" w:hAnsi="Arial" w:cs="Arial"/>
            <w:sz w:val="22"/>
            <w:szCs w:val="22"/>
          </w:rPr>
          <w:t>https://www.dovepress.com/the-association-of-transformational-leadership-on-safety-practices-amo-peer-reviewed-fulltext-article-RMHP</w:t>
        </w:r>
      </w:hyperlink>
      <w:r w:rsidRPr="00696645">
        <w:rPr>
          <w:rFonts w:ascii="Arial" w:hAnsi="Arial" w:cs="Arial"/>
          <w:sz w:val="22"/>
          <w:szCs w:val="22"/>
        </w:rPr>
        <w:t xml:space="preserve"> (Accessed: 10 March 2026). </w:t>
      </w:r>
    </w:p>
    <w:p w14:paraId="061D0E27" w14:textId="77777777" w:rsidR="00717064" w:rsidRPr="00696645" w:rsidRDefault="00717064" w:rsidP="00696645">
      <w:pPr>
        <w:pStyle w:val="NormalWeb"/>
        <w:spacing w:before="0" w:beforeAutospacing="0" w:after="0" w:afterAutospacing="0" w:line="360" w:lineRule="auto"/>
        <w:ind w:hanging="720"/>
        <w:contextualSpacing/>
        <w:jc w:val="both"/>
        <w:rPr>
          <w:rFonts w:ascii="Arial" w:hAnsi="Arial" w:cs="Arial"/>
          <w:color w:val="000000"/>
          <w:sz w:val="22"/>
          <w:szCs w:val="22"/>
        </w:rPr>
      </w:pPr>
      <w:r w:rsidRPr="00696645">
        <w:rPr>
          <w:rFonts w:ascii="Arial" w:hAnsi="Arial" w:cs="Arial"/>
          <w:color w:val="000000"/>
          <w:sz w:val="22"/>
          <w:szCs w:val="22"/>
        </w:rPr>
        <w:lastRenderedPageBreak/>
        <w:t>J;Kyzer, R 2026, ‘South Carolina patient safety legislation: the impact of the Lewis Blackman Hospital Patient Safety Act on a large teaching hospital’, </w:t>
      </w:r>
      <w:r w:rsidRPr="00696645">
        <w:rPr>
          <w:rFonts w:ascii="Arial" w:hAnsi="Arial" w:cs="Arial"/>
          <w:i/>
          <w:iCs/>
          <w:color w:val="000000"/>
          <w:sz w:val="22"/>
          <w:szCs w:val="22"/>
        </w:rPr>
        <w:t>Journal of the South Carolina Medical Association (1975)</w:t>
      </w:r>
      <w:r w:rsidRPr="00696645">
        <w:rPr>
          <w:rFonts w:ascii="Arial" w:hAnsi="Arial" w:cs="Arial"/>
          <w:color w:val="000000"/>
          <w:sz w:val="22"/>
          <w:szCs w:val="22"/>
        </w:rPr>
        <w:t>, vol. 105, J S C Med Assoc, no. 1, viewed 12 March 2026, &lt;https://pubmed.ncbi.nlm.nih.gov/19331087/&gt;.</w:t>
      </w:r>
    </w:p>
    <w:p w14:paraId="23B493DC" w14:textId="77777777" w:rsidR="00717064" w:rsidRPr="00696645" w:rsidRDefault="00717064" w:rsidP="00696645">
      <w:pPr>
        <w:spacing w:after="0" w:line="360" w:lineRule="auto"/>
        <w:ind w:hanging="720"/>
        <w:contextualSpacing/>
        <w:jc w:val="both"/>
        <w:rPr>
          <w:rFonts w:ascii="Arial" w:hAnsi="Arial" w:cs="Arial"/>
          <w:sz w:val="22"/>
          <w:szCs w:val="22"/>
        </w:rPr>
      </w:pPr>
      <w:r w:rsidRPr="00696645">
        <w:rPr>
          <w:rFonts w:ascii="Arial" w:hAnsi="Arial" w:cs="Arial"/>
          <w:sz w:val="22"/>
          <w:szCs w:val="22"/>
        </w:rPr>
        <w:t>Labrague, L.J., 2024. Relationship between transformational leadership, adverse patient events, and nurse-assessed quality of care in emergency units: The mediating role of work satisfaction. </w:t>
      </w:r>
      <w:r w:rsidRPr="00696645">
        <w:rPr>
          <w:rFonts w:ascii="Arial" w:hAnsi="Arial" w:cs="Arial"/>
          <w:i/>
          <w:iCs/>
          <w:sz w:val="22"/>
          <w:szCs w:val="22"/>
        </w:rPr>
        <w:t>Australasian Emergency Care</w:t>
      </w:r>
      <w:r w:rsidRPr="00696645">
        <w:rPr>
          <w:rFonts w:ascii="Arial" w:hAnsi="Arial" w:cs="Arial"/>
          <w:sz w:val="22"/>
          <w:szCs w:val="22"/>
        </w:rPr>
        <w:t>, </w:t>
      </w:r>
      <w:r w:rsidRPr="00696645">
        <w:rPr>
          <w:rFonts w:ascii="Arial" w:hAnsi="Arial" w:cs="Arial"/>
          <w:i/>
          <w:iCs/>
          <w:sz w:val="22"/>
          <w:szCs w:val="22"/>
        </w:rPr>
        <w:t>27</w:t>
      </w:r>
      <w:r w:rsidRPr="00696645">
        <w:rPr>
          <w:rFonts w:ascii="Arial" w:hAnsi="Arial" w:cs="Arial"/>
          <w:sz w:val="22"/>
          <w:szCs w:val="22"/>
        </w:rPr>
        <w:t xml:space="preserve">(1), pp.49-56. Available at: </w:t>
      </w:r>
      <w:hyperlink r:id="rId21" w:tgtFrame="_new" w:history="1">
        <w:r w:rsidRPr="00696645">
          <w:rPr>
            <w:rStyle w:val="Hyperlink"/>
            <w:rFonts w:ascii="Arial" w:hAnsi="Arial" w:cs="Arial"/>
            <w:sz w:val="22"/>
            <w:szCs w:val="22"/>
          </w:rPr>
          <w:t>https://www.sciencedirect.com/science/article/abs/pii/S2588994X23000544</w:t>
        </w:r>
      </w:hyperlink>
      <w:r w:rsidRPr="00696645">
        <w:rPr>
          <w:rFonts w:ascii="Arial" w:hAnsi="Arial" w:cs="Arial"/>
          <w:sz w:val="22"/>
          <w:szCs w:val="22"/>
        </w:rPr>
        <w:t xml:space="preserve"> (Accessed: 10 March 2026). </w:t>
      </w:r>
    </w:p>
    <w:p w14:paraId="61992068" w14:textId="77777777" w:rsidR="00717064" w:rsidRPr="00696645" w:rsidRDefault="00717064" w:rsidP="00696645">
      <w:pPr>
        <w:pStyle w:val="NormalWeb"/>
        <w:spacing w:before="0" w:beforeAutospacing="0" w:after="0" w:afterAutospacing="0" w:line="360" w:lineRule="auto"/>
        <w:ind w:hanging="720"/>
        <w:contextualSpacing/>
        <w:jc w:val="both"/>
        <w:rPr>
          <w:rFonts w:ascii="Arial" w:hAnsi="Arial" w:cs="Arial"/>
          <w:color w:val="000000"/>
          <w:sz w:val="22"/>
          <w:szCs w:val="22"/>
        </w:rPr>
      </w:pPr>
      <w:r w:rsidRPr="00696645">
        <w:rPr>
          <w:rFonts w:ascii="Arial" w:hAnsi="Arial" w:cs="Arial"/>
          <w:color w:val="000000"/>
          <w:sz w:val="22"/>
          <w:szCs w:val="22"/>
        </w:rPr>
        <w:t>Mannion, R &amp; Davies, H 2018, ‘Understanding organisational culture for healthcare quality improvement’, </w:t>
      </w:r>
      <w:r w:rsidRPr="00696645">
        <w:rPr>
          <w:rFonts w:ascii="Arial" w:hAnsi="Arial" w:cs="Arial"/>
          <w:i/>
          <w:iCs/>
          <w:color w:val="000000"/>
          <w:sz w:val="22"/>
          <w:szCs w:val="22"/>
        </w:rPr>
        <w:t>BMJ</w:t>
      </w:r>
      <w:r w:rsidRPr="00696645">
        <w:rPr>
          <w:rFonts w:ascii="Arial" w:hAnsi="Arial" w:cs="Arial"/>
          <w:color w:val="000000"/>
          <w:sz w:val="22"/>
          <w:szCs w:val="22"/>
        </w:rPr>
        <w:t xml:space="preserve">, BMJ, p. k4907, viewed 12 March 2026, </w:t>
      </w:r>
      <w:hyperlink r:id="rId22" w:history="1">
        <w:r w:rsidRPr="00696645">
          <w:rPr>
            <w:rStyle w:val="Hyperlink"/>
            <w:rFonts w:ascii="Arial" w:hAnsi="Arial" w:cs="Arial"/>
            <w:sz w:val="22"/>
            <w:szCs w:val="22"/>
          </w:rPr>
          <w:t>https://www.bmj.com/content/363/bmj.k4907</w:t>
        </w:r>
      </w:hyperlink>
      <w:r w:rsidRPr="00696645">
        <w:rPr>
          <w:rFonts w:ascii="Arial" w:hAnsi="Arial" w:cs="Arial"/>
          <w:color w:val="000000"/>
          <w:sz w:val="22"/>
          <w:szCs w:val="22"/>
        </w:rPr>
        <w:t>.</w:t>
      </w:r>
    </w:p>
    <w:p w14:paraId="4A7D2C8B" w14:textId="77777777" w:rsidR="00717064" w:rsidRPr="00696645" w:rsidRDefault="00717064" w:rsidP="00696645">
      <w:pPr>
        <w:pStyle w:val="NormalWeb"/>
        <w:spacing w:before="0" w:beforeAutospacing="0" w:after="0" w:afterAutospacing="0" w:line="360" w:lineRule="auto"/>
        <w:ind w:hanging="720"/>
        <w:contextualSpacing/>
        <w:jc w:val="both"/>
        <w:rPr>
          <w:rFonts w:ascii="Arial" w:hAnsi="Arial" w:cs="Arial"/>
          <w:color w:val="000000"/>
          <w:sz w:val="22"/>
          <w:szCs w:val="22"/>
        </w:rPr>
      </w:pPr>
      <w:r w:rsidRPr="00696645">
        <w:rPr>
          <w:rFonts w:ascii="Arial" w:hAnsi="Arial" w:cs="Arial"/>
          <w:color w:val="000000"/>
          <w:sz w:val="22"/>
          <w:szCs w:val="22"/>
        </w:rPr>
        <w:t>O’Daniel, M &amp; Rosenstein, AH 2008, </w:t>
      </w:r>
      <w:r w:rsidRPr="00696645">
        <w:rPr>
          <w:rFonts w:ascii="Arial" w:hAnsi="Arial" w:cs="Arial"/>
          <w:i/>
          <w:iCs/>
          <w:color w:val="000000"/>
          <w:sz w:val="22"/>
          <w:szCs w:val="22"/>
        </w:rPr>
        <w:t>Professional Communication and Team Collaboration</w:t>
      </w:r>
      <w:r w:rsidRPr="00696645">
        <w:rPr>
          <w:rFonts w:ascii="Arial" w:hAnsi="Arial" w:cs="Arial"/>
          <w:color w:val="000000"/>
          <w:sz w:val="22"/>
          <w:szCs w:val="22"/>
        </w:rPr>
        <w:t xml:space="preserve">, Nih.gov, Agency for Healthcare Research and Quality (US), viewed 12 March 2026, </w:t>
      </w:r>
      <w:hyperlink r:id="rId23" w:history="1">
        <w:r w:rsidRPr="00696645">
          <w:rPr>
            <w:rStyle w:val="Hyperlink"/>
            <w:rFonts w:ascii="Arial" w:hAnsi="Arial" w:cs="Arial"/>
            <w:sz w:val="22"/>
            <w:szCs w:val="22"/>
          </w:rPr>
          <w:t>https://www.ncbi.nlm.nih.gov/books/NBK2637/</w:t>
        </w:r>
      </w:hyperlink>
      <w:r w:rsidRPr="00696645">
        <w:rPr>
          <w:rFonts w:ascii="Arial" w:hAnsi="Arial" w:cs="Arial"/>
          <w:color w:val="000000"/>
          <w:sz w:val="22"/>
          <w:szCs w:val="22"/>
        </w:rPr>
        <w:t>.</w:t>
      </w:r>
    </w:p>
    <w:p w14:paraId="3F22A684" w14:textId="77777777" w:rsidR="00717064" w:rsidRPr="00696645" w:rsidRDefault="00717064" w:rsidP="00696645">
      <w:pPr>
        <w:spacing w:after="0" w:line="360" w:lineRule="auto"/>
        <w:ind w:hanging="720"/>
        <w:contextualSpacing/>
        <w:jc w:val="both"/>
        <w:rPr>
          <w:rFonts w:ascii="Arial" w:hAnsi="Arial" w:cs="Arial"/>
          <w:sz w:val="22"/>
          <w:szCs w:val="22"/>
        </w:rPr>
      </w:pPr>
      <w:r w:rsidRPr="00696645">
        <w:rPr>
          <w:rFonts w:ascii="Arial" w:hAnsi="Arial" w:cs="Arial"/>
          <w:sz w:val="22"/>
          <w:szCs w:val="22"/>
        </w:rPr>
        <w:t>Raoush, A., 2023. Transformational leadership impact on innovative behaviour as perceived by healthcare workers in private hospitals in Jordan. </w:t>
      </w:r>
      <w:r w:rsidRPr="00696645">
        <w:rPr>
          <w:rFonts w:ascii="Arial" w:hAnsi="Arial" w:cs="Arial"/>
          <w:i/>
          <w:iCs/>
          <w:sz w:val="22"/>
          <w:szCs w:val="22"/>
        </w:rPr>
        <w:t>Cogent Business &amp; Management</w:t>
      </w:r>
      <w:r w:rsidRPr="00696645">
        <w:rPr>
          <w:rFonts w:ascii="Arial" w:hAnsi="Arial" w:cs="Arial"/>
          <w:sz w:val="22"/>
          <w:szCs w:val="22"/>
        </w:rPr>
        <w:t>, </w:t>
      </w:r>
      <w:r w:rsidRPr="00696645">
        <w:rPr>
          <w:rFonts w:ascii="Arial" w:hAnsi="Arial" w:cs="Arial"/>
          <w:i/>
          <w:iCs/>
          <w:sz w:val="22"/>
          <w:szCs w:val="22"/>
        </w:rPr>
        <w:t>10</w:t>
      </w:r>
      <w:r w:rsidRPr="00696645">
        <w:rPr>
          <w:rFonts w:ascii="Arial" w:hAnsi="Arial" w:cs="Arial"/>
          <w:sz w:val="22"/>
          <w:szCs w:val="22"/>
        </w:rPr>
        <w:t xml:space="preserve">(3), p.2265606. Available at: </w:t>
      </w:r>
      <w:hyperlink r:id="rId24" w:tgtFrame="_new" w:history="1">
        <w:r w:rsidRPr="00696645">
          <w:rPr>
            <w:rStyle w:val="Hyperlink"/>
            <w:rFonts w:ascii="Arial" w:hAnsi="Arial" w:cs="Arial"/>
            <w:sz w:val="22"/>
            <w:szCs w:val="22"/>
          </w:rPr>
          <w:t>https://www.tandfonline.com/doi/full/10.1080/23311975.2023.2265606</w:t>
        </w:r>
      </w:hyperlink>
      <w:r w:rsidRPr="00696645">
        <w:rPr>
          <w:rFonts w:ascii="Arial" w:hAnsi="Arial" w:cs="Arial"/>
          <w:sz w:val="22"/>
          <w:szCs w:val="22"/>
        </w:rPr>
        <w:t xml:space="preserve"> (Accessed: 10 March 2026). </w:t>
      </w:r>
    </w:p>
    <w:p w14:paraId="2F5ADD83" w14:textId="77777777" w:rsidR="00717064" w:rsidRPr="00696645" w:rsidRDefault="00717064" w:rsidP="00696645">
      <w:pPr>
        <w:spacing w:after="0" w:line="360" w:lineRule="auto"/>
        <w:ind w:hanging="720"/>
        <w:contextualSpacing/>
        <w:jc w:val="both"/>
        <w:rPr>
          <w:rFonts w:ascii="Arial" w:hAnsi="Arial" w:cs="Arial"/>
          <w:sz w:val="22"/>
          <w:szCs w:val="22"/>
        </w:rPr>
      </w:pPr>
      <w:r w:rsidRPr="00696645">
        <w:rPr>
          <w:rFonts w:ascii="Arial" w:hAnsi="Arial" w:cs="Arial"/>
          <w:sz w:val="22"/>
          <w:szCs w:val="22"/>
        </w:rPr>
        <w:t>Restivo, V., Minutolo, G., Battaglini, A., Carli, A., Capraro, M., Gaeta, M., Odone, A., Trucchi, C., Favaretti, C., Vitale, F. and Casuccio, A., 2022. Leadership effectiveness in healthcare settings: a systematic review and meta-analysis of cross-sectional and before–after studies. </w:t>
      </w:r>
      <w:r w:rsidRPr="00696645">
        <w:rPr>
          <w:rFonts w:ascii="Arial" w:hAnsi="Arial" w:cs="Arial"/>
          <w:i/>
          <w:iCs/>
          <w:sz w:val="22"/>
          <w:szCs w:val="22"/>
        </w:rPr>
        <w:t>International journal of environmental research and public health</w:t>
      </w:r>
      <w:r w:rsidRPr="00696645">
        <w:rPr>
          <w:rFonts w:ascii="Arial" w:hAnsi="Arial" w:cs="Arial"/>
          <w:sz w:val="22"/>
          <w:szCs w:val="22"/>
        </w:rPr>
        <w:t>, </w:t>
      </w:r>
      <w:r w:rsidRPr="00696645">
        <w:rPr>
          <w:rFonts w:ascii="Arial" w:hAnsi="Arial" w:cs="Arial"/>
          <w:i/>
          <w:iCs/>
          <w:sz w:val="22"/>
          <w:szCs w:val="22"/>
        </w:rPr>
        <w:t>19</w:t>
      </w:r>
      <w:r w:rsidRPr="00696645">
        <w:rPr>
          <w:rFonts w:ascii="Arial" w:hAnsi="Arial" w:cs="Arial"/>
          <w:sz w:val="22"/>
          <w:szCs w:val="22"/>
        </w:rPr>
        <w:t>(17), p.10995.</w:t>
      </w:r>
      <w:r w:rsidRPr="00696645">
        <w:rPr>
          <w:rFonts w:ascii="Arial" w:hAnsi="Arial" w:cs="Arial"/>
          <w:sz w:val="22"/>
          <w:szCs w:val="22"/>
        </w:rPr>
        <w:br/>
        <w:t xml:space="preserve">Available at: </w:t>
      </w:r>
      <w:hyperlink r:id="rId25" w:tgtFrame="_new" w:history="1">
        <w:r w:rsidRPr="00696645">
          <w:rPr>
            <w:rStyle w:val="Hyperlink"/>
            <w:rFonts w:ascii="Arial" w:hAnsi="Arial" w:cs="Arial"/>
            <w:sz w:val="22"/>
            <w:szCs w:val="22"/>
          </w:rPr>
          <w:t>https://pmc.ncbi.nlm.nih.gov/articles/PMC9518077/</w:t>
        </w:r>
      </w:hyperlink>
      <w:r w:rsidRPr="00696645">
        <w:rPr>
          <w:rFonts w:ascii="Arial" w:hAnsi="Arial" w:cs="Arial"/>
          <w:sz w:val="22"/>
          <w:szCs w:val="22"/>
        </w:rPr>
        <w:t xml:space="preserve"> (Accessed: 10 March 2026). </w:t>
      </w:r>
    </w:p>
    <w:p w14:paraId="4BF0AFF9" w14:textId="77777777" w:rsidR="00717064" w:rsidRPr="00696645" w:rsidRDefault="00717064" w:rsidP="00696645">
      <w:pPr>
        <w:pStyle w:val="NormalWeb"/>
        <w:spacing w:before="0" w:beforeAutospacing="0" w:after="0" w:afterAutospacing="0" w:line="360" w:lineRule="auto"/>
        <w:ind w:hanging="720"/>
        <w:contextualSpacing/>
        <w:jc w:val="both"/>
        <w:rPr>
          <w:rFonts w:ascii="Arial" w:hAnsi="Arial" w:cs="Arial"/>
          <w:color w:val="000000"/>
          <w:sz w:val="22"/>
          <w:szCs w:val="22"/>
        </w:rPr>
      </w:pPr>
      <w:r w:rsidRPr="00696645">
        <w:rPr>
          <w:rFonts w:ascii="Arial" w:hAnsi="Arial" w:cs="Arial"/>
          <w:color w:val="000000"/>
          <w:sz w:val="22"/>
          <w:szCs w:val="22"/>
        </w:rPr>
        <w:t>Ring, L &amp; Fairchild, RM 2013, ‘Leadership and Patient Safety: A Review of the Literature’, </w:t>
      </w:r>
      <w:r w:rsidRPr="00696645">
        <w:rPr>
          <w:rFonts w:ascii="Arial" w:hAnsi="Arial" w:cs="Arial"/>
          <w:i/>
          <w:iCs/>
          <w:color w:val="000000"/>
          <w:sz w:val="22"/>
          <w:szCs w:val="22"/>
        </w:rPr>
        <w:t>Journal of Nursing Regulation</w:t>
      </w:r>
      <w:r w:rsidRPr="00696645">
        <w:rPr>
          <w:rFonts w:ascii="Arial" w:hAnsi="Arial" w:cs="Arial"/>
          <w:color w:val="000000"/>
          <w:sz w:val="22"/>
          <w:szCs w:val="22"/>
        </w:rPr>
        <w:t xml:space="preserve">, vol. 4, Elsevier BV, no. 1, pp. 52–56, viewed 12 March 2026, </w:t>
      </w:r>
      <w:hyperlink r:id="rId26" w:history="1">
        <w:r w:rsidRPr="00696645">
          <w:rPr>
            <w:rStyle w:val="Hyperlink"/>
            <w:rFonts w:ascii="Arial" w:hAnsi="Arial" w:cs="Arial"/>
            <w:sz w:val="22"/>
            <w:szCs w:val="22"/>
          </w:rPr>
          <w:t>https://www.sciencedirect.com/science/article/abs/pii/S2155825615301642</w:t>
        </w:r>
      </w:hyperlink>
      <w:r w:rsidRPr="00696645">
        <w:rPr>
          <w:rFonts w:ascii="Arial" w:hAnsi="Arial" w:cs="Arial"/>
          <w:color w:val="000000"/>
          <w:sz w:val="22"/>
          <w:szCs w:val="22"/>
        </w:rPr>
        <w:t>.</w:t>
      </w:r>
    </w:p>
    <w:p w14:paraId="6B9BC4F0" w14:textId="77777777" w:rsidR="00717064" w:rsidRPr="00696645" w:rsidRDefault="00717064" w:rsidP="00696645">
      <w:pPr>
        <w:pStyle w:val="NormalWeb"/>
        <w:spacing w:before="0" w:beforeAutospacing="0" w:after="0" w:afterAutospacing="0" w:line="360" w:lineRule="auto"/>
        <w:ind w:hanging="720"/>
        <w:contextualSpacing/>
        <w:jc w:val="both"/>
        <w:rPr>
          <w:rFonts w:ascii="Arial" w:hAnsi="Arial" w:cs="Arial"/>
          <w:sz w:val="22"/>
          <w:szCs w:val="22"/>
        </w:rPr>
      </w:pPr>
      <w:r w:rsidRPr="00696645">
        <w:rPr>
          <w:rFonts w:ascii="Arial" w:hAnsi="Arial" w:cs="Arial"/>
          <w:sz w:val="22"/>
          <w:szCs w:val="22"/>
          <w:lang w:val="en-IN"/>
        </w:rPr>
        <w:t xml:space="preserve">Samardzic, M., Doekhie, K. D., &amp; van Wijngaarden, J. D. H. (2020). Interventions to improve patient safety culture in healthcare organizations: A systematic review. </w:t>
      </w:r>
      <w:r w:rsidRPr="00696645">
        <w:rPr>
          <w:rFonts w:ascii="Arial" w:hAnsi="Arial" w:cs="Arial"/>
          <w:i/>
          <w:iCs/>
          <w:sz w:val="22"/>
          <w:szCs w:val="22"/>
          <w:lang w:val="en-IN"/>
        </w:rPr>
        <w:t>International Journal of Environmental Research and Public Health, 17</w:t>
      </w:r>
      <w:r w:rsidRPr="00696645">
        <w:rPr>
          <w:rFonts w:ascii="Arial" w:hAnsi="Arial" w:cs="Arial"/>
          <w:sz w:val="22"/>
          <w:szCs w:val="22"/>
          <w:lang w:val="en-IN"/>
        </w:rPr>
        <w:t xml:space="preserve">(4), 1432. </w:t>
      </w:r>
      <w:hyperlink r:id="rId27" w:tgtFrame="_new" w:history="1">
        <w:r w:rsidRPr="00696645">
          <w:rPr>
            <w:rStyle w:val="Hyperlink"/>
            <w:rFonts w:ascii="Arial" w:hAnsi="Arial" w:cs="Arial"/>
            <w:sz w:val="22"/>
            <w:szCs w:val="22"/>
            <w:lang w:val="en-IN"/>
          </w:rPr>
          <w:t>https://doi.org/10.3390/ijerph17041432</w:t>
        </w:r>
      </w:hyperlink>
    </w:p>
    <w:p w14:paraId="51DF1117" w14:textId="77777777" w:rsidR="00717064" w:rsidRPr="00696645" w:rsidRDefault="00717064" w:rsidP="00696645">
      <w:pPr>
        <w:pStyle w:val="NormalWeb"/>
        <w:spacing w:before="0" w:beforeAutospacing="0" w:after="0" w:afterAutospacing="0" w:line="360" w:lineRule="auto"/>
        <w:ind w:hanging="720"/>
        <w:contextualSpacing/>
        <w:jc w:val="both"/>
        <w:rPr>
          <w:rFonts w:ascii="Arial" w:hAnsi="Arial" w:cs="Arial"/>
          <w:color w:val="000000"/>
          <w:sz w:val="22"/>
          <w:szCs w:val="22"/>
        </w:rPr>
      </w:pPr>
      <w:r w:rsidRPr="00696645">
        <w:rPr>
          <w:rFonts w:ascii="Arial" w:hAnsi="Arial" w:cs="Arial"/>
          <w:color w:val="000000"/>
          <w:sz w:val="22"/>
          <w:szCs w:val="22"/>
        </w:rPr>
        <w:t>Subbe, C, Hughes, DA, Lewis, S, Holmes, EA, Kalkman, C, So, R, Tranka, S &amp; Welch, J 2023, ‘Value of improving patient safety: health economic considerations for rapid response systems–a rapid review of the literature and expert round table’, </w:t>
      </w:r>
      <w:r w:rsidRPr="00696645">
        <w:rPr>
          <w:rFonts w:ascii="Arial" w:hAnsi="Arial" w:cs="Arial"/>
          <w:i/>
          <w:iCs/>
          <w:color w:val="000000"/>
          <w:sz w:val="22"/>
          <w:szCs w:val="22"/>
        </w:rPr>
        <w:t>BMJ Open</w:t>
      </w:r>
      <w:r w:rsidRPr="00696645">
        <w:rPr>
          <w:rFonts w:ascii="Arial" w:hAnsi="Arial" w:cs="Arial"/>
          <w:color w:val="000000"/>
          <w:sz w:val="22"/>
          <w:szCs w:val="22"/>
        </w:rPr>
        <w:t xml:space="preserve">, vol. 13, BMJ, no. 4, p. e065819, viewed 12 March 2026, </w:t>
      </w:r>
      <w:hyperlink r:id="rId28" w:history="1">
        <w:r w:rsidRPr="00696645">
          <w:rPr>
            <w:rStyle w:val="Hyperlink"/>
            <w:rFonts w:ascii="Arial" w:hAnsi="Arial" w:cs="Arial"/>
            <w:sz w:val="22"/>
            <w:szCs w:val="22"/>
          </w:rPr>
          <w:t>https://bmjopen.bmj.com/content/13/4/e065819</w:t>
        </w:r>
      </w:hyperlink>
      <w:r w:rsidRPr="00696645">
        <w:rPr>
          <w:rFonts w:ascii="Arial" w:hAnsi="Arial" w:cs="Arial"/>
          <w:color w:val="000000"/>
          <w:sz w:val="22"/>
          <w:szCs w:val="22"/>
        </w:rPr>
        <w:t>.</w:t>
      </w:r>
    </w:p>
    <w:p w14:paraId="759F7A64" w14:textId="77777777" w:rsidR="00717064" w:rsidRPr="00696645" w:rsidRDefault="00717064" w:rsidP="00696645">
      <w:pPr>
        <w:pStyle w:val="NormalWeb"/>
        <w:spacing w:before="0" w:beforeAutospacing="0" w:after="0" w:afterAutospacing="0" w:line="360" w:lineRule="auto"/>
        <w:ind w:hanging="720"/>
        <w:contextualSpacing/>
        <w:jc w:val="both"/>
        <w:rPr>
          <w:rFonts w:ascii="Arial" w:hAnsi="Arial" w:cs="Arial"/>
          <w:color w:val="000000"/>
          <w:sz w:val="22"/>
          <w:szCs w:val="22"/>
        </w:rPr>
      </w:pPr>
      <w:r w:rsidRPr="00696645">
        <w:rPr>
          <w:rFonts w:ascii="Arial" w:hAnsi="Arial" w:cs="Arial"/>
          <w:color w:val="000000"/>
          <w:sz w:val="22"/>
          <w:szCs w:val="22"/>
        </w:rPr>
        <w:lastRenderedPageBreak/>
        <w:t xml:space="preserve"> Tameze, Y &amp; Shelton, KT 2026, ‘The Critical Role of Hospital Identifiers in Evaluating Failure-to-Rescue Disparities’, </w:t>
      </w:r>
      <w:r w:rsidRPr="00696645">
        <w:rPr>
          <w:rFonts w:ascii="Arial" w:hAnsi="Arial" w:cs="Arial"/>
          <w:i/>
          <w:iCs/>
          <w:color w:val="000000"/>
          <w:sz w:val="22"/>
          <w:szCs w:val="22"/>
        </w:rPr>
        <w:t>Anesthesia &amp; Analgesia</w:t>
      </w:r>
      <w:r w:rsidRPr="00696645">
        <w:rPr>
          <w:rFonts w:ascii="Arial" w:hAnsi="Arial" w:cs="Arial"/>
          <w:color w:val="000000"/>
          <w:sz w:val="22"/>
          <w:szCs w:val="22"/>
        </w:rPr>
        <w:t>, Ovid Technologies (Wolters Kluwer Health), viewed 12 March 2026, https://journals.lww.com/anesthesia-analgesia/citation/9900/the_critical_role_of_hospital_identifiers_in.1652.aspx.</w:t>
      </w:r>
    </w:p>
    <w:p w14:paraId="022742C5" w14:textId="77777777" w:rsidR="00717064" w:rsidRPr="00696645" w:rsidRDefault="00717064" w:rsidP="00696645">
      <w:pPr>
        <w:spacing w:after="0" w:line="360" w:lineRule="auto"/>
        <w:ind w:hanging="720"/>
        <w:contextualSpacing/>
        <w:jc w:val="both"/>
        <w:rPr>
          <w:rFonts w:ascii="Arial" w:hAnsi="Arial" w:cs="Arial"/>
          <w:sz w:val="22"/>
          <w:szCs w:val="22"/>
        </w:rPr>
      </w:pPr>
      <w:r w:rsidRPr="00696645">
        <w:rPr>
          <w:rFonts w:ascii="Arial" w:hAnsi="Arial" w:cs="Arial"/>
          <w:sz w:val="22"/>
          <w:szCs w:val="22"/>
        </w:rPr>
        <w:t>Tsapnidou, E., Kelesi, M., Rovithis, M., Katharakis, G., Gerogianni, G., Dafogianni, C., Toylia, G., Fasoi, G. and Stavropoulou, A., 2024. Transformational leadership—quality achievements and benefits for the healthcare organizations: a scoping review. </w:t>
      </w:r>
      <w:r w:rsidRPr="00696645">
        <w:rPr>
          <w:rFonts w:ascii="Arial" w:hAnsi="Arial" w:cs="Arial"/>
          <w:i/>
          <w:iCs/>
          <w:sz w:val="22"/>
          <w:szCs w:val="22"/>
        </w:rPr>
        <w:t>Hospitals</w:t>
      </w:r>
      <w:r w:rsidRPr="00696645">
        <w:rPr>
          <w:rFonts w:ascii="Arial" w:hAnsi="Arial" w:cs="Arial"/>
          <w:sz w:val="22"/>
          <w:szCs w:val="22"/>
        </w:rPr>
        <w:t>, </w:t>
      </w:r>
      <w:r w:rsidRPr="00696645">
        <w:rPr>
          <w:rFonts w:ascii="Arial" w:hAnsi="Arial" w:cs="Arial"/>
          <w:i/>
          <w:iCs/>
          <w:sz w:val="22"/>
          <w:szCs w:val="22"/>
        </w:rPr>
        <w:t>1</w:t>
      </w:r>
      <w:r w:rsidRPr="00696645">
        <w:rPr>
          <w:rFonts w:ascii="Arial" w:hAnsi="Arial" w:cs="Arial"/>
          <w:sz w:val="22"/>
          <w:szCs w:val="22"/>
        </w:rPr>
        <w:t xml:space="preserve">(1), pp.87-103. Available at: </w:t>
      </w:r>
      <w:hyperlink r:id="rId29" w:tgtFrame="_new" w:history="1">
        <w:r w:rsidRPr="00696645">
          <w:rPr>
            <w:rStyle w:val="Hyperlink"/>
            <w:rFonts w:ascii="Arial" w:hAnsi="Arial" w:cs="Arial"/>
            <w:sz w:val="22"/>
            <w:szCs w:val="22"/>
          </w:rPr>
          <w:t>https://www.mdpi.com/2813-4524/1/1/8</w:t>
        </w:r>
      </w:hyperlink>
      <w:r w:rsidRPr="00696645">
        <w:rPr>
          <w:rFonts w:ascii="Arial" w:hAnsi="Arial" w:cs="Arial"/>
          <w:sz w:val="22"/>
          <w:szCs w:val="22"/>
        </w:rPr>
        <w:t xml:space="preserve"> (Accessed: 10 March 2026). </w:t>
      </w:r>
    </w:p>
    <w:p w14:paraId="37393D88" w14:textId="77777777" w:rsidR="00717064" w:rsidRPr="00696645" w:rsidRDefault="00717064" w:rsidP="00696645">
      <w:pPr>
        <w:pStyle w:val="NormalWeb"/>
        <w:spacing w:before="0" w:beforeAutospacing="0" w:after="0" w:afterAutospacing="0" w:line="360" w:lineRule="auto"/>
        <w:ind w:hanging="720"/>
        <w:contextualSpacing/>
        <w:jc w:val="both"/>
        <w:rPr>
          <w:rFonts w:ascii="Arial" w:hAnsi="Arial" w:cs="Arial"/>
          <w:sz w:val="22"/>
          <w:szCs w:val="22"/>
        </w:rPr>
      </w:pPr>
      <w:r w:rsidRPr="00696645">
        <w:rPr>
          <w:rFonts w:ascii="Arial" w:hAnsi="Arial" w:cs="Arial"/>
          <w:sz w:val="22"/>
          <w:szCs w:val="22"/>
        </w:rPr>
        <w:t xml:space="preserve">Ward, M. E., Doherty, E., &amp; Corrigan, S. (2023). Innovative approaches for safety culture improvement in healthcare systems. </w:t>
      </w:r>
      <w:r w:rsidRPr="00696645">
        <w:rPr>
          <w:rStyle w:val="Emphasis"/>
          <w:rFonts w:ascii="Arial" w:eastAsiaTheme="majorEastAsia" w:hAnsi="Arial" w:cs="Arial"/>
          <w:sz w:val="22"/>
          <w:szCs w:val="22"/>
        </w:rPr>
        <w:t>Healthcare, 11</w:t>
      </w:r>
      <w:r w:rsidRPr="00696645">
        <w:rPr>
          <w:rFonts w:ascii="Arial" w:hAnsi="Arial" w:cs="Arial"/>
          <w:sz w:val="22"/>
          <w:szCs w:val="22"/>
        </w:rPr>
        <w:t xml:space="preserve">(23), 3095. </w:t>
      </w:r>
      <w:hyperlink r:id="rId30" w:history="1">
        <w:r w:rsidRPr="00696645">
          <w:rPr>
            <w:rStyle w:val="Hyperlink"/>
            <w:rFonts w:ascii="Arial" w:hAnsi="Arial" w:cs="Arial"/>
            <w:sz w:val="22"/>
            <w:szCs w:val="22"/>
          </w:rPr>
          <w:t>https://doi.org/10.3390/healthcare11233095</w:t>
        </w:r>
      </w:hyperlink>
    </w:p>
    <w:p w14:paraId="29FA6C91" w14:textId="77777777" w:rsidR="00717064" w:rsidRPr="00696645" w:rsidRDefault="00717064" w:rsidP="00696645">
      <w:pPr>
        <w:pStyle w:val="NormalWeb"/>
        <w:spacing w:before="0" w:beforeAutospacing="0" w:after="0" w:afterAutospacing="0" w:line="360" w:lineRule="auto"/>
        <w:ind w:hanging="720"/>
        <w:contextualSpacing/>
        <w:jc w:val="both"/>
        <w:rPr>
          <w:rFonts w:ascii="Arial" w:hAnsi="Arial" w:cs="Arial"/>
          <w:color w:val="000000"/>
          <w:sz w:val="22"/>
          <w:szCs w:val="22"/>
        </w:rPr>
      </w:pPr>
      <w:r w:rsidRPr="00696645">
        <w:rPr>
          <w:rFonts w:ascii="Arial" w:hAnsi="Arial" w:cs="Arial"/>
          <w:color w:val="000000"/>
          <w:sz w:val="22"/>
          <w:szCs w:val="22"/>
        </w:rPr>
        <w:t>Weaver, S, LH Lubomski, Wilson, R, ER Pfoh, Martinez, K &amp; Dy, S 2026, </w:t>
      </w:r>
      <w:r w:rsidRPr="00696645">
        <w:rPr>
          <w:rFonts w:ascii="Arial" w:hAnsi="Arial" w:cs="Arial"/>
          <w:i/>
          <w:iCs/>
          <w:color w:val="000000"/>
          <w:sz w:val="22"/>
          <w:szCs w:val="22"/>
        </w:rPr>
        <w:t>Promoting a culture of safety as a patient safety strategy: a systematic review</w:t>
      </w:r>
      <w:r w:rsidRPr="00696645">
        <w:rPr>
          <w:rFonts w:ascii="Arial" w:hAnsi="Arial" w:cs="Arial"/>
          <w:color w:val="000000"/>
          <w:sz w:val="22"/>
          <w:szCs w:val="22"/>
        </w:rPr>
        <w:t xml:space="preserve">, Nih.gov, Centre for Reviews and Dissemination (UK), viewed 12 March 2026, </w:t>
      </w:r>
      <w:hyperlink r:id="rId31" w:history="1">
        <w:r w:rsidRPr="00696645">
          <w:rPr>
            <w:rStyle w:val="Hyperlink"/>
            <w:rFonts w:ascii="Arial" w:hAnsi="Arial" w:cs="Arial"/>
            <w:sz w:val="22"/>
            <w:szCs w:val="22"/>
          </w:rPr>
          <w:t>https://www.ncbi.nlm.nih.gov/books/NBK126977/</w:t>
        </w:r>
      </w:hyperlink>
      <w:r w:rsidRPr="00696645">
        <w:rPr>
          <w:rFonts w:ascii="Arial" w:hAnsi="Arial" w:cs="Arial"/>
          <w:color w:val="000000"/>
          <w:sz w:val="22"/>
          <w:szCs w:val="22"/>
        </w:rPr>
        <w:t>.</w:t>
      </w:r>
    </w:p>
    <w:p w14:paraId="0723BF36" w14:textId="77777777" w:rsidR="00717064" w:rsidRPr="00696645" w:rsidRDefault="00717064" w:rsidP="00696645">
      <w:pPr>
        <w:pStyle w:val="NormalWeb"/>
        <w:spacing w:before="0" w:beforeAutospacing="0" w:after="0" w:afterAutospacing="0" w:line="360" w:lineRule="auto"/>
        <w:ind w:hanging="720"/>
        <w:contextualSpacing/>
        <w:jc w:val="both"/>
        <w:rPr>
          <w:rFonts w:ascii="Arial" w:hAnsi="Arial" w:cs="Arial"/>
          <w:color w:val="000000"/>
          <w:sz w:val="22"/>
          <w:szCs w:val="22"/>
        </w:rPr>
      </w:pPr>
      <w:r w:rsidRPr="00696645">
        <w:rPr>
          <w:rFonts w:ascii="Arial" w:hAnsi="Arial" w:cs="Arial"/>
          <w:color w:val="000000"/>
          <w:sz w:val="22"/>
          <w:szCs w:val="22"/>
        </w:rPr>
        <w:t>Weaver, SJ, Lubomksi, LH, Wilson, RF, Pfoh, ER, Martinez, KA &amp; Dy, SM 2013, ‘Promoting a Culture of Safety as a Patient Safety Strategy’, </w:t>
      </w:r>
      <w:r w:rsidRPr="00696645">
        <w:rPr>
          <w:rFonts w:ascii="Arial" w:hAnsi="Arial" w:cs="Arial"/>
          <w:i/>
          <w:iCs/>
          <w:color w:val="000000"/>
          <w:sz w:val="22"/>
          <w:szCs w:val="22"/>
        </w:rPr>
        <w:t>Annals of Internal Medicine</w:t>
      </w:r>
      <w:r w:rsidRPr="00696645">
        <w:rPr>
          <w:rFonts w:ascii="Arial" w:hAnsi="Arial" w:cs="Arial"/>
          <w:color w:val="000000"/>
          <w:sz w:val="22"/>
          <w:szCs w:val="22"/>
        </w:rPr>
        <w:t xml:space="preserve">, vol. 158, American College of Physicians, no. 5_Part_2, pp. 369–374, viewed 12 March 2026, </w:t>
      </w:r>
      <w:hyperlink r:id="rId32" w:history="1">
        <w:r w:rsidRPr="00696645">
          <w:rPr>
            <w:rStyle w:val="Hyperlink"/>
            <w:rFonts w:ascii="Arial" w:hAnsi="Arial" w:cs="Arial"/>
            <w:sz w:val="22"/>
            <w:szCs w:val="22"/>
          </w:rPr>
          <w:t>https://pubmed.ncbi.nlm.nih.gov/23460092/</w:t>
        </w:r>
      </w:hyperlink>
      <w:r w:rsidRPr="00696645">
        <w:rPr>
          <w:rFonts w:ascii="Arial" w:hAnsi="Arial" w:cs="Arial"/>
          <w:color w:val="000000"/>
          <w:sz w:val="22"/>
          <w:szCs w:val="22"/>
        </w:rPr>
        <w:t>.</w:t>
      </w:r>
    </w:p>
    <w:p w14:paraId="016B2781" w14:textId="77777777" w:rsidR="00717064" w:rsidRPr="00696645" w:rsidRDefault="00717064" w:rsidP="00696645">
      <w:pPr>
        <w:spacing w:after="0" w:line="360" w:lineRule="auto"/>
        <w:ind w:hanging="720"/>
        <w:contextualSpacing/>
        <w:jc w:val="both"/>
        <w:rPr>
          <w:rFonts w:ascii="Arial" w:hAnsi="Arial" w:cs="Arial"/>
          <w:sz w:val="22"/>
          <w:szCs w:val="22"/>
        </w:rPr>
      </w:pPr>
      <w:r w:rsidRPr="00696645">
        <w:rPr>
          <w:rFonts w:ascii="Arial" w:hAnsi="Arial" w:cs="Arial"/>
          <w:sz w:val="22"/>
          <w:szCs w:val="22"/>
        </w:rPr>
        <w:t>Welch, J., Murkin, J., Edwards, E., Inada-Kim, M. and Subbe, C., 2025. Giving patients, families and staff a reliable voice in acute care: expert guidance for implementation of Martha’s Rule in UK hospitals. </w:t>
      </w:r>
      <w:r w:rsidRPr="00696645">
        <w:rPr>
          <w:rFonts w:ascii="Arial" w:hAnsi="Arial" w:cs="Arial"/>
          <w:i/>
          <w:iCs/>
          <w:sz w:val="22"/>
          <w:szCs w:val="22"/>
        </w:rPr>
        <w:t>Future Healthcare Journal</w:t>
      </w:r>
      <w:r w:rsidRPr="00696645">
        <w:rPr>
          <w:rFonts w:ascii="Arial" w:hAnsi="Arial" w:cs="Arial"/>
          <w:sz w:val="22"/>
          <w:szCs w:val="22"/>
        </w:rPr>
        <w:t>, </w:t>
      </w:r>
      <w:r w:rsidRPr="00696645">
        <w:rPr>
          <w:rFonts w:ascii="Arial" w:hAnsi="Arial" w:cs="Arial"/>
          <w:i/>
          <w:iCs/>
          <w:sz w:val="22"/>
          <w:szCs w:val="22"/>
        </w:rPr>
        <w:t>12</w:t>
      </w:r>
      <w:r w:rsidRPr="00696645">
        <w:rPr>
          <w:rFonts w:ascii="Arial" w:hAnsi="Arial" w:cs="Arial"/>
          <w:sz w:val="22"/>
          <w:szCs w:val="22"/>
        </w:rPr>
        <w:t xml:space="preserve">(1), p.100223. Available at: </w:t>
      </w:r>
      <w:hyperlink r:id="rId33" w:tgtFrame="_new" w:history="1">
        <w:r w:rsidRPr="00696645">
          <w:rPr>
            <w:rStyle w:val="Hyperlink"/>
            <w:rFonts w:ascii="Arial" w:hAnsi="Arial" w:cs="Arial"/>
            <w:sz w:val="22"/>
            <w:szCs w:val="22"/>
          </w:rPr>
          <w:t>https://pmc.ncbi.nlm.nih.gov/articles/PMC11889965/</w:t>
        </w:r>
      </w:hyperlink>
      <w:r w:rsidRPr="00696645">
        <w:rPr>
          <w:rFonts w:ascii="Arial" w:hAnsi="Arial" w:cs="Arial"/>
          <w:sz w:val="22"/>
          <w:szCs w:val="22"/>
        </w:rPr>
        <w:t xml:space="preserve"> (Accessed: 10 March 2026). </w:t>
      </w:r>
    </w:p>
    <w:p w14:paraId="06D72BC6" w14:textId="77777777" w:rsidR="00717064" w:rsidRPr="00696645" w:rsidRDefault="00717064" w:rsidP="00696645">
      <w:pPr>
        <w:pStyle w:val="NormalWeb"/>
        <w:spacing w:before="0" w:beforeAutospacing="0" w:after="0" w:afterAutospacing="0" w:line="360" w:lineRule="auto"/>
        <w:ind w:hanging="720"/>
        <w:contextualSpacing/>
        <w:jc w:val="both"/>
        <w:rPr>
          <w:rFonts w:ascii="Arial" w:hAnsi="Arial" w:cs="Arial"/>
          <w:sz w:val="22"/>
          <w:szCs w:val="22"/>
        </w:rPr>
      </w:pPr>
      <w:r w:rsidRPr="00696645">
        <w:rPr>
          <w:rFonts w:ascii="Arial" w:hAnsi="Arial" w:cs="Arial"/>
          <w:sz w:val="22"/>
          <w:szCs w:val="22"/>
        </w:rPr>
        <w:t xml:space="preserve">West, M, Eckert, R, Steward, K &amp; Pasmore, B 2014, </w:t>
      </w:r>
      <w:r w:rsidRPr="00696645">
        <w:rPr>
          <w:rFonts w:ascii="Arial" w:hAnsi="Arial" w:cs="Arial"/>
          <w:i/>
          <w:iCs/>
          <w:sz w:val="22"/>
          <w:szCs w:val="22"/>
        </w:rPr>
        <w:t>Developing collective leadership for health care</w:t>
      </w:r>
      <w:r w:rsidRPr="00696645">
        <w:rPr>
          <w:rFonts w:ascii="Arial" w:hAnsi="Arial" w:cs="Arial"/>
          <w:sz w:val="22"/>
          <w:szCs w:val="22"/>
        </w:rPr>
        <w:t>, May.</w:t>
      </w:r>
    </w:p>
    <w:p w14:paraId="07B70F58" w14:textId="77777777" w:rsidR="00717064" w:rsidRPr="00696645" w:rsidRDefault="00717064" w:rsidP="00696645">
      <w:pPr>
        <w:pStyle w:val="NormalWeb"/>
        <w:spacing w:before="0" w:beforeAutospacing="0" w:after="0" w:afterAutospacing="0" w:line="360" w:lineRule="auto"/>
        <w:ind w:hanging="720"/>
        <w:contextualSpacing/>
        <w:jc w:val="both"/>
        <w:rPr>
          <w:rFonts w:ascii="Arial" w:hAnsi="Arial" w:cs="Arial"/>
          <w:color w:val="000000"/>
          <w:sz w:val="22"/>
          <w:szCs w:val="22"/>
        </w:rPr>
      </w:pPr>
      <w:r w:rsidRPr="00696645">
        <w:rPr>
          <w:rFonts w:ascii="Arial" w:hAnsi="Arial" w:cs="Arial"/>
          <w:color w:val="000000"/>
          <w:sz w:val="22"/>
          <w:szCs w:val="22"/>
        </w:rPr>
        <w:t>Wong, CA, Cummings, GG &amp; Ducharme, L 2013, ‘The relationship between nursing leadership and patient outcomes: a systematic review update’, </w:t>
      </w:r>
      <w:r w:rsidRPr="00696645">
        <w:rPr>
          <w:rFonts w:ascii="Arial" w:hAnsi="Arial" w:cs="Arial"/>
          <w:i/>
          <w:iCs/>
          <w:color w:val="000000"/>
          <w:sz w:val="22"/>
          <w:szCs w:val="22"/>
        </w:rPr>
        <w:t>Journal of Nursing Management</w:t>
      </w:r>
      <w:r w:rsidRPr="00696645">
        <w:rPr>
          <w:rFonts w:ascii="Arial" w:hAnsi="Arial" w:cs="Arial"/>
          <w:color w:val="000000"/>
          <w:sz w:val="22"/>
          <w:szCs w:val="22"/>
        </w:rPr>
        <w:t xml:space="preserve">, vol. 21, Hindawi Limited, no. 5, pp. 709–724, viewed 12 March 2026, </w:t>
      </w:r>
      <w:hyperlink r:id="rId34" w:history="1">
        <w:r w:rsidRPr="00696645">
          <w:rPr>
            <w:rStyle w:val="Hyperlink"/>
            <w:rFonts w:ascii="Arial" w:hAnsi="Arial" w:cs="Arial"/>
            <w:sz w:val="22"/>
            <w:szCs w:val="22"/>
          </w:rPr>
          <w:t>https://pubmed.ncbi.nlm.nih.gov/23865924/</w:t>
        </w:r>
      </w:hyperlink>
      <w:r w:rsidRPr="00696645">
        <w:rPr>
          <w:rFonts w:ascii="Arial" w:hAnsi="Arial" w:cs="Arial"/>
          <w:color w:val="000000"/>
          <w:sz w:val="22"/>
          <w:szCs w:val="22"/>
        </w:rPr>
        <w:t>.</w:t>
      </w:r>
    </w:p>
    <w:p w14:paraId="14D45BBB" w14:textId="77777777" w:rsidR="00717064" w:rsidRPr="00696645" w:rsidRDefault="00717064" w:rsidP="00696645">
      <w:pPr>
        <w:spacing w:after="0" w:line="360" w:lineRule="auto"/>
        <w:ind w:hanging="720"/>
        <w:contextualSpacing/>
        <w:jc w:val="both"/>
        <w:rPr>
          <w:rFonts w:ascii="Arial" w:hAnsi="Arial" w:cs="Arial"/>
          <w:sz w:val="22"/>
          <w:szCs w:val="22"/>
        </w:rPr>
      </w:pPr>
      <w:r w:rsidRPr="00696645">
        <w:rPr>
          <w:rFonts w:ascii="Arial" w:hAnsi="Arial" w:cs="Arial"/>
          <w:sz w:val="22"/>
          <w:szCs w:val="22"/>
        </w:rPr>
        <w:t>Ystaas, L.M.K., Nikitara, M., Ghobrial, S., Latzourakis, E., Polychronis, G. and Constantinou, C.S., 2023. The impact of transformational leadership in the nursing work environment and patients’ outcomes: a systematic review. </w:t>
      </w:r>
      <w:r w:rsidRPr="00696645">
        <w:rPr>
          <w:rFonts w:ascii="Arial" w:hAnsi="Arial" w:cs="Arial"/>
          <w:i/>
          <w:iCs/>
          <w:sz w:val="22"/>
          <w:szCs w:val="22"/>
        </w:rPr>
        <w:t>Nursing Reports</w:t>
      </w:r>
      <w:r w:rsidRPr="00696645">
        <w:rPr>
          <w:rFonts w:ascii="Arial" w:hAnsi="Arial" w:cs="Arial"/>
          <w:sz w:val="22"/>
          <w:szCs w:val="22"/>
        </w:rPr>
        <w:t>, </w:t>
      </w:r>
      <w:r w:rsidRPr="00696645">
        <w:rPr>
          <w:rFonts w:ascii="Arial" w:hAnsi="Arial" w:cs="Arial"/>
          <w:i/>
          <w:iCs/>
          <w:sz w:val="22"/>
          <w:szCs w:val="22"/>
        </w:rPr>
        <w:t>13</w:t>
      </w:r>
      <w:r w:rsidRPr="00696645">
        <w:rPr>
          <w:rFonts w:ascii="Arial" w:hAnsi="Arial" w:cs="Arial"/>
          <w:sz w:val="22"/>
          <w:szCs w:val="22"/>
        </w:rPr>
        <w:t>(3), pp.1271-1290.</w:t>
      </w:r>
      <w:r w:rsidRPr="00696645">
        <w:rPr>
          <w:rFonts w:ascii="Arial" w:hAnsi="Arial" w:cs="Arial"/>
          <w:sz w:val="22"/>
          <w:szCs w:val="22"/>
        </w:rPr>
        <w:br/>
        <w:t xml:space="preserve">Available at: </w:t>
      </w:r>
      <w:hyperlink r:id="rId35" w:tgtFrame="_new" w:history="1">
        <w:r w:rsidRPr="00696645">
          <w:rPr>
            <w:rStyle w:val="Hyperlink"/>
            <w:rFonts w:ascii="Arial" w:hAnsi="Arial" w:cs="Arial"/>
            <w:sz w:val="22"/>
            <w:szCs w:val="22"/>
          </w:rPr>
          <w:t>https://pmc.ncbi.nlm.nih.gov/articles/PMC10537672/</w:t>
        </w:r>
      </w:hyperlink>
      <w:r w:rsidRPr="00696645">
        <w:rPr>
          <w:rFonts w:ascii="Arial" w:hAnsi="Arial" w:cs="Arial"/>
          <w:sz w:val="22"/>
          <w:szCs w:val="22"/>
        </w:rPr>
        <w:t xml:space="preserve"> (Accessed: 10 March 2026). </w:t>
      </w:r>
    </w:p>
    <w:bookmarkEnd w:id="0"/>
    <w:p w14:paraId="4FB2A8A6" w14:textId="59C224B5" w:rsidR="00320E93" w:rsidRPr="00F405A6" w:rsidRDefault="00320E93" w:rsidP="00F405A6">
      <w:pPr>
        <w:pStyle w:val="NormalWeb"/>
        <w:spacing w:before="0" w:beforeAutospacing="0" w:after="240" w:afterAutospacing="0" w:line="360" w:lineRule="atLeast"/>
        <w:rPr>
          <w:color w:val="000000"/>
        </w:rPr>
      </w:pPr>
    </w:p>
    <w:p w14:paraId="06D8F0F9" w14:textId="77777777" w:rsidR="006D38EA" w:rsidRPr="001C63D1" w:rsidRDefault="006D38EA" w:rsidP="001C63D1"/>
    <w:sectPr w:rsidR="006D38EA" w:rsidRPr="001C63D1">
      <w:head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6A70D" w14:textId="77777777" w:rsidR="0003780E" w:rsidRDefault="0003780E" w:rsidP="00320E93">
      <w:pPr>
        <w:spacing w:after="0" w:line="240" w:lineRule="auto"/>
      </w:pPr>
      <w:r>
        <w:separator/>
      </w:r>
    </w:p>
  </w:endnote>
  <w:endnote w:type="continuationSeparator" w:id="0">
    <w:p w14:paraId="4246BFF7" w14:textId="77777777" w:rsidR="0003780E" w:rsidRDefault="0003780E" w:rsidP="00320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9C98C" w14:textId="77777777" w:rsidR="0003780E" w:rsidRDefault="0003780E" w:rsidP="00320E93">
      <w:pPr>
        <w:spacing w:after="0" w:line="240" w:lineRule="auto"/>
      </w:pPr>
      <w:r>
        <w:separator/>
      </w:r>
    </w:p>
  </w:footnote>
  <w:footnote w:type="continuationSeparator" w:id="0">
    <w:p w14:paraId="67B665EE" w14:textId="77777777" w:rsidR="0003780E" w:rsidRDefault="0003780E" w:rsidP="00320E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6984632"/>
      <w:docPartObj>
        <w:docPartGallery w:val="Page Numbers (Top of Page)"/>
        <w:docPartUnique/>
      </w:docPartObj>
    </w:sdtPr>
    <w:sdtEndPr>
      <w:rPr>
        <w:noProof/>
      </w:rPr>
    </w:sdtEndPr>
    <w:sdtContent>
      <w:p w14:paraId="3E9CC7A7" w14:textId="697CDD45" w:rsidR="00320E93" w:rsidRDefault="00320E9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B38541C" w14:textId="77777777" w:rsidR="00320E93" w:rsidRDefault="00320E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17E2F"/>
    <w:multiLevelType w:val="multilevel"/>
    <w:tmpl w:val="5874F3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C56507"/>
    <w:multiLevelType w:val="multilevel"/>
    <w:tmpl w:val="2CE602D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E53A28"/>
    <w:multiLevelType w:val="multilevel"/>
    <w:tmpl w:val="8376AF6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32321A"/>
    <w:multiLevelType w:val="hybridMultilevel"/>
    <w:tmpl w:val="7A545A7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3BC9597D"/>
    <w:multiLevelType w:val="multilevel"/>
    <w:tmpl w:val="D2D027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AF2F78"/>
    <w:multiLevelType w:val="multilevel"/>
    <w:tmpl w:val="B6CE99A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5491FBE"/>
    <w:multiLevelType w:val="multilevel"/>
    <w:tmpl w:val="F33842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EF9193B"/>
    <w:multiLevelType w:val="multilevel"/>
    <w:tmpl w:val="2416E7C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7723057">
    <w:abstractNumId w:val="4"/>
  </w:num>
  <w:num w:numId="2" w16cid:durableId="1187214401">
    <w:abstractNumId w:val="0"/>
  </w:num>
  <w:num w:numId="3" w16cid:durableId="1455101111">
    <w:abstractNumId w:val="2"/>
  </w:num>
  <w:num w:numId="4" w16cid:durableId="962464706">
    <w:abstractNumId w:val="7"/>
  </w:num>
  <w:num w:numId="5" w16cid:durableId="76832148">
    <w:abstractNumId w:val="6"/>
  </w:num>
  <w:num w:numId="6" w16cid:durableId="408113030">
    <w:abstractNumId w:val="5"/>
  </w:num>
  <w:num w:numId="7" w16cid:durableId="374545969">
    <w:abstractNumId w:val="1"/>
  </w:num>
  <w:num w:numId="8" w16cid:durableId="6598197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3D1"/>
    <w:rsid w:val="0003780E"/>
    <w:rsid w:val="00184825"/>
    <w:rsid w:val="001C63D1"/>
    <w:rsid w:val="001D0E4F"/>
    <w:rsid w:val="00211D5E"/>
    <w:rsid w:val="00215D12"/>
    <w:rsid w:val="00320E93"/>
    <w:rsid w:val="00370911"/>
    <w:rsid w:val="003D6257"/>
    <w:rsid w:val="005867D9"/>
    <w:rsid w:val="005C0FA6"/>
    <w:rsid w:val="005D6292"/>
    <w:rsid w:val="005F31B3"/>
    <w:rsid w:val="00695BCF"/>
    <w:rsid w:val="00696645"/>
    <w:rsid w:val="006D38EA"/>
    <w:rsid w:val="00717064"/>
    <w:rsid w:val="007702E4"/>
    <w:rsid w:val="007A5F9A"/>
    <w:rsid w:val="007E47C1"/>
    <w:rsid w:val="008C611B"/>
    <w:rsid w:val="00AD500E"/>
    <w:rsid w:val="00B21002"/>
    <w:rsid w:val="00CC6A30"/>
    <w:rsid w:val="00DF4B01"/>
    <w:rsid w:val="00EC34DF"/>
    <w:rsid w:val="00F405A6"/>
    <w:rsid w:val="00FA279D"/>
    <w:rsid w:val="00FA2FE4"/>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DCAC2"/>
  <w15:chartTrackingRefBased/>
  <w15:docId w15:val="{B3E8AFC1-224B-4395-A541-76AA6869A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3D1"/>
    <w:rPr>
      <w:rFonts w:ascii="Times New Roman" w:hAnsi="Times New Roman" w:cs="Times New Roman"/>
      <w:sz w:val="24"/>
      <w:szCs w:val="24"/>
    </w:rPr>
  </w:style>
  <w:style w:type="paragraph" w:styleId="Heading1">
    <w:name w:val="heading 1"/>
    <w:basedOn w:val="Normal"/>
    <w:next w:val="Normal"/>
    <w:link w:val="Heading1Char"/>
    <w:uiPriority w:val="9"/>
    <w:qFormat/>
    <w:rsid w:val="001C63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63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63D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63D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63D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63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63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63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63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63D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63D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63D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63D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63D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63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63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63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63D1"/>
    <w:rPr>
      <w:rFonts w:eastAsiaTheme="majorEastAsia" w:cstheme="majorBidi"/>
      <w:color w:val="272727" w:themeColor="text1" w:themeTint="D8"/>
    </w:rPr>
  </w:style>
  <w:style w:type="paragraph" w:styleId="Title">
    <w:name w:val="Title"/>
    <w:basedOn w:val="Normal"/>
    <w:next w:val="Normal"/>
    <w:link w:val="TitleChar"/>
    <w:uiPriority w:val="10"/>
    <w:qFormat/>
    <w:rsid w:val="001C63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63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63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63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63D1"/>
    <w:pPr>
      <w:spacing w:before="160"/>
      <w:jc w:val="center"/>
    </w:pPr>
    <w:rPr>
      <w:i/>
      <w:iCs/>
      <w:color w:val="404040" w:themeColor="text1" w:themeTint="BF"/>
    </w:rPr>
  </w:style>
  <w:style w:type="character" w:customStyle="1" w:styleId="QuoteChar">
    <w:name w:val="Quote Char"/>
    <w:basedOn w:val="DefaultParagraphFont"/>
    <w:link w:val="Quote"/>
    <w:uiPriority w:val="29"/>
    <w:rsid w:val="001C63D1"/>
    <w:rPr>
      <w:i/>
      <w:iCs/>
      <w:color w:val="404040" w:themeColor="text1" w:themeTint="BF"/>
    </w:rPr>
  </w:style>
  <w:style w:type="paragraph" w:styleId="ListParagraph">
    <w:name w:val="List Paragraph"/>
    <w:basedOn w:val="Normal"/>
    <w:uiPriority w:val="34"/>
    <w:qFormat/>
    <w:rsid w:val="001C63D1"/>
    <w:pPr>
      <w:ind w:left="720"/>
      <w:contextualSpacing/>
    </w:pPr>
  </w:style>
  <w:style w:type="character" w:styleId="IntenseEmphasis">
    <w:name w:val="Intense Emphasis"/>
    <w:basedOn w:val="DefaultParagraphFont"/>
    <w:uiPriority w:val="21"/>
    <w:qFormat/>
    <w:rsid w:val="001C63D1"/>
    <w:rPr>
      <w:i/>
      <w:iCs/>
      <w:color w:val="2F5496" w:themeColor="accent1" w:themeShade="BF"/>
    </w:rPr>
  </w:style>
  <w:style w:type="paragraph" w:styleId="IntenseQuote">
    <w:name w:val="Intense Quote"/>
    <w:basedOn w:val="Normal"/>
    <w:next w:val="Normal"/>
    <w:link w:val="IntenseQuoteChar"/>
    <w:uiPriority w:val="30"/>
    <w:qFormat/>
    <w:rsid w:val="001C63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63D1"/>
    <w:rPr>
      <w:i/>
      <w:iCs/>
      <w:color w:val="2F5496" w:themeColor="accent1" w:themeShade="BF"/>
    </w:rPr>
  </w:style>
  <w:style w:type="character" w:styleId="IntenseReference">
    <w:name w:val="Intense Reference"/>
    <w:basedOn w:val="DefaultParagraphFont"/>
    <w:uiPriority w:val="32"/>
    <w:qFormat/>
    <w:rsid w:val="001C63D1"/>
    <w:rPr>
      <w:b/>
      <w:bCs/>
      <w:smallCaps/>
      <w:color w:val="2F5496" w:themeColor="accent1" w:themeShade="BF"/>
      <w:spacing w:val="5"/>
    </w:rPr>
  </w:style>
  <w:style w:type="character" w:styleId="Hyperlink">
    <w:name w:val="Hyperlink"/>
    <w:basedOn w:val="DefaultParagraphFont"/>
    <w:uiPriority w:val="99"/>
    <w:unhideWhenUsed/>
    <w:rsid w:val="001C63D1"/>
    <w:rPr>
      <w:color w:val="0563C1" w:themeColor="hyperlink"/>
      <w:u w:val="single"/>
    </w:rPr>
  </w:style>
  <w:style w:type="character" w:styleId="UnresolvedMention">
    <w:name w:val="Unresolved Mention"/>
    <w:basedOn w:val="DefaultParagraphFont"/>
    <w:uiPriority w:val="99"/>
    <w:semiHidden/>
    <w:unhideWhenUsed/>
    <w:rsid w:val="001C63D1"/>
    <w:rPr>
      <w:color w:val="605E5C"/>
      <w:shd w:val="clear" w:color="auto" w:fill="E1DFDD"/>
    </w:rPr>
  </w:style>
  <w:style w:type="paragraph" w:styleId="NormalWeb">
    <w:name w:val="Normal (Web)"/>
    <w:basedOn w:val="Normal"/>
    <w:uiPriority w:val="99"/>
    <w:unhideWhenUsed/>
    <w:rsid w:val="00320E93"/>
    <w:pPr>
      <w:spacing w:before="100" w:beforeAutospacing="1" w:after="100" w:afterAutospacing="1" w:line="240" w:lineRule="auto"/>
    </w:pPr>
    <w:rPr>
      <w:rFonts w:eastAsia="Times New Roman"/>
      <w:kern w:val="0"/>
      <w:lang/>
      <w14:ligatures w14:val="none"/>
    </w:rPr>
  </w:style>
  <w:style w:type="paragraph" w:styleId="Header">
    <w:name w:val="header"/>
    <w:basedOn w:val="Normal"/>
    <w:link w:val="HeaderChar"/>
    <w:uiPriority w:val="99"/>
    <w:unhideWhenUsed/>
    <w:rsid w:val="00320E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0E93"/>
    <w:rPr>
      <w:rFonts w:ascii="Times New Roman" w:hAnsi="Times New Roman" w:cs="Times New Roman"/>
      <w:sz w:val="24"/>
      <w:szCs w:val="24"/>
    </w:rPr>
  </w:style>
  <w:style w:type="paragraph" w:styleId="Footer">
    <w:name w:val="footer"/>
    <w:basedOn w:val="Normal"/>
    <w:link w:val="FooterChar"/>
    <w:uiPriority w:val="99"/>
    <w:unhideWhenUsed/>
    <w:rsid w:val="00320E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0E93"/>
    <w:rPr>
      <w:rFonts w:ascii="Times New Roman" w:hAnsi="Times New Roman" w:cs="Times New Roman"/>
      <w:sz w:val="24"/>
      <w:szCs w:val="24"/>
    </w:rPr>
  </w:style>
  <w:style w:type="character" w:styleId="Emphasis">
    <w:name w:val="Emphasis"/>
    <w:basedOn w:val="DefaultParagraphFont"/>
    <w:uiPriority w:val="20"/>
    <w:qFormat/>
    <w:rsid w:val="00F405A6"/>
    <w:rPr>
      <w:i/>
      <w:iCs/>
    </w:rPr>
  </w:style>
  <w:style w:type="paragraph" w:styleId="Caption">
    <w:name w:val="caption"/>
    <w:basedOn w:val="Normal"/>
    <w:next w:val="Normal"/>
    <w:uiPriority w:val="35"/>
    <w:unhideWhenUsed/>
    <w:qFormat/>
    <w:rsid w:val="00215D12"/>
    <w:pPr>
      <w:spacing w:after="200" w:line="240" w:lineRule="auto"/>
    </w:pPr>
    <w:rPr>
      <w:i/>
      <w:iCs/>
      <w:color w:val="44546A" w:themeColor="text2"/>
      <w:sz w:val="18"/>
      <w:szCs w:val="18"/>
    </w:rPr>
  </w:style>
  <w:style w:type="table" w:styleId="TableGrid">
    <w:name w:val="Table Grid"/>
    <w:basedOn w:val="TableNormal"/>
    <w:uiPriority w:val="39"/>
    <w:rsid w:val="00EC34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52205">
      <w:bodyDiv w:val="1"/>
      <w:marLeft w:val="0"/>
      <w:marRight w:val="0"/>
      <w:marTop w:val="0"/>
      <w:marBottom w:val="0"/>
      <w:divBdr>
        <w:top w:val="none" w:sz="0" w:space="0" w:color="auto"/>
        <w:left w:val="none" w:sz="0" w:space="0" w:color="auto"/>
        <w:bottom w:val="none" w:sz="0" w:space="0" w:color="auto"/>
        <w:right w:val="none" w:sz="0" w:space="0" w:color="auto"/>
      </w:divBdr>
    </w:div>
    <w:div w:id="92633909">
      <w:bodyDiv w:val="1"/>
      <w:marLeft w:val="0"/>
      <w:marRight w:val="0"/>
      <w:marTop w:val="0"/>
      <w:marBottom w:val="0"/>
      <w:divBdr>
        <w:top w:val="none" w:sz="0" w:space="0" w:color="auto"/>
        <w:left w:val="none" w:sz="0" w:space="0" w:color="auto"/>
        <w:bottom w:val="none" w:sz="0" w:space="0" w:color="auto"/>
        <w:right w:val="none" w:sz="0" w:space="0" w:color="auto"/>
      </w:divBdr>
    </w:div>
    <w:div w:id="92828963">
      <w:bodyDiv w:val="1"/>
      <w:marLeft w:val="0"/>
      <w:marRight w:val="0"/>
      <w:marTop w:val="0"/>
      <w:marBottom w:val="0"/>
      <w:divBdr>
        <w:top w:val="none" w:sz="0" w:space="0" w:color="auto"/>
        <w:left w:val="none" w:sz="0" w:space="0" w:color="auto"/>
        <w:bottom w:val="none" w:sz="0" w:space="0" w:color="auto"/>
        <w:right w:val="none" w:sz="0" w:space="0" w:color="auto"/>
      </w:divBdr>
    </w:div>
    <w:div w:id="208304575">
      <w:bodyDiv w:val="1"/>
      <w:marLeft w:val="0"/>
      <w:marRight w:val="0"/>
      <w:marTop w:val="0"/>
      <w:marBottom w:val="0"/>
      <w:divBdr>
        <w:top w:val="none" w:sz="0" w:space="0" w:color="auto"/>
        <w:left w:val="none" w:sz="0" w:space="0" w:color="auto"/>
        <w:bottom w:val="none" w:sz="0" w:space="0" w:color="auto"/>
        <w:right w:val="none" w:sz="0" w:space="0" w:color="auto"/>
      </w:divBdr>
    </w:div>
    <w:div w:id="247422048">
      <w:bodyDiv w:val="1"/>
      <w:marLeft w:val="0"/>
      <w:marRight w:val="0"/>
      <w:marTop w:val="0"/>
      <w:marBottom w:val="0"/>
      <w:divBdr>
        <w:top w:val="none" w:sz="0" w:space="0" w:color="auto"/>
        <w:left w:val="none" w:sz="0" w:space="0" w:color="auto"/>
        <w:bottom w:val="none" w:sz="0" w:space="0" w:color="auto"/>
        <w:right w:val="none" w:sz="0" w:space="0" w:color="auto"/>
      </w:divBdr>
    </w:div>
    <w:div w:id="323973822">
      <w:bodyDiv w:val="1"/>
      <w:marLeft w:val="0"/>
      <w:marRight w:val="0"/>
      <w:marTop w:val="0"/>
      <w:marBottom w:val="0"/>
      <w:divBdr>
        <w:top w:val="none" w:sz="0" w:space="0" w:color="auto"/>
        <w:left w:val="none" w:sz="0" w:space="0" w:color="auto"/>
        <w:bottom w:val="none" w:sz="0" w:space="0" w:color="auto"/>
        <w:right w:val="none" w:sz="0" w:space="0" w:color="auto"/>
      </w:divBdr>
    </w:div>
    <w:div w:id="329525844">
      <w:bodyDiv w:val="1"/>
      <w:marLeft w:val="0"/>
      <w:marRight w:val="0"/>
      <w:marTop w:val="0"/>
      <w:marBottom w:val="0"/>
      <w:divBdr>
        <w:top w:val="none" w:sz="0" w:space="0" w:color="auto"/>
        <w:left w:val="none" w:sz="0" w:space="0" w:color="auto"/>
        <w:bottom w:val="none" w:sz="0" w:space="0" w:color="auto"/>
        <w:right w:val="none" w:sz="0" w:space="0" w:color="auto"/>
      </w:divBdr>
    </w:div>
    <w:div w:id="350760127">
      <w:bodyDiv w:val="1"/>
      <w:marLeft w:val="0"/>
      <w:marRight w:val="0"/>
      <w:marTop w:val="0"/>
      <w:marBottom w:val="0"/>
      <w:divBdr>
        <w:top w:val="none" w:sz="0" w:space="0" w:color="auto"/>
        <w:left w:val="none" w:sz="0" w:space="0" w:color="auto"/>
        <w:bottom w:val="none" w:sz="0" w:space="0" w:color="auto"/>
        <w:right w:val="none" w:sz="0" w:space="0" w:color="auto"/>
      </w:divBdr>
    </w:div>
    <w:div w:id="417143105">
      <w:bodyDiv w:val="1"/>
      <w:marLeft w:val="0"/>
      <w:marRight w:val="0"/>
      <w:marTop w:val="0"/>
      <w:marBottom w:val="0"/>
      <w:divBdr>
        <w:top w:val="none" w:sz="0" w:space="0" w:color="auto"/>
        <w:left w:val="none" w:sz="0" w:space="0" w:color="auto"/>
        <w:bottom w:val="none" w:sz="0" w:space="0" w:color="auto"/>
        <w:right w:val="none" w:sz="0" w:space="0" w:color="auto"/>
      </w:divBdr>
    </w:div>
    <w:div w:id="461310489">
      <w:bodyDiv w:val="1"/>
      <w:marLeft w:val="0"/>
      <w:marRight w:val="0"/>
      <w:marTop w:val="0"/>
      <w:marBottom w:val="0"/>
      <w:divBdr>
        <w:top w:val="none" w:sz="0" w:space="0" w:color="auto"/>
        <w:left w:val="none" w:sz="0" w:space="0" w:color="auto"/>
        <w:bottom w:val="none" w:sz="0" w:space="0" w:color="auto"/>
        <w:right w:val="none" w:sz="0" w:space="0" w:color="auto"/>
      </w:divBdr>
    </w:div>
    <w:div w:id="641346404">
      <w:bodyDiv w:val="1"/>
      <w:marLeft w:val="0"/>
      <w:marRight w:val="0"/>
      <w:marTop w:val="0"/>
      <w:marBottom w:val="0"/>
      <w:divBdr>
        <w:top w:val="none" w:sz="0" w:space="0" w:color="auto"/>
        <w:left w:val="none" w:sz="0" w:space="0" w:color="auto"/>
        <w:bottom w:val="none" w:sz="0" w:space="0" w:color="auto"/>
        <w:right w:val="none" w:sz="0" w:space="0" w:color="auto"/>
      </w:divBdr>
    </w:div>
    <w:div w:id="741296799">
      <w:bodyDiv w:val="1"/>
      <w:marLeft w:val="0"/>
      <w:marRight w:val="0"/>
      <w:marTop w:val="0"/>
      <w:marBottom w:val="0"/>
      <w:divBdr>
        <w:top w:val="none" w:sz="0" w:space="0" w:color="auto"/>
        <w:left w:val="none" w:sz="0" w:space="0" w:color="auto"/>
        <w:bottom w:val="none" w:sz="0" w:space="0" w:color="auto"/>
        <w:right w:val="none" w:sz="0" w:space="0" w:color="auto"/>
      </w:divBdr>
    </w:div>
    <w:div w:id="815876432">
      <w:bodyDiv w:val="1"/>
      <w:marLeft w:val="0"/>
      <w:marRight w:val="0"/>
      <w:marTop w:val="0"/>
      <w:marBottom w:val="0"/>
      <w:divBdr>
        <w:top w:val="none" w:sz="0" w:space="0" w:color="auto"/>
        <w:left w:val="none" w:sz="0" w:space="0" w:color="auto"/>
        <w:bottom w:val="none" w:sz="0" w:space="0" w:color="auto"/>
        <w:right w:val="none" w:sz="0" w:space="0" w:color="auto"/>
      </w:divBdr>
    </w:div>
    <w:div w:id="837382564">
      <w:bodyDiv w:val="1"/>
      <w:marLeft w:val="0"/>
      <w:marRight w:val="0"/>
      <w:marTop w:val="0"/>
      <w:marBottom w:val="0"/>
      <w:divBdr>
        <w:top w:val="none" w:sz="0" w:space="0" w:color="auto"/>
        <w:left w:val="none" w:sz="0" w:space="0" w:color="auto"/>
        <w:bottom w:val="none" w:sz="0" w:space="0" w:color="auto"/>
        <w:right w:val="none" w:sz="0" w:space="0" w:color="auto"/>
      </w:divBdr>
    </w:div>
    <w:div w:id="981622049">
      <w:bodyDiv w:val="1"/>
      <w:marLeft w:val="0"/>
      <w:marRight w:val="0"/>
      <w:marTop w:val="0"/>
      <w:marBottom w:val="0"/>
      <w:divBdr>
        <w:top w:val="none" w:sz="0" w:space="0" w:color="auto"/>
        <w:left w:val="none" w:sz="0" w:space="0" w:color="auto"/>
        <w:bottom w:val="none" w:sz="0" w:space="0" w:color="auto"/>
        <w:right w:val="none" w:sz="0" w:space="0" w:color="auto"/>
      </w:divBdr>
    </w:div>
    <w:div w:id="989289057">
      <w:bodyDiv w:val="1"/>
      <w:marLeft w:val="0"/>
      <w:marRight w:val="0"/>
      <w:marTop w:val="0"/>
      <w:marBottom w:val="0"/>
      <w:divBdr>
        <w:top w:val="none" w:sz="0" w:space="0" w:color="auto"/>
        <w:left w:val="none" w:sz="0" w:space="0" w:color="auto"/>
        <w:bottom w:val="none" w:sz="0" w:space="0" w:color="auto"/>
        <w:right w:val="none" w:sz="0" w:space="0" w:color="auto"/>
      </w:divBdr>
    </w:div>
    <w:div w:id="1071461228">
      <w:bodyDiv w:val="1"/>
      <w:marLeft w:val="0"/>
      <w:marRight w:val="0"/>
      <w:marTop w:val="0"/>
      <w:marBottom w:val="0"/>
      <w:divBdr>
        <w:top w:val="none" w:sz="0" w:space="0" w:color="auto"/>
        <w:left w:val="none" w:sz="0" w:space="0" w:color="auto"/>
        <w:bottom w:val="none" w:sz="0" w:space="0" w:color="auto"/>
        <w:right w:val="none" w:sz="0" w:space="0" w:color="auto"/>
      </w:divBdr>
    </w:div>
    <w:div w:id="1261792719">
      <w:bodyDiv w:val="1"/>
      <w:marLeft w:val="0"/>
      <w:marRight w:val="0"/>
      <w:marTop w:val="0"/>
      <w:marBottom w:val="0"/>
      <w:divBdr>
        <w:top w:val="none" w:sz="0" w:space="0" w:color="auto"/>
        <w:left w:val="none" w:sz="0" w:space="0" w:color="auto"/>
        <w:bottom w:val="none" w:sz="0" w:space="0" w:color="auto"/>
        <w:right w:val="none" w:sz="0" w:space="0" w:color="auto"/>
      </w:divBdr>
    </w:div>
    <w:div w:id="1331985415">
      <w:bodyDiv w:val="1"/>
      <w:marLeft w:val="0"/>
      <w:marRight w:val="0"/>
      <w:marTop w:val="0"/>
      <w:marBottom w:val="0"/>
      <w:divBdr>
        <w:top w:val="none" w:sz="0" w:space="0" w:color="auto"/>
        <w:left w:val="none" w:sz="0" w:space="0" w:color="auto"/>
        <w:bottom w:val="none" w:sz="0" w:space="0" w:color="auto"/>
        <w:right w:val="none" w:sz="0" w:space="0" w:color="auto"/>
      </w:divBdr>
    </w:div>
    <w:div w:id="1619288374">
      <w:bodyDiv w:val="1"/>
      <w:marLeft w:val="0"/>
      <w:marRight w:val="0"/>
      <w:marTop w:val="0"/>
      <w:marBottom w:val="0"/>
      <w:divBdr>
        <w:top w:val="none" w:sz="0" w:space="0" w:color="auto"/>
        <w:left w:val="none" w:sz="0" w:space="0" w:color="auto"/>
        <w:bottom w:val="none" w:sz="0" w:space="0" w:color="auto"/>
        <w:right w:val="none" w:sz="0" w:space="0" w:color="auto"/>
      </w:divBdr>
      <w:divsChild>
        <w:div w:id="257107416">
          <w:marLeft w:val="0"/>
          <w:marRight w:val="0"/>
          <w:marTop w:val="0"/>
          <w:marBottom w:val="0"/>
          <w:divBdr>
            <w:top w:val="none" w:sz="0" w:space="0" w:color="auto"/>
            <w:left w:val="none" w:sz="0" w:space="0" w:color="auto"/>
            <w:bottom w:val="none" w:sz="0" w:space="0" w:color="auto"/>
            <w:right w:val="none" w:sz="0" w:space="0" w:color="auto"/>
          </w:divBdr>
        </w:div>
      </w:divsChild>
    </w:div>
    <w:div w:id="1628047985">
      <w:bodyDiv w:val="1"/>
      <w:marLeft w:val="0"/>
      <w:marRight w:val="0"/>
      <w:marTop w:val="0"/>
      <w:marBottom w:val="0"/>
      <w:divBdr>
        <w:top w:val="none" w:sz="0" w:space="0" w:color="auto"/>
        <w:left w:val="none" w:sz="0" w:space="0" w:color="auto"/>
        <w:bottom w:val="none" w:sz="0" w:space="0" w:color="auto"/>
        <w:right w:val="none" w:sz="0" w:space="0" w:color="auto"/>
      </w:divBdr>
    </w:div>
    <w:div w:id="1707678029">
      <w:bodyDiv w:val="1"/>
      <w:marLeft w:val="0"/>
      <w:marRight w:val="0"/>
      <w:marTop w:val="0"/>
      <w:marBottom w:val="0"/>
      <w:divBdr>
        <w:top w:val="none" w:sz="0" w:space="0" w:color="auto"/>
        <w:left w:val="none" w:sz="0" w:space="0" w:color="auto"/>
        <w:bottom w:val="none" w:sz="0" w:space="0" w:color="auto"/>
        <w:right w:val="none" w:sz="0" w:space="0" w:color="auto"/>
      </w:divBdr>
    </w:div>
    <w:div w:id="1723753056">
      <w:bodyDiv w:val="1"/>
      <w:marLeft w:val="0"/>
      <w:marRight w:val="0"/>
      <w:marTop w:val="0"/>
      <w:marBottom w:val="0"/>
      <w:divBdr>
        <w:top w:val="none" w:sz="0" w:space="0" w:color="auto"/>
        <w:left w:val="none" w:sz="0" w:space="0" w:color="auto"/>
        <w:bottom w:val="none" w:sz="0" w:space="0" w:color="auto"/>
        <w:right w:val="none" w:sz="0" w:space="0" w:color="auto"/>
      </w:divBdr>
    </w:div>
    <w:div w:id="2125925031">
      <w:bodyDiv w:val="1"/>
      <w:marLeft w:val="0"/>
      <w:marRight w:val="0"/>
      <w:marTop w:val="0"/>
      <w:marBottom w:val="0"/>
      <w:divBdr>
        <w:top w:val="none" w:sz="0" w:space="0" w:color="auto"/>
        <w:left w:val="none" w:sz="0" w:space="0" w:color="auto"/>
        <w:bottom w:val="none" w:sz="0" w:space="0" w:color="auto"/>
        <w:right w:val="none" w:sz="0" w:space="0" w:color="auto"/>
      </w:divBdr>
    </w:div>
    <w:div w:id="213359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healthcare13243240" TargetMode="External"/><Relationship Id="rId18" Type="http://schemas.openxmlformats.org/officeDocument/2006/relationships/hyperlink" Target="https://www.sciencedirect.com/science/article/pii/S0735675725001512?via%3Dihub" TargetMode="External"/><Relationship Id="rId26" Type="http://schemas.openxmlformats.org/officeDocument/2006/relationships/hyperlink" Target="https://www.sciencedirect.com/science/article/abs/pii/S2155825615301642" TargetMode="External"/><Relationship Id="rId21" Type="http://schemas.openxmlformats.org/officeDocument/2006/relationships/hyperlink" Target="https://www.sciencedirect.com/science/article/abs/pii/S2588994X23000544" TargetMode="External"/><Relationship Id="rId34" Type="http://schemas.openxmlformats.org/officeDocument/2006/relationships/hyperlink" Target="https://pubmed.ncbi.nlm.nih.gov/23865924/" TargetMode="External"/><Relationship Id="rId7" Type="http://schemas.openxmlformats.org/officeDocument/2006/relationships/endnotes" Target="endnotes.xml"/><Relationship Id="rId12" Type="http://schemas.openxmlformats.org/officeDocument/2006/relationships/hyperlink" Target="https://pubmed.ncbi.nlm.nih.gov/37978851/" TargetMode="External"/><Relationship Id="rId17" Type="http://schemas.openxmlformats.org/officeDocument/2006/relationships/hyperlink" Target="https://www.bmj.com/content/381/bmj-2022-071330" TargetMode="External"/><Relationship Id="rId25" Type="http://schemas.openxmlformats.org/officeDocument/2006/relationships/hyperlink" Target="https://pmc.ncbi.nlm.nih.gov/articles/PMC9518077/" TargetMode="External"/><Relationship Id="rId33" Type="http://schemas.openxmlformats.org/officeDocument/2006/relationships/hyperlink" Target="https://pmc.ncbi.nlm.nih.gov/articles/PMC11889965/"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ubmed.ncbi.nlm.nih.gov/26294709/" TargetMode="External"/><Relationship Id="rId20" Type="http://schemas.openxmlformats.org/officeDocument/2006/relationships/hyperlink" Target="https://www.dovepress.com/the-association-of-transformational-leadership-on-safety-practices-amo-peer-reviewed-fulltext-article-RMHP" TargetMode="External"/><Relationship Id="rId29" Type="http://schemas.openxmlformats.org/officeDocument/2006/relationships/hyperlink" Target="https://www.mdpi.com/2813-4524/1/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lww.com/annalsofsurgery/fulltext/2025/12000/cognitive_biases_and_heuristics_in_surgical.13.aspx" TargetMode="External"/><Relationship Id="rId24" Type="http://schemas.openxmlformats.org/officeDocument/2006/relationships/hyperlink" Target="https://www.tandfonline.com/doi/full/10.1080/23311975.2023.2265606" TargetMode="External"/><Relationship Id="rId32" Type="http://schemas.openxmlformats.org/officeDocument/2006/relationships/hyperlink" Target="https://pubmed.ncbi.nlm.nih.gov/23460092/"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tudycorgi.com/lewis-blackman-case-quality-and-safety-education-for-nurses/?utm_source=chatgpt.com" TargetMode="External"/><Relationship Id="rId23" Type="http://schemas.openxmlformats.org/officeDocument/2006/relationships/hyperlink" Target="https://www.ncbi.nlm.nih.gov/books/NBK2637/" TargetMode="External"/><Relationship Id="rId28" Type="http://schemas.openxmlformats.org/officeDocument/2006/relationships/hyperlink" Target="https://bmjopen.bmj.com/content/13/4/e065819" TargetMode="External"/><Relationship Id="rId36" Type="http://schemas.openxmlformats.org/officeDocument/2006/relationships/header" Target="header1.xml"/><Relationship Id="rId10" Type="http://schemas.openxmlformats.org/officeDocument/2006/relationships/hyperlink" Target="https://link.springer.com/article/10.1186/s12912-025-04263-7" TargetMode="External"/><Relationship Id="rId19" Type="http://schemas.openxmlformats.org/officeDocument/2006/relationships/hyperlink" Target="https://pmc.ncbi.nlm.nih.gov/articles/PMC2875751/" TargetMode="External"/><Relationship Id="rId31" Type="http://schemas.openxmlformats.org/officeDocument/2006/relationships/hyperlink" Target="https://www.ncbi.nlm.nih.gov/books/NBK12697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researchrepository.universityofgalway.ie/server/api/core/bitstreams/9af95296-360f-47c8-a2f5-258ecfbdc9e4/content" TargetMode="External"/><Relationship Id="rId22" Type="http://schemas.openxmlformats.org/officeDocument/2006/relationships/hyperlink" Target="https://www.bmj.com/content/363/bmj.k4907" TargetMode="External"/><Relationship Id="rId27" Type="http://schemas.openxmlformats.org/officeDocument/2006/relationships/hyperlink" Target="https://doi.org/10.3390/ijerph17041432" TargetMode="External"/><Relationship Id="rId30" Type="http://schemas.openxmlformats.org/officeDocument/2006/relationships/hyperlink" Target="https://doi.org/10.3390/healthcare11233095" TargetMode="External"/><Relationship Id="rId35" Type="http://schemas.openxmlformats.org/officeDocument/2006/relationships/hyperlink" Target="https://pmc.ncbi.nlm.nih.gov/articles/PMC10537672/?utm_source=chatgpt.com"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7B3F7-E2FD-498E-8374-996CA4B32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20</Pages>
  <Words>7438</Words>
  <Characters>42397</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 NA</cp:lastModifiedBy>
  <cp:revision>2</cp:revision>
  <dcterms:created xsi:type="dcterms:W3CDTF">2026-03-10T10:33:00Z</dcterms:created>
  <dcterms:modified xsi:type="dcterms:W3CDTF">2026-03-19T18:05:00Z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65e7b994-d936-44ca-8ad5-2526297aa5cb</vt:lpwstr>
  </property>
</Properties>
</file>