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5498ED" w14:textId="77777777" w:rsidR="00237457" w:rsidRDefault="00C97782">
      <w:pPr>
        <w:rPr>
          <w:b/>
          <w:sz w:val="28"/>
          <w:szCs w:val="28"/>
        </w:rPr>
      </w:pPr>
      <w:r>
        <w:rPr>
          <w:noProof/>
        </w:rPr>
        <w:drawing>
          <wp:anchor distT="19050" distB="19050" distL="19050" distR="19050" simplePos="0" relativeHeight="251658240" behindDoc="0" locked="0" layoutInCell="1" hidden="0" allowOverlap="1" wp14:anchorId="48E27517" wp14:editId="32B2C388">
            <wp:simplePos x="0" y="0"/>
            <wp:positionH relativeFrom="column">
              <wp:posOffset>1838325</wp:posOffset>
            </wp:positionH>
            <wp:positionV relativeFrom="paragraph">
              <wp:posOffset>19050</wp:posOffset>
            </wp:positionV>
            <wp:extent cx="2262188" cy="989252"/>
            <wp:effectExtent l="0" t="0" r="0" b="0"/>
            <wp:wrapSquare wrapText="bothSides" distT="19050" distB="19050" distL="19050" distR="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62188" cy="989252"/>
                    </a:xfrm>
                    <a:prstGeom prst="rect">
                      <a:avLst/>
                    </a:prstGeom>
                    <a:ln/>
                  </pic:spPr>
                </pic:pic>
              </a:graphicData>
            </a:graphic>
          </wp:anchor>
        </w:drawing>
      </w:r>
    </w:p>
    <w:p w14:paraId="257B5F51" w14:textId="77777777" w:rsidR="00237457" w:rsidRDefault="00237457">
      <w:pPr>
        <w:rPr>
          <w:b/>
          <w:sz w:val="28"/>
          <w:szCs w:val="28"/>
        </w:rPr>
      </w:pPr>
    </w:p>
    <w:p w14:paraId="09046825" w14:textId="77777777" w:rsidR="00237457" w:rsidRDefault="00237457">
      <w:pPr>
        <w:rPr>
          <w:b/>
          <w:sz w:val="28"/>
          <w:szCs w:val="28"/>
        </w:rPr>
      </w:pPr>
    </w:p>
    <w:p w14:paraId="091BF786" w14:textId="77777777" w:rsidR="00237457" w:rsidRDefault="00237457">
      <w:pPr>
        <w:rPr>
          <w:b/>
          <w:sz w:val="28"/>
          <w:szCs w:val="28"/>
        </w:rPr>
      </w:pPr>
    </w:p>
    <w:p w14:paraId="10F3819F" w14:textId="77777777" w:rsidR="00237457" w:rsidRDefault="00237457">
      <w:pPr>
        <w:jc w:val="center"/>
        <w:rPr>
          <w:b/>
          <w:sz w:val="28"/>
          <w:szCs w:val="28"/>
        </w:rPr>
      </w:pPr>
    </w:p>
    <w:p w14:paraId="68C079DA" w14:textId="77777777" w:rsidR="00237457" w:rsidRDefault="00C97782">
      <w:pPr>
        <w:jc w:val="center"/>
        <w:rPr>
          <w:b/>
          <w:sz w:val="28"/>
          <w:szCs w:val="28"/>
        </w:rPr>
      </w:pPr>
      <w:r>
        <w:rPr>
          <w:b/>
          <w:sz w:val="28"/>
          <w:szCs w:val="28"/>
        </w:rPr>
        <w:t xml:space="preserve">School of Hospitality &amp; Tourism Management  </w:t>
      </w:r>
    </w:p>
    <w:p w14:paraId="3B0F9486" w14:textId="77777777" w:rsidR="00237457" w:rsidRDefault="00C97782">
      <w:pPr>
        <w:jc w:val="center"/>
        <w:rPr>
          <w:b/>
          <w:sz w:val="28"/>
          <w:szCs w:val="28"/>
        </w:rPr>
      </w:pPr>
      <w:r>
        <w:rPr>
          <w:b/>
          <w:sz w:val="28"/>
          <w:szCs w:val="28"/>
        </w:rPr>
        <w:t>BA International Hotel Management</w:t>
      </w:r>
    </w:p>
    <w:p w14:paraId="5FC19F43" w14:textId="77777777" w:rsidR="00237457" w:rsidRDefault="00237457">
      <w:pPr>
        <w:jc w:val="center"/>
        <w:rPr>
          <w:b/>
          <w:sz w:val="28"/>
          <w:szCs w:val="28"/>
        </w:rPr>
      </w:pPr>
    </w:p>
    <w:p w14:paraId="2207AB3A" w14:textId="77777777" w:rsidR="00237457" w:rsidRDefault="00C97782">
      <w:pPr>
        <w:jc w:val="center"/>
        <w:rPr>
          <w:b/>
          <w:sz w:val="28"/>
          <w:szCs w:val="28"/>
        </w:rPr>
      </w:pPr>
      <w:r>
        <w:rPr>
          <w:b/>
          <w:sz w:val="28"/>
          <w:szCs w:val="28"/>
        </w:rPr>
        <w:t xml:space="preserve">BMIH5007 </w:t>
      </w:r>
    </w:p>
    <w:p w14:paraId="1B409A67" w14:textId="77777777" w:rsidR="00237457" w:rsidRDefault="00C97782">
      <w:pPr>
        <w:jc w:val="center"/>
        <w:rPr>
          <w:b/>
          <w:sz w:val="28"/>
          <w:szCs w:val="28"/>
        </w:rPr>
      </w:pPr>
      <w:r>
        <w:rPr>
          <w:b/>
          <w:sz w:val="28"/>
          <w:szCs w:val="28"/>
        </w:rPr>
        <w:t xml:space="preserve">Financial Management for the Hotel Industry </w:t>
      </w:r>
    </w:p>
    <w:p w14:paraId="18701C17" w14:textId="77777777" w:rsidR="00237457" w:rsidRDefault="00C97782">
      <w:pPr>
        <w:jc w:val="center"/>
        <w:rPr>
          <w:b/>
          <w:sz w:val="28"/>
          <w:szCs w:val="28"/>
        </w:rPr>
      </w:pPr>
      <w:r>
        <w:rPr>
          <w:b/>
          <w:sz w:val="28"/>
          <w:szCs w:val="28"/>
        </w:rPr>
        <w:t xml:space="preserve">LEVEL 5 </w:t>
      </w:r>
    </w:p>
    <w:p w14:paraId="1FF25A73" w14:textId="77777777" w:rsidR="00237457" w:rsidRDefault="00237457">
      <w:pPr>
        <w:jc w:val="center"/>
        <w:rPr>
          <w:b/>
          <w:sz w:val="28"/>
          <w:szCs w:val="28"/>
        </w:rPr>
      </w:pPr>
    </w:p>
    <w:p w14:paraId="2F84BB2E" w14:textId="77777777" w:rsidR="00237457" w:rsidRDefault="00237457">
      <w:pPr>
        <w:jc w:val="center"/>
        <w:rPr>
          <w:b/>
          <w:sz w:val="28"/>
          <w:szCs w:val="28"/>
        </w:rPr>
      </w:pPr>
    </w:p>
    <w:p w14:paraId="120D9F8B" w14:textId="77777777" w:rsidR="00237457" w:rsidRDefault="00237457">
      <w:pPr>
        <w:jc w:val="center"/>
        <w:rPr>
          <w:b/>
          <w:sz w:val="28"/>
          <w:szCs w:val="28"/>
        </w:rPr>
      </w:pPr>
    </w:p>
    <w:p w14:paraId="2FAE4414" w14:textId="7CAA8FF3" w:rsidR="00237457" w:rsidRDefault="00C97782">
      <w:pPr>
        <w:jc w:val="center"/>
        <w:rPr>
          <w:b/>
          <w:sz w:val="28"/>
          <w:szCs w:val="28"/>
        </w:rPr>
      </w:pPr>
      <w:r>
        <w:rPr>
          <w:b/>
          <w:sz w:val="28"/>
          <w:szCs w:val="28"/>
        </w:rPr>
        <w:t>Student Name:</w:t>
      </w:r>
      <w:r w:rsidR="008B5CE8">
        <w:rPr>
          <w:b/>
          <w:sz w:val="28"/>
          <w:szCs w:val="28"/>
        </w:rPr>
        <w:t xml:space="preserve"> Badrul jamal</w:t>
      </w:r>
    </w:p>
    <w:p w14:paraId="4B769007" w14:textId="7C96712B" w:rsidR="00237457" w:rsidRDefault="00C97782">
      <w:pPr>
        <w:jc w:val="center"/>
        <w:rPr>
          <w:b/>
          <w:sz w:val="28"/>
          <w:szCs w:val="28"/>
        </w:rPr>
      </w:pPr>
      <w:r>
        <w:rPr>
          <w:b/>
          <w:sz w:val="28"/>
          <w:szCs w:val="28"/>
        </w:rPr>
        <w:t>Student ID:</w:t>
      </w:r>
      <w:r w:rsidR="008B5CE8">
        <w:rPr>
          <w:b/>
          <w:sz w:val="28"/>
          <w:szCs w:val="28"/>
        </w:rPr>
        <w:t>2126642</w:t>
      </w:r>
    </w:p>
    <w:p w14:paraId="1E803170" w14:textId="77777777" w:rsidR="00237457" w:rsidRDefault="00C97782">
      <w:pPr>
        <w:jc w:val="center"/>
      </w:pPr>
      <w:r>
        <w:br w:type="page"/>
      </w:r>
    </w:p>
    <w:p w14:paraId="36F567CF" w14:textId="77777777" w:rsidR="00237457" w:rsidRDefault="00C97782">
      <w:pPr>
        <w:jc w:val="center"/>
        <w:rPr>
          <w:b/>
          <w:sz w:val="28"/>
          <w:szCs w:val="28"/>
        </w:rPr>
      </w:pPr>
      <w:r>
        <w:rPr>
          <w:b/>
          <w:sz w:val="28"/>
          <w:szCs w:val="28"/>
        </w:rPr>
        <w:lastRenderedPageBreak/>
        <w:t>Table of Contents</w:t>
      </w:r>
    </w:p>
    <w:p w14:paraId="7F9C4D08" w14:textId="77777777" w:rsidR="00237457" w:rsidRDefault="00237457"/>
    <w:sdt>
      <w:sdtPr>
        <w:id w:val="-916398973"/>
        <w:docPartObj>
          <w:docPartGallery w:val="Table of Contents"/>
          <w:docPartUnique/>
        </w:docPartObj>
      </w:sdtPr>
      <w:sdtContent>
        <w:p w14:paraId="2A442E22" w14:textId="77777777" w:rsidR="00237457" w:rsidRDefault="00C97782">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ifttltph8n4q">
            <w:r>
              <w:rPr>
                <w:b/>
                <w:color w:val="000000"/>
              </w:rPr>
              <w:t>Financial Analysis and Turnaround Strategy for The City Hotel</w:t>
            </w:r>
            <w:r>
              <w:rPr>
                <w:b/>
                <w:color w:val="000000"/>
              </w:rPr>
              <w:tab/>
              <w:t>3</w:t>
            </w:r>
          </w:hyperlink>
        </w:p>
        <w:p w14:paraId="14AA9C81" w14:textId="77777777" w:rsidR="00237457" w:rsidRDefault="00C97782">
          <w:pPr>
            <w:widowControl w:val="0"/>
            <w:tabs>
              <w:tab w:val="right" w:leader="dot" w:pos="12000"/>
            </w:tabs>
            <w:spacing w:before="60" w:line="240" w:lineRule="auto"/>
            <w:rPr>
              <w:b/>
              <w:color w:val="000000"/>
            </w:rPr>
          </w:pPr>
          <w:hyperlink w:anchor="_7egog8lhtyrm">
            <w:r>
              <w:rPr>
                <w:b/>
                <w:color w:val="000000"/>
              </w:rPr>
              <w:t>1. Introduction</w:t>
            </w:r>
            <w:r>
              <w:rPr>
                <w:b/>
                <w:color w:val="000000"/>
              </w:rPr>
              <w:tab/>
              <w:t>3</w:t>
            </w:r>
          </w:hyperlink>
        </w:p>
        <w:p w14:paraId="7042C5A5" w14:textId="77777777" w:rsidR="00237457" w:rsidRDefault="00C97782">
          <w:pPr>
            <w:widowControl w:val="0"/>
            <w:tabs>
              <w:tab w:val="right" w:leader="dot" w:pos="12000"/>
            </w:tabs>
            <w:spacing w:before="60" w:line="240" w:lineRule="auto"/>
            <w:ind w:left="360"/>
            <w:rPr>
              <w:color w:val="000000"/>
            </w:rPr>
          </w:pPr>
          <w:hyperlink w:anchor="_hwzdefsxfwl7">
            <w:r>
              <w:rPr>
                <w:color w:val="000000"/>
              </w:rPr>
              <w:t>Background of the organisation</w:t>
            </w:r>
            <w:r>
              <w:rPr>
                <w:color w:val="000000"/>
              </w:rPr>
              <w:tab/>
              <w:t>3</w:t>
            </w:r>
          </w:hyperlink>
        </w:p>
        <w:p w14:paraId="4CA54167" w14:textId="77777777" w:rsidR="00237457" w:rsidRDefault="00C97782">
          <w:pPr>
            <w:widowControl w:val="0"/>
            <w:tabs>
              <w:tab w:val="right" w:leader="dot" w:pos="12000"/>
            </w:tabs>
            <w:spacing w:before="60" w:line="240" w:lineRule="auto"/>
            <w:rPr>
              <w:b/>
              <w:color w:val="000000"/>
            </w:rPr>
          </w:pPr>
          <w:hyperlink w:anchor="_mr7nhorp349m">
            <w:r>
              <w:rPr>
                <w:b/>
                <w:color w:val="000000"/>
              </w:rPr>
              <w:t>2. Financial Ratio Analysis</w:t>
            </w:r>
            <w:r>
              <w:rPr>
                <w:b/>
                <w:color w:val="000000"/>
              </w:rPr>
              <w:tab/>
              <w:t>4</w:t>
            </w:r>
          </w:hyperlink>
        </w:p>
        <w:p w14:paraId="7ACAECFF" w14:textId="77777777" w:rsidR="00237457" w:rsidRDefault="00C97782">
          <w:pPr>
            <w:widowControl w:val="0"/>
            <w:tabs>
              <w:tab w:val="right" w:leader="dot" w:pos="12000"/>
            </w:tabs>
            <w:spacing w:before="60" w:line="240" w:lineRule="auto"/>
            <w:rPr>
              <w:b/>
              <w:color w:val="000000"/>
            </w:rPr>
          </w:pPr>
          <w:hyperlink w:anchor="_mg1xsz99ywak">
            <w:r>
              <w:rPr>
                <w:b/>
                <w:color w:val="000000"/>
              </w:rPr>
              <w:t>3. Evaluation of Financial Performance Trends (2021-2023)</w:t>
            </w:r>
            <w:r>
              <w:rPr>
                <w:b/>
                <w:color w:val="000000"/>
              </w:rPr>
              <w:tab/>
              <w:t>5</w:t>
            </w:r>
          </w:hyperlink>
        </w:p>
        <w:p w14:paraId="55F2F802" w14:textId="77777777" w:rsidR="00237457" w:rsidRDefault="00C97782">
          <w:pPr>
            <w:widowControl w:val="0"/>
            <w:tabs>
              <w:tab w:val="right" w:leader="dot" w:pos="12000"/>
            </w:tabs>
            <w:spacing w:before="60" w:line="240" w:lineRule="auto"/>
            <w:ind w:left="360"/>
            <w:rPr>
              <w:color w:val="000000"/>
            </w:rPr>
          </w:pPr>
          <w:hyperlink w:anchor="_x4eipp12lepu">
            <w:r>
              <w:rPr>
                <w:color w:val="000000"/>
              </w:rPr>
              <w:t>1. Revenue Trends</w:t>
            </w:r>
            <w:r>
              <w:rPr>
                <w:color w:val="000000"/>
              </w:rPr>
              <w:tab/>
              <w:t>5</w:t>
            </w:r>
          </w:hyperlink>
        </w:p>
        <w:p w14:paraId="65214ADA" w14:textId="77777777" w:rsidR="00237457" w:rsidRDefault="00C97782">
          <w:pPr>
            <w:widowControl w:val="0"/>
            <w:tabs>
              <w:tab w:val="right" w:leader="dot" w:pos="12000"/>
            </w:tabs>
            <w:spacing w:before="60" w:line="240" w:lineRule="auto"/>
            <w:ind w:left="360"/>
            <w:rPr>
              <w:color w:val="000000"/>
            </w:rPr>
          </w:pPr>
          <w:hyperlink w:anchor="_ot8uh1b75w9g">
            <w:r>
              <w:rPr>
                <w:color w:val="000000"/>
              </w:rPr>
              <w:t>2. Expense Trends</w:t>
            </w:r>
            <w:r>
              <w:rPr>
                <w:color w:val="000000"/>
              </w:rPr>
              <w:tab/>
              <w:t>5</w:t>
            </w:r>
          </w:hyperlink>
        </w:p>
        <w:p w14:paraId="49417D23" w14:textId="77777777" w:rsidR="00237457" w:rsidRDefault="00C97782">
          <w:pPr>
            <w:widowControl w:val="0"/>
            <w:tabs>
              <w:tab w:val="right" w:leader="dot" w:pos="12000"/>
            </w:tabs>
            <w:spacing w:before="60" w:line="240" w:lineRule="auto"/>
            <w:ind w:left="360"/>
            <w:rPr>
              <w:color w:val="000000"/>
            </w:rPr>
          </w:pPr>
          <w:hyperlink w:anchor="_8d9xulvke7xn">
            <w:r>
              <w:rPr>
                <w:color w:val="000000"/>
              </w:rPr>
              <w:t>3. Profitability Trends</w:t>
            </w:r>
            <w:r>
              <w:rPr>
                <w:color w:val="000000"/>
              </w:rPr>
              <w:tab/>
              <w:t>6</w:t>
            </w:r>
          </w:hyperlink>
        </w:p>
        <w:p w14:paraId="706A8FCA" w14:textId="77777777" w:rsidR="00237457" w:rsidRDefault="00C97782">
          <w:pPr>
            <w:widowControl w:val="0"/>
            <w:tabs>
              <w:tab w:val="right" w:leader="dot" w:pos="12000"/>
            </w:tabs>
            <w:spacing w:before="60" w:line="240" w:lineRule="auto"/>
            <w:ind w:left="360"/>
            <w:rPr>
              <w:color w:val="000000"/>
            </w:rPr>
          </w:pPr>
          <w:hyperlink w:anchor="_1ha2hzlc6vfl">
            <w:r>
              <w:rPr>
                <w:color w:val="000000"/>
              </w:rPr>
              <w:t>4. Liquidity Trends</w:t>
            </w:r>
            <w:r>
              <w:rPr>
                <w:color w:val="000000"/>
              </w:rPr>
              <w:tab/>
              <w:t>6</w:t>
            </w:r>
          </w:hyperlink>
        </w:p>
        <w:p w14:paraId="431B1DB0" w14:textId="77777777" w:rsidR="00237457" w:rsidRDefault="00C97782">
          <w:pPr>
            <w:widowControl w:val="0"/>
            <w:tabs>
              <w:tab w:val="right" w:leader="dot" w:pos="12000"/>
            </w:tabs>
            <w:spacing w:before="60" w:line="240" w:lineRule="auto"/>
            <w:ind w:left="360"/>
            <w:rPr>
              <w:color w:val="000000"/>
            </w:rPr>
          </w:pPr>
          <w:hyperlink w:anchor="_6pkkyt55k07g">
            <w:r>
              <w:rPr>
                <w:color w:val="000000"/>
              </w:rPr>
              <w:t>5. Solvency Trends</w:t>
            </w:r>
            <w:r>
              <w:rPr>
                <w:color w:val="000000"/>
              </w:rPr>
              <w:tab/>
              <w:t>7</w:t>
            </w:r>
          </w:hyperlink>
        </w:p>
        <w:p w14:paraId="024EB299" w14:textId="77777777" w:rsidR="00237457" w:rsidRDefault="00C97782">
          <w:pPr>
            <w:widowControl w:val="0"/>
            <w:tabs>
              <w:tab w:val="right" w:leader="dot" w:pos="12000"/>
            </w:tabs>
            <w:spacing w:before="60" w:line="240" w:lineRule="auto"/>
            <w:rPr>
              <w:b/>
              <w:color w:val="000000"/>
            </w:rPr>
          </w:pPr>
          <w:hyperlink w:anchor="_mr86j59lxmuc">
            <w:r>
              <w:rPr>
                <w:b/>
                <w:color w:val="000000"/>
              </w:rPr>
              <w:t>4. Reasons for Decline in Profitability</w:t>
            </w:r>
            <w:r>
              <w:rPr>
                <w:b/>
                <w:color w:val="000000"/>
              </w:rPr>
              <w:tab/>
              <w:t>8</w:t>
            </w:r>
          </w:hyperlink>
        </w:p>
        <w:p w14:paraId="202639E7" w14:textId="77777777" w:rsidR="00237457" w:rsidRDefault="00C97782">
          <w:pPr>
            <w:widowControl w:val="0"/>
            <w:tabs>
              <w:tab w:val="right" w:leader="dot" w:pos="12000"/>
            </w:tabs>
            <w:spacing w:before="60" w:line="240" w:lineRule="auto"/>
            <w:ind w:left="360"/>
            <w:rPr>
              <w:color w:val="000000"/>
            </w:rPr>
          </w:pPr>
          <w:hyperlink w:anchor="_fdmr1lnlklzj">
            <w:r>
              <w:rPr>
                <w:color w:val="000000"/>
              </w:rPr>
              <w:t>1. Impact of the COVID-19 Pandemic</w:t>
            </w:r>
            <w:r>
              <w:rPr>
                <w:color w:val="000000"/>
              </w:rPr>
              <w:tab/>
              <w:t>8</w:t>
            </w:r>
          </w:hyperlink>
        </w:p>
        <w:p w14:paraId="75880DBC" w14:textId="77777777" w:rsidR="00237457" w:rsidRDefault="00C97782">
          <w:pPr>
            <w:widowControl w:val="0"/>
            <w:tabs>
              <w:tab w:val="right" w:leader="dot" w:pos="12000"/>
            </w:tabs>
            <w:spacing w:before="60" w:line="240" w:lineRule="auto"/>
            <w:ind w:left="360"/>
            <w:rPr>
              <w:color w:val="000000"/>
            </w:rPr>
          </w:pPr>
          <w:hyperlink w:anchor="_q509y6gfn3p">
            <w:r>
              <w:rPr>
                <w:color w:val="000000"/>
              </w:rPr>
              <w:t>2. Shift in Consumer Preferences</w:t>
            </w:r>
            <w:r>
              <w:rPr>
                <w:color w:val="000000"/>
              </w:rPr>
              <w:tab/>
              <w:t>8</w:t>
            </w:r>
          </w:hyperlink>
        </w:p>
        <w:p w14:paraId="7F83ECB0" w14:textId="77777777" w:rsidR="00237457" w:rsidRDefault="00C97782">
          <w:pPr>
            <w:widowControl w:val="0"/>
            <w:tabs>
              <w:tab w:val="right" w:leader="dot" w:pos="12000"/>
            </w:tabs>
            <w:spacing w:before="60" w:line="240" w:lineRule="auto"/>
            <w:ind w:left="360"/>
            <w:rPr>
              <w:color w:val="000000"/>
            </w:rPr>
          </w:pPr>
          <w:hyperlink w:anchor="_ltu6axkf2l6g">
            <w:r>
              <w:rPr>
                <w:color w:val="000000"/>
              </w:rPr>
              <w:t>3. Intensified Competition</w:t>
            </w:r>
            <w:r>
              <w:rPr>
                <w:color w:val="000000"/>
              </w:rPr>
              <w:tab/>
              <w:t>9</w:t>
            </w:r>
          </w:hyperlink>
        </w:p>
        <w:p w14:paraId="031C24D6" w14:textId="77777777" w:rsidR="00237457" w:rsidRDefault="00C97782">
          <w:pPr>
            <w:widowControl w:val="0"/>
            <w:tabs>
              <w:tab w:val="right" w:leader="dot" w:pos="12000"/>
            </w:tabs>
            <w:spacing w:before="60" w:line="240" w:lineRule="auto"/>
            <w:ind w:left="360"/>
            <w:rPr>
              <w:color w:val="000000"/>
            </w:rPr>
          </w:pPr>
          <w:hyperlink w:anchor="_9dx03r96plah">
            <w:r>
              <w:rPr>
                <w:color w:val="000000"/>
              </w:rPr>
              <w:t>4. Rising Operational Costs</w:t>
            </w:r>
            <w:r>
              <w:rPr>
                <w:color w:val="000000"/>
              </w:rPr>
              <w:tab/>
              <w:t>9</w:t>
            </w:r>
          </w:hyperlink>
        </w:p>
        <w:p w14:paraId="69BDD3D2" w14:textId="77777777" w:rsidR="00237457" w:rsidRDefault="00C97782">
          <w:pPr>
            <w:widowControl w:val="0"/>
            <w:tabs>
              <w:tab w:val="right" w:leader="dot" w:pos="12000"/>
            </w:tabs>
            <w:spacing w:before="60" w:line="240" w:lineRule="auto"/>
            <w:ind w:left="360"/>
            <w:rPr>
              <w:color w:val="000000"/>
            </w:rPr>
          </w:pPr>
          <w:hyperlink w:anchor="_wnf56t86o02h">
            <w:r>
              <w:rPr>
                <w:color w:val="000000"/>
              </w:rPr>
              <w:t>5. High Financial Leverage</w:t>
            </w:r>
            <w:r>
              <w:rPr>
                <w:color w:val="000000"/>
              </w:rPr>
              <w:tab/>
              <w:t>9</w:t>
            </w:r>
          </w:hyperlink>
        </w:p>
        <w:p w14:paraId="32741455" w14:textId="77777777" w:rsidR="00237457" w:rsidRDefault="00C97782">
          <w:pPr>
            <w:widowControl w:val="0"/>
            <w:tabs>
              <w:tab w:val="right" w:leader="dot" w:pos="12000"/>
            </w:tabs>
            <w:spacing w:before="60" w:line="240" w:lineRule="auto"/>
            <w:rPr>
              <w:b/>
              <w:color w:val="000000"/>
            </w:rPr>
          </w:pPr>
          <w:hyperlink w:anchor="_68yie76i9gn4">
            <w:r>
              <w:rPr>
                <w:b/>
                <w:color w:val="000000"/>
              </w:rPr>
              <w:t>4. Turnaround Strategy</w:t>
            </w:r>
            <w:r>
              <w:rPr>
                <w:b/>
                <w:color w:val="000000"/>
              </w:rPr>
              <w:tab/>
              <w:t>10</w:t>
            </w:r>
          </w:hyperlink>
        </w:p>
        <w:p w14:paraId="2A3CC0B8" w14:textId="77777777" w:rsidR="00237457" w:rsidRDefault="00C97782">
          <w:pPr>
            <w:widowControl w:val="0"/>
            <w:tabs>
              <w:tab w:val="right" w:leader="dot" w:pos="12000"/>
            </w:tabs>
            <w:spacing w:before="60" w:line="240" w:lineRule="auto"/>
            <w:ind w:left="360"/>
            <w:rPr>
              <w:color w:val="000000"/>
            </w:rPr>
          </w:pPr>
          <w:hyperlink w:anchor="_nefjhf4zli6e">
            <w:r>
              <w:rPr>
                <w:color w:val="000000"/>
              </w:rPr>
              <w:t>1. Cost Management and Operational Efficiency</w:t>
            </w:r>
            <w:r>
              <w:rPr>
                <w:color w:val="000000"/>
              </w:rPr>
              <w:tab/>
              <w:t>10</w:t>
            </w:r>
          </w:hyperlink>
        </w:p>
        <w:p w14:paraId="77BA2363" w14:textId="77777777" w:rsidR="00237457" w:rsidRDefault="00C97782">
          <w:pPr>
            <w:widowControl w:val="0"/>
            <w:tabs>
              <w:tab w:val="right" w:leader="dot" w:pos="12000"/>
            </w:tabs>
            <w:spacing w:before="60" w:line="240" w:lineRule="auto"/>
            <w:ind w:left="360"/>
            <w:rPr>
              <w:color w:val="000000"/>
            </w:rPr>
          </w:pPr>
          <w:hyperlink w:anchor="_i17n2whhfvfy">
            <w:r>
              <w:rPr>
                <w:color w:val="000000"/>
              </w:rPr>
              <w:t>2. Revenue Enhancement</w:t>
            </w:r>
            <w:r>
              <w:rPr>
                <w:color w:val="000000"/>
              </w:rPr>
              <w:tab/>
              <w:t>10</w:t>
            </w:r>
          </w:hyperlink>
        </w:p>
        <w:p w14:paraId="3AEC9748" w14:textId="77777777" w:rsidR="00237457" w:rsidRDefault="00C97782">
          <w:pPr>
            <w:widowControl w:val="0"/>
            <w:tabs>
              <w:tab w:val="right" w:leader="dot" w:pos="12000"/>
            </w:tabs>
            <w:spacing w:before="60" w:line="240" w:lineRule="auto"/>
            <w:ind w:left="360"/>
            <w:rPr>
              <w:color w:val="000000"/>
            </w:rPr>
          </w:pPr>
          <w:hyperlink w:anchor="_vh6kbc5i7vf7">
            <w:r>
              <w:rPr>
                <w:color w:val="000000"/>
              </w:rPr>
              <w:t>3. Debt Restructuring</w:t>
            </w:r>
            <w:r>
              <w:rPr>
                <w:color w:val="000000"/>
              </w:rPr>
              <w:tab/>
              <w:t>10</w:t>
            </w:r>
          </w:hyperlink>
        </w:p>
        <w:p w14:paraId="21748AFC" w14:textId="77777777" w:rsidR="00237457" w:rsidRDefault="00C97782">
          <w:pPr>
            <w:widowControl w:val="0"/>
            <w:tabs>
              <w:tab w:val="right" w:leader="dot" w:pos="12000"/>
            </w:tabs>
            <w:spacing w:before="60" w:line="240" w:lineRule="auto"/>
            <w:rPr>
              <w:b/>
              <w:color w:val="000000"/>
            </w:rPr>
          </w:pPr>
          <w:hyperlink w:anchor="_yvlvqyqhuw91">
            <w:r>
              <w:rPr>
                <w:b/>
                <w:color w:val="000000"/>
              </w:rPr>
              <w:t>6. Conclusion</w:t>
            </w:r>
            <w:r>
              <w:rPr>
                <w:b/>
                <w:color w:val="000000"/>
              </w:rPr>
              <w:tab/>
              <w:t>11</w:t>
            </w:r>
          </w:hyperlink>
        </w:p>
        <w:p w14:paraId="0F04B99F" w14:textId="77777777" w:rsidR="00237457" w:rsidRDefault="00C97782">
          <w:pPr>
            <w:widowControl w:val="0"/>
            <w:tabs>
              <w:tab w:val="right" w:leader="dot" w:pos="12000"/>
            </w:tabs>
            <w:spacing w:before="60" w:line="240" w:lineRule="auto"/>
            <w:rPr>
              <w:b/>
              <w:color w:val="000000"/>
            </w:rPr>
          </w:pPr>
          <w:hyperlink w:anchor="_6tgyizi1css7">
            <w:r>
              <w:rPr>
                <w:b/>
                <w:color w:val="000000"/>
              </w:rPr>
              <w:t>7. References</w:t>
            </w:r>
            <w:r>
              <w:rPr>
                <w:b/>
                <w:color w:val="000000"/>
              </w:rPr>
              <w:tab/>
              <w:t>12</w:t>
            </w:r>
          </w:hyperlink>
          <w:r>
            <w:fldChar w:fldCharType="end"/>
          </w:r>
        </w:p>
      </w:sdtContent>
    </w:sdt>
    <w:p w14:paraId="4351B498" w14:textId="77777777" w:rsidR="00237457" w:rsidRDefault="00C97782">
      <w:r>
        <w:br w:type="page"/>
      </w:r>
    </w:p>
    <w:p w14:paraId="308A0F06" w14:textId="77777777" w:rsidR="00237457" w:rsidRDefault="00C97782">
      <w:pPr>
        <w:pStyle w:val="Heading1"/>
        <w:keepNext w:val="0"/>
        <w:keepLines w:val="0"/>
      </w:pPr>
      <w:bookmarkStart w:id="0" w:name="_ifttltph8n4q" w:colFirst="0" w:colLast="0"/>
      <w:bookmarkEnd w:id="0"/>
      <w:r>
        <w:lastRenderedPageBreak/>
        <w:t>Financial Analysis and Turnaround Strategy for The City Hotel</w:t>
      </w:r>
    </w:p>
    <w:p w14:paraId="3B6F30EC" w14:textId="77777777" w:rsidR="00237457" w:rsidRDefault="00C97782">
      <w:pPr>
        <w:pStyle w:val="Heading1"/>
        <w:keepNext w:val="0"/>
        <w:keepLines w:val="0"/>
        <w:spacing w:after="80"/>
      </w:pPr>
      <w:bookmarkStart w:id="1" w:name="_7egog8lhtyrm" w:colFirst="0" w:colLast="0"/>
      <w:bookmarkEnd w:id="1"/>
      <w:r>
        <w:t>1. Introduction</w:t>
      </w:r>
    </w:p>
    <w:p w14:paraId="33B49C1C" w14:textId="77777777" w:rsidR="00237457" w:rsidRDefault="00C97782">
      <w:pPr>
        <w:spacing w:before="240" w:after="240"/>
      </w:pPr>
      <w:r>
        <w:t xml:space="preserve">The City Hotel is an urban hotel providing restaurant, bar and events services; the business has faced a decline in its revenues, occupancy and customers’ satisfaction over the last few years. This case study seeks to evaluate the feasibility of the business and identify the possible turnaround strategies to tackle these issues (Safira, </w:t>
      </w:r>
      <w:proofErr w:type="spellStart"/>
      <w:r>
        <w:t>Sopanah</w:t>
      </w:r>
      <w:proofErr w:type="spellEnd"/>
      <w:r>
        <w:t xml:space="preserve"> and </w:t>
      </w:r>
      <w:proofErr w:type="spellStart"/>
      <w:r>
        <w:t>Anggarani</w:t>
      </w:r>
      <w:proofErr w:type="spellEnd"/>
      <w:r>
        <w:t>, 2023). This case study offers a detailed evaluation of The City Hotel using its financial records for the last three years (2021-2023) and presents possible ways to manage it. It shows that the hotel experienced major problems, especially in 2023, which was reflected in the decrease in revenue and the level of profitability. Liquidity, profitability and solvency positions as expressed by the key financial ratios show signs of decline. The case study aims at identifying the causes of this decline and provides suggestions on how to improve the financial situation and image of the hotel.</w:t>
      </w:r>
    </w:p>
    <w:p w14:paraId="32D5B7DD" w14:textId="77777777" w:rsidR="00237457" w:rsidRDefault="00C97782">
      <w:pPr>
        <w:pStyle w:val="Heading2"/>
      </w:pPr>
      <w:bookmarkStart w:id="2" w:name="_hwzdefsxfwl7" w:colFirst="0" w:colLast="0"/>
      <w:bookmarkEnd w:id="2"/>
      <w:r>
        <w:t>Background of the organisation</w:t>
      </w:r>
    </w:p>
    <w:p w14:paraId="4BFB5D05" w14:textId="77777777" w:rsidR="00237457" w:rsidRDefault="00C97782">
      <w:pPr>
        <w:spacing w:before="240" w:after="240"/>
      </w:pPr>
      <w:r>
        <w:t>The City Hotel is a well-established business that operates in the hospitality industry and provides lodging, food, beverages, banquet and meeting facilities in an urban area. The hotel has recorded several challenges in the recent past that have affected the overall performance of the business, despite having a localised market. Some performance measures like revenue, occupancy, and customer satisfaction have declined drastically, and this has made many people question the sustainability of the business. For this purpose, the hotel’s owner has conducted this analysis to establish if a turnaround plan could help revive the company. This report will analyse the hotel company’s financial performance in the last three years, examine the potential causes of the company’s lowered profitability, and outline the strategy for the company’s improvement and reputation rebuilding, if needed.</w:t>
      </w:r>
    </w:p>
    <w:p w14:paraId="052C6A74" w14:textId="77777777" w:rsidR="00237457" w:rsidRDefault="00C97782">
      <w:pPr>
        <w:pStyle w:val="Heading2"/>
        <w:keepNext w:val="0"/>
        <w:keepLines w:val="0"/>
        <w:spacing w:after="80"/>
        <w:rPr>
          <w:sz w:val="34"/>
          <w:szCs w:val="34"/>
        </w:rPr>
      </w:pPr>
      <w:bookmarkStart w:id="3" w:name="_ejiuq0mfxhm0" w:colFirst="0" w:colLast="0"/>
      <w:bookmarkEnd w:id="3"/>
      <w:r>
        <w:br w:type="page"/>
      </w:r>
    </w:p>
    <w:p w14:paraId="13FC8B42" w14:textId="77777777" w:rsidR="00237457" w:rsidRDefault="00C97782">
      <w:pPr>
        <w:pStyle w:val="Heading1"/>
        <w:keepNext w:val="0"/>
        <w:keepLines w:val="0"/>
        <w:spacing w:after="80"/>
      </w:pPr>
      <w:bookmarkStart w:id="4" w:name="_mr7nhorp349m" w:colFirst="0" w:colLast="0"/>
      <w:bookmarkEnd w:id="4"/>
      <w:r>
        <w:lastRenderedPageBreak/>
        <w:t>2. Financial Ratio Analysis</w:t>
      </w:r>
    </w:p>
    <w:p w14:paraId="5A770F68" w14:textId="77777777" w:rsidR="00237457" w:rsidRDefault="00C97782">
      <w:pPr>
        <w:spacing w:before="240" w:after="240"/>
        <w:rPr>
          <w:b/>
          <w:color w:val="000000"/>
          <w:sz w:val="26"/>
          <w:szCs w:val="26"/>
        </w:rPr>
      </w:pPr>
      <w:r>
        <w:t>In order to evaluate the financial performance of The City Hotel, the eight financial ratios have been calculated and analysed using the income statements and the statements of financial position for 2021-2023.</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460"/>
        <w:gridCol w:w="2251"/>
        <w:gridCol w:w="1883"/>
        <w:gridCol w:w="1883"/>
        <w:gridCol w:w="1883"/>
      </w:tblGrid>
      <w:tr w:rsidR="00237457" w14:paraId="2C57EB0E" w14:textId="77777777" w:rsidTr="00AD066A">
        <w:trPr>
          <w:trHeight w:val="455"/>
        </w:trPr>
        <w:tc>
          <w:tcPr>
            <w:tcW w:w="1459" w:type="dxa"/>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2496FDF9" w14:textId="77777777" w:rsidR="00237457" w:rsidRDefault="00C97782" w:rsidP="00AD066A">
            <w:pPr>
              <w:jc w:val="center"/>
            </w:pPr>
            <w:r>
              <w:rPr>
                <w:b/>
              </w:rPr>
              <w:t>Ratio</w:t>
            </w:r>
          </w:p>
        </w:tc>
        <w:tc>
          <w:tcPr>
            <w:tcW w:w="2250" w:type="dxa"/>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4F99F03B" w14:textId="77777777" w:rsidR="00237457" w:rsidRDefault="00C97782" w:rsidP="00AD066A">
            <w:pPr>
              <w:jc w:val="center"/>
            </w:pPr>
            <w:r>
              <w:rPr>
                <w:b/>
              </w:rPr>
              <w:t>Formula</w:t>
            </w:r>
          </w:p>
        </w:tc>
        <w:tc>
          <w:tcPr>
            <w:tcW w:w="1883" w:type="dxa"/>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5FA1D8CE" w14:textId="77777777" w:rsidR="00237457" w:rsidRDefault="00C97782" w:rsidP="00AD066A">
            <w:pPr>
              <w:jc w:val="center"/>
            </w:pPr>
            <w:r>
              <w:rPr>
                <w:b/>
              </w:rPr>
              <w:t>2021</w:t>
            </w:r>
          </w:p>
        </w:tc>
        <w:tc>
          <w:tcPr>
            <w:tcW w:w="1883" w:type="dxa"/>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5F073AB7" w14:textId="77777777" w:rsidR="00237457" w:rsidRDefault="00C97782" w:rsidP="00AD066A">
            <w:pPr>
              <w:jc w:val="center"/>
            </w:pPr>
            <w:r>
              <w:rPr>
                <w:b/>
              </w:rPr>
              <w:t>2022</w:t>
            </w:r>
          </w:p>
        </w:tc>
        <w:tc>
          <w:tcPr>
            <w:tcW w:w="1883" w:type="dxa"/>
            <w:tcBorders>
              <w:top w:val="single" w:sz="8" w:space="0" w:color="000000"/>
              <w:left w:val="single" w:sz="8" w:space="0" w:color="000000"/>
              <w:bottom w:val="single" w:sz="8" w:space="0" w:color="000000"/>
              <w:right w:val="single" w:sz="8" w:space="0" w:color="000000"/>
            </w:tcBorders>
            <w:shd w:val="clear" w:color="auto" w:fill="DBE5F1" w:themeFill="accent1" w:themeFillTint="33"/>
            <w:tcMar>
              <w:top w:w="100" w:type="dxa"/>
              <w:left w:w="100" w:type="dxa"/>
              <w:bottom w:w="100" w:type="dxa"/>
              <w:right w:w="100" w:type="dxa"/>
            </w:tcMar>
          </w:tcPr>
          <w:p w14:paraId="33645D31" w14:textId="77777777" w:rsidR="00237457" w:rsidRDefault="00C97782" w:rsidP="00AD066A">
            <w:pPr>
              <w:jc w:val="center"/>
            </w:pPr>
            <w:r>
              <w:rPr>
                <w:b/>
              </w:rPr>
              <w:t>2023</w:t>
            </w:r>
          </w:p>
        </w:tc>
      </w:tr>
      <w:tr w:rsidR="00237457" w14:paraId="6267A222" w14:textId="77777777">
        <w:trPr>
          <w:trHeight w:val="905"/>
        </w:trPr>
        <w:tc>
          <w:tcPr>
            <w:tcW w:w="1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E15226" w14:textId="77777777" w:rsidR="00237457" w:rsidRDefault="00C97782">
            <w:r>
              <w:t>Current Ratio</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196262" w14:textId="77777777" w:rsidR="00237457" w:rsidRDefault="00C97782">
            <w:r>
              <w:t>Current Assets / Current Liabilities</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E016A2" w14:textId="77777777" w:rsidR="00237457" w:rsidRDefault="00C97782">
            <w:r>
              <w:t>1,891,970 / 1,957,360 = 0.97</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D0EDD6" w14:textId="77777777" w:rsidR="00237457" w:rsidRDefault="00C97782">
            <w:r>
              <w:t>1,965,340 / 2,107,750 = 0.93</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1124B" w14:textId="77777777" w:rsidR="00237457" w:rsidRDefault="00C97782">
            <w:r>
              <w:t>1,285,880 / 2,014,600 = 0.64</w:t>
            </w:r>
          </w:p>
        </w:tc>
      </w:tr>
      <w:tr w:rsidR="00237457" w14:paraId="6E64258E" w14:textId="77777777">
        <w:trPr>
          <w:trHeight w:val="1130"/>
        </w:trPr>
        <w:tc>
          <w:tcPr>
            <w:tcW w:w="1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C3D8DB" w14:textId="77777777" w:rsidR="00237457" w:rsidRDefault="00C97782">
            <w:r>
              <w:t>Quick Ratio</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30F9E" w14:textId="77777777" w:rsidR="00237457" w:rsidRDefault="00C97782">
            <w:r>
              <w:t>(Current Assets - Inventories) / Current Liabilities</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5AF3DF" w14:textId="77777777" w:rsidR="00237457" w:rsidRDefault="00C97782">
            <w:r>
              <w:t>(1,891,970 - 35,230) / 1,957,360 = 0.95</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4A72D3" w14:textId="77777777" w:rsidR="00237457" w:rsidRDefault="00C97782">
            <w:r>
              <w:t>(1,965,340 - 36,350) / 2,107,750 = 0.92</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3E711" w14:textId="77777777" w:rsidR="00237457" w:rsidRDefault="00C97782">
            <w:r>
              <w:t>(1,285,880 - 29,470) / 2,014,600 = 0.62</w:t>
            </w:r>
          </w:p>
        </w:tc>
      </w:tr>
      <w:tr w:rsidR="00237457" w14:paraId="6EC486C9" w14:textId="77777777">
        <w:trPr>
          <w:trHeight w:val="905"/>
        </w:trPr>
        <w:tc>
          <w:tcPr>
            <w:tcW w:w="1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1A323" w14:textId="77777777" w:rsidR="00237457" w:rsidRDefault="00C97782">
            <w:r>
              <w:t>Debt-to-Equity Ratio</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DC3494" w14:textId="77777777" w:rsidR="00237457" w:rsidRDefault="00C97782">
            <w:r>
              <w:t>Total Liabilities / Total Equity</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9FAD0" w14:textId="77777777" w:rsidR="00237457" w:rsidRDefault="00C97782">
            <w:r>
              <w:t>10,684,940 / 2,256,180 = 4.74</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77F0B9" w14:textId="77777777" w:rsidR="00237457" w:rsidRDefault="00C97782">
            <w:r>
              <w:t>13,338,050 / 2,583,030 = 5.16</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5AF061" w14:textId="77777777" w:rsidR="00237457" w:rsidRDefault="00C97782">
            <w:r>
              <w:t>14,243,390 / 1,410,580 = 10.10</w:t>
            </w:r>
          </w:p>
        </w:tc>
      </w:tr>
      <w:tr w:rsidR="00237457" w14:paraId="41E03A9B" w14:textId="77777777">
        <w:trPr>
          <w:trHeight w:val="905"/>
        </w:trPr>
        <w:tc>
          <w:tcPr>
            <w:tcW w:w="1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3CD27" w14:textId="77777777" w:rsidR="00237457" w:rsidRDefault="00C97782">
            <w:r>
              <w:t>Return on Assets (ROA)</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91F5A8" w14:textId="77777777" w:rsidR="00237457" w:rsidRDefault="00C97782">
            <w:r>
              <w:t>Net Income / Total Assets</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A197B" w14:textId="77777777" w:rsidR="00237457" w:rsidRDefault="00C97782">
            <w:r>
              <w:t>333,930 / 12,941,110 = 2.58%</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00494C" w14:textId="77777777" w:rsidR="00237457" w:rsidRDefault="00C97782">
            <w:r>
              <w:t>304,650 / 15,921,080 = 1.91%</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089244" w14:textId="77777777" w:rsidR="00237457" w:rsidRDefault="00C97782">
            <w:r>
              <w:t>-1,134,950 / 15,653,970 = -7.25%</w:t>
            </w:r>
          </w:p>
        </w:tc>
      </w:tr>
      <w:tr w:rsidR="00237457" w14:paraId="21308B31" w14:textId="77777777">
        <w:trPr>
          <w:trHeight w:val="905"/>
        </w:trPr>
        <w:tc>
          <w:tcPr>
            <w:tcW w:w="1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35288B" w14:textId="77777777" w:rsidR="00237457" w:rsidRDefault="00C97782">
            <w:r>
              <w:t>Return on Equity (ROE)</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14D56" w14:textId="77777777" w:rsidR="00237457" w:rsidRDefault="00C97782">
            <w:r>
              <w:t>Net Income / Total Equity</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E0CB37" w14:textId="77777777" w:rsidR="00237457" w:rsidRDefault="00C97782">
            <w:r>
              <w:t>333,930 / 2,256,180 = 14.80%</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E0B0D5" w14:textId="77777777" w:rsidR="00237457" w:rsidRDefault="00C97782">
            <w:r>
              <w:t>304,650 / 2,583,030 = 11.79%</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CA987" w14:textId="77777777" w:rsidR="00237457" w:rsidRDefault="00C97782">
            <w:r>
              <w:t>-1,134,950 / 1,410,580 = -80.46%</w:t>
            </w:r>
          </w:p>
        </w:tc>
      </w:tr>
      <w:tr w:rsidR="00237457" w14:paraId="46B9F2FF" w14:textId="77777777">
        <w:trPr>
          <w:trHeight w:val="1130"/>
        </w:trPr>
        <w:tc>
          <w:tcPr>
            <w:tcW w:w="1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8A6E6" w14:textId="77777777" w:rsidR="00237457" w:rsidRDefault="00C97782">
            <w:r>
              <w:t>Gross Profit Margin</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7A611" w14:textId="77777777" w:rsidR="00237457" w:rsidRDefault="00C97782">
            <w:r>
              <w:t>(Revenue - COGS) / Revenue</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A8BDA" w14:textId="77777777" w:rsidR="00237457" w:rsidRDefault="00C97782">
            <w:r>
              <w:t>(5,248,290 - 411,600) / 5,248,290 = 92.16%</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41472" w14:textId="77777777" w:rsidR="00237457" w:rsidRDefault="00C97782">
            <w:r>
              <w:t>(5,307,480 - 401,510) / 5,307,480 = 92.44%</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A1229F" w14:textId="77777777" w:rsidR="00237457" w:rsidRDefault="00C97782">
            <w:r>
              <w:t>(2,325,440 - 176,250) / 2,325,440 = 92.42%</w:t>
            </w:r>
          </w:p>
        </w:tc>
      </w:tr>
      <w:tr w:rsidR="00237457" w14:paraId="1C2BC593" w14:textId="77777777">
        <w:trPr>
          <w:trHeight w:val="905"/>
        </w:trPr>
        <w:tc>
          <w:tcPr>
            <w:tcW w:w="1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BF42E" w14:textId="77777777" w:rsidR="00237457" w:rsidRDefault="00C97782">
            <w:r>
              <w:lastRenderedPageBreak/>
              <w:t>Operating Profit Margin</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376DA" w14:textId="77777777" w:rsidR="00237457" w:rsidRDefault="00C97782">
            <w:r>
              <w:t>Operating Income / Revenue</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B389D8" w14:textId="77777777" w:rsidR="00237457" w:rsidRDefault="00C97782">
            <w:r>
              <w:t>664,160 / 5,248,290 = 12.65%</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BC1F06" w14:textId="77777777" w:rsidR="00237457" w:rsidRDefault="00C97782">
            <w:r>
              <w:t>674,730 / 5,307,480 = 12.71%</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F173F" w14:textId="77777777" w:rsidR="00237457" w:rsidRDefault="00C97782">
            <w:r>
              <w:t>-1,218,850 / 2,325,440 = -52.41%</w:t>
            </w:r>
          </w:p>
        </w:tc>
      </w:tr>
      <w:tr w:rsidR="00237457" w14:paraId="09D2590F" w14:textId="77777777">
        <w:trPr>
          <w:trHeight w:val="905"/>
        </w:trPr>
        <w:tc>
          <w:tcPr>
            <w:tcW w:w="14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74B47" w14:textId="77777777" w:rsidR="00237457" w:rsidRDefault="00C97782">
            <w:r>
              <w:t>Net Profit Margin</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FC973" w14:textId="77777777" w:rsidR="00237457" w:rsidRDefault="00C97782">
            <w:r>
              <w:t>Net Income / Revenue</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FEE69" w14:textId="77777777" w:rsidR="00237457" w:rsidRDefault="00C97782">
            <w:r>
              <w:t>333,930 / 5,248,290 = 6.36%</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E9FD60" w14:textId="77777777" w:rsidR="00237457" w:rsidRDefault="00C97782">
            <w:r>
              <w:t>304,650 / 5,307,480 = 5.74%</w:t>
            </w:r>
          </w:p>
        </w:tc>
        <w:tc>
          <w:tcPr>
            <w:tcW w:w="1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A0D71" w14:textId="77777777" w:rsidR="00237457" w:rsidRDefault="00C97782">
            <w:r>
              <w:t>-1,134,950 / 2,325,440 = -48.81%</w:t>
            </w:r>
          </w:p>
        </w:tc>
      </w:tr>
    </w:tbl>
    <w:p w14:paraId="65AF3FFB" w14:textId="77777777" w:rsidR="00237457" w:rsidRDefault="00C97782">
      <w:pPr>
        <w:pStyle w:val="Heading1"/>
        <w:keepNext w:val="0"/>
        <w:keepLines w:val="0"/>
        <w:spacing w:before="360" w:after="80"/>
      </w:pPr>
      <w:bookmarkStart w:id="5" w:name="_dnzr0z67q996" w:colFirst="0" w:colLast="0"/>
      <w:bookmarkEnd w:id="5"/>
      <w:r>
        <w:br w:type="page"/>
      </w:r>
    </w:p>
    <w:p w14:paraId="0F366E7B" w14:textId="77777777" w:rsidR="00237457" w:rsidRDefault="00C97782">
      <w:pPr>
        <w:pStyle w:val="Heading1"/>
        <w:keepNext w:val="0"/>
        <w:keepLines w:val="0"/>
        <w:spacing w:before="360" w:after="80"/>
      </w:pPr>
      <w:bookmarkStart w:id="6" w:name="_mg1xsz99ywak" w:colFirst="0" w:colLast="0"/>
      <w:bookmarkEnd w:id="6"/>
      <w:r>
        <w:lastRenderedPageBreak/>
        <w:t>3. Evaluation of Financial Performance Trends (2021-2023)</w:t>
      </w:r>
    </w:p>
    <w:p w14:paraId="3639268C" w14:textId="77777777" w:rsidR="00237457" w:rsidRDefault="00C97782">
      <w:pPr>
        <w:spacing w:before="240" w:after="240"/>
      </w:pPr>
      <w:r>
        <w:t>In order to evaluate the financial performance of The City Hotel, it is necessary to evaluate trends and patterns of revenue, expenses, profitability, liquidity and solvency indicators for the past three years. All these areas are important in analysing the financial position of the hotel and revealing the causes of the hotel’s financial problems.</w:t>
      </w:r>
    </w:p>
    <w:p w14:paraId="498895BC" w14:textId="77777777" w:rsidR="00237457" w:rsidRDefault="00C97782">
      <w:pPr>
        <w:pStyle w:val="Heading2"/>
        <w:spacing w:after="40"/>
        <w:ind w:left="720" w:hanging="360"/>
      </w:pPr>
      <w:bookmarkStart w:id="7" w:name="_x4eipp12lepu" w:colFirst="0" w:colLast="0"/>
      <w:bookmarkEnd w:id="7"/>
      <w:r>
        <w:t>1. Revenue Trends</w:t>
      </w:r>
    </w:p>
    <w:p w14:paraId="17E53513" w14:textId="77777777" w:rsidR="00237457" w:rsidRDefault="00C97782">
      <w:pPr>
        <w:spacing w:before="240" w:after="240"/>
      </w:pPr>
      <w:r>
        <w:t>The revenue of the hotel has been reduced drastically in the given three-year period. The City Hotel achieved $5.25 million in 2021, and in 2022, the revenue was $5.30 million. However, in 2023, the revenue decreased to $2.33 million, which is a decrease of 56</w:t>
      </w:r>
      <w:r w:rsidR="00D64458">
        <w:t xml:space="preserve">% compared to the previous year(Ali,2022). </w:t>
      </w:r>
      <w:r>
        <w:t xml:space="preserve">Most of this can be attributed to the negative impacts of the COVID-19 pandemic on the hospitality sector (Safira, </w:t>
      </w:r>
      <w:proofErr w:type="spellStart"/>
      <w:r>
        <w:t>Sopanah</w:t>
      </w:r>
      <w:proofErr w:type="spellEnd"/>
      <w:r>
        <w:t xml:space="preserve"> and </w:t>
      </w:r>
      <w:proofErr w:type="spellStart"/>
      <w:r>
        <w:t>Anggarani</w:t>
      </w:r>
      <w:proofErr w:type="spellEnd"/>
      <w:r>
        <w:t>, 2023). Decreased mobility, a decline in the number of events and meetings, and shifts in customer preferences have led to a decrease in occupancy levels and a significant decrease in the hotel’s income opportunities. The fact that recovery did not occur in 2023 underlines the question of what internal and external factors constrained the hotel’s business (</w:t>
      </w:r>
      <w:proofErr w:type="spellStart"/>
      <w:r>
        <w:t>Fajriyanti</w:t>
      </w:r>
      <w:proofErr w:type="spellEnd"/>
      <w:r>
        <w:t xml:space="preserve"> and </w:t>
      </w:r>
      <w:proofErr w:type="spellStart"/>
      <w:r>
        <w:t>Wiyarni</w:t>
      </w:r>
      <w:proofErr w:type="spellEnd"/>
      <w:r>
        <w:t>, 2022).</w:t>
      </w:r>
    </w:p>
    <w:p w14:paraId="4F31E355" w14:textId="77777777" w:rsidR="00237457" w:rsidRDefault="00C97782">
      <w:pPr>
        <w:pStyle w:val="Heading2"/>
      </w:pPr>
      <w:bookmarkStart w:id="8" w:name="_gn9lpw8qthxt" w:colFirst="0" w:colLast="0"/>
      <w:bookmarkEnd w:id="8"/>
      <w:r>
        <w:t>2. Expense Trends</w:t>
      </w:r>
    </w:p>
    <w:p w14:paraId="47EB0E04" w14:textId="77777777" w:rsidR="00237457" w:rsidRDefault="00C97782">
      <w:r>
        <w:t>However, despite the decline in revenues, the expenses of The City Hotel have not been reduced in the same proportion, leading to a deterioration of the company’s balance. Key expenses include:</w:t>
      </w:r>
    </w:p>
    <w:p w14:paraId="1F859D00" w14:textId="77777777" w:rsidR="00237457" w:rsidRDefault="00C97782">
      <w:pPr>
        <w:numPr>
          <w:ilvl w:val="0"/>
          <w:numId w:val="1"/>
        </w:numPr>
        <w:spacing w:before="240"/>
      </w:pPr>
      <w:r>
        <w:rPr>
          <w:b/>
        </w:rPr>
        <w:t>Cost of Goods Sold (COGS):</w:t>
      </w:r>
      <w:r>
        <w:t xml:space="preserve"> The cost of goods sold was reduced in relation to revenue from $411,600 in 2021 to $176,250 in 2023, while the gross profit margin remained almost constant at 92%. Although the company’s total revenue has decreased, so has the COGS, but it is the fixed costs that are more problematic (</w:t>
      </w:r>
      <w:proofErr w:type="spellStart"/>
      <w:r>
        <w:t>Rachmatullah</w:t>
      </w:r>
      <w:proofErr w:type="spellEnd"/>
      <w:r>
        <w:t xml:space="preserve">, </w:t>
      </w:r>
      <w:proofErr w:type="spellStart"/>
      <w:r>
        <w:t>Haliah</w:t>
      </w:r>
      <w:proofErr w:type="spellEnd"/>
      <w:r>
        <w:t xml:space="preserve"> and </w:t>
      </w:r>
      <w:proofErr w:type="spellStart"/>
      <w:r>
        <w:t>Kusumawati</w:t>
      </w:r>
      <w:proofErr w:type="spellEnd"/>
      <w:r>
        <w:t>, 2023).</w:t>
      </w:r>
    </w:p>
    <w:p w14:paraId="63E4D1E7" w14:textId="77777777" w:rsidR="00237457" w:rsidRDefault="00C97782">
      <w:pPr>
        <w:numPr>
          <w:ilvl w:val="0"/>
          <w:numId w:val="1"/>
        </w:numPr>
      </w:pPr>
      <w:r>
        <w:rPr>
          <w:b/>
        </w:rPr>
        <w:t>Employee Costs:</w:t>
      </w:r>
      <w:r>
        <w:t xml:space="preserve"> These costs remained high, and despite a large drop in revenue from $2.77 million in 2022 to $1.77 million in 2023, employee costs only marginally reduced from $1.77 million to $1.23 million, respectively. This indicates that the hotel has not reduced staffing levels in response to lower occupancy, resulting in inflated labour costs (</w:t>
      </w:r>
      <w:proofErr w:type="spellStart"/>
      <w:r>
        <w:t>Fajriyanti</w:t>
      </w:r>
      <w:proofErr w:type="spellEnd"/>
      <w:r>
        <w:t xml:space="preserve"> and </w:t>
      </w:r>
      <w:proofErr w:type="spellStart"/>
      <w:r>
        <w:t>Wiyarni</w:t>
      </w:r>
      <w:proofErr w:type="spellEnd"/>
      <w:r>
        <w:t>, 2022).</w:t>
      </w:r>
    </w:p>
    <w:p w14:paraId="5C558101" w14:textId="77777777" w:rsidR="00237457" w:rsidRDefault="00C97782">
      <w:pPr>
        <w:numPr>
          <w:ilvl w:val="0"/>
          <w:numId w:val="1"/>
        </w:numPr>
        <w:spacing w:after="240"/>
      </w:pPr>
      <w:r>
        <w:rPr>
          <w:b/>
        </w:rPr>
        <w:lastRenderedPageBreak/>
        <w:t>External Expenses:</w:t>
      </w:r>
      <w:r>
        <w:t xml:space="preserve"> Other expenses, including utilities, maintenance, and third-party services, have also decreased but at a smaller magnitude compared to revenue. External expenses were $1.89 million in 2021 and fell to $1.07 million in 2023. However, this reduction has not been enough to compensate for the revenue loss (</w:t>
      </w:r>
      <w:proofErr w:type="spellStart"/>
      <w:r>
        <w:t>Bacharudin</w:t>
      </w:r>
      <w:proofErr w:type="spellEnd"/>
      <w:r>
        <w:t>, Massie and Arie, 2023).</w:t>
      </w:r>
    </w:p>
    <w:p w14:paraId="5742E764" w14:textId="77777777" w:rsidR="00237457" w:rsidRDefault="00C97782">
      <w:pPr>
        <w:pStyle w:val="Heading2"/>
      </w:pPr>
      <w:bookmarkStart w:id="9" w:name="_pe4gwdjnuna" w:colFirst="0" w:colLast="0"/>
      <w:bookmarkEnd w:id="9"/>
      <w:r>
        <w:t>3. Profitability Trends</w:t>
      </w:r>
    </w:p>
    <w:p w14:paraId="3CB3D3FA" w14:textId="77777777" w:rsidR="00237457" w:rsidRDefault="00C97782">
      <w:pPr>
        <w:spacing w:before="240" w:after="240"/>
      </w:pPr>
      <w:r>
        <w:t>Profitability has reduced significantly over the last three years. The hotel’s operating income dropped from $664,160 in 2021 to a loss of $1.22 million in 2023. The net profit margin decreased from 6.36% in 2021 to -48.81% in 2023, reflecting a sharp downturn in profitability. This trend shows that although the gross profit margin has been sustained, operating costs have not been managed in line with declining revenues (</w:t>
      </w:r>
      <w:proofErr w:type="spellStart"/>
      <w:r>
        <w:t>Yuniastuti</w:t>
      </w:r>
      <w:proofErr w:type="spellEnd"/>
      <w:r>
        <w:t xml:space="preserve"> and </w:t>
      </w:r>
      <w:proofErr w:type="spellStart"/>
      <w:r>
        <w:t>Nasyaroeka</w:t>
      </w:r>
      <w:proofErr w:type="spellEnd"/>
      <w:r>
        <w:t>, 2012). Fixed costs, particularly employee and external expenses, have severely impacted profitability. The growing debt burden, reflected in higher interest expenses, has also contributed to the significant net losses in 2023. This decline in profitability is unsustainable and requires immediate corrective action (</w:t>
      </w:r>
      <w:proofErr w:type="spellStart"/>
      <w:r>
        <w:t>Rachmatullah</w:t>
      </w:r>
      <w:proofErr w:type="spellEnd"/>
      <w:r>
        <w:t xml:space="preserve">, </w:t>
      </w:r>
      <w:proofErr w:type="spellStart"/>
      <w:r>
        <w:t>Haliah</w:t>
      </w:r>
      <w:proofErr w:type="spellEnd"/>
      <w:r>
        <w:t xml:space="preserve"> and </w:t>
      </w:r>
      <w:proofErr w:type="spellStart"/>
      <w:r>
        <w:t>Kusumawati</w:t>
      </w:r>
      <w:proofErr w:type="spellEnd"/>
      <w:r>
        <w:t>, 2023).</w:t>
      </w:r>
    </w:p>
    <w:p w14:paraId="59D7DFD5" w14:textId="77777777" w:rsidR="00237457" w:rsidRDefault="00C97782">
      <w:pPr>
        <w:pStyle w:val="Heading2"/>
      </w:pPr>
      <w:bookmarkStart w:id="10" w:name="_ogmcod9b3vxf" w:colFirst="0" w:colLast="0"/>
      <w:bookmarkEnd w:id="10"/>
      <w:r>
        <w:t>4. Liquidity Trends</w:t>
      </w:r>
    </w:p>
    <w:p w14:paraId="49B2C931" w14:textId="77777777" w:rsidR="00237457" w:rsidRDefault="00C97782">
      <w:pPr>
        <w:spacing w:before="240" w:after="240"/>
      </w:pPr>
      <w:r>
        <w:t>One of the major concerns for The City Hotel is liquidity. The current ratio, which indicates the extent to which total current assets can cover total current liabilities, has declined from 0.97 in 2021 to 0.64 in 2023. This suggests that the hotel is struggling to meet its short-term commitments, including supplier payments and short-term debt (Ali, 2022). The quick ratio, which excludes inventories, has also dropped from 0.95 in 2021 to 0.62 in 2023. Both ratios are below 1.0, signalling that the company faces a liquidity problem. The hotel’s inability to meet its current obligations is a clear indication that improvements in working capital management are needed to avoid insolvency (Mukti and Fitriana, 2022).</w:t>
      </w:r>
    </w:p>
    <w:p w14:paraId="6ADD3C55" w14:textId="77777777" w:rsidR="00237457" w:rsidRDefault="00C97782">
      <w:pPr>
        <w:pStyle w:val="Heading2"/>
      </w:pPr>
      <w:bookmarkStart w:id="11" w:name="_x26393e5sasi" w:colFirst="0" w:colLast="0"/>
      <w:bookmarkEnd w:id="11"/>
      <w:r>
        <w:t>5. Solvency Trends</w:t>
      </w:r>
    </w:p>
    <w:p w14:paraId="4460796C" w14:textId="77777777" w:rsidR="00237457" w:rsidRDefault="00C97782">
      <w:r>
        <w:t xml:space="preserve">The hotel’s ability to repay its long-term debt, measured by solvency, has also worsened. The debt-to-equity ratio has increased from 4.74 in 2021 to 10.10 in 2023, indicating that The City Hotel is increasingly relying on debt to finance its assets. This heightened reliance on credit has exposed </w:t>
      </w:r>
      <w:r>
        <w:lastRenderedPageBreak/>
        <w:t>the hotel to significant financial risk (</w:t>
      </w:r>
      <w:proofErr w:type="spellStart"/>
      <w:r>
        <w:t>Bacharudin</w:t>
      </w:r>
      <w:proofErr w:type="spellEnd"/>
      <w:r>
        <w:t>, Massie and Arie, 2023). The interest coverage ratio, which measures the hotel’s ability to meet interest obligations on its debt, has also deteriorated. While the hotel was able to cover interest expenses in 2021 and 2022, the negative operating income in 2023 suggests that the hotel may struggle to meet its debt obligations, increasing the likelihood of default (Akbar, Lestari and Budiyanti, 2023).</w:t>
      </w:r>
    </w:p>
    <w:p w14:paraId="441EF77B" w14:textId="77777777" w:rsidR="00237457" w:rsidRDefault="00C97782">
      <w:pPr>
        <w:pStyle w:val="Heading1"/>
        <w:keepNext w:val="0"/>
        <w:keepLines w:val="0"/>
        <w:spacing w:after="80"/>
      </w:pPr>
      <w:bookmarkStart w:id="12" w:name="_mr86j59lxmuc" w:colFirst="0" w:colLast="0"/>
      <w:bookmarkEnd w:id="12"/>
      <w:r>
        <w:t>4. Reasons for Decline in Profitability</w:t>
      </w:r>
    </w:p>
    <w:p w14:paraId="7308FBF4" w14:textId="77777777" w:rsidR="00237457" w:rsidRDefault="00C97782">
      <w:r>
        <w:t>The poor performance of The City Hotel is clearly seen through the analysis of financial ratios such as the decline in the revenue and net profit margin in the year 2023. Therefore, it is necessary to review both internal and external factors that have led to this decline. In the next section, these factors are discussed in detail with respect to actual events, economic environment and possible managerial inefficiencies.</w:t>
      </w:r>
    </w:p>
    <w:p w14:paraId="3AB6AA6A" w14:textId="77777777" w:rsidR="00237457" w:rsidRDefault="00C97782">
      <w:pPr>
        <w:pStyle w:val="Heading2"/>
        <w:spacing w:after="40"/>
      </w:pPr>
      <w:bookmarkStart w:id="13" w:name="_fdmr1lnlklzj" w:colFirst="0" w:colLast="0"/>
      <w:bookmarkEnd w:id="13"/>
      <w:r>
        <w:t>1. Impact of the COVID-19 Pandemic</w:t>
      </w:r>
    </w:p>
    <w:p w14:paraId="0CB47835" w14:textId="77777777" w:rsidR="00237457" w:rsidRDefault="00C97782">
      <w:pPr>
        <w:spacing w:before="240" w:after="240"/>
      </w:pPr>
      <w:r>
        <w:t>Covid 19 pandemic greatly affected the hospitality industry and The City Hotel was not an exception as it was one of the most hit industries. The pandemic resulted in:</w:t>
      </w:r>
    </w:p>
    <w:p w14:paraId="0274389D" w14:textId="77777777" w:rsidR="00237457" w:rsidRDefault="00C97782">
      <w:pPr>
        <w:numPr>
          <w:ilvl w:val="0"/>
          <w:numId w:val="6"/>
        </w:numPr>
        <w:spacing w:before="240"/>
      </w:pPr>
      <w:r>
        <w:t>Decreased Occupancy Rates: Limitations on movement and shutdowns led to a significant decrease in the number of guests. Sales dropped down from $5.3 million in the year ending 2022 to ($2.3 million) in the year ending 2023 due to the decrease in traffic (Akbar, Lestari and Budiyanti, 2023).</w:t>
      </w:r>
    </w:p>
    <w:p w14:paraId="3FAC8AB8" w14:textId="77777777" w:rsidR="00237457" w:rsidRDefault="00C97782">
      <w:pPr>
        <w:numPr>
          <w:ilvl w:val="0"/>
          <w:numId w:val="6"/>
        </w:numPr>
      </w:pPr>
      <w:r>
        <w:t>Reduced Event Revenue: Due to the social distancing measures, the hotel’s event spaces including conference and banquet halls were almost idle. This limited a main source of income.</w:t>
      </w:r>
    </w:p>
    <w:p w14:paraId="59528AB6" w14:textId="77777777" w:rsidR="00237457" w:rsidRDefault="00C97782">
      <w:pPr>
        <w:numPr>
          <w:ilvl w:val="0"/>
          <w:numId w:val="6"/>
        </w:numPr>
        <w:spacing w:after="240"/>
      </w:pPr>
      <w:r>
        <w:t>Increased Health Compliance Costs: Pandemic circumstances caused extra expenses for health protection measures like sanitization and personal protective equipment, which led to the growth of the hotel’s external overheads while not increasing its income (Chen, 2023).</w:t>
      </w:r>
    </w:p>
    <w:p w14:paraId="4EA05F1A" w14:textId="77777777" w:rsidR="00237457" w:rsidRDefault="00C97782">
      <w:pPr>
        <w:pStyle w:val="Heading2"/>
        <w:spacing w:after="40"/>
      </w:pPr>
      <w:bookmarkStart w:id="14" w:name="_q509y6gfn3p" w:colFirst="0" w:colLast="0"/>
      <w:bookmarkEnd w:id="14"/>
      <w:r>
        <w:t>2. Shift in Consumer Preferences</w:t>
      </w:r>
    </w:p>
    <w:p w14:paraId="796D535D" w14:textId="77777777" w:rsidR="00237457" w:rsidRDefault="00C97782">
      <w:pPr>
        <w:spacing w:before="240" w:after="240"/>
      </w:pPr>
      <w:r>
        <w:t xml:space="preserve">The shift in customer preferences toward more personalised and unique hospitality experiences has negatively impacted </w:t>
      </w:r>
      <w:r>
        <w:rPr>
          <w:i/>
        </w:rPr>
        <w:t>The City Hotel</w:t>
      </w:r>
      <w:r>
        <w:t>:</w:t>
      </w:r>
    </w:p>
    <w:p w14:paraId="72241EB4" w14:textId="77777777" w:rsidR="00237457" w:rsidRDefault="00C97782">
      <w:pPr>
        <w:numPr>
          <w:ilvl w:val="0"/>
          <w:numId w:val="2"/>
        </w:numPr>
        <w:spacing w:before="240"/>
      </w:pPr>
      <w:r>
        <w:lastRenderedPageBreak/>
        <w:t>Lack of Digital Transformation: Customers buy more and more online and have high expectations when it comes to digital interactions. This is because the City Hotel may have had insufficient digital facilities such as online order and customer relations as the competitors who adopted technology had.</w:t>
      </w:r>
    </w:p>
    <w:p w14:paraId="6EBACC69" w14:textId="77777777" w:rsidR="00237457" w:rsidRDefault="00C97782">
      <w:pPr>
        <w:numPr>
          <w:ilvl w:val="0"/>
          <w:numId w:val="2"/>
        </w:numPr>
        <w:spacing w:after="240"/>
      </w:pPr>
      <w:r>
        <w:t>Preference for Boutique Hotels: Contemporary travellers are seeking special and unique services that are unique and native to the place. The hotel might have been unable to carve a niche for itself out of its operation in a more conventional format, which appears to have diminished its desirability.</w:t>
      </w:r>
    </w:p>
    <w:p w14:paraId="0F40BD14" w14:textId="77777777" w:rsidR="00237457" w:rsidRDefault="00C97782">
      <w:pPr>
        <w:pStyle w:val="Heading2"/>
        <w:spacing w:after="40"/>
      </w:pPr>
      <w:bookmarkStart w:id="15" w:name="_ltu6axkf2l6g" w:colFirst="0" w:colLast="0"/>
      <w:bookmarkEnd w:id="15"/>
      <w:r>
        <w:t>3. Intensified Competition</w:t>
      </w:r>
    </w:p>
    <w:p w14:paraId="41A24F27" w14:textId="77777777" w:rsidR="00237457" w:rsidRDefault="00C97782">
      <w:pPr>
        <w:numPr>
          <w:ilvl w:val="0"/>
          <w:numId w:val="4"/>
        </w:numPr>
      </w:pPr>
      <w:r>
        <w:t>Growth of Alternative Lodging (Airbnb): Lower priced and more flexible services like Airbnb and similar services pull the price-sensitive travellers away from the traditional hotels. The high rating of the City Hotel may indicate that when the customer was choosing a place to stay, they shifted a percentage of their business to these platforms.</w:t>
      </w:r>
    </w:p>
    <w:p w14:paraId="0AC36F6D" w14:textId="77777777" w:rsidR="00237457" w:rsidRDefault="00C97782">
      <w:pPr>
        <w:numPr>
          <w:ilvl w:val="0"/>
          <w:numId w:val="4"/>
        </w:numPr>
      </w:pPr>
      <w:r>
        <w:t>Aggressive Pricing from Competitors: The market in urban regions is already quite saturated and the pandemic measures likely led to the establishment having to lower their prices. This price competition pulled down the profitability as indicated by the ($1.13 million) net income that was recorded in 2023 (Chen, 2023).</w:t>
      </w:r>
    </w:p>
    <w:p w14:paraId="06965D6D" w14:textId="77777777" w:rsidR="00237457" w:rsidRDefault="00C97782">
      <w:pPr>
        <w:pStyle w:val="Heading2"/>
        <w:spacing w:after="40"/>
      </w:pPr>
      <w:bookmarkStart w:id="16" w:name="_9dx03r96plah" w:colFirst="0" w:colLast="0"/>
      <w:bookmarkEnd w:id="16"/>
      <w:r>
        <w:t>4. Rising Operational Costs</w:t>
      </w:r>
    </w:p>
    <w:p w14:paraId="518AD43F" w14:textId="77777777" w:rsidR="00237457" w:rsidRDefault="00C97782">
      <w:pPr>
        <w:numPr>
          <w:ilvl w:val="0"/>
          <w:numId w:val="7"/>
        </w:numPr>
      </w:pPr>
      <w:r>
        <w:t>High Employee Costs: Employee expenses have been relatively high, and the hotel has paid more than ($1.2 million) to its employees in wages in 2023 even with little revenue generation. This suggests that such organisations cannot easily downsize their employees’ cost in the same proportion to the reduced demand.</w:t>
      </w:r>
    </w:p>
    <w:p w14:paraId="55FD50D3" w14:textId="77777777" w:rsidR="00237457" w:rsidRDefault="00C97782">
      <w:pPr>
        <w:numPr>
          <w:ilvl w:val="0"/>
          <w:numId w:val="7"/>
        </w:numPr>
      </w:pPr>
      <w:r>
        <w:t>Persistent External Expenses: The external overhead in terms of utilities, maintenance and other third parties took time to come down. In 2023, external expenses were at ($1.07 million), which increased pressure on the profit line.</w:t>
      </w:r>
    </w:p>
    <w:p w14:paraId="7212839E" w14:textId="77777777" w:rsidR="00237457" w:rsidRDefault="00C97782">
      <w:pPr>
        <w:pStyle w:val="Heading2"/>
        <w:spacing w:after="40"/>
      </w:pPr>
      <w:bookmarkStart w:id="17" w:name="_wnf56t86o02h" w:colFirst="0" w:colLast="0"/>
      <w:bookmarkEnd w:id="17"/>
      <w:r>
        <w:t>5. High Financial Leverage</w:t>
      </w:r>
    </w:p>
    <w:p w14:paraId="4B5043DA" w14:textId="77777777" w:rsidR="00237457" w:rsidRDefault="00C97782">
      <w:pPr>
        <w:numPr>
          <w:ilvl w:val="0"/>
          <w:numId w:val="5"/>
        </w:numPr>
      </w:pPr>
      <w:r>
        <w:t>Increasing Debt Levels: The total debt and equities ratio has raised significantly from 4.74 in 2021 to (10.10) in 2023 showing an increasing Financial leverage. This high use of debt financing is a major weakness since it exposes the hotel to other high risks.</w:t>
      </w:r>
    </w:p>
    <w:p w14:paraId="6147DAFC" w14:textId="77777777" w:rsidR="00237457" w:rsidRDefault="00C97782">
      <w:pPr>
        <w:numPr>
          <w:ilvl w:val="0"/>
          <w:numId w:val="5"/>
        </w:numPr>
      </w:pPr>
      <w:r>
        <w:lastRenderedPageBreak/>
        <w:t>Strain on Interest Payments: As the revenue of the hotel declined, the company was not in a position to meet its interest expense. A negative operating income in 2023 implies that the actual hotel cash flow was inadequate to meet the interest on the debt, thereby deteriorating the financial position of the hotel (Susilowati and Purnama, 2022).</w:t>
      </w:r>
    </w:p>
    <w:p w14:paraId="1CA8D8C1" w14:textId="77777777" w:rsidR="00237457" w:rsidRDefault="00C97782">
      <w:pPr>
        <w:pStyle w:val="Heading1"/>
        <w:keepNext w:val="0"/>
        <w:keepLines w:val="0"/>
        <w:spacing w:after="80"/>
      </w:pPr>
      <w:bookmarkStart w:id="18" w:name="_68yie76i9gn4" w:colFirst="0" w:colLast="0"/>
      <w:bookmarkEnd w:id="18"/>
      <w:r>
        <w:t>4. Turnaround Strategy</w:t>
      </w:r>
    </w:p>
    <w:p w14:paraId="14902A79" w14:textId="77777777" w:rsidR="00237457" w:rsidRDefault="00C97782">
      <w:pPr>
        <w:spacing w:before="240" w:after="240"/>
      </w:pPr>
      <w:r>
        <w:t>In order to rectify the situation and bring back the financial stability and image of The City Hotel, it is crucial to implement a strategic turnaround plan. The primary focus must be on internal organisational issues as well as external market factors.</w:t>
      </w:r>
    </w:p>
    <w:p w14:paraId="79BA2CEF" w14:textId="77777777" w:rsidR="00237457" w:rsidRDefault="00C97782">
      <w:pPr>
        <w:pStyle w:val="Heading2"/>
        <w:keepNext w:val="0"/>
        <w:keepLines w:val="0"/>
        <w:spacing w:after="40"/>
      </w:pPr>
      <w:bookmarkStart w:id="19" w:name="_nefjhf4zli6e" w:colFirst="0" w:colLast="0"/>
      <w:bookmarkEnd w:id="19"/>
      <w:r>
        <w:t>1. Cost Management and Operational Efficiency</w:t>
      </w:r>
    </w:p>
    <w:p w14:paraId="765AC9E0" w14:textId="77777777" w:rsidR="00237457" w:rsidRDefault="00C97782">
      <w:pPr>
        <w:numPr>
          <w:ilvl w:val="0"/>
          <w:numId w:val="9"/>
        </w:numPr>
      </w:pPr>
      <w:r>
        <w:t>Workforce Restructuring: Due to high fixed costs of employees in relation to revenues (over 1,200,000 USD in 2023), it is critical to optimise staff numbers. Temporary staffing solutions are required for the hotel, as occupancy levels have been impacted by the pandemic and are considerably lower than before; this means that the hotel should now limit the number of permanent employees and hire more part-time or seasonal workers to minimise fixed costs (Susilowati and Purnama, 2022).</w:t>
      </w:r>
    </w:p>
    <w:p w14:paraId="13FF9CB9" w14:textId="77777777" w:rsidR="00237457" w:rsidRDefault="00C97782">
      <w:pPr>
        <w:numPr>
          <w:ilvl w:val="0"/>
          <w:numId w:val="9"/>
        </w:numPr>
      </w:pPr>
      <w:r>
        <w:t>Expense Optimization: Outsourced costs stayed elevated at ($1.07 million) in 2023 even though occupancy was comparatively lower. Examining the contracts for the utilities and services, rebidding the suppliers, and dealing with the measures such as energy efficiency will also help minimise the wastage of the unnecessary, thus benefiting the hotel (Clark, Mauck and Pruitt, 2021).</w:t>
      </w:r>
    </w:p>
    <w:p w14:paraId="502C32E8" w14:textId="77777777" w:rsidR="00237457" w:rsidRDefault="00C97782">
      <w:pPr>
        <w:pStyle w:val="Heading2"/>
        <w:keepNext w:val="0"/>
        <w:keepLines w:val="0"/>
        <w:spacing w:after="40"/>
      </w:pPr>
      <w:bookmarkStart w:id="20" w:name="_i17n2whhfvfy" w:colFirst="0" w:colLast="0"/>
      <w:bookmarkEnd w:id="20"/>
      <w:r>
        <w:t>2. Revenue Enhancement</w:t>
      </w:r>
    </w:p>
    <w:p w14:paraId="4AA9D5FB" w14:textId="77777777" w:rsidR="00237457" w:rsidRDefault="00C97782">
      <w:pPr>
        <w:numPr>
          <w:ilvl w:val="0"/>
          <w:numId w:val="3"/>
        </w:numPr>
      </w:pPr>
      <w:r>
        <w:t xml:space="preserve">Revitalise Marketing Strategy: The hotel has experienced a significant reduction in its revenues, which has reduced from 5.3million in 2022 to 2.3 million in 2023. Conversely, The City Hotel needs to aim at experience seeking clients through advertising and concentrate on improving the online reservation process. Marketing the culture or other activities such as local food and wine, tours, or spa treatments will set the hotel apart from other similar </w:t>
      </w:r>
      <w:r>
        <w:lastRenderedPageBreak/>
        <w:t>establishments, and not just competitors but other accommodation services like Airbnb (Mukti and Fitriana, 2022).</w:t>
      </w:r>
    </w:p>
    <w:p w14:paraId="7082E701" w14:textId="77777777" w:rsidR="00237457" w:rsidRDefault="00C97782">
      <w:pPr>
        <w:numPr>
          <w:ilvl w:val="0"/>
          <w:numId w:val="3"/>
        </w:numPr>
      </w:pPr>
      <w:r>
        <w:t>Event Space Repositioning: The reduction of income from events can be mitigated by rebranding the hotel’s event areas to accommodate hybrid events. This has created the need to find new uses for underutilised space such as flexible meeting areas and remote working space (Clark, Mauck and Pruitt, 2021).</w:t>
      </w:r>
    </w:p>
    <w:p w14:paraId="68E515FC" w14:textId="77777777" w:rsidR="00237457" w:rsidRDefault="00C97782">
      <w:pPr>
        <w:pStyle w:val="Heading2"/>
        <w:keepNext w:val="0"/>
        <w:keepLines w:val="0"/>
        <w:spacing w:after="40"/>
      </w:pPr>
      <w:bookmarkStart w:id="21" w:name="_vh6kbc5i7vf7" w:colFirst="0" w:colLast="0"/>
      <w:bookmarkEnd w:id="21"/>
      <w:r>
        <w:t>3. Debt Restructuring</w:t>
      </w:r>
    </w:p>
    <w:p w14:paraId="378951DE" w14:textId="77777777" w:rsidR="00237457" w:rsidRDefault="00C97782">
      <w:pPr>
        <w:numPr>
          <w:ilvl w:val="0"/>
          <w:numId w:val="8"/>
        </w:numPr>
      </w:pPr>
      <w:r>
        <w:t>Renegotiate Debt Terms: The City Hotel has increased its debt pressure and has a debt-to-equity ratio of 10.10 in the year 2023. Refinancing a loan, deferring or restructuring the loan payment period or requesting for temporary relief on interest charges will come in handy in reducing pressures and providing room to recover (</w:t>
      </w:r>
      <w:proofErr w:type="spellStart"/>
      <w:r>
        <w:t>Ichsani</w:t>
      </w:r>
      <w:proofErr w:type="spellEnd"/>
      <w:r>
        <w:t xml:space="preserve">, Wijaya and </w:t>
      </w:r>
      <w:proofErr w:type="spellStart"/>
      <w:r>
        <w:t>Hendiarto</w:t>
      </w:r>
      <w:proofErr w:type="spellEnd"/>
      <w:r>
        <w:t>, 2022).</w:t>
      </w:r>
    </w:p>
    <w:p w14:paraId="2A168C03" w14:textId="77777777" w:rsidR="00237457" w:rsidRDefault="00C97782">
      <w:pPr>
        <w:pStyle w:val="Heading1"/>
        <w:keepNext w:val="0"/>
        <w:keepLines w:val="0"/>
        <w:spacing w:after="80"/>
      </w:pPr>
      <w:bookmarkStart w:id="22" w:name="_yvlvqyqhuw91" w:colFirst="0" w:colLast="0"/>
      <w:bookmarkEnd w:id="22"/>
      <w:r>
        <w:t>6. Conclusion</w:t>
      </w:r>
    </w:p>
    <w:p w14:paraId="3E062B2D" w14:textId="77777777" w:rsidR="00237457" w:rsidRDefault="00C97782">
      <w:pPr>
        <w:spacing w:before="240" w:after="240"/>
      </w:pPr>
      <w:r>
        <w:t>The City Hotel has severe problems in the financial aspect because of the COVID-19 influence, changes in the customers’ choice, increased cost of production, and a high level of debts. However, with a set of turnaround strategies such as cost containment, increased revenues and better management of debts, the hotel can be made to return to its profitability and competitiveness in the market. It means that The City Hotel can cope with these threats and make necessary improvements in order to achieve sustainable and profitable development by optimising the processes, implementing digital marketing strategies, rebranding the event spaces, and improving the terms of debts. Quick intervention is critical to reviving the hotel business.</w:t>
      </w:r>
    </w:p>
    <w:p w14:paraId="0DB34042" w14:textId="77777777" w:rsidR="00237457" w:rsidRDefault="00C97782">
      <w:pPr>
        <w:pStyle w:val="Heading1"/>
        <w:spacing w:before="240" w:after="240"/>
      </w:pPr>
      <w:bookmarkStart w:id="23" w:name="_nqfz43xdjrs4" w:colFirst="0" w:colLast="0"/>
      <w:bookmarkEnd w:id="23"/>
      <w:r>
        <w:br w:type="page"/>
      </w:r>
    </w:p>
    <w:p w14:paraId="30B4CE76" w14:textId="77777777" w:rsidR="00237457" w:rsidRDefault="00C97782">
      <w:pPr>
        <w:pStyle w:val="Heading1"/>
        <w:spacing w:before="240" w:after="240"/>
      </w:pPr>
      <w:bookmarkStart w:id="24" w:name="_6tgyizi1css7" w:colFirst="0" w:colLast="0"/>
      <w:bookmarkEnd w:id="24"/>
      <w:r>
        <w:lastRenderedPageBreak/>
        <w:t>7. References</w:t>
      </w:r>
    </w:p>
    <w:p w14:paraId="23615E55" w14:textId="77777777" w:rsidR="00237457" w:rsidRDefault="00C97782">
      <w:r>
        <w:t xml:space="preserve">Akbar, N.A.F., Lestari, E. and Budiyanti, H., 2023. Analysis Of </w:t>
      </w:r>
      <w:proofErr w:type="gramStart"/>
      <w:r>
        <w:t>The</w:t>
      </w:r>
      <w:proofErr w:type="gramEnd"/>
      <w:r>
        <w:t xml:space="preserve"> Impact Of The Covid-19 Pandemic On Financial Performance And Survival Of Companies In The Food Beverage Industrial Sector And Restaurant Services From Potential Bankruptcy Using Financial Ratio And Taffler Analysis Models. </w:t>
      </w:r>
      <w:proofErr w:type="spellStart"/>
      <w:r>
        <w:rPr>
          <w:i/>
        </w:rPr>
        <w:t>Jurnal</w:t>
      </w:r>
      <w:proofErr w:type="spellEnd"/>
      <w:r>
        <w:rPr>
          <w:i/>
        </w:rPr>
        <w:t xml:space="preserve"> Pajak dan </w:t>
      </w:r>
      <w:proofErr w:type="spellStart"/>
      <w:r>
        <w:rPr>
          <w:i/>
        </w:rPr>
        <w:t>Keuangan</w:t>
      </w:r>
      <w:proofErr w:type="spellEnd"/>
      <w:r>
        <w:rPr>
          <w:i/>
        </w:rPr>
        <w:t xml:space="preserve"> Negara (PKN)</w:t>
      </w:r>
      <w:r>
        <w:t>. Available at: https://doi.org/10.31092/jpkn.v4i2.2024.</w:t>
      </w:r>
    </w:p>
    <w:p w14:paraId="696CB812" w14:textId="77777777" w:rsidR="00237457" w:rsidRDefault="00C97782">
      <w:r>
        <w:t xml:space="preserve">Ali, A., 2022. Pre and Post COVID-19 Disparity of Financial Performance of Oil and Gas Firms: An Absolute and Relational Study. </w:t>
      </w:r>
      <w:r>
        <w:rPr>
          <w:i/>
        </w:rPr>
        <w:t>International Journal of Energy Economics and Policy</w:t>
      </w:r>
      <w:r>
        <w:t>. Available at: https://doi.org/10.32479/ijeep.13716.</w:t>
      </w:r>
    </w:p>
    <w:p w14:paraId="0ADE788A" w14:textId="77777777" w:rsidR="00237457" w:rsidRDefault="00C97782">
      <w:proofErr w:type="spellStart"/>
      <w:r>
        <w:t>Bacharudin</w:t>
      </w:r>
      <w:proofErr w:type="spellEnd"/>
      <w:r>
        <w:t xml:space="preserve">, A., Massie, J. and Arie, F.V., 2023. FINANCIAL PERFORMANCE ANALYSIS OF PT. PEGADAIAN CABANG BISNIS MIKRO MANADO SELATAN BEFORE AND DURING FINANCIAL RESTRUCTURING. </w:t>
      </w:r>
      <w:proofErr w:type="spellStart"/>
      <w:r>
        <w:rPr>
          <w:i/>
        </w:rPr>
        <w:t>Jurnal</w:t>
      </w:r>
      <w:proofErr w:type="spellEnd"/>
      <w:r>
        <w:rPr>
          <w:i/>
        </w:rPr>
        <w:t xml:space="preserve"> EMBA: </w:t>
      </w:r>
      <w:proofErr w:type="spellStart"/>
      <w:r>
        <w:rPr>
          <w:i/>
        </w:rPr>
        <w:t>Jurnal</w:t>
      </w:r>
      <w:proofErr w:type="spellEnd"/>
      <w:r>
        <w:rPr>
          <w:i/>
        </w:rPr>
        <w:t xml:space="preserve"> Riset Ekonomi, </w:t>
      </w:r>
      <w:proofErr w:type="spellStart"/>
      <w:r>
        <w:rPr>
          <w:i/>
        </w:rPr>
        <w:t>Manajemen</w:t>
      </w:r>
      <w:proofErr w:type="spellEnd"/>
      <w:r>
        <w:rPr>
          <w:i/>
        </w:rPr>
        <w:t xml:space="preserve">, </w:t>
      </w:r>
      <w:proofErr w:type="spellStart"/>
      <w:r>
        <w:rPr>
          <w:i/>
        </w:rPr>
        <w:t>Bisnis</w:t>
      </w:r>
      <w:proofErr w:type="spellEnd"/>
      <w:r>
        <w:rPr>
          <w:i/>
        </w:rPr>
        <w:t xml:space="preserve"> dan </w:t>
      </w:r>
      <w:proofErr w:type="spellStart"/>
      <w:r>
        <w:rPr>
          <w:i/>
        </w:rPr>
        <w:t>Akuntansi</w:t>
      </w:r>
      <w:proofErr w:type="spellEnd"/>
      <w:r>
        <w:t>. Available at: https://doi.org/10.35794/emba.v11i1.45657.</w:t>
      </w:r>
    </w:p>
    <w:p w14:paraId="13C2EC20" w14:textId="77777777" w:rsidR="00237457" w:rsidRDefault="00C97782">
      <w:r>
        <w:t xml:space="preserve">Chen, Y.C., 2023. The Impact of COVID-19 on the Medical Industry Based on Ratio Analysis. </w:t>
      </w:r>
      <w:r>
        <w:rPr>
          <w:i/>
        </w:rPr>
        <w:t>BCP Business &amp; Management</w:t>
      </w:r>
      <w:r>
        <w:t>. Available at: https://doi.org/10.54691/bcpbm.v38i.3729.</w:t>
      </w:r>
    </w:p>
    <w:p w14:paraId="37E93EA0" w14:textId="77777777" w:rsidR="00237457" w:rsidRDefault="00C97782">
      <w:r>
        <w:t xml:space="preserve">Clark, J.M., Mauck, N. and Pruitt, S.W., 2021. The financial impact of COVID-19: Evidence from an event study of global hospitality firms. </w:t>
      </w:r>
      <w:r>
        <w:rPr>
          <w:i/>
        </w:rPr>
        <w:t>Research in International Business and Finance</w:t>
      </w:r>
      <w:r>
        <w:t>, 58, p.101452. Available at: https://doi.org/10.1016/j.ribaf.2021.101452.</w:t>
      </w:r>
    </w:p>
    <w:p w14:paraId="0A14400B" w14:textId="77777777" w:rsidR="00237457" w:rsidRDefault="00C97782">
      <w:proofErr w:type="spellStart"/>
      <w:r>
        <w:t>Fajriyanti</w:t>
      </w:r>
      <w:proofErr w:type="spellEnd"/>
      <w:r>
        <w:t xml:space="preserve">, A.W. and </w:t>
      </w:r>
      <w:proofErr w:type="spellStart"/>
      <w:r>
        <w:t>Wiyarni</w:t>
      </w:r>
      <w:proofErr w:type="spellEnd"/>
      <w:r>
        <w:t xml:space="preserve">, W., 2022. Corporate Financial Performance in the COVID-19 Pandemic. </w:t>
      </w:r>
      <w:r>
        <w:rPr>
          <w:i/>
        </w:rPr>
        <w:t>American Journal of Industrial and Business Management</w:t>
      </w:r>
      <w:r>
        <w:t>. Available at: https://doi.org/10.4236/ajibm.2022.121004.</w:t>
      </w:r>
    </w:p>
    <w:p w14:paraId="45E99726" w14:textId="77777777" w:rsidR="00237457" w:rsidRDefault="00C97782">
      <w:proofErr w:type="spellStart"/>
      <w:r>
        <w:t>Ichsani</w:t>
      </w:r>
      <w:proofErr w:type="spellEnd"/>
      <w:r>
        <w:t xml:space="preserve">, S., Wijaya, J. and </w:t>
      </w:r>
      <w:proofErr w:type="spellStart"/>
      <w:r>
        <w:t>Hendiarto</w:t>
      </w:r>
      <w:proofErr w:type="spellEnd"/>
      <w:r>
        <w:t xml:space="preserve">, S., 2022. Comparative Study of the Financial Performance on Pharmaceutical and Healthcare Companies Before and During the Covid-19 Pandemic. </w:t>
      </w:r>
      <w:proofErr w:type="spellStart"/>
      <w:r>
        <w:rPr>
          <w:i/>
        </w:rPr>
        <w:t>Jurnal</w:t>
      </w:r>
      <w:proofErr w:type="spellEnd"/>
      <w:r>
        <w:rPr>
          <w:i/>
        </w:rPr>
        <w:t xml:space="preserve"> </w:t>
      </w:r>
      <w:proofErr w:type="spellStart"/>
      <w:r>
        <w:rPr>
          <w:i/>
        </w:rPr>
        <w:t>Ad'ministrare</w:t>
      </w:r>
      <w:proofErr w:type="spellEnd"/>
      <w:r>
        <w:t>. Available at: https://doi.org/10.26858/ja.v9i1.36524.</w:t>
      </w:r>
    </w:p>
    <w:p w14:paraId="2D586CA4" w14:textId="77777777" w:rsidR="00237457" w:rsidRDefault="00C97782">
      <w:r>
        <w:t xml:space="preserve">Mukti, A.H. and Fitriana, F., 2022. Implementation of Credit Restructuring During the COVID-19 Pandemic Period (Case study on Rural Banks). </w:t>
      </w:r>
      <w:r>
        <w:rPr>
          <w:i/>
        </w:rPr>
        <w:t>International Journal of Engineering Technologies and Management Research</w:t>
      </w:r>
      <w:r>
        <w:t>. Available at: https://doi.org/10.29121/ijetmr.v9.i2.2022.1105.</w:t>
      </w:r>
    </w:p>
    <w:p w14:paraId="344C8F45" w14:textId="77777777" w:rsidR="00237457" w:rsidRDefault="00C97782">
      <w:proofErr w:type="spellStart"/>
      <w:r>
        <w:lastRenderedPageBreak/>
        <w:t>Rachmatullah</w:t>
      </w:r>
      <w:proofErr w:type="spellEnd"/>
      <w:r>
        <w:t xml:space="preserve">, M., </w:t>
      </w:r>
      <w:proofErr w:type="spellStart"/>
      <w:r>
        <w:t>Haliah</w:t>
      </w:r>
      <w:proofErr w:type="spellEnd"/>
      <w:r>
        <w:t xml:space="preserve">, H. and </w:t>
      </w:r>
      <w:proofErr w:type="spellStart"/>
      <w:r>
        <w:t>Kusumawati</w:t>
      </w:r>
      <w:proofErr w:type="spellEnd"/>
      <w:r>
        <w:t xml:space="preserve">, K., 2023. Analysis of Financial Performance Before and After the Pandemic Covid-19. </w:t>
      </w:r>
      <w:r>
        <w:rPr>
          <w:i/>
        </w:rPr>
        <w:t>International Journal of Progressive Sciences and Technologies</w:t>
      </w:r>
      <w:r>
        <w:t>. Available at: https://doi.org/10.52155/ijpsat.v38.1.5213.</w:t>
      </w:r>
    </w:p>
    <w:p w14:paraId="78210CAD" w14:textId="77777777" w:rsidR="00237457" w:rsidRDefault="00C97782">
      <w:r>
        <w:t xml:space="preserve">Safira, A.A., </w:t>
      </w:r>
      <w:proofErr w:type="spellStart"/>
      <w:r>
        <w:t>Sopanah</w:t>
      </w:r>
      <w:proofErr w:type="spellEnd"/>
      <w:r>
        <w:t xml:space="preserve">, A. and </w:t>
      </w:r>
      <w:proofErr w:type="spellStart"/>
      <w:r>
        <w:t>Anggarani</w:t>
      </w:r>
      <w:proofErr w:type="spellEnd"/>
      <w:r>
        <w:t xml:space="preserve">, D., 2023. Financial Ratio Analysis to Measure </w:t>
      </w:r>
      <w:proofErr w:type="gramStart"/>
      <w:r>
        <w:t>The</w:t>
      </w:r>
      <w:proofErr w:type="gramEnd"/>
      <w:r>
        <w:t xml:space="preserve"> Company's Financial Performance Before And During The Covid-19 Pandemic. </w:t>
      </w:r>
      <w:r>
        <w:rPr>
          <w:i/>
        </w:rPr>
        <w:t>Conference on Economic and Business Innovation (CEBI)</w:t>
      </w:r>
      <w:r>
        <w:t>. Available at: https://doi.org/10.31328/cebi.v3i1.299.</w:t>
      </w:r>
    </w:p>
    <w:p w14:paraId="26F0350C" w14:textId="77777777" w:rsidR="00237457" w:rsidRDefault="00C97782">
      <w:r>
        <w:t xml:space="preserve">Susilowati, F. and Purnama, H., 2022. Bank Performance Based on Core Capital Amid the COVID-19 Pandemic in Indonesia. </w:t>
      </w:r>
      <w:r>
        <w:rPr>
          <w:i/>
        </w:rPr>
        <w:t>KnE Social Sciences</w:t>
      </w:r>
      <w:r>
        <w:t>. Available at: https://doi.org/10.18502/kss.v7i14.12031.</w:t>
      </w:r>
    </w:p>
    <w:p w14:paraId="682FCBEC" w14:textId="77777777" w:rsidR="00237457" w:rsidRDefault="00C97782">
      <w:proofErr w:type="spellStart"/>
      <w:r>
        <w:t>Yuniastuti</w:t>
      </w:r>
      <w:proofErr w:type="spellEnd"/>
      <w:r>
        <w:t xml:space="preserve">, R. and </w:t>
      </w:r>
      <w:proofErr w:type="spellStart"/>
      <w:r>
        <w:t>Nasyaroeka</w:t>
      </w:r>
      <w:proofErr w:type="spellEnd"/>
      <w:r>
        <w:t xml:space="preserve">, J., 2012. Analysis of the Company's Financial Performance at the Beginning of the Covid-19 Pandemic in View of Financial Ratios: Case Study on PT </w:t>
      </w:r>
      <w:proofErr w:type="spellStart"/>
      <w:r>
        <w:t>Indosat.Tbk</w:t>
      </w:r>
      <w:proofErr w:type="spellEnd"/>
      <w:r>
        <w:t xml:space="preserve">. </w:t>
      </w:r>
      <w:r>
        <w:rPr>
          <w:i/>
        </w:rPr>
        <w:t xml:space="preserve">GEMA: </w:t>
      </w:r>
      <w:proofErr w:type="spellStart"/>
      <w:r>
        <w:rPr>
          <w:i/>
        </w:rPr>
        <w:t>Jurnal</w:t>
      </w:r>
      <w:proofErr w:type="spellEnd"/>
      <w:r>
        <w:rPr>
          <w:i/>
        </w:rPr>
        <w:t xml:space="preserve"> </w:t>
      </w:r>
      <w:proofErr w:type="spellStart"/>
      <w:r>
        <w:rPr>
          <w:i/>
        </w:rPr>
        <w:t>Gentiaras</w:t>
      </w:r>
      <w:proofErr w:type="spellEnd"/>
      <w:r>
        <w:rPr>
          <w:i/>
        </w:rPr>
        <w:t xml:space="preserve"> </w:t>
      </w:r>
      <w:proofErr w:type="spellStart"/>
      <w:r>
        <w:rPr>
          <w:i/>
        </w:rPr>
        <w:t>Manajemen</w:t>
      </w:r>
      <w:proofErr w:type="spellEnd"/>
      <w:r>
        <w:rPr>
          <w:i/>
        </w:rPr>
        <w:t xml:space="preserve"> dan </w:t>
      </w:r>
      <w:proofErr w:type="spellStart"/>
      <w:r>
        <w:rPr>
          <w:i/>
        </w:rPr>
        <w:t>Akuntansi</w:t>
      </w:r>
      <w:proofErr w:type="spellEnd"/>
      <w:r>
        <w:t>. Available at: https://doi.org/10.47768/gema.v14.n1.202204.</w:t>
      </w:r>
    </w:p>
    <w:p w14:paraId="0CAF1047" w14:textId="77777777" w:rsidR="00237457" w:rsidRDefault="00237457"/>
    <w:p w14:paraId="33102AB7" w14:textId="77777777" w:rsidR="00237457" w:rsidRDefault="00237457"/>
    <w:p w14:paraId="0E438DCB" w14:textId="77777777" w:rsidR="00237457" w:rsidRDefault="00237457"/>
    <w:p w14:paraId="50A35A05" w14:textId="77777777" w:rsidR="00237457" w:rsidRDefault="00237457"/>
    <w:p w14:paraId="25C15147" w14:textId="77777777" w:rsidR="00237457" w:rsidRDefault="00237457"/>
    <w:p w14:paraId="0457D402" w14:textId="77777777" w:rsidR="00237457" w:rsidRDefault="00237457"/>
    <w:p w14:paraId="386D0195" w14:textId="77777777" w:rsidR="00237457" w:rsidRDefault="00237457"/>
    <w:sectPr w:rsidR="0023745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9DAB86" w14:textId="77777777" w:rsidR="00CE7F74" w:rsidRDefault="00CE7F74" w:rsidP="00D64458">
      <w:pPr>
        <w:spacing w:line="240" w:lineRule="auto"/>
      </w:pPr>
      <w:r>
        <w:separator/>
      </w:r>
    </w:p>
  </w:endnote>
  <w:endnote w:type="continuationSeparator" w:id="0">
    <w:p w14:paraId="7F8DA885" w14:textId="77777777" w:rsidR="00CE7F74" w:rsidRDefault="00CE7F74" w:rsidP="00D644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95D04B" w14:textId="77777777" w:rsidR="00D64458" w:rsidRDefault="00D64458">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sidR="00AD066A">
      <w:rPr>
        <w:caps/>
        <w:noProof/>
        <w:color w:val="4F81BD" w:themeColor="accent1"/>
      </w:rPr>
      <w:t>2</w:t>
    </w:r>
    <w:r>
      <w:rPr>
        <w:caps/>
        <w:noProof/>
        <w:color w:val="4F81BD" w:themeColor="accent1"/>
      </w:rPr>
      <w:fldChar w:fldCharType="end"/>
    </w:r>
  </w:p>
  <w:p w14:paraId="1564AB6F" w14:textId="77777777" w:rsidR="00D64458" w:rsidRDefault="00D64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1A9D50" w14:textId="77777777" w:rsidR="00CE7F74" w:rsidRDefault="00CE7F74" w:rsidP="00D64458">
      <w:pPr>
        <w:spacing w:line="240" w:lineRule="auto"/>
      </w:pPr>
      <w:r>
        <w:separator/>
      </w:r>
    </w:p>
  </w:footnote>
  <w:footnote w:type="continuationSeparator" w:id="0">
    <w:p w14:paraId="77206311" w14:textId="77777777" w:rsidR="00CE7F74" w:rsidRDefault="00CE7F74" w:rsidP="00D644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A41B2E"/>
    <w:multiLevelType w:val="multilevel"/>
    <w:tmpl w:val="AF2A77F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0EEE6F94"/>
    <w:multiLevelType w:val="multilevel"/>
    <w:tmpl w:val="A8FA280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10500DEA"/>
    <w:multiLevelType w:val="multilevel"/>
    <w:tmpl w:val="F140CF6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1F7915D9"/>
    <w:multiLevelType w:val="multilevel"/>
    <w:tmpl w:val="DAA4746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3E987B1D"/>
    <w:multiLevelType w:val="multilevel"/>
    <w:tmpl w:val="B980138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412C69A4"/>
    <w:multiLevelType w:val="multilevel"/>
    <w:tmpl w:val="10840EE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477C1F4E"/>
    <w:multiLevelType w:val="multilevel"/>
    <w:tmpl w:val="3DA07F7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5B6B5AE2"/>
    <w:multiLevelType w:val="multilevel"/>
    <w:tmpl w:val="A508BC9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8" w15:restartNumberingAfterBreak="0">
    <w:nsid w:val="737940CA"/>
    <w:multiLevelType w:val="multilevel"/>
    <w:tmpl w:val="9DEE1C0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1391997677">
    <w:abstractNumId w:val="4"/>
  </w:num>
  <w:num w:numId="2" w16cid:durableId="315426380">
    <w:abstractNumId w:val="5"/>
  </w:num>
  <w:num w:numId="3" w16cid:durableId="528449406">
    <w:abstractNumId w:val="3"/>
  </w:num>
  <w:num w:numId="4" w16cid:durableId="1006246329">
    <w:abstractNumId w:val="1"/>
  </w:num>
  <w:num w:numId="5" w16cid:durableId="1796560029">
    <w:abstractNumId w:val="2"/>
  </w:num>
  <w:num w:numId="6" w16cid:durableId="1743603021">
    <w:abstractNumId w:val="0"/>
  </w:num>
  <w:num w:numId="7" w16cid:durableId="2083793352">
    <w:abstractNumId w:val="8"/>
  </w:num>
  <w:num w:numId="8" w16cid:durableId="1065103701">
    <w:abstractNumId w:val="6"/>
  </w:num>
  <w:num w:numId="9" w16cid:durableId="17589410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457"/>
    <w:rsid w:val="00237457"/>
    <w:rsid w:val="006D5D8D"/>
    <w:rsid w:val="008B5CE8"/>
    <w:rsid w:val="00AD066A"/>
    <w:rsid w:val="00C97782"/>
    <w:rsid w:val="00CE7F74"/>
    <w:rsid w:val="00D64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B5D10"/>
  <w15:docId w15:val="{ACD13786-E2DB-46FA-AC1C-AE865C4F7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color w:val="0000FF"/>
      <w:sz w:val="32"/>
      <w:szCs w:val="32"/>
    </w:rPr>
  </w:style>
  <w:style w:type="paragraph" w:styleId="Heading2">
    <w:name w:val="heading 2"/>
    <w:basedOn w:val="Normal"/>
    <w:next w:val="Normal"/>
    <w:pPr>
      <w:keepNext/>
      <w:keepLines/>
      <w:spacing w:before="240" w:after="240"/>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64458"/>
    <w:pPr>
      <w:tabs>
        <w:tab w:val="center" w:pos="4513"/>
        <w:tab w:val="right" w:pos="9026"/>
      </w:tabs>
      <w:spacing w:line="240" w:lineRule="auto"/>
    </w:pPr>
  </w:style>
  <w:style w:type="character" w:customStyle="1" w:styleId="HeaderChar">
    <w:name w:val="Header Char"/>
    <w:basedOn w:val="DefaultParagraphFont"/>
    <w:link w:val="Header"/>
    <w:uiPriority w:val="99"/>
    <w:rsid w:val="00D64458"/>
  </w:style>
  <w:style w:type="paragraph" w:styleId="Footer">
    <w:name w:val="footer"/>
    <w:basedOn w:val="Normal"/>
    <w:link w:val="FooterChar"/>
    <w:uiPriority w:val="99"/>
    <w:unhideWhenUsed/>
    <w:rsid w:val="00D64458"/>
    <w:pPr>
      <w:tabs>
        <w:tab w:val="center" w:pos="4513"/>
        <w:tab w:val="right" w:pos="9026"/>
      </w:tabs>
      <w:spacing w:line="240" w:lineRule="auto"/>
    </w:pPr>
  </w:style>
  <w:style w:type="character" w:customStyle="1" w:styleId="FooterChar">
    <w:name w:val="Footer Char"/>
    <w:basedOn w:val="DefaultParagraphFont"/>
    <w:link w:val="Footer"/>
    <w:uiPriority w:val="99"/>
    <w:rsid w:val="00D644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3068</Words>
  <Characters>17492</Characters>
  <Application>Microsoft Office Word</Application>
  <DocSecurity>0</DocSecurity>
  <Lines>145</Lines>
  <Paragraphs>41</Paragraphs>
  <ScaleCrop>false</ScaleCrop>
  <Company/>
  <LinksUpToDate>false</LinksUpToDate>
  <CharactersWithSpaces>20519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badrul jamal</cp:lastModifiedBy>
  <cp:revision>2</cp:revision>
  <dcterms:created xsi:type="dcterms:W3CDTF">2024-11-14T21:24:00Z</dcterms:created>
  <dcterms:modified xsi:type="dcterms:W3CDTF">2024-11-14T21:24:00Z</dcterms:modified>
</cp:coreProperties>
</file>