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2369B" w14:textId="79841230" w:rsidR="00B4456A" w:rsidRDefault="00BE4925">
      <w:r>
        <w:rPr>
          <w:noProof/>
        </w:rPr>
        <w:drawing>
          <wp:inline distT="0" distB="0" distL="0" distR="0" wp14:anchorId="5ABAA709" wp14:editId="45A6D7D1">
            <wp:extent cx="3237865" cy="1495425"/>
            <wp:effectExtent l="0" t="0" r="635" b="9525"/>
            <wp:docPr id="323" name="Picture 1" descr="Image result for university of wales trinity saint david"/>
            <wp:cNvGraphicFramePr/>
            <a:graphic xmlns:a="http://schemas.openxmlformats.org/drawingml/2006/main">
              <a:graphicData uri="http://schemas.openxmlformats.org/drawingml/2006/picture">
                <pic:pic xmlns:pic="http://schemas.openxmlformats.org/drawingml/2006/picture">
                  <pic:nvPicPr>
                    <pic:cNvPr id="323" name="Picture 323" descr="Image result for university of wales trinity saint david"/>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7865" cy="1495425"/>
                    </a:xfrm>
                    <a:prstGeom prst="rect">
                      <a:avLst/>
                    </a:prstGeom>
                    <a:noFill/>
                    <a:ln>
                      <a:noFill/>
                    </a:ln>
                  </pic:spPr>
                </pic:pic>
              </a:graphicData>
            </a:graphic>
          </wp:inline>
        </w:drawing>
      </w:r>
    </w:p>
    <w:p w14:paraId="4B9CDE0B" w14:textId="77777777" w:rsidR="00BE4925" w:rsidRDefault="00BE4925"/>
    <w:p w14:paraId="65A63C8F" w14:textId="77777777" w:rsidR="00BE4925" w:rsidRDefault="00BE4925" w:rsidP="009418E7">
      <w:pPr>
        <w:jc w:val="center"/>
      </w:pPr>
    </w:p>
    <w:p w14:paraId="5F526C01" w14:textId="6E14AF49" w:rsidR="00BE4925" w:rsidRDefault="00B1123D" w:rsidP="009418E7">
      <w:pPr>
        <w:jc w:val="center"/>
        <w:rPr>
          <w:rFonts w:ascii="docs-Roboto" w:hAnsi="docs-Roboto"/>
          <w:color w:val="202124"/>
          <w:sz w:val="48"/>
          <w:szCs w:val="48"/>
          <w:shd w:val="clear" w:color="auto" w:fill="FFFFFF"/>
        </w:rPr>
      </w:pPr>
      <w:r>
        <w:rPr>
          <w:rFonts w:ascii="docs-Roboto" w:hAnsi="docs-Roboto"/>
          <w:color w:val="202124"/>
          <w:sz w:val="48"/>
          <w:szCs w:val="48"/>
          <w:shd w:val="clear" w:color="auto" w:fill="FFFFFF"/>
        </w:rPr>
        <w:t>Leadership and Innovation in Primary Education in South Wales: A Comprehensive Study on Shaping the Future of Learning</w:t>
      </w:r>
    </w:p>
    <w:p w14:paraId="7107892B" w14:textId="77777777" w:rsidR="0094144B" w:rsidRDefault="0094144B" w:rsidP="009418E7">
      <w:pPr>
        <w:jc w:val="center"/>
        <w:rPr>
          <w:rFonts w:ascii="docs-Roboto" w:hAnsi="docs-Roboto"/>
          <w:color w:val="202124"/>
          <w:sz w:val="48"/>
          <w:szCs w:val="48"/>
          <w:shd w:val="clear" w:color="auto" w:fill="FFFFFF"/>
        </w:rPr>
      </w:pPr>
    </w:p>
    <w:p w14:paraId="569F9607" w14:textId="757959DF" w:rsidR="0094144B" w:rsidRDefault="0094144B" w:rsidP="0094144B">
      <w:pPr>
        <w:rPr>
          <w:rFonts w:ascii="docs-Roboto" w:hAnsi="docs-Roboto"/>
          <w:color w:val="202124"/>
          <w:sz w:val="48"/>
          <w:szCs w:val="48"/>
          <w:shd w:val="clear" w:color="auto" w:fill="FFFFFF"/>
        </w:rPr>
      </w:pPr>
      <w:r>
        <w:rPr>
          <w:rFonts w:ascii="docs-Roboto" w:hAnsi="docs-Roboto"/>
          <w:color w:val="202124"/>
          <w:sz w:val="48"/>
          <w:szCs w:val="48"/>
          <w:shd w:val="clear" w:color="auto" w:fill="FFFFFF"/>
        </w:rPr>
        <w:t xml:space="preserve">A dissertation </w:t>
      </w:r>
      <w:r w:rsidR="00E36EE1">
        <w:rPr>
          <w:rFonts w:ascii="docs-Roboto" w:hAnsi="docs-Roboto"/>
          <w:color w:val="202124"/>
          <w:sz w:val="48"/>
          <w:szCs w:val="48"/>
          <w:shd w:val="clear" w:color="auto" w:fill="FFFFFF"/>
        </w:rPr>
        <w:t>for the Master in Leadership</w:t>
      </w:r>
    </w:p>
    <w:p w14:paraId="3FBC30CC" w14:textId="0B1385F6" w:rsidR="004F5F49" w:rsidRDefault="004F5F49" w:rsidP="004F5F49">
      <w:pPr>
        <w:jc w:val="center"/>
        <w:rPr>
          <w:rFonts w:ascii="docs-Roboto" w:hAnsi="docs-Roboto"/>
          <w:color w:val="202124"/>
          <w:sz w:val="48"/>
          <w:szCs w:val="48"/>
          <w:shd w:val="clear" w:color="auto" w:fill="FFFFFF"/>
        </w:rPr>
      </w:pPr>
      <w:r>
        <w:rPr>
          <w:rFonts w:ascii="docs-Roboto" w:hAnsi="docs-Roboto"/>
          <w:color w:val="202124"/>
          <w:sz w:val="48"/>
          <w:szCs w:val="48"/>
          <w:shd w:val="clear" w:color="auto" w:fill="FFFFFF"/>
        </w:rPr>
        <w:t>By Aissa Laameche</w:t>
      </w:r>
    </w:p>
    <w:p w14:paraId="3629F7C2" w14:textId="6017D916" w:rsidR="00C26869" w:rsidRDefault="00C26869" w:rsidP="004F5F49">
      <w:pPr>
        <w:jc w:val="center"/>
        <w:rPr>
          <w:rFonts w:ascii="docs-Roboto" w:hAnsi="docs-Roboto"/>
          <w:color w:val="202124"/>
          <w:sz w:val="48"/>
          <w:szCs w:val="48"/>
          <w:shd w:val="clear" w:color="auto" w:fill="FFFFFF"/>
        </w:rPr>
      </w:pPr>
      <w:r>
        <w:rPr>
          <w:rFonts w:ascii="docs-Roboto" w:hAnsi="docs-Roboto"/>
          <w:color w:val="202124"/>
          <w:sz w:val="48"/>
          <w:szCs w:val="48"/>
          <w:shd w:val="clear" w:color="auto" w:fill="FFFFFF"/>
        </w:rPr>
        <w:t>Student ID: 1908274</w:t>
      </w:r>
    </w:p>
    <w:p w14:paraId="35CB8DCC" w14:textId="77777777" w:rsidR="004F5F49" w:rsidRDefault="004F5F49" w:rsidP="0094144B">
      <w:pPr>
        <w:rPr>
          <w:rFonts w:ascii="docs-Roboto" w:hAnsi="docs-Roboto"/>
          <w:color w:val="202124"/>
          <w:sz w:val="48"/>
          <w:szCs w:val="48"/>
          <w:shd w:val="clear" w:color="auto" w:fill="FFFFFF"/>
        </w:rPr>
      </w:pPr>
    </w:p>
    <w:p w14:paraId="1F097AE3" w14:textId="77777777" w:rsidR="004F5F49" w:rsidRDefault="004F5F49" w:rsidP="0094144B">
      <w:pPr>
        <w:rPr>
          <w:rFonts w:ascii="docs-Roboto" w:hAnsi="docs-Roboto"/>
          <w:color w:val="202124"/>
          <w:sz w:val="48"/>
          <w:szCs w:val="48"/>
          <w:shd w:val="clear" w:color="auto" w:fill="FFFFFF"/>
        </w:rPr>
      </w:pPr>
    </w:p>
    <w:p w14:paraId="51964907" w14:textId="77777777" w:rsidR="004F5F49" w:rsidRDefault="004F5F49" w:rsidP="004F5F49">
      <w:pPr>
        <w:jc w:val="center"/>
      </w:pPr>
    </w:p>
    <w:p w14:paraId="4DAEDD7A" w14:textId="77777777" w:rsidR="00511ACB" w:rsidRDefault="00511ACB" w:rsidP="004F5F49">
      <w:pPr>
        <w:jc w:val="center"/>
      </w:pPr>
    </w:p>
    <w:p w14:paraId="12219032" w14:textId="77777777" w:rsidR="00511ACB" w:rsidRDefault="00511ACB" w:rsidP="004F5F49">
      <w:pPr>
        <w:jc w:val="center"/>
      </w:pPr>
    </w:p>
    <w:p w14:paraId="6417E600" w14:textId="77777777" w:rsidR="00511ACB" w:rsidRDefault="00511ACB" w:rsidP="004F5F49">
      <w:pPr>
        <w:jc w:val="center"/>
      </w:pPr>
    </w:p>
    <w:p w14:paraId="2D37CDED" w14:textId="77777777" w:rsidR="00511ACB" w:rsidRDefault="00511ACB" w:rsidP="004F5F49">
      <w:pPr>
        <w:jc w:val="center"/>
      </w:pPr>
    </w:p>
    <w:p w14:paraId="4BABD58C" w14:textId="77777777" w:rsidR="00511ACB" w:rsidRDefault="00511ACB" w:rsidP="004F5F49">
      <w:pPr>
        <w:jc w:val="center"/>
      </w:pPr>
    </w:p>
    <w:p w14:paraId="2BBED517" w14:textId="77777777" w:rsidR="00511ACB" w:rsidRDefault="00511ACB" w:rsidP="004F5F49">
      <w:pPr>
        <w:jc w:val="center"/>
      </w:pPr>
    </w:p>
    <w:p w14:paraId="3D81CBAB"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lastRenderedPageBreak/>
        <w:t>DECLARATION</w:t>
      </w:r>
    </w:p>
    <w:p w14:paraId="376F263B"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This work has not previously been accepted in substance for any degree and is not being concurrently submitted in candidature for any degree.</w:t>
      </w:r>
    </w:p>
    <w:p w14:paraId="3E1A675F"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Signed ................</w:t>
      </w:r>
      <w:r>
        <w:rPr>
          <w:rFonts w:ascii="Arial" w:eastAsia="Times New Roman" w:hAnsi="Arial" w:cs="Arial"/>
          <w:color w:val="000000"/>
          <w:kern w:val="0"/>
          <w:lang w:eastAsia="en-GB"/>
          <w14:ligatures w14:val="none"/>
        </w:rPr>
        <w:t>Aissa Laameche</w:t>
      </w:r>
      <w:r w:rsidRPr="003302CA">
        <w:rPr>
          <w:rFonts w:ascii="Arial" w:eastAsia="Times New Roman" w:hAnsi="Arial" w:cs="Arial"/>
          <w:color w:val="000000"/>
          <w:kern w:val="0"/>
          <w:lang w:eastAsia="en-GB"/>
          <w14:ligatures w14:val="none"/>
        </w:rPr>
        <w:t>...................................................... (candidate)</w:t>
      </w:r>
    </w:p>
    <w:p w14:paraId="15FC7B5C" w14:textId="77777777" w:rsidR="00A463D4"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Date ....................</w:t>
      </w:r>
      <w:r>
        <w:rPr>
          <w:rFonts w:ascii="Arial" w:eastAsia="Times New Roman" w:hAnsi="Arial" w:cs="Arial"/>
          <w:color w:val="000000"/>
          <w:kern w:val="0"/>
          <w:lang w:eastAsia="en-GB"/>
          <w14:ligatures w14:val="none"/>
        </w:rPr>
        <w:t>03.05.2024</w:t>
      </w:r>
      <w:r w:rsidRPr="003302CA">
        <w:rPr>
          <w:rFonts w:ascii="Arial" w:eastAsia="Times New Roman" w:hAnsi="Arial" w:cs="Arial"/>
          <w:color w:val="000000"/>
          <w:kern w:val="0"/>
          <w:lang w:eastAsia="en-GB"/>
          <w14:ligatures w14:val="none"/>
        </w:rPr>
        <w:t>....................................................</w:t>
      </w:r>
    </w:p>
    <w:p w14:paraId="121535B7" w14:textId="77777777" w:rsidR="00A463D4"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p>
    <w:p w14:paraId="52BA7749"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p>
    <w:p w14:paraId="567F0223"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STATEMENT 1</w:t>
      </w:r>
    </w:p>
    <w:p w14:paraId="6181D1A7"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This work is the result of my own investigations, except where otherwise stated.</w:t>
      </w:r>
    </w:p>
    <w:p w14:paraId="4C54E4CF"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Other sources are acknowledged by footnotes giving explicit references. A bibliography is appended.</w:t>
      </w:r>
    </w:p>
    <w:p w14:paraId="6FDABDAD"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Signed ..............</w:t>
      </w:r>
      <w:r>
        <w:rPr>
          <w:rFonts w:ascii="Arial" w:eastAsia="Times New Roman" w:hAnsi="Arial" w:cs="Arial"/>
          <w:color w:val="000000"/>
          <w:kern w:val="0"/>
          <w:lang w:eastAsia="en-GB"/>
          <w14:ligatures w14:val="none"/>
        </w:rPr>
        <w:t>Aissa Laameche</w:t>
      </w:r>
      <w:r w:rsidRPr="003302CA">
        <w:rPr>
          <w:rFonts w:ascii="Arial" w:eastAsia="Times New Roman" w:hAnsi="Arial" w:cs="Arial"/>
          <w:color w:val="000000"/>
          <w:kern w:val="0"/>
          <w:lang w:eastAsia="en-GB"/>
          <w14:ligatures w14:val="none"/>
        </w:rPr>
        <w:t>....................................................... (candidate)</w:t>
      </w:r>
    </w:p>
    <w:p w14:paraId="35AB85F1" w14:textId="77777777" w:rsidR="00A463D4"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Date ..................</w:t>
      </w:r>
      <w:r>
        <w:rPr>
          <w:rFonts w:ascii="Arial" w:eastAsia="Times New Roman" w:hAnsi="Arial" w:cs="Arial"/>
          <w:color w:val="000000"/>
          <w:kern w:val="0"/>
          <w:lang w:eastAsia="en-GB"/>
          <w14:ligatures w14:val="none"/>
        </w:rPr>
        <w:t>03.05.2024</w:t>
      </w:r>
      <w:r w:rsidRPr="003302CA">
        <w:rPr>
          <w:rFonts w:ascii="Arial" w:eastAsia="Times New Roman" w:hAnsi="Arial" w:cs="Arial"/>
          <w:color w:val="000000"/>
          <w:kern w:val="0"/>
          <w:lang w:eastAsia="en-GB"/>
          <w14:ligatures w14:val="none"/>
        </w:rPr>
        <w:t>......................................................</w:t>
      </w:r>
    </w:p>
    <w:p w14:paraId="103E3E34" w14:textId="77777777" w:rsidR="00A463D4"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p>
    <w:p w14:paraId="3EE50797"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p>
    <w:p w14:paraId="7360F642"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STATEMENT 2</w:t>
      </w:r>
    </w:p>
    <w:p w14:paraId="69D429FA"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I hereby give consent for my work, if accepted, to be available for photocopying and for inter-library loan, and for the title and summary to be made available to outside organisations.</w:t>
      </w:r>
    </w:p>
    <w:p w14:paraId="0B5B3A29"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BE662E">
        <w:rPr>
          <w:rFonts w:ascii="Arial" w:eastAsia="Times New Roman" w:hAnsi="Arial" w:cs="Arial"/>
          <w:noProof/>
          <w:color w:val="000000"/>
          <w:kern w:val="0"/>
          <w:lang w:eastAsia="en-GB"/>
        </w:rPr>
        <mc:AlternateContent>
          <mc:Choice Requires="wpi">
            <w:drawing>
              <wp:anchor distT="0" distB="0" distL="114300" distR="114300" simplePos="0" relativeHeight="251660288" behindDoc="0" locked="0" layoutInCell="1" allowOverlap="1" wp14:anchorId="6FC8B15C" wp14:editId="014903D2">
                <wp:simplePos x="0" y="0"/>
                <wp:positionH relativeFrom="column">
                  <wp:posOffset>9239250</wp:posOffset>
                </wp:positionH>
                <wp:positionV relativeFrom="paragraph">
                  <wp:posOffset>306070</wp:posOffset>
                </wp:positionV>
                <wp:extent cx="9525" cy="9885"/>
                <wp:effectExtent l="57150" t="57150" r="28575" b="28575"/>
                <wp:wrapNone/>
                <wp:docPr id="913691444" name="Ink 21"/>
                <wp:cNvGraphicFramePr>
                  <a:graphicFrameLocks xmlns:a="http://schemas.openxmlformats.org/drawingml/2006/main"/>
                </wp:cNvGraphicFramePr>
                <a:graphic xmlns:a="http://schemas.openxmlformats.org/drawingml/2006/main">
                  <a:graphicData uri="http://schemas.microsoft.com/office/word/2010/wordprocessingInk">
                    <w14:contentPart bwMode="auto" r:id="rId7">
                      <w14:nvContentPartPr>
                        <w14:cNvContentPartPr>
                          <a14:cpLocks xmlns:a14="http://schemas.microsoft.com/office/drawing/2010/main" noRot="1"/>
                        </w14:cNvContentPartPr>
                      </w14:nvContentPartPr>
                      <w14:xfrm>
                        <a:off x="0" y="0"/>
                        <a:ext cx="9525" cy="9885"/>
                      </w14:xfrm>
                    </w14:contentPart>
                  </a:graphicData>
                </a:graphic>
              </wp:anchor>
            </w:drawing>
          </mc:Choice>
          <mc:Fallback>
            <w:pict>
              <v:shapetype w14:anchorId="371816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726.8pt;margin-top:23.4pt;width:2.1pt;height:2.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">
                <v:imagedata r:id="rId8" o:title=""/>
                <o:lock v:ext="edit" rotation="t" aspectratio="f"/>
              </v:shape>
            </w:pict>
          </mc:Fallback>
        </mc:AlternateContent>
      </w:r>
      <w:r w:rsidRPr="00BE662E">
        <w:rPr>
          <w:rFonts w:ascii="Arial" w:eastAsia="Times New Roman" w:hAnsi="Arial" w:cs="Arial"/>
          <w:noProof/>
          <w:color w:val="000000"/>
          <w:kern w:val="0"/>
          <w:lang w:eastAsia="en-GB"/>
        </w:rPr>
        <mc:AlternateContent>
          <mc:Choice Requires="wpi">
            <w:drawing>
              <wp:anchor distT="0" distB="0" distL="114300" distR="114300" simplePos="0" relativeHeight="251659264" behindDoc="0" locked="0" layoutInCell="1" allowOverlap="1" wp14:anchorId="69244A41" wp14:editId="30419DF2">
                <wp:simplePos x="0" y="0"/>
                <wp:positionH relativeFrom="column">
                  <wp:posOffset>9267690</wp:posOffset>
                </wp:positionH>
                <wp:positionV relativeFrom="paragraph">
                  <wp:posOffset>263160</wp:posOffset>
                </wp:positionV>
                <wp:extent cx="360" cy="12600"/>
                <wp:effectExtent l="38100" t="57150" r="38100" b="26035"/>
                <wp:wrapNone/>
                <wp:docPr id="1461819549" name="Ink 18"/>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360" cy="12600"/>
                      </w14:xfrm>
                    </w14:contentPart>
                  </a:graphicData>
                </a:graphic>
              </wp:anchor>
            </w:drawing>
          </mc:Choice>
          <mc:Fallback>
            <w:pict>
              <v:shape w14:anchorId="0A9C06C4" id="Ink 18" o:spid="_x0000_s1026" type="#_x0000_t75" style="position:absolute;margin-left:729.05pt;margin-top:20pt;width:1.45pt;height:2.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">
                <v:imagedata r:id="rId10" o:title=""/>
                <o:lock v:ext="edit" rotation="t" aspectratio="f"/>
              </v:shape>
            </w:pict>
          </mc:Fallback>
        </mc:AlternateContent>
      </w:r>
      <w:r w:rsidRPr="003302CA">
        <w:rPr>
          <w:rFonts w:ascii="Arial" w:eastAsia="Times New Roman" w:hAnsi="Arial" w:cs="Arial"/>
          <w:color w:val="000000"/>
          <w:kern w:val="0"/>
          <w:lang w:eastAsia="en-GB"/>
          <w14:ligatures w14:val="none"/>
        </w:rPr>
        <w:t>Signed ..............</w:t>
      </w:r>
      <w:r>
        <w:rPr>
          <w:rFonts w:ascii="Arial" w:eastAsia="Times New Roman" w:hAnsi="Arial" w:cs="Arial"/>
          <w:color w:val="000000"/>
          <w:kern w:val="0"/>
          <w:lang w:eastAsia="en-GB"/>
          <w14:ligatures w14:val="none"/>
        </w:rPr>
        <w:t>Aissa Laameche</w:t>
      </w:r>
      <w:r w:rsidRPr="003302CA">
        <w:rPr>
          <w:rFonts w:ascii="Arial" w:eastAsia="Times New Roman" w:hAnsi="Arial" w:cs="Arial"/>
          <w:color w:val="000000"/>
          <w:kern w:val="0"/>
          <w:lang w:eastAsia="en-GB"/>
          <w14:ligatures w14:val="none"/>
        </w:rPr>
        <w:t>................................................... (candidate)</w:t>
      </w:r>
    </w:p>
    <w:p w14:paraId="45D2DE4F"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Date ..................</w:t>
      </w:r>
      <w:r>
        <w:rPr>
          <w:rFonts w:ascii="Arial" w:eastAsia="Times New Roman" w:hAnsi="Arial" w:cs="Arial"/>
          <w:color w:val="000000"/>
          <w:kern w:val="0"/>
          <w:lang w:eastAsia="en-GB"/>
          <w14:ligatures w14:val="none"/>
        </w:rPr>
        <w:t>03.05.2024</w:t>
      </w:r>
      <w:r w:rsidRPr="003302CA">
        <w:rPr>
          <w:rFonts w:ascii="Arial" w:eastAsia="Times New Roman" w:hAnsi="Arial" w:cs="Arial"/>
          <w:color w:val="000000"/>
          <w:kern w:val="0"/>
          <w:lang w:eastAsia="en-GB"/>
          <w14:ligatures w14:val="none"/>
        </w:rPr>
        <w:t>...............................</w:t>
      </w:r>
    </w:p>
    <w:p w14:paraId="45A74501" w14:textId="77777777" w:rsidR="00A463D4" w:rsidRPr="00BE662E" w:rsidRDefault="00A463D4" w:rsidP="00A463D4">
      <w:pPr>
        <w:rPr>
          <w:rFonts w:ascii="Arial" w:hAnsi="Arial" w:cs="Arial"/>
        </w:rPr>
      </w:pPr>
    </w:p>
    <w:p w14:paraId="3D0F1C11" w14:textId="77777777" w:rsidR="00A463D4" w:rsidRPr="00BE662E" w:rsidRDefault="00A463D4" w:rsidP="00A463D4">
      <w:pPr>
        <w:rPr>
          <w:rFonts w:ascii="Arial" w:hAnsi="Arial" w:cs="Arial"/>
        </w:rPr>
      </w:pPr>
    </w:p>
    <w:p w14:paraId="07B496D0" w14:textId="77777777" w:rsidR="00A463D4" w:rsidRPr="00BE662E" w:rsidRDefault="00A463D4" w:rsidP="00A463D4">
      <w:pPr>
        <w:rPr>
          <w:rFonts w:ascii="Arial" w:hAnsi="Arial" w:cs="Arial"/>
        </w:rPr>
      </w:pPr>
    </w:p>
    <w:p w14:paraId="360A6CD9" w14:textId="77777777" w:rsidR="00A463D4" w:rsidRPr="00BE662E" w:rsidRDefault="00A463D4" w:rsidP="00A463D4">
      <w:pPr>
        <w:rPr>
          <w:rFonts w:ascii="Arial" w:hAnsi="Arial" w:cs="Arial"/>
        </w:rPr>
      </w:pPr>
    </w:p>
    <w:p w14:paraId="48FE9F04" w14:textId="77777777" w:rsidR="00A463D4" w:rsidRDefault="00A463D4" w:rsidP="00A463D4">
      <w:pPr>
        <w:rPr>
          <w:rFonts w:ascii="Arial" w:hAnsi="Arial" w:cs="Arial"/>
        </w:rPr>
      </w:pPr>
    </w:p>
    <w:p w14:paraId="6B2742A7" w14:textId="77777777" w:rsidR="00A463D4" w:rsidRDefault="00A463D4" w:rsidP="00A463D4">
      <w:pPr>
        <w:rPr>
          <w:rFonts w:ascii="Arial" w:hAnsi="Arial" w:cs="Arial"/>
        </w:rPr>
      </w:pPr>
    </w:p>
    <w:p w14:paraId="5C34F794" w14:textId="77777777" w:rsidR="00A463D4" w:rsidRDefault="00A463D4" w:rsidP="00A463D4">
      <w:pPr>
        <w:rPr>
          <w:rFonts w:ascii="Arial" w:hAnsi="Arial" w:cs="Arial"/>
        </w:rPr>
      </w:pPr>
    </w:p>
    <w:p w14:paraId="770ACCCB" w14:textId="77777777" w:rsidR="00A463D4" w:rsidRPr="000A1330" w:rsidRDefault="00A463D4" w:rsidP="00A463D4">
      <w:pPr>
        <w:rPr>
          <w:rFonts w:ascii="Arial" w:hAnsi="Arial" w:cs="Arial"/>
          <w:b/>
          <w:bCs/>
          <w:sz w:val="28"/>
          <w:szCs w:val="28"/>
        </w:rPr>
      </w:pPr>
      <w:r w:rsidRPr="000A1330">
        <w:rPr>
          <w:rFonts w:ascii="Arial" w:hAnsi="Arial" w:cs="Arial"/>
          <w:b/>
          <w:bCs/>
          <w:sz w:val="28"/>
          <w:szCs w:val="28"/>
        </w:rPr>
        <w:t>Table of content</w:t>
      </w:r>
    </w:p>
    <w:p w14:paraId="745F7464" w14:textId="77777777" w:rsidR="00A463D4" w:rsidRDefault="00A463D4" w:rsidP="00A463D4">
      <w:pPr>
        <w:rPr>
          <w:rFonts w:ascii="Arial" w:hAnsi="Arial" w:cs="Arial"/>
        </w:rPr>
      </w:pPr>
      <w:r>
        <w:rPr>
          <w:rFonts w:ascii="Arial" w:hAnsi="Arial" w:cs="Arial"/>
        </w:rPr>
        <w:t>Acknowledgement</w:t>
      </w:r>
    </w:p>
    <w:p w14:paraId="0D0108DB" w14:textId="77777777" w:rsidR="00A463D4" w:rsidRDefault="00A463D4" w:rsidP="00A463D4">
      <w:pPr>
        <w:rPr>
          <w:rFonts w:ascii="Arial" w:hAnsi="Arial" w:cs="Arial"/>
        </w:rPr>
      </w:pPr>
      <w:r w:rsidRPr="008E66BA">
        <w:rPr>
          <w:rFonts w:ascii="Arial" w:hAnsi="Arial" w:cs="Arial"/>
        </w:rPr>
        <w:t>Abstract</w:t>
      </w:r>
    </w:p>
    <w:p w14:paraId="7BBD7C04" w14:textId="77777777" w:rsidR="00A463D4" w:rsidRDefault="00A463D4" w:rsidP="00A463D4">
      <w:pPr>
        <w:rPr>
          <w:rFonts w:ascii="Arial" w:hAnsi="Arial" w:cs="Arial"/>
        </w:rPr>
      </w:pPr>
      <w:r>
        <w:rPr>
          <w:rFonts w:ascii="Arial" w:hAnsi="Arial" w:cs="Arial"/>
        </w:rPr>
        <w:t>Declaration and Statement</w:t>
      </w:r>
    </w:p>
    <w:p w14:paraId="2F4BAA14" w14:textId="77777777" w:rsidR="00A463D4" w:rsidRDefault="00A463D4" w:rsidP="00A463D4">
      <w:pPr>
        <w:pStyle w:val="NormalWeb"/>
        <w:rPr>
          <w:rFonts w:ascii="Arial" w:hAnsi="Arial" w:cs="Arial"/>
          <w:color w:val="000000"/>
        </w:rPr>
      </w:pPr>
      <w:r w:rsidRPr="00252491">
        <w:rPr>
          <w:rFonts w:ascii="Arial" w:hAnsi="Arial" w:cs="Arial"/>
          <w:color w:val="000000"/>
        </w:rPr>
        <w:t>Chapter 1. Introduction</w:t>
      </w:r>
    </w:p>
    <w:p w14:paraId="04C8883A" w14:textId="77777777" w:rsidR="00A463D4" w:rsidRDefault="00A463D4" w:rsidP="00A463D4">
      <w:pPr>
        <w:pStyle w:val="NormalWeb"/>
        <w:rPr>
          <w:rFonts w:ascii="Arial" w:hAnsi="Arial" w:cs="Arial"/>
          <w:color w:val="000000"/>
        </w:rPr>
      </w:pPr>
      <w:r w:rsidRPr="00252491">
        <w:rPr>
          <w:rFonts w:ascii="Arial" w:hAnsi="Arial" w:cs="Arial"/>
          <w:color w:val="000000"/>
        </w:rPr>
        <w:t>Chapter 2. Literature Review</w:t>
      </w:r>
    </w:p>
    <w:p w14:paraId="1C1ECD13" w14:textId="77777777" w:rsidR="00A463D4" w:rsidRPr="00735C8D" w:rsidRDefault="00A463D4" w:rsidP="00A463D4">
      <w:pPr>
        <w:rPr>
          <w:rFonts w:ascii="Arial" w:hAnsi="Arial" w:cs="Arial"/>
          <w:color w:val="000000"/>
        </w:rPr>
      </w:pPr>
      <w:r w:rsidRPr="00735C8D">
        <w:rPr>
          <w:rFonts w:ascii="Arial" w:hAnsi="Arial" w:cs="Arial"/>
          <w:color w:val="000000"/>
        </w:rPr>
        <w:t>2.1</w:t>
      </w:r>
      <w:r w:rsidRPr="00735C8D">
        <w:rPr>
          <w:rFonts w:ascii="Arial" w:hAnsi="Arial" w:cs="Arial"/>
        </w:rPr>
        <w:t xml:space="preserve"> Educational Policies in South Wales Primary Education</w:t>
      </w:r>
    </w:p>
    <w:p w14:paraId="64AE07A0" w14:textId="77777777" w:rsidR="00A463D4" w:rsidRPr="00735C8D" w:rsidRDefault="00A463D4" w:rsidP="00A463D4">
      <w:pPr>
        <w:pStyle w:val="NormalWeb"/>
        <w:rPr>
          <w:rFonts w:ascii="Arial" w:hAnsi="Arial" w:cs="Arial"/>
          <w:color w:val="000000"/>
        </w:rPr>
      </w:pPr>
      <w:r w:rsidRPr="00735C8D">
        <w:rPr>
          <w:rFonts w:ascii="Arial" w:hAnsi="Arial" w:cs="Arial"/>
          <w:color w:val="000000"/>
        </w:rPr>
        <w:t>2.2</w:t>
      </w:r>
      <w:r w:rsidRPr="00735C8D">
        <w:rPr>
          <w:rFonts w:ascii="Arial" w:hAnsi="Arial" w:cs="Arial"/>
        </w:rPr>
        <w:t xml:space="preserve"> Demographic Diversity in South Wales: Shaping Educational Needs</w:t>
      </w:r>
    </w:p>
    <w:p w14:paraId="03676809" w14:textId="77777777" w:rsidR="00A463D4" w:rsidRDefault="00A463D4" w:rsidP="00A463D4">
      <w:pPr>
        <w:pStyle w:val="NormalWeb"/>
        <w:rPr>
          <w:rFonts w:ascii="Arial" w:hAnsi="Arial" w:cs="Arial"/>
          <w:color w:val="000000"/>
        </w:rPr>
      </w:pPr>
      <w:r>
        <w:rPr>
          <w:rFonts w:ascii="Arial" w:hAnsi="Arial" w:cs="Arial"/>
          <w:color w:val="000000"/>
        </w:rPr>
        <w:t xml:space="preserve">2.3 </w:t>
      </w:r>
      <w:r w:rsidRPr="0034512D">
        <w:rPr>
          <w:rFonts w:ascii="Arial" w:hAnsi="Arial" w:cs="Arial"/>
        </w:rPr>
        <w:t>Socio-Economic Dimensions and Their Impact on Education</w:t>
      </w:r>
    </w:p>
    <w:p w14:paraId="310ECBC1" w14:textId="77777777" w:rsidR="00A463D4" w:rsidRDefault="00A463D4" w:rsidP="00A463D4">
      <w:pPr>
        <w:pStyle w:val="NormalWeb"/>
        <w:rPr>
          <w:rFonts w:ascii="Arial" w:hAnsi="Arial" w:cs="Arial"/>
          <w:color w:val="000000"/>
        </w:rPr>
      </w:pPr>
      <w:r>
        <w:rPr>
          <w:rFonts w:ascii="Arial" w:hAnsi="Arial" w:cs="Arial"/>
          <w:color w:val="000000"/>
        </w:rPr>
        <w:t xml:space="preserve">2.4 </w:t>
      </w:r>
      <w:r w:rsidRPr="00623702">
        <w:rPr>
          <w:rFonts w:ascii="Arial" w:hAnsi="Arial" w:cs="Arial"/>
        </w:rPr>
        <w:t>Analysing Leadership Model in Educational Context</w:t>
      </w:r>
    </w:p>
    <w:p w14:paraId="1FAB8494" w14:textId="77777777" w:rsidR="00A463D4" w:rsidRDefault="00A463D4" w:rsidP="00A463D4">
      <w:pPr>
        <w:pStyle w:val="NormalWeb"/>
        <w:rPr>
          <w:rFonts w:ascii="Arial" w:hAnsi="Arial" w:cs="Arial"/>
          <w:color w:val="000000"/>
        </w:rPr>
      </w:pPr>
      <w:r>
        <w:rPr>
          <w:rFonts w:ascii="Arial" w:hAnsi="Arial" w:cs="Arial"/>
          <w:color w:val="000000"/>
        </w:rPr>
        <w:t>2.5</w:t>
      </w:r>
      <w:r w:rsidRPr="00623702">
        <w:rPr>
          <w:rFonts w:ascii="Arial" w:hAnsi="Arial" w:cs="Arial"/>
          <w:b/>
          <w:bCs/>
        </w:rPr>
        <w:t xml:space="preserve"> </w:t>
      </w:r>
      <w:r w:rsidRPr="00623702">
        <w:rPr>
          <w:rFonts w:ascii="Arial" w:hAnsi="Arial" w:cs="Arial"/>
        </w:rPr>
        <w:t xml:space="preserve">Impact of Adaptive Leadership on Educational Innovations </w:t>
      </w:r>
    </w:p>
    <w:p w14:paraId="1209F6F6" w14:textId="77777777" w:rsidR="00A463D4" w:rsidRDefault="00A463D4" w:rsidP="00A463D4">
      <w:pPr>
        <w:pStyle w:val="NormalWeb"/>
        <w:rPr>
          <w:rFonts w:ascii="Arial" w:hAnsi="Arial" w:cs="Arial"/>
          <w:color w:val="000000"/>
        </w:rPr>
      </w:pPr>
      <w:r>
        <w:rPr>
          <w:rFonts w:ascii="Arial" w:hAnsi="Arial" w:cs="Arial"/>
          <w:color w:val="000000"/>
        </w:rPr>
        <w:t xml:space="preserve">2.6 </w:t>
      </w:r>
      <w:r w:rsidRPr="00247739">
        <w:rPr>
          <w:rFonts w:ascii="Arial" w:hAnsi="Arial" w:cs="Arial"/>
        </w:rPr>
        <w:t>Impact of Leadership Practices on Educational Innovations</w:t>
      </w:r>
    </w:p>
    <w:p w14:paraId="23540300" w14:textId="77777777" w:rsidR="00A463D4" w:rsidRPr="004D6F69" w:rsidRDefault="00A463D4" w:rsidP="00A463D4">
      <w:pPr>
        <w:jc w:val="both"/>
        <w:rPr>
          <w:rFonts w:ascii="Arial" w:hAnsi="Arial" w:cs="Arial"/>
          <w:b/>
          <w:bCs/>
        </w:rPr>
      </w:pPr>
      <w:r>
        <w:rPr>
          <w:rFonts w:ascii="Arial" w:hAnsi="Arial" w:cs="Arial"/>
          <w:color w:val="000000"/>
        </w:rPr>
        <w:t xml:space="preserve">2.7 </w:t>
      </w:r>
      <w:r w:rsidRPr="00247739">
        <w:rPr>
          <w:rFonts w:ascii="Arial" w:hAnsi="Arial" w:cs="Arial"/>
        </w:rPr>
        <w:t>Educational Innovation through Collaborative Leadership and Stakeholders</w:t>
      </w:r>
    </w:p>
    <w:p w14:paraId="6903E35A" w14:textId="77777777" w:rsidR="00A463D4" w:rsidRDefault="00A463D4" w:rsidP="00A463D4">
      <w:pPr>
        <w:pStyle w:val="NormalWeb"/>
        <w:rPr>
          <w:rFonts w:ascii="Arial" w:hAnsi="Arial" w:cs="Arial"/>
          <w:color w:val="000000"/>
        </w:rPr>
      </w:pPr>
      <w:r>
        <w:rPr>
          <w:rFonts w:ascii="Arial" w:hAnsi="Arial" w:cs="Arial"/>
          <w:color w:val="000000"/>
        </w:rPr>
        <w:t>2.8</w:t>
      </w:r>
      <w:r w:rsidRPr="00247739">
        <w:rPr>
          <w:rFonts w:ascii="Arial" w:hAnsi="Arial" w:cs="Arial"/>
          <w:b/>
          <w:bCs/>
        </w:rPr>
        <w:t xml:space="preserve"> </w:t>
      </w:r>
      <w:r w:rsidRPr="00247739">
        <w:rPr>
          <w:rFonts w:ascii="Arial" w:hAnsi="Arial" w:cs="Arial"/>
        </w:rPr>
        <w:t>Teacher Innovative Methods and Leadership Styles</w:t>
      </w:r>
    </w:p>
    <w:p w14:paraId="5535D10E" w14:textId="77777777" w:rsidR="00A463D4" w:rsidRDefault="00A463D4" w:rsidP="00A463D4">
      <w:pPr>
        <w:pStyle w:val="NormalWeb"/>
        <w:rPr>
          <w:rFonts w:ascii="Arial" w:hAnsi="Arial" w:cs="Arial"/>
          <w:color w:val="000000"/>
        </w:rPr>
      </w:pPr>
      <w:r>
        <w:rPr>
          <w:rFonts w:ascii="Arial" w:hAnsi="Arial" w:cs="Arial"/>
          <w:color w:val="000000"/>
        </w:rPr>
        <w:t xml:space="preserve">2.8.1 </w:t>
      </w:r>
      <w:r w:rsidRPr="00247739">
        <w:rPr>
          <w:rFonts w:ascii="Arial" w:hAnsi="Arial" w:cs="Arial"/>
        </w:rPr>
        <w:t>Professional Development Programs for Teachers</w:t>
      </w:r>
    </w:p>
    <w:p w14:paraId="0CA1EC5E" w14:textId="77777777" w:rsidR="00A463D4" w:rsidRPr="00252491" w:rsidRDefault="00A463D4" w:rsidP="00A463D4">
      <w:pPr>
        <w:jc w:val="both"/>
        <w:rPr>
          <w:rFonts w:ascii="Arial" w:hAnsi="Arial" w:cs="Arial"/>
          <w:color w:val="000000"/>
        </w:rPr>
      </w:pPr>
      <w:r w:rsidRPr="00247739">
        <w:rPr>
          <w:rFonts w:ascii="Arial" w:hAnsi="Arial" w:cs="Arial"/>
          <w:color w:val="000000"/>
        </w:rPr>
        <w:t xml:space="preserve">2.8.2 </w:t>
      </w:r>
      <w:r w:rsidRPr="00247739">
        <w:rPr>
          <w:rFonts w:ascii="Arial" w:hAnsi="Arial" w:cs="Arial"/>
        </w:rPr>
        <w:t>Barriers to Teacher Creativity</w:t>
      </w:r>
    </w:p>
    <w:p w14:paraId="3AF5834D" w14:textId="77777777" w:rsidR="00A463D4" w:rsidRDefault="00A463D4" w:rsidP="00A463D4">
      <w:pPr>
        <w:pStyle w:val="NormalWeb"/>
        <w:rPr>
          <w:rFonts w:ascii="Arial" w:hAnsi="Arial" w:cs="Arial"/>
          <w:color w:val="000000"/>
        </w:rPr>
      </w:pPr>
      <w:r w:rsidRPr="00252491">
        <w:rPr>
          <w:rFonts w:ascii="Arial" w:hAnsi="Arial" w:cs="Arial"/>
          <w:color w:val="000000"/>
        </w:rPr>
        <w:t>Chapter 3. Methodology</w:t>
      </w:r>
    </w:p>
    <w:p w14:paraId="77BB00CE" w14:textId="77777777" w:rsidR="00A463D4" w:rsidRDefault="00A463D4" w:rsidP="00A463D4">
      <w:pPr>
        <w:pStyle w:val="NormalWeb"/>
        <w:rPr>
          <w:rFonts w:ascii="Arial" w:hAnsi="Arial" w:cs="Arial"/>
          <w:color w:val="000000"/>
        </w:rPr>
      </w:pPr>
      <w:r>
        <w:rPr>
          <w:rFonts w:ascii="Arial" w:hAnsi="Arial" w:cs="Arial"/>
          <w:color w:val="000000"/>
        </w:rPr>
        <w:t>3.1 Aim and Objectives</w:t>
      </w:r>
    </w:p>
    <w:p w14:paraId="5C1AC4E3" w14:textId="77777777" w:rsidR="00A463D4" w:rsidRDefault="00A463D4" w:rsidP="00A463D4">
      <w:pPr>
        <w:pStyle w:val="NormalWeb"/>
        <w:rPr>
          <w:rFonts w:ascii="Arial" w:hAnsi="Arial" w:cs="Arial"/>
          <w:color w:val="000000"/>
        </w:rPr>
      </w:pPr>
      <w:r>
        <w:rPr>
          <w:rFonts w:ascii="Arial" w:hAnsi="Arial" w:cs="Arial"/>
          <w:color w:val="000000"/>
        </w:rPr>
        <w:t>3.2 Research Rational</w:t>
      </w:r>
    </w:p>
    <w:p w14:paraId="0A002198" w14:textId="77777777" w:rsidR="00A463D4" w:rsidRDefault="00A463D4" w:rsidP="00A463D4">
      <w:pPr>
        <w:pStyle w:val="NormalWeb"/>
        <w:rPr>
          <w:rFonts w:ascii="Arial" w:hAnsi="Arial" w:cs="Arial"/>
          <w:color w:val="000000"/>
        </w:rPr>
      </w:pPr>
      <w:r>
        <w:rPr>
          <w:rFonts w:ascii="Arial" w:hAnsi="Arial" w:cs="Arial"/>
          <w:color w:val="000000"/>
        </w:rPr>
        <w:t>3.3 Research design</w:t>
      </w:r>
    </w:p>
    <w:p w14:paraId="421571A0" w14:textId="77777777" w:rsidR="00A463D4" w:rsidRDefault="00A463D4" w:rsidP="00A463D4">
      <w:pPr>
        <w:pStyle w:val="NormalWeb"/>
        <w:rPr>
          <w:rFonts w:ascii="Arial" w:hAnsi="Arial" w:cs="Arial"/>
          <w:color w:val="000000"/>
        </w:rPr>
      </w:pPr>
      <w:r>
        <w:rPr>
          <w:rFonts w:ascii="Arial" w:hAnsi="Arial" w:cs="Arial"/>
          <w:color w:val="000000"/>
        </w:rPr>
        <w:t>3.4 Research Paradigms</w:t>
      </w:r>
    </w:p>
    <w:p w14:paraId="4BB4E3D0" w14:textId="77777777" w:rsidR="00A463D4" w:rsidRDefault="00A463D4" w:rsidP="00A463D4">
      <w:pPr>
        <w:pStyle w:val="NormalWeb"/>
        <w:rPr>
          <w:rFonts w:ascii="Arial" w:hAnsi="Arial" w:cs="Arial"/>
          <w:color w:val="000000"/>
        </w:rPr>
      </w:pPr>
      <w:r>
        <w:rPr>
          <w:rFonts w:ascii="Arial" w:hAnsi="Arial" w:cs="Arial"/>
          <w:color w:val="000000"/>
        </w:rPr>
        <w:t>3.5 Data collection</w:t>
      </w:r>
    </w:p>
    <w:p w14:paraId="7594707C" w14:textId="77777777" w:rsidR="00A463D4" w:rsidRDefault="00A463D4" w:rsidP="00A463D4">
      <w:pPr>
        <w:pStyle w:val="NormalWeb"/>
        <w:rPr>
          <w:rFonts w:ascii="Arial" w:hAnsi="Arial" w:cs="Arial"/>
          <w:color w:val="000000"/>
        </w:rPr>
      </w:pPr>
      <w:r>
        <w:rPr>
          <w:rFonts w:ascii="Arial" w:hAnsi="Arial" w:cs="Arial"/>
          <w:color w:val="000000"/>
        </w:rPr>
        <w:t>3.6 Sample and Population</w:t>
      </w:r>
    </w:p>
    <w:p w14:paraId="5AAC41A7" w14:textId="77777777" w:rsidR="00A463D4" w:rsidRDefault="00A463D4" w:rsidP="00A463D4">
      <w:pPr>
        <w:pStyle w:val="NormalWeb"/>
        <w:rPr>
          <w:rFonts w:ascii="Arial" w:hAnsi="Arial" w:cs="Arial"/>
          <w:color w:val="000000"/>
        </w:rPr>
      </w:pPr>
      <w:r>
        <w:rPr>
          <w:rFonts w:ascii="Arial" w:hAnsi="Arial" w:cs="Arial"/>
          <w:color w:val="000000"/>
        </w:rPr>
        <w:t xml:space="preserve">3.7 Data and Analysis </w:t>
      </w:r>
    </w:p>
    <w:p w14:paraId="1D5F8035" w14:textId="77777777" w:rsidR="00A463D4" w:rsidRDefault="00A463D4" w:rsidP="00A463D4">
      <w:pPr>
        <w:pStyle w:val="NormalWeb"/>
        <w:rPr>
          <w:rFonts w:ascii="Arial" w:hAnsi="Arial" w:cs="Arial"/>
          <w:color w:val="000000"/>
        </w:rPr>
      </w:pPr>
      <w:r>
        <w:rPr>
          <w:rFonts w:ascii="Arial" w:hAnsi="Arial" w:cs="Arial"/>
          <w:color w:val="000000"/>
        </w:rPr>
        <w:t>3.8 Reliability and Validity</w:t>
      </w:r>
    </w:p>
    <w:p w14:paraId="73C6313D" w14:textId="77777777" w:rsidR="00A463D4" w:rsidRDefault="00A463D4" w:rsidP="00A463D4">
      <w:pPr>
        <w:pStyle w:val="NormalWeb"/>
        <w:rPr>
          <w:rFonts w:ascii="Arial" w:hAnsi="Arial" w:cs="Arial"/>
          <w:color w:val="000000"/>
        </w:rPr>
      </w:pPr>
      <w:r>
        <w:rPr>
          <w:rFonts w:ascii="Arial" w:hAnsi="Arial" w:cs="Arial"/>
          <w:color w:val="000000"/>
        </w:rPr>
        <w:t>3.9 Limitations</w:t>
      </w:r>
    </w:p>
    <w:p w14:paraId="155BF603" w14:textId="77777777" w:rsidR="00A463D4" w:rsidRPr="00252491" w:rsidRDefault="00A463D4" w:rsidP="00A463D4">
      <w:pPr>
        <w:pStyle w:val="NormalWeb"/>
        <w:rPr>
          <w:rFonts w:ascii="Arial" w:hAnsi="Arial" w:cs="Arial"/>
          <w:color w:val="000000"/>
        </w:rPr>
      </w:pPr>
      <w:r>
        <w:rPr>
          <w:rFonts w:ascii="Arial" w:hAnsi="Arial" w:cs="Arial"/>
          <w:color w:val="000000"/>
        </w:rPr>
        <w:t>3.10. Research Ethics</w:t>
      </w:r>
    </w:p>
    <w:p w14:paraId="03F98685" w14:textId="77777777" w:rsidR="00A463D4" w:rsidRDefault="00A463D4" w:rsidP="00A463D4">
      <w:pPr>
        <w:pStyle w:val="NormalWeb"/>
        <w:rPr>
          <w:rFonts w:ascii="Arial" w:hAnsi="Arial" w:cs="Arial"/>
          <w:color w:val="000000"/>
        </w:rPr>
      </w:pPr>
      <w:r w:rsidRPr="00252491">
        <w:rPr>
          <w:rFonts w:ascii="Arial" w:hAnsi="Arial" w:cs="Arial"/>
          <w:color w:val="000000"/>
        </w:rPr>
        <w:t>Chapter 4. Findings</w:t>
      </w:r>
    </w:p>
    <w:p w14:paraId="16AA3CFD" w14:textId="77777777" w:rsidR="00A463D4" w:rsidRDefault="00A463D4" w:rsidP="00A463D4">
      <w:pPr>
        <w:pStyle w:val="NormalWeb"/>
        <w:rPr>
          <w:rFonts w:ascii="Arial" w:hAnsi="Arial" w:cs="Arial"/>
          <w:color w:val="000000"/>
        </w:rPr>
      </w:pPr>
      <w:r>
        <w:rPr>
          <w:rFonts w:ascii="Arial" w:hAnsi="Arial" w:cs="Arial"/>
          <w:color w:val="000000"/>
        </w:rPr>
        <w:t>4.1.1 Demographic</w:t>
      </w:r>
    </w:p>
    <w:p w14:paraId="4564B1B1" w14:textId="72631B8E" w:rsidR="00E845D1" w:rsidRPr="00252491" w:rsidRDefault="00E845D1" w:rsidP="00A463D4">
      <w:pPr>
        <w:pStyle w:val="NormalWeb"/>
        <w:rPr>
          <w:rFonts w:ascii="Arial" w:hAnsi="Arial" w:cs="Arial"/>
          <w:color w:val="000000"/>
        </w:rPr>
      </w:pPr>
      <w:r>
        <w:rPr>
          <w:rFonts w:ascii="Arial" w:hAnsi="Arial" w:cs="Arial"/>
          <w:color w:val="000000"/>
        </w:rPr>
        <w:t>4.1.2 Questionnaire</w:t>
      </w:r>
    </w:p>
    <w:p w14:paraId="1BF270E2" w14:textId="77777777" w:rsidR="00A463D4" w:rsidRDefault="00A463D4" w:rsidP="00A463D4">
      <w:pPr>
        <w:pStyle w:val="NormalWeb"/>
        <w:rPr>
          <w:rFonts w:ascii="Arial" w:hAnsi="Arial" w:cs="Arial"/>
          <w:color w:val="000000"/>
        </w:rPr>
      </w:pPr>
      <w:r w:rsidRPr="00252491">
        <w:rPr>
          <w:rFonts w:ascii="Arial" w:hAnsi="Arial" w:cs="Arial"/>
          <w:color w:val="000000"/>
        </w:rPr>
        <w:t>Chapter 5. Summary and Conclusion</w:t>
      </w:r>
    </w:p>
    <w:p w14:paraId="3EE13FB4" w14:textId="77777777" w:rsidR="00A463D4" w:rsidRPr="00252491" w:rsidRDefault="00A463D4" w:rsidP="00A463D4">
      <w:pPr>
        <w:pStyle w:val="NormalWeb"/>
        <w:rPr>
          <w:rFonts w:ascii="Arial" w:hAnsi="Arial" w:cs="Arial"/>
          <w:color w:val="000000"/>
        </w:rPr>
      </w:pPr>
      <w:r>
        <w:rPr>
          <w:rFonts w:ascii="Arial" w:hAnsi="Arial" w:cs="Arial"/>
          <w:color w:val="000000"/>
        </w:rPr>
        <w:t>Chapter 6. Recommendations</w:t>
      </w:r>
    </w:p>
    <w:p w14:paraId="6255BFAB" w14:textId="77777777" w:rsidR="00A463D4" w:rsidRPr="00252491" w:rsidRDefault="00A463D4" w:rsidP="00A463D4">
      <w:pPr>
        <w:pStyle w:val="NormalWeb"/>
        <w:rPr>
          <w:rFonts w:ascii="Arial" w:hAnsi="Arial" w:cs="Arial"/>
          <w:color w:val="000000"/>
        </w:rPr>
      </w:pPr>
      <w:r w:rsidRPr="00252491">
        <w:rPr>
          <w:rFonts w:ascii="Arial" w:hAnsi="Arial" w:cs="Arial"/>
          <w:color w:val="000000"/>
        </w:rPr>
        <w:t xml:space="preserve">Chapter </w:t>
      </w:r>
      <w:r>
        <w:rPr>
          <w:rFonts w:ascii="Arial" w:hAnsi="Arial" w:cs="Arial"/>
          <w:color w:val="000000"/>
        </w:rPr>
        <w:t>7</w:t>
      </w:r>
      <w:r w:rsidRPr="00252491">
        <w:rPr>
          <w:rFonts w:ascii="Arial" w:hAnsi="Arial" w:cs="Arial"/>
          <w:color w:val="000000"/>
        </w:rPr>
        <w:t>. Reference List</w:t>
      </w:r>
    </w:p>
    <w:p w14:paraId="0EA6F6D0" w14:textId="77777777" w:rsidR="00A463D4" w:rsidRPr="00252491" w:rsidRDefault="00A463D4" w:rsidP="00A463D4">
      <w:pPr>
        <w:pStyle w:val="NormalWeb"/>
        <w:rPr>
          <w:rFonts w:ascii="Arial" w:hAnsi="Arial" w:cs="Arial"/>
          <w:color w:val="000000"/>
        </w:rPr>
      </w:pPr>
      <w:r w:rsidRPr="00252491">
        <w:rPr>
          <w:rFonts w:ascii="Arial" w:hAnsi="Arial" w:cs="Arial"/>
          <w:color w:val="000000"/>
        </w:rPr>
        <w:t xml:space="preserve">Chapter </w:t>
      </w:r>
      <w:r>
        <w:rPr>
          <w:rFonts w:ascii="Arial" w:hAnsi="Arial" w:cs="Arial"/>
          <w:color w:val="000000"/>
        </w:rPr>
        <w:t>8</w:t>
      </w:r>
      <w:r w:rsidRPr="00252491">
        <w:rPr>
          <w:rFonts w:ascii="Arial" w:hAnsi="Arial" w:cs="Arial"/>
          <w:color w:val="000000"/>
        </w:rPr>
        <w:t>. Appendices</w:t>
      </w:r>
    </w:p>
    <w:p w14:paraId="36574E6C" w14:textId="77777777" w:rsidR="00A463D4" w:rsidRPr="008E66BA" w:rsidRDefault="00A463D4" w:rsidP="00A463D4">
      <w:pPr>
        <w:rPr>
          <w:rFonts w:ascii="Arial" w:hAnsi="Arial" w:cs="Arial"/>
        </w:rPr>
      </w:pPr>
      <w:r w:rsidRPr="008E66BA">
        <w:rPr>
          <w:rFonts w:ascii="Arial" w:hAnsi="Arial" w:cs="Arial"/>
        </w:rPr>
        <w:br w:type="page"/>
      </w:r>
    </w:p>
    <w:p w14:paraId="4E685C4D" w14:textId="30A48E0E" w:rsidR="00A463D4" w:rsidRPr="006D6358" w:rsidRDefault="00A463D4" w:rsidP="006D6358">
      <w:pPr>
        <w:spacing w:line="480" w:lineRule="auto"/>
        <w:jc w:val="both"/>
        <w:rPr>
          <w:rFonts w:ascii="Arial" w:hAnsi="Arial" w:cs="Arial"/>
          <w:b/>
          <w:bCs/>
        </w:rPr>
      </w:pPr>
      <w:r w:rsidRPr="006D6358">
        <w:rPr>
          <w:rFonts w:ascii="Arial" w:hAnsi="Arial" w:cs="Arial"/>
          <w:b/>
          <w:bCs/>
        </w:rPr>
        <w:t xml:space="preserve">2. Chapter </w:t>
      </w:r>
      <w:r w:rsidR="00797B51" w:rsidRPr="006D6358">
        <w:rPr>
          <w:rFonts w:ascii="Arial" w:hAnsi="Arial" w:cs="Arial"/>
          <w:b/>
          <w:bCs/>
        </w:rPr>
        <w:t>2</w:t>
      </w:r>
      <w:r w:rsidRPr="006D6358">
        <w:rPr>
          <w:rFonts w:ascii="Arial" w:hAnsi="Arial" w:cs="Arial"/>
          <w:b/>
          <w:bCs/>
        </w:rPr>
        <w:t>: Literature Review</w:t>
      </w:r>
    </w:p>
    <w:p w14:paraId="14A9D25D"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2.1 Educational Policies in South Wales Primary Education</w:t>
      </w:r>
    </w:p>
    <w:p w14:paraId="51F7EBD6"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The evolution of educational policies in South Wales has been instrumental in shaping the current landscape of primary education, particularly regarding leadership and innovation. </w:t>
      </w:r>
    </w:p>
    <w:p w14:paraId="2F1F5778" w14:textId="77777777" w:rsidR="00A463D4" w:rsidRPr="006D6358" w:rsidRDefault="00A463D4" w:rsidP="006D6358">
      <w:pPr>
        <w:spacing w:line="480" w:lineRule="auto"/>
        <w:jc w:val="both"/>
        <w:rPr>
          <w:rFonts w:ascii="Arial" w:hAnsi="Arial" w:cs="Arial"/>
        </w:rPr>
      </w:pPr>
      <w:r w:rsidRPr="006D6358">
        <w:rPr>
          <w:rFonts w:ascii="Arial" w:hAnsi="Arial" w:cs="Arial"/>
        </w:rPr>
        <w:t>This analysis draws on historical texts and policy papers, such as those by Connolly et al. (2018) and Evans (2023), to understand the historical trajectory of these policies and their influence on current practices. Understanding this background is crucial for educational leaders as it provides insights into the legacies that continue to impact current educational dynamics. To begin, a significant historical policy impacting leadership in Welsh primary education was the Welsh Language Act of 1967. While it primarily addressed language equality in education (Jones et al., 2019), its broader implications for leadership included navigating bilingual education challenges and fostering an inclusive, innovative educational environment. This policy echoes Scotland's Gaelic Language (Scotland) Act 2005 and the multilingual initiatives in English primary schools, which also present unique leadership challenges in implementing and sustaining innovation in a linguistically diverse environment (Carrithres et al., 2021). However, the practical challenges associated with implementing the Welsh Language Act, such as ensuring equitable resources and teacher training for bilingual education, point to the complexities leaders face in balancing linguistic diversity with educational quality (Gorrara et al., 2020). These challenges highlight the need for leadership that is not only visionary but also adept at managing practicalities and fostering an environment conducive to innovative practices. In regards of socio-economic disparities, policies like Wales’s 'Free School Meals' initiative have required leaders to innovatively address barriers to education for disadvantaged students (Welsh Government, 2021). Similarly, this policy is mirrored in England and Scotland, as indicated by the Scottish Government (2021) and the United Kingdom (UK) government (2018), reflecting a broader UK commitment to inclusive education. Such initiatives demand insightful leadership for effective implementation. Additionally, the 'Successful Futures' report (2015) in Wales emphasised a holistic approach to primary education, advocating for critical thinking, creativity, and digital competence (Lemke and Zhu, 2018). According to Humes and Priestley (2021), this policy aligns with similar educational reforms in Scotland, which also pose unique leadership challenges, especially in curriculum development and teacher training. Similarly, Brown (2023) highlights that in England, these reforms bring about challenges in terms of resource allocation and curriculum adjustment. Moreover, the role of leadership in shaping educational practices is further highlighted by the influence of key institutions and their reports. For instance, The National Academy for Educational Leadership (NAEL) in Wales, as cited in their 2021 report, underscores the importance of leadership in education. Similarly, the Department of Education in England and the Scottish College for Educational Leadership (SCEL) in Scotland, with their respective 2021 and 2015 reports, have been pivotal in developing leadership standards and practices in primary education. These organisations emphasise the crucial role of strong leadership in fostering innovation and managing the complexities of modern educational landscape. Also, this comparative analysis of educational policies in South Wales, England, and Scotland reveals the significant role of leadership in not only implementing policies but also in cultivating an innovative culture within primary education institutions (Bamber et al.,2016). The interplay of historical legacies and modern challenges creates a dynamic context where effective leadership is crucial for adapting to and promoting innovation in education (Martin et al., 2013). These insights align with the research objectives of defining leadership practices, understanding their influence on innovation, and identifying factors that facilitate or hinder innovative cultures in primary education.</w:t>
      </w:r>
    </w:p>
    <w:p w14:paraId="606B718E" w14:textId="77777777" w:rsidR="00A463D4" w:rsidRPr="006D6358" w:rsidRDefault="00A463D4" w:rsidP="006D6358">
      <w:pPr>
        <w:spacing w:line="480" w:lineRule="auto"/>
        <w:rPr>
          <w:rFonts w:ascii="Arial" w:hAnsi="Arial" w:cs="Arial"/>
          <w:b/>
          <w:bCs/>
        </w:rPr>
      </w:pPr>
      <w:r w:rsidRPr="006D6358">
        <w:rPr>
          <w:rFonts w:ascii="Arial" w:hAnsi="Arial" w:cs="Arial"/>
          <w:b/>
          <w:bCs/>
        </w:rPr>
        <w:t>2.2 Demographic Diversity in South Wales: Shaping Educational Needs</w:t>
      </w:r>
    </w:p>
    <w:p w14:paraId="14F0420F" w14:textId="77777777" w:rsidR="00A463D4" w:rsidRPr="006D6358" w:rsidRDefault="00A463D4" w:rsidP="006D6358">
      <w:pPr>
        <w:spacing w:line="480" w:lineRule="auto"/>
        <w:jc w:val="both"/>
        <w:rPr>
          <w:rFonts w:ascii="Arial" w:hAnsi="Arial" w:cs="Arial"/>
        </w:rPr>
      </w:pPr>
      <w:r w:rsidRPr="006D6358">
        <w:rPr>
          <w:rFonts w:ascii="Arial" w:hAnsi="Arial" w:cs="Arial"/>
        </w:rPr>
        <w:t>South Wales boasts a unique demographic landscape that significantly influences its educational requirements (Jones et al, 2019). A distinctive characteristic of this region is its bilingual nature, primarily marked by the coexistence of English and Welsh languages (Davis, 2023). According to Evans (2022), the bilingualism prevalent in South Wales calls for a nuanced approach to educational leadership, necessitating the accommodation of linguistic diversity. However, it's worth noting that while bilingualism is a prominent feature, the practical implementation of bilingual education in primary schools is somewhat limited, with most schools being either Welsh or English medium institutions, rarely combining both languages (Owen, 2021). This raises important questions about the extent to which bilingualism is effectively integrated into the educational system.</w:t>
      </w:r>
    </w:p>
    <w:p w14:paraId="6022FB62" w14:textId="77777777" w:rsidR="00A463D4" w:rsidRPr="006D6358" w:rsidRDefault="00A463D4" w:rsidP="006D6358">
      <w:pPr>
        <w:spacing w:line="480" w:lineRule="auto"/>
        <w:jc w:val="both"/>
        <w:rPr>
          <w:rFonts w:ascii="Arial" w:hAnsi="Arial" w:cs="Arial"/>
        </w:rPr>
      </w:pPr>
      <w:r w:rsidRPr="006D6358">
        <w:rPr>
          <w:rFonts w:ascii="Arial" w:hAnsi="Arial" w:cs="Arial"/>
        </w:rPr>
        <w:t>Recent studies, such as those by Thomas et al. (2021) and reports from the Welsh Government (2019), shed light on the strategies educational leaders employ to navigate this linguistic terrain. These studies highlight the importance of fostering an inclusive environment that values both languages, promoting educational equity and cultural preservation (Jones et al, 2019). However, a critical examination reveals that challenges persist. For instance, Thomas et al., (2021) argued that despite the emphasis on bilingualism, a lack of adequately trained bilingual teachers hinders the quality of bilingual education. Moreover, South Wales exhibits remarkable socio-cultural diversity, reflecting the multicultural fabric of its society. Census data and studies on cultural diversity in Wales, like the work of Owen (2021) and the Office for National Statistics (ONS, 2021), underscore the necessity for educational leaders to embrace and harness this diversity (Harris et al., 2022). However, it is important to critically assess the effectiveness of these efforts. Research by Cantrell et al. (2021) suggests that while there is recognition of cultural diversity, there remains a gap in culturally responsive teaching practices in South Wales’s classrooms, potentially hindering the full realisation of inclusive education.</w:t>
      </w:r>
    </w:p>
    <w:p w14:paraId="3912D8CF" w14:textId="77777777" w:rsidR="00A463D4" w:rsidRPr="006D6358" w:rsidRDefault="00A463D4" w:rsidP="006D6358">
      <w:pPr>
        <w:spacing w:line="480" w:lineRule="auto"/>
        <w:jc w:val="both"/>
        <w:rPr>
          <w:rFonts w:ascii="Arial" w:hAnsi="Arial" w:cs="Arial"/>
        </w:rPr>
      </w:pPr>
      <w:r w:rsidRPr="006D6358">
        <w:rPr>
          <w:rFonts w:ascii="Arial" w:hAnsi="Arial" w:cs="Arial"/>
        </w:rPr>
        <w:t>To deepen our understanding of the intricate interplay between demographic diversity and educational needs in South Wales, it is essential to conduct further research and analysis. Additional studies by Conn and Davis (2023) indicated the need for more comprehensive policies aimed at addressing the challenges posed by demographic diversity and enhancing the educational outcomes of culturally diverse student populations.</w:t>
      </w:r>
    </w:p>
    <w:p w14:paraId="231460DB" w14:textId="77777777" w:rsidR="00A463D4" w:rsidRPr="006D6358" w:rsidRDefault="00A463D4" w:rsidP="006D6358">
      <w:pPr>
        <w:spacing w:line="480" w:lineRule="auto"/>
        <w:jc w:val="both"/>
        <w:rPr>
          <w:rFonts w:ascii="Arial" w:hAnsi="Arial" w:cs="Arial"/>
        </w:rPr>
      </w:pPr>
      <w:r w:rsidRPr="006D6358">
        <w:rPr>
          <w:rFonts w:ascii="Arial" w:hAnsi="Arial" w:cs="Arial"/>
          <w:b/>
          <w:bCs/>
        </w:rPr>
        <w:t>2.3</w:t>
      </w:r>
      <w:r w:rsidRPr="006D6358">
        <w:rPr>
          <w:rFonts w:ascii="Arial" w:hAnsi="Arial" w:cs="Arial"/>
        </w:rPr>
        <w:t xml:space="preserve"> </w:t>
      </w:r>
      <w:r w:rsidRPr="006D6358">
        <w:rPr>
          <w:rFonts w:ascii="Arial" w:hAnsi="Arial" w:cs="Arial"/>
          <w:b/>
          <w:bCs/>
        </w:rPr>
        <w:t>Socio-Economic Dimensions and Their Impact on Education</w:t>
      </w:r>
    </w:p>
    <w:p w14:paraId="5FD47B5D" w14:textId="77777777" w:rsidR="00A463D4" w:rsidRPr="006D6358" w:rsidRDefault="00A463D4" w:rsidP="006D6358">
      <w:pPr>
        <w:spacing w:before="240" w:line="480" w:lineRule="auto"/>
        <w:jc w:val="both"/>
        <w:rPr>
          <w:rFonts w:ascii="Arial" w:hAnsi="Arial" w:cs="Arial"/>
        </w:rPr>
      </w:pPr>
      <w:r w:rsidRPr="006D6358">
        <w:rPr>
          <w:rFonts w:ascii="Arial" w:hAnsi="Arial" w:cs="Arial"/>
        </w:rPr>
        <w:t xml:space="preserve">The socio-economic landscape in South Wales poses distinct challenges within its education system, significantly impacting educational access and quality (Williams, 2019). A deeper exploration of strategies aimed at addressing these disparities, particularly from a leadership standpoint, is crucial. The Welsh Government (2021) published a comprehensive review highlighting the correlation between socio-economic factors and educational outcomes. This underscores the severity of socio-economic deprivation's link to poorer educational outcomes in children (Taylor, 2018). A critical examination of this report suggests the necessity for educational leaders to devise and implement specific strategies to effectively combat these inequalities </w:t>
      </w:r>
      <w:sdt>
        <w:sdtPr>
          <w:rPr>
            <w:rFonts w:ascii="Arial" w:hAnsi="Arial" w:cs="Arial"/>
          </w:rPr>
          <w:id w:val="210705934"/>
          <w:citation/>
        </w:sdtPr>
        <w:sdtEndPr/>
        <w:sdtContent>
          <w:r w:rsidRPr="006D6358">
            <w:rPr>
              <w:rFonts w:ascii="Arial" w:hAnsi="Arial" w:cs="Arial"/>
            </w:rPr>
            <w:fldChar w:fldCharType="begin"/>
          </w:r>
          <w:r w:rsidRPr="006D6358">
            <w:rPr>
              <w:rFonts w:ascii="Arial" w:hAnsi="Arial" w:cs="Arial"/>
            </w:rPr>
            <w:instrText xml:space="preserve"> CITATION Rey16 \l 2057 </w:instrText>
          </w:r>
          <w:r w:rsidRPr="006D6358">
            <w:rPr>
              <w:rFonts w:ascii="Arial" w:hAnsi="Arial" w:cs="Arial"/>
            </w:rPr>
            <w:fldChar w:fldCharType="separate"/>
          </w:r>
          <w:r w:rsidRPr="006D6358">
            <w:rPr>
              <w:rFonts w:ascii="Arial" w:hAnsi="Arial" w:cs="Arial"/>
              <w:noProof/>
            </w:rPr>
            <w:t xml:space="preserve"> (Reynolds, 2016)</w:t>
          </w:r>
          <w:r w:rsidRPr="006D6358">
            <w:rPr>
              <w:rFonts w:ascii="Arial" w:hAnsi="Arial" w:cs="Arial"/>
            </w:rPr>
            <w:fldChar w:fldCharType="end"/>
          </w:r>
        </w:sdtContent>
      </w:sdt>
      <w:r w:rsidRPr="006D6358">
        <w:rPr>
          <w:rFonts w:ascii="Arial" w:hAnsi="Arial" w:cs="Arial"/>
        </w:rPr>
        <w:t xml:space="preserve">. One such strategy is providing targeted financial support for disadvantaged students. Scholarships, grants, and subsidies for school essentials can alleviate financial burdens, thus facilitating access to quality education (Spencer et al., 2017). The "Welsh Education Support Fund," for example, has significantly aided students from lower-income families, improving their retention rates and higher education access (Welsh Government, 2020). Also, the urban-rural educational divide in South Wales introduces complexity into educational leadership. The Welsh Government's Rural Education Action Plan (2018) addresses challenges in rural schools, including infrastructure, transportation, and remote learning resources (Thomas &amp; Evans, 2021). For instance, the 'Rural School Connectivity Initiative' has significantly improved internet access, broadening students' digital education opportunities (Jones, 2022). However, this complexity arises from factors such as limited access to quality educational materials, fewer extracurricular opportunities, teacher shortages, and socio-economic disparities in rural areas (Jones, 2022). Attracting and retaining qualified teachers in rural schools presents a significant challenge, impacting the overall quality of education. These factors necessitate innovative leadership strategies that specifically address rural education challenges. In regions like Scotland and Northern England, similar socio-economic disparities are met with diverse leadership approaches, emphasising the importance of tailored leadership strategies in mitigating educational inequalities (Egan and Keane, 2018)." Moreover, according to Egan (2020) and supported by Grigg (2016), this analysis underscores the need for educational leaders to adopt multifaceted and context-sensitive approaches to address socio-economic disparities in education effectively. Future research may focus on evaluating such leadership strategies, ensuring equitable educational outcomes across diverse socio-economic backgrounds in South Wales and beyond (Courtney et al., 2021). </w:t>
      </w:r>
    </w:p>
    <w:p w14:paraId="758D7566"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2.4 Analysing Leadership Model in Educational Context</w:t>
      </w:r>
    </w:p>
    <w:p w14:paraId="4EDDC95B" w14:textId="77777777" w:rsidR="00A463D4" w:rsidRPr="006D6358" w:rsidRDefault="00A463D4" w:rsidP="006D6358">
      <w:pPr>
        <w:spacing w:line="480" w:lineRule="auto"/>
        <w:jc w:val="both"/>
        <w:rPr>
          <w:rFonts w:ascii="Arial" w:hAnsi="Arial" w:cs="Arial"/>
        </w:rPr>
      </w:pPr>
      <w:r w:rsidRPr="006D6358">
        <w:rPr>
          <w:rFonts w:ascii="Arial" w:hAnsi="Arial" w:cs="Arial"/>
        </w:rPr>
        <w:t>In the realm of educational leadership in South Wales, the incorporation of the Four V’s model, as conceptualised by Laney in (2001), alongside Mendelow’s Matrix, introduced by Mendelow (1981), presents a blend of data analytics and stakeholder management. These methodologies, while structured and insightful, invite critical scrutiny for their applicability and contextual relevance in an evolving educational landscape.</w:t>
      </w:r>
    </w:p>
    <w:p w14:paraId="2D829947" w14:textId="77777777" w:rsidR="00A463D4" w:rsidRPr="006D6358" w:rsidRDefault="00A463D4" w:rsidP="006D6358">
      <w:pPr>
        <w:spacing w:line="480" w:lineRule="auto"/>
        <w:jc w:val="both"/>
        <w:rPr>
          <w:rFonts w:ascii="Arial" w:hAnsi="Arial" w:cs="Arial"/>
        </w:rPr>
      </w:pPr>
      <w:r w:rsidRPr="006D6358">
        <w:rPr>
          <w:rFonts w:ascii="Arial" w:hAnsi="Arial" w:cs="Arial"/>
        </w:rPr>
        <w:t>The Four V’s model places significant emphasis on crucial aspects of data management within educational settings, specifically Volume, Variety, Velocity, and Veracity. It addresses the substantial challenge of managing the extensive volume of data that is inherent in modern educational systems, a concern that is echoed by Herschel and Miori (2017). Moreover, the Welsh Government's reports from 2019 and 2021 explicitly highlight the difficulties educational institutions face when dealing with such large volumes of data. In addition to volume, the model draws attention to the diversity (Variety) of data types, as discussed by Sivarajah et al. (2017), which necessitates the employment of advanced methods for effective analysis and interpretation, a point further underscored by Kitchin (2014). Furthermore, the rapid pace of data accumulation (Velocity) and the crucial need for data accuracy (Veracity) present additional challenges for educational leaders, as thoroughly examined by Xu and Duan (2019).</w:t>
      </w:r>
    </w:p>
    <w:p w14:paraId="063EFDE1" w14:textId="77777777" w:rsidR="00A463D4" w:rsidRPr="006D6358" w:rsidRDefault="00A463D4" w:rsidP="006D6358">
      <w:pPr>
        <w:spacing w:line="480" w:lineRule="auto"/>
        <w:jc w:val="both"/>
        <w:rPr>
          <w:rFonts w:ascii="Arial" w:hAnsi="Arial" w:cs="Arial"/>
        </w:rPr>
      </w:pPr>
      <w:r w:rsidRPr="006D6358">
        <w:rPr>
          <w:rFonts w:ascii="Arial" w:hAnsi="Arial" w:cs="Arial"/>
        </w:rPr>
        <w:t>On the other hand, the matrix, and applied in the Welsh educational context (Farrell and James, 2017), provides a strategic tool for categorising stakeholders based on their power and interest, aimed at facilitating decision-making processes in educational institutions. However, its binary structure might not fully capture the dynamic and fluid nature of stakeholder relationships in education, as argued by Mitchell et al. (1997). This model's potential oversimplification of complex interactions is particularly relevant in South Wales, where diverse educational environments exist, as highlighted in studies by Bond (2022) and Esposito (2018).</w:t>
      </w:r>
    </w:p>
    <w:p w14:paraId="399E6659" w14:textId="77777777" w:rsidR="00A463D4" w:rsidRPr="006D6358" w:rsidRDefault="00A463D4" w:rsidP="006D6358">
      <w:pPr>
        <w:spacing w:line="480" w:lineRule="auto"/>
        <w:jc w:val="both"/>
        <w:rPr>
          <w:rFonts w:ascii="Arial" w:hAnsi="Arial" w:cs="Arial"/>
        </w:rPr>
      </w:pPr>
      <w:r w:rsidRPr="006D6358">
        <w:rPr>
          <w:rFonts w:ascii="Arial" w:hAnsi="Arial" w:cs="Arial"/>
        </w:rPr>
        <w:t>Comparatively, the Systems Thinking Model, advocated by Senge (1990) and supported by Capra (2017), offers a holistic approach to understanding educational institutions. This model views educational institutions as interconnected entities, focusing on complex relationships and feedback loops within the system (Senge, 1990). Meadows (2008) also highlights the relevance of this approach in addressing multifaceted challenges in South Wales’s education, emphasising the need for systemic solutions. It underscores the importance of understanding the broader implications of decisions and policies in regions characterised by linguistic diversity and socio-economic disparities (Arnold &amp; Wade, 2015). However, critics like Oshry and Prewitt (2007) argued that while Systems Thinking provides a comprehensive overview, its high-level perspective might sometimes miss the nuanced realities of individual educational settings. This critique was supported by the work of Fullan (2007), who emphasises the importance of balancing systemic views with attention to local details. Fullan's perspective suggests integrating more granular, data-driven approaches, such as those found in the work of Heifetz and Linsky (2014) on Adaptive Leadership, alongside Systems Thinking. This combination ensures that both macro-level insights and micro-level details, as discussed by Bryk et al. (2015), inform educational leadership in South Wales, addressing the need for a multidimensional approach highlighted by Reynolds and McKimm (2021).However, The Four V’s Model, which emphasises key aspects of data management in educational settings (Herschel,  2017), highlights Volume, Variety, Velocity, and Veracity as critical considerations (Nyamful et al., 2019). This model highlights the challenges associated with managing extensive data volumes, as reported by the Welsh Government in 2019 and 2021 and emphasises the need for advanced methods to analyse and interpret the variety of data, as discussed by Sivarajah et al. (2017). Additionally, the rapid accumulation of data (Velocity) and the importance of data accuracy (Veracity) are recognised issues (Nyamful et al., 2019). In contrast, the Systems Thinking Model, advocated by Senge (1990) and supported by Capra (2017), offers a holistic approach, viewing educational institutions as interconnected entities. This model is relevant in South Wales, where multifaceted educational challenges require systemic solutions (Meadows, 2008).</w:t>
      </w:r>
    </w:p>
    <w:p w14:paraId="0CC9345C" w14:textId="77777777" w:rsidR="00A463D4" w:rsidRPr="006D6358" w:rsidRDefault="00A463D4" w:rsidP="006D6358">
      <w:pPr>
        <w:spacing w:line="480" w:lineRule="auto"/>
        <w:jc w:val="both"/>
        <w:rPr>
          <w:rFonts w:ascii="Arial" w:hAnsi="Arial" w:cs="Arial"/>
        </w:rPr>
      </w:pPr>
      <w:r w:rsidRPr="006D6358">
        <w:rPr>
          <w:rFonts w:ascii="Arial" w:hAnsi="Arial" w:cs="Arial"/>
        </w:rPr>
        <w:t>A holistic approach that integrates structured analyses from the Four V's and Mendelow's Matrix with broader insights into Systems Thinking could offer a more suitable solution for South Wales. This integrated model would enable educational leaders to navigate the complexities of data management and stakeholder engagement while maintaining a comprehensive view of the educational system's dynamics, aligning with the recommendations of Jackson (2016) and Checkland (2000) for adaptable and regionally responsive methodologies.</w:t>
      </w:r>
    </w:p>
    <w:p w14:paraId="1DEA609A"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Moreover, the synergy between the Four V’s Model, Mendelow’s Matrix, and Systems Thinking has the potential to foster more effective and context-sensitive strategies in educational leadership (Jackson, 2016). Future research should further explore this integration, aiming to develop adaptable and comprehensive strategies aligned with the unique challenges and opportunities of South Wales. </w:t>
      </w:r>
    </w:p>
    <w:p w14:paraId="4388A9BE"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 xml:space="preserve">2.5 </w:t>
      </w:r>
      <w:bookmarkStart w:id="0" w:name="_Hlk163826926"/>
      <w:r w:rsidRPr="006D6358">
        <w:rPr>
          <w:rFonts w:ascii="Arial" w:hAnsi="Arial" w:cs="Arial"/>
          <w:b/>
          <w:bCs/>
        </w:rPr>
        <w:t xml:space="preserve">Impact of Adaptive Leadership on Educational Innovations </w:t>
      </w:r>
      <w:bookmarkEnd w:id="0"/>
    </w:p>
    <w:p w14:paraId="6CE4C7E5" w14:textId="77777777" w:rsidR="00A463D4" w:rsidRPr="006D6358" w:rsidRDefault="00A463D4" w:rsidP="006D6358">
      <w:pPr>
        <w:spacing w:line="480" w:lineRule="auto"/>
        <w:jc w:val="both"/>
        <w:rPr>
          <w:rFonts w:ascii="Arial" w:hAnsi="Arial" w:cs="Arial"/>
        </w:rPr>
      </w:pPr>
      <w:r w:rsidRPr="006D6358">
        <w:rPr>
          <w:rFonts w:ascii="Arial" w:hAnsi="Arial" w:cs="Arial"/>
        </w:rPr>
        <w:t>According to Dunn (2020), Adaptive Leadership, recognised as a dynamic leadership approach, assumes a pivotal role in influencing the landscape of educational innovation within primary education institutions in South Wales. Developed by Heifetz et al. (2009), Adaptive Leadership offers a strategic framework to tackle complex challenges and equips leaders with the necessary tools to navigate change effectively. This comprehensive analysis explores the multifaceted impact of Adaptive Leadership, shedding light on its role in fostering innovative teaching methods and nurturing a culture of creativity within the primary education sector. Adaptive Leadership excels in steering educational institutions through transformations, making it a cornerstone of contemporary educational settings (Nelson et al., 2017). Hulmes et al. (2023) observed that Adaptive Leadership empowers South Wales schools to integrate digital technologies and creative pedagogies. Also, according to Sarid (2021), this forward-thinking educational culture aligns with the evolving needs of students and the demands of a rapidly changing world. One of the key strengths of Adaptive Leadership is its ability to foster a learning environment that encourages innovation (Dunn, 2020). Leaders practicing Adaptive Leadership empower educators to think critically, take calculated risks, and experiment with new teaching methods. This approach is in line with the emphasis on critical thinking, creativity, and digital competence advocated in the 'Successful Futures' report (2015) in Wales, as highlighted by Humes and Priestley (2021). Adaptive leaders provide the necessary support and encouragement for educators to explore innovative avenues in their teaching practices. According to Griffiths et al., (2021) underscore the significance of leadership in aligning institutional policies with innovative teaching practices in a comparative study of Welsh primary schools. Lynch et al. (2023) shed light on how socio-economic factors influence leadership decisions and, consequently, the implementation of innovative practices. These factors underline the importance of leaders who may adapt to the unique challenges presented by their specific contexts. Moreover, leadership development programs focusing on Adaptive Leadership are crucial for equipping headteachers with the skills needed to foster innovation effectively. Also, studies by Spencer (2022), founded that these programs not only enhance headteachers' ability to adapt to change but also provide them with the tools to create a culture valuing and implementing innovative educational practices. Furthermore, research by Thomas et al. (2020), explores globally successful leadership styles and their application, particularly in the context of fostering a culture of innovation. Additionally, in-depth analysis, reveals that Adaptive Leadership goes beyond leadership practices and it encompasses the broader context in which educational innovations take place (Spencer, 2022). School culture, driven by headteachers who embrace Adaptive Leadership, fosters openness, trust, and a willingness to embrace change. Noble (2021), found a direct correlation between collaborative leadership and increased pedagogical innovation. However, Tanner et al. (2019) caution against a performance-centric culture that could stifle creativity, emphasising the need for a balance between accountability and innovative encouragement.</w:t>
      </w:r>
    </w:p>
    <w:p w14:paraId="1FD58F49" w14:textId="77777777" w:rsidR="00A463D4" w:rsidRPr="006D6358" w:rsidRDefault="00A463D4" w:rsidP="006D6358">
      <w:pPr>
        <w:spacing w:line="480" w:lineRule="auto"/>
        <w:jc w:val="both"/>
        <w:rPr>
          <w:rFonts w:ascii="Arial" w:hAnsi="Arial" w:cs="Arial"/>
        </w:rPr>
      </w:pPr>
      <w:r w:rsidRPr="006D6358">
        <w:rPr>
          <w:rFonts w:ascii="Arial" w:hAnsi="Arial" w:cs="Arial"/>
        </w:rPr>
        <w:t>Educational policies also play a vital role in shaping the innovation landscape. According to Welsh Government (2018), the digital competency initiative is an example of how policy frameworks may provide a foundation and necessary resources for innovation. Nonetheless, as Jones (2019), pointed out that overly rigid policies could hinder teachers' autonomy, potentially impeding innovative teaching methods. Strategic allocation of resources, as emphasised by Morgan (2015), is essential for innovation, particularly in professional development and technology. However, Clancy et al. (2011) note that disparities in resource allocation can create unequal innovation opportunities, especially in socio-economically challenged areas. Also, the bilingual education policy in South Wales presents unique challenges and opportunities for innovation. Thomas et al. (2021) illustrate how bilingual education fosters creative teaching methods. However, Parry and Thomas (2019) cautioned that the complexities of implementing this policy can sometimes detract from other innovative efforts. Moreover, the recent educational reforms in Wales require Adaptive Leadership. The success of these reforms, aimed at creating a flexible education system, largely depends on leaders' ability to align them with specific school needs, as argued by Taylor et al. (2020). Adaptive Leadership is an asset in navigating the changing landscape of educational policy and practice.</w:t>
      </w:r>
    </w:p>
    <w:p w14:paraId="5EE696FE" w14:textId="77777777" w:rsidR="00A463D4" w:rsidRPr="006D6358" w:rsidRDefault="00A463D4" w:rsidP="006D6358">
      <w:pPr>
        <w:spacing w:line="480" w:lineRule="auto"/>
        <w:jc w:val="both"/>
        <w:rPr>
          <w:rFonts w:ascii="Arial" w:hAnsi="Arial" w:cs="Arial"/>
        </w:rPr>
      </w:pPr>
      <w:r w:rsidRPr="006D6358">
        <w:rPr>
          <w:rFonts w:ascii="Arial" w:hAnsi="Arial" w:cs="Arial"/>
          <w:b/>
          <w:bCs/>
        </w:rPr>
        <w:t>2.6</w:t>
      </w:r>
      <w:r w:rsidRPr="006D6358">
        <w:rPr>
          <w:rFonts w:ascii="Arial" w:hAnsi="Arial" w:cs="Arial"/>
        </w:rPr>
        <w:t xml:space="preserve"> </w:t>
      </w:r>
      <w:bookmarkStart w:id="1" w:name="_Hlk163827001"/>
      <w:r w:rsidRPr="006D6358">
        <w:rPr>
          <w:rFonts w:ascii="Arial" w:hAnsi="Arial" w:cs="Arial"/>
          <w:b/>
          <w:bCs/>
        </w:rPr>
        <w:t>Impact of Leadership Practices on Educational Innovations</w:t>
      </w:r>
      <w:bookmarkEnd w:id="1"/>
    </w:p>
    <w:p w14:paraId="4F3B864F" w14:textId="77777777" w:rsidR="00A463D4" w:rsidRPr="006D6358" w:rsidRDefault="00A463D4" w:rsidP="006D6358">
      <w:pPr>
        <w:spacing w:line="480" w:lineRule="auto"/>
        <w:jc w:val="both"/>
        <w:rPr>
          <w:rFonts w:ascii="Arial" w:hAnsi="Arial" w:cs="Arial"/>
        </w:rPr>
      </w:pPr>
      <w:r w:rsidRPr="006D6358">
        <w:rPr>
          <w:rFonts w:ascii="Arial" w:hAnsi="Arial" w:cs="Arial"/>
        </w:rPr>
        <w:t>Leadership styles, play a crucial role in influencing educators' inclination toward innovative teaching methods in South Wales’s primary education. The flexibility of Situational Leadership, conceptualised by Hersey and Blanchard (1969), is vital in fostering an environment conducive to pedagogical innovation. By adapting to varying levels of teachers' readiness and competence, this leadership style allows tailored support, encouraging creative teaching methods (Sarid, 2021). Glover and Bush (2003) found in their study of Welsh primary schools that leaders employing Situational Leadership facilitated quicker adoption of innovative bilingual teaching strategies, particularly among less experienced teachers. In contrast, Adaptive Leadership, focusing on navigating change and fostering learning environments, is crucial in contemporary educational settings. Heifetz et al. (2009), argued for the importance of this leadership style in steering educators and institutions through transformations. Hulmes et al. (2022) observed that under Adaptive Leadership, South Wales schools showed a higher propensity to integrate digital technologies and creative pedagogies, indicative of a forward-thinking educational culture.</w:t>
      </w:r>
    </w:p>
    <w:p w14:paraId="399C5E17" w14:textId="77777777" w:rsidR="00A463D4" w:rsidRPr="006D6358" w:rsidRDefault="00A463D4" w:rsidP="006D6358">
      <w:pPr>
        <w:spacing w:line="480" w:lineRule="auto"/>
        <w:jc w:val="both"/>
        <w:rPr>
          <w:rFonts w:ascii="Arial" w:hAnsi="Arial" w:cs="Arial"/>
        </w:rPr>
      </w:pPr>
      <w:r w:rsidRPr="006D6358">
        <w:rPr>
          <w:rFonts w:ascii="Arial" w:hAnsi="Arial" w:cs="Arial"/>
        </w:rPr>
        <w:t>Theoretical and empirical studies provide comparative insights into these leadership impacts. Webb (2005) posits that leadership styles balancing directive and supportive behaviours cultivate an innovation-friendly atmosphere in schools. Griffiths et al., (2021) underscores the significance of leadership in aligning institutional policies with innovative teaching practices in a comparative study of Welsh primary schools. Beyond direct leadership impacts, broader contextual factors significantly influence innovation adoption. Lynch et al. (2023), highlights how socio-economic factors in South Wales affect leadership decisions and, consequently, innovative practice implementation. Similarly, Evans (2022) emphasize regional educational policies' impact on leadership approaches and innovation adoption in schools. Leadership development focusing on enhancing adaptive and situational skills is also crucial, as Egan and Keane (2018) showed leadership development programs have promising results in Welsh primary schools. Thomas et al. (2020), provides insights into globally successful leadership styles and their application in South Wales, particularly in fostering a culture valuing and implementing innovative educational practices.</w:t>
      </w:r>
    </w:p>
    <w:p w14:paraId="3ED26695" w14:textId="77777777" w:rsidR="00A463D4" w:rsidRPr="006D6358" w:rsidRDefault="00A463D4" w:rsidP="006D6358">
      <w:pPr>
        <w:spacing w:line="480" w:lineRule="auto"/>
        <w:jc w:val="both"/>
        <w:rPr>
          <w:rFonts w:ascii="Arial" w:hAnsi="Arial" w:cs="Arial"/>
        </w:rPr>
      </w:pPr>
      <w:r w:rsidRPr="006D6358">
        <w:rPr>
          <w:rFonts w:ascii="Arial" w:hAnsi="Arial" w:cs="Arial"/>
        </w:rPr>
        <w:t>It could be argued, but by analysing the impact of organisational and contextual factors in fostering innovation in South Wales’s primary education, made it clear that the interplay between these elements under various leadership styles is complex and multifaceted Evans (2022). Additionally, the impact of school culture, policies, resource allocation, bilingual education policy, socio-economic diversity, and educational reforms under various leadership styles in South Wales's primary education significantly shapes the innovation potential (Kools et al., 2018). School culture, driven by leadership that fosters openness and trust, encourages educators to take risks and think creatively. Jones and Wyse (2021) found a direct correlation between collaborative leadership and increased pedagogical innovation. However, Tanner et al. (2014) warns against a performance-centric culture that could stifle creativity, highlighting the need for a balance between accountability and innovative encouragement. Educational policies also play a crucial role, the Welsh Government's digital competency initiative in 2018, exemplifies how policy could provide a framework and necessary resources for innovation. Yet, as Jones (2019) points out, overly rigid policies could restrict teachers' autonomy, impeding innovative teaching methods. The strategic allocation of resources, as emphasised by Morgan et al. (2021), is essential for innovation, particularly in professional development and technology. However, Bramley and Watkins (2011) note that disparities in resource allocation could create unequal innovation opportunities, particularly in socio-economically challenged areas. The bilingual education policy in South Wales also presents unique challenges and opportunities for innovation. Thomas et al. (2021), show how bilingual education fosters creative teaching methods, but Parry and Thomas (2019), cautioned that the complexities of implementing this policy can sometimes detract from other innovative efforts. Furthermore, socio-economic diversity profoundly influences innovation. Leadership styles that adapt to diverse student needs promote inclusive and innovative practices, yet, as Taylor et al. (2020) observe, socio-economic disparities could hinder the adoption of new teaching methods in under-resourced schools. Additionally, the recent educational reforms in Wales require adaptive leadership. The success of these reforms, aimed at creating a flexible education system, largely depends on leaders' ability to align them with specific school needs, as argued by Taylor et al. (2020). Together, these factors create a multifaceted environment in which leadership styles directly impact the cultivation of innovation within the primary education sector. Additionally, the cultivation of innovation in South Wales’s primary education is influenced by multiple interrelated factors. Effective leadership, sensitive to these organisational and contextual nuances, is essential in navigating these complexities to foster a sustainable culture of innovation.</w:t>
      </w:r>
    </w:p>
    <w:p w14:paraId="28B62DE2"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2.7 Educational Innovation through Collaborative Leadership and Stakeholders</w:t>
      </w:r>
    </w:p>
    <w:p w14:paraId="700B0314" w14:textId="77777777" w:rsidR="00A463D4" w:rsidRPr="006D6358" w:rsidRDefault="00A463D4" w:rsidP="006D6358">
      <w:pPr>
        <w:spacing w:line="480" w:lineRule="auto"/>
        <w:jc w:val="both"/>
        <w:rPr>
          <w:rFonts w:ascii="Arial" w:hAnsi="Arial" w:cs="Arial"/>
        </w:rPr>
      </w:pPr>
      <w:r w:rsidRPr="006D6358">
        <w:rPr>
          <w:rFonts w:ascii="Arial" w:hAnsi="Arial" w:cs="Arial"/>
        </w:rPr>
        <w:t>When it comes to South Wales’s primary education, the intricate interplay of collaborative leadership with community engagement and stakeholder partnerships reveals a multifaceted impact on educational innovation (Harris and Jones, 2017). Collaborative leadership, extending beyond the confines of traditional school management, necessitates an inclusive approach, engaging diverse stakeholders from parents to local businesses (Harris and Carrington, 2017). This inclusive approach, however, is not without challenges. Jones et al., (2019) point out that while collaborative leadership fosters broader community involvement, it often requires navigating complex dynamics and conflicting interests.</w:t>
      </w:r>
    </w:p>
    <w:p w14:paraId="7181F725" w14:textId="77777777" w:rsidR="00A463D4" w:rsidRPr="006D6358" w:rsidRDefault="00A463D4" w:rsidP="006D6358">
      <w:pPr>
        <w:spacing w:line="480" w:lineRule="auto"/>
        <w:jc w:val="both"/>
        <w:rPr>
          <w:rFonts w:ascii="Arial" w:hAnsi="Arial" w:cs="Arial"/>
        </w:rPr>
      </w:pPr>
      <w:r w:rsidRPr="006D6358">
        <w:rPr>
          <w:rFonts w:ascii="Arial" w:hAnsi="Arial" w:cs="Arial"/>
        </w:rPr>
        <w:t>Empirical studies, such as those by Meace et al., (2022), highlight the transformative impact of collaborative leadership on educational settings, particularly in fostering a culture that embraces innovation. However, contrasting views by Jennings (2021) suggest that the efficacy of such leadership styles could be contingent upon the existing school culture and the readiness of staff to embrace change. This dichotomy illustrates the nuanced nature of implementing collaborative leadership in diverse educational contexts.</w:t>
      </w:r>
    </w:p>
    <w:p w14:paraId="21F34167" w14:textId="77777777" w:rsidR="00A463D4" w:rsidRPr="006D6358" w:rsidRDefault="00A463D4" w:rsidP="006D6358">
      <w:pPr>
        <w:spacing w:line="480" w:lineRule="auto"/>
        <w:jc w:val="both"/>
        <w:rPr>
          <w:rFonts w:ascii="Arial" w:hAnsi="Arial" w:cs="Arial"/>
        </w:rPr>
      </w:pPr>
      <w:r w:rsidRPr="006D6358">
        <w:rPr>
          <w:rFonts w:ascii="Arial" w:hAnsi="Arial" w:cs="Arial"/>
        </w:rPr>
        <w:t>The role of collaborative leadership in driving educational reforms, particularly in linguistically and culturally diverse settings like South Wales, is critical. Kools et al., (2018) emphasise that collaborative leaders who actively engage with linguistic communities can effectively integrate bilingual education policies, enhancing learning outcomes. Conversely, Gatley (2020) cautions about the potential oversights in balancing cultural inclusivity with educational standards, indicating a need for a balanced approach. Furthermore, the impact of socio-economic factors under collaborative leadership paradigms is significant. James et al., (2006) research indicates that socio-economic disparities may influence the success of community engagement initiatives, potentially leading to inequitable educational opportunities. This is echoed by Williams (2019), who underscores the importance of leadership in mitigating socio-economic challenges to ensure equitable access to innovative educational practices. The long-term benefits of collaborative leadership, as suggested by Roberts (2022), extend beyond immediate educational outcomes, fostering a resilient and adaptable educational system. However, this requires leaders to not only engage with current challenges but also anticipate future educational trends, a point highlighted by Lemke et al., (2024). This forward-thinking approach is essential for ensuring that schools remain relevant and responsive to the evolving educational landscape. Moreover, while collaborative leadership in South Wales’s primary education sector presents a promising avenue for fostering educational innovation, it requires a nuanced and context-sensitive approach. Leaders must balance the demands of diverse stakeholders, socio-economic factors, and cultural dynamics to effectively harness the potential of collaborative efforts (Gatley, 2020). Future research should continue to explore these dynamics, providing deeper insights into how collaborative leadership can be optimised for the benefit of the educational community at large (British Educational Research Association, 2019).</w:t>
      </w:r>
    </w:p>
    <w:p w14:paraId="0C20C2BF" w14:textId="77777777" w:rsidR="00A463D4" w:rsidRPr="006D6358" w:rsidRDefault="00A463D4" w:rsidP="006D6358">
      <w:pPr>
        <w:spacing w:line="480" w:lineRule="auto"/>
        <w:jc w:val="both"/>
        <w:rPr>
          <w:rFonts w:ascii="Arial" w:hAnsi="Arial" w:cs="Arial"/>
        </w:rPr>
      </w:pPr>
      <w:r w:rsidRPr="006D6358">
        <w:rPr>
          <w:rFonts w:ascii="Arial" w:hAnsi="Arial" w:cs="Arial"/>
          <w:b/>
          <w:bCs/>
        </w:rPr>
        <w:t>2.8 Teacher Innovative Methods and Leadership Styles</w:t>
      </w:r>
    </w:p>
    <w:p w14:paraId="5FDBC0F2" w14:textId="77777777" w:rsidR="00A463D4" w:rsidRPr="006D6358" w:rsidRDefault="00A463D4" w:rsidP="006D6358">
      <w:pPr>
        <w:spacing w:line="480" w:lineRule="auto"/>
        <w:jc w:val="both"/>
        <w:rPr>
          <w:rFonts w:ascii="Arial" w:hAnsi="Arial" w:cs="Arial"/>
        </w:rPr>
      </w:pPr>
      <w:r w:rsidRPr="006D6358">
        <w:rPr>
          <w:rFonts w:ascii="Arial" w:hAnsi="Arial" w:cs="Arial"/>
        </w:rPr>
        <w:t>Leadership styles play a pivotal role in shaping teachers' creativity and their willingness to embrace innovative teaching methods. Transformational leadership, characterised by its inspirational and motivational qualities (Bass &amp; Riggio, 2006), has the potential to foster a culture of creativity among teachers (Leithwood, 2006). However, it must grapple with practical challenges such as limited resources and administrative demands (Roberts et al., 2021). Distributed leadership, promoted by Spillane (2012) and Bennell (2015), empowers teachers through collaboration and shared decision-making. However, its success depends on a supportive school culture and the extent of teachers' professional autonomy. Collaboration, as highlighted by Sterling (2014) and Scott et al., (2008), could spark innovation but may miss opportunities if it adheres too closely to established norms. Striking a balance between structured collaboration and creative autonomy is crucial for maximising the benefits of distributed leadership in education.  Adaptive leadership, essential for addressing educational reforms and demographic changes in South Wales (Heifetz et al., 2009), requires leaders to tackle complex challenges at the systemic level (Northouse, 2021). However, this approach may not always align with teachers' immediate needs, which encompass day-to-day classroom requirements, professional development, and student diversity support (Bush, 2020). Balancing the broader systemic perspective of adaptive leadership with teachers' specific, classroom-related needs is a critical consideration for fostering both innovation and teacher well-being (Hulme et al., 2023). Situational leadership, as applied to teachers in South Wales education, involves adapting leadership styles based on their readiness and competency levels (Hersey et Al., 1969). This approach could be particularly effective when teachers have varying levels of experience and cultural backgrounds (Murphy, 2021). However, research reveals that while situational leadership offers adaptability, it must be implemented judiciously. When applied to teachers who are already competent, it may stifle creativity, while granting too much autonomy in complex situations could lead to uncertainty in decision-making. (Murphy, 2021). When analysing these leadership styles, it reveals a nuanced picture. While transformational leadership may inspire creativity (Bass et al., 2006), it may need to be complemented by adaptive leadership to address systemic changes effectively (Heifetz et al., 2009). Distributed leadership can empower teachers (Spillane et al., 2001) but requires a supportive culture to thrive (Sterling, 2014). Importantly, the preferences and perceptions of teachers in South Wales regarding leadership styles are pivotal, their buy-in and comfort with specific approaches significantly impact their willingness to adopt innovative teaching methods (Murphy, 2003). Additionally, situational leadership, which adapts to teachers' readiness and competence levels (Ruslan et al., 2020), plays a role in optimising creative teaching strategies, ensuring that autonomy aligns with teachers' needs and the complexity of the situation. Future research should delve deeper into teachers' experiences and perspectives to provide a comprehensive understanding of leadership dynamics in South Wales’s primary education sector. Ultimately, the effectiveness of leadership styles in this context depends not only on their inherent qualities but also on their alignment with the multifaceted challenges and goals of individual schools (Spillane et al., 2001), highlighting the need for adaptable and context-sensitive leadership approaches (Egan, 2018).</w:t>
      </w:r>
    </w:p>
    <w:p w14:paraId="0C860086"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 xml:space="preserve">2.8.1 </w:t>
      </w:r>
      <w:bookmarkStart w:id="2" w:name="_Hlk163827157"/>
      <w:r w:rsidRPr="006D6358">
        <w:rPr>
          <w:rFonts w:ascii="Arial" w:hAnsi="Arial" w:cs="Arial"/>
          <w:b/>
          <w:bCs/>
        </w:rPr>
        <w:t>Professional Development Programs for Teachers</w:t>
      </w:r>
      <w:bookmarkEnd w:id="2"/>
    </w:p>
    <w:p w14:paraId="0BCECAC8" w14:textId="77777777" w:rsidR="00A463D4" w:rsidRPr="006D6358" w:rsidRDefault="00A463D4" w:rsidP="006D6358">
      <w:pPr>
        <w:spacing w:line="480" w:lineRule="auto"/>
        <w:jc w:val="both"/>
        <w:rPr>
          <w:rFonts w:ascii="Arial" w:hAnsi="Arial" w:cs="Arial"/>
        </w:rPr>
      </w:pPr>
      <w:r w:rsidRPr="006D6358">
        <w:rPr>
          <w:rFonts w:ascii="Arial" w:hAnsi="Arial" w:cs="Arial"/>
        </w:rPr>
        <w:t>Professional leadership development and support are integral components of nurturing creative teaching practices. Tailoring professional development programs to teachers' specific needs enhances creativity in the classroom (Campbell et al., 2018). These programs offer opportunities for innovative pedagogical engagement, peer collaboration, and skill acquisition, essential for fostering creativity (Jones et al., 2023).</w:t>
      </w:r>
    </w:p>
    <w:p w14:paraId="174613AE" w14:textId="77777777" w:rsidR="00A463D4" w:rsidRPr="006D6358" w:rsidRDefault="00A463D4" w:rsidP="006D6358">
      <w:pPr>
        <w:spacing w:line="480" w:lineRule="auto"/>
        <w:jc w:val="both"/>
        <w:rPr>
          <w:rFonts w:ascii="Arial" w:hAnsi="Arial" w:cs="Arial"/>
        </w:rPr>
      </w:pPr>
      <w:r w:rsidRPr="006D6358">
        <w:rPr>
          <w:rFonts w:ascii="Arial" w:hAnsi="Arial" w:cs="Arial"/>
        </w:rPr>
        <w:t>Leadership's active encouragement and resource allocation for continuous professional development (CPD) significantly enhance teaching creativity and innovation (Weicht et al., 2021). Leadership support propels teachers towards embracing new teaching methods (Jones, 2016). Conversely, insufficient leadership support can lead to underutilised CPD opportunities and potential stifling of teacher creativity (McMahon, 2011). Also, Leadership's role extends to shaping a school culture that values ongoing learning and innovation, directly contributing to enhanced teacher creativity (Campbell et al., 2018). Effective leaders bridge the gap between knowledge pursuit and classroom application, fostering an environment conducive to creativity (Weicht et al., 2021).</w:t>
      </w:r>
    </w:p>
    <w:p w14:paraId="766DB673" w14:textId="77777777" w:rsidR="00A463D4" w:rsidRPr="006D6358" w:rsidRDefault="00A463D4" w:rsidP="006D6358">
      <w:pPr>
        <w:pStyle w:val="ListParagraph"/>
        <w:numPr>
          <w:ilvl w:val="2"/>
          <w:numId w:val="2"/>
        </w:numPr>
        <w:spacing w:line="480" w:lineRule="auto"/>
        <w:jc w:val="both"/>
        <w:rPr>
          <w:rFonts w:ascii="Arial" w:hAnsi="Arial" w:cs="Arial"/>
          <w:b/>
          <w:bCs/>
        </w:rPr>
      </w:pPr>
      <w:bookmarkStart w:id="3" w:name="_Hlk163827107"/>
      <w:r w:rsidRPr="006D6358">
        <w:rPr>
          <w:rFonts w:ascii="Arial" w:hAnsi="Arial" w:cs="Arial"/>
          <w:b/>
          <w:bCs/>
        </w:rPr>
        <w:t>Barriers to Teacher Creativity</w:t>
      </w:r>
    </w:p>
    <w:bookmarkEnd w:id="3"/>
    <w:p w14:paraId="69FD5B7A" w14:textId="77777777" w:rsidR="00A463D4" w:rsidRPr="006D6358" w:rsidRDefault="00A463D4" w:rsidP="006D6358">
      <w:pPr>
        <w:spacing w:line="480" w:lineRule="auto"/>
        <w:jc w:val="both"/>
        <w:rPr>
          <w:rFonts w:ascii="Arial" w:hAnsi="Arial" w:cs="Arial"/>
        </w:rPr>
      </w:pPr>
      <w:r w:rsidRPr="006D6358">
        <w:rPr>
          <w:rFonts w:ascii="Arial" w:hAnsi="Arial" w:cs="Arial"/>
        </w:rPr>
        <w:t>Teacher creativity in primary education faces substantial barriers, as noted by Griggs (2016), who identifies key factors impeding teacher creativity within primary schools. These obstacles include rigid curriculum structures, excessive administrative workloads, and limited resources, all of which curtail the creative freedom of teachers. However, a critical examination of these findings is necessary, considering a broader academic discourse and alternative perspectives.</w:t>
      </w:r>
    </w:p>
    <w:p w14:paraId="37AB4158" w14:textId="77777777" w:rsidR="00A463D4" w:rsidRPr="006D6358" w:rsidRDefault="00A463D4" w:rsidP="006D6358">
      <w:pPr>
        <w:spacing w:line="480" w:lineRule="auto"/>
        <w:jc w:val="both"/>
        <w:rPr>
          <w:rFonts w:ascii="Arial" w:hAnsi="Arial" w:cs="Arial"/>
        </w:rPr>
      </w:pPr>
      <w:r w:rsidRPr="006D6358">
        <w:rPr>
          <w:rFonts w:ascii="Arial" w:hAnsi="Arial" w:cs="Arial"/>
        </w:rPr>
        <w:t>Rigid curriculum structures may be seen as constraining, but they also provide a framework within which teachers could innovate, as argued by Skinner (2021) and supported by Barnes et al. (2018). While excessive administrative tasks are burdensome, effective time management and administrative support systems could potentially mitigate them, as highlighted by Griggs (2016) and Barmby (2006). Limited resources, though challenging, may incentivise creativity by encouraging teachers to find innovative solutions within constraints. Moreover, standardised testing and accountability measures, as discussed by Hargraves (2009), do not uniformly stifle teacher creativity; their impact varies depending on pedagogical strategies. Another viewpoint, supported by Cuthbert et al. (2011), suggests that these assessments may serve as catalysts for innovative teaching approaches. Teachers who view standardised testing as an opportunity to improve student learning in novel ways may successfully balance both goals (Wood, 2019). This dual perspective underscores the complex interplay between teacher innovation, accountability, and standardised testing, warranting further investigation. Furthermore, while Jones et al. (2013) provide valuable insights into barriers to teacher creativity, a critical analysis reveals a nuanced landscape. Also, According to Avdeenko (2020), examining these barriers in conjunction with alternative perspectives and scholarly discourse enriches our understanding of the intricate relationship between constraints and creativity in primary education. Future research should explore strategies to mitigate these barriers while considering the potential benefits they may offer in fostering teacher creativity.</w:t>
      </w:r>
    </w:p>
    <w:p w14:paraId="3FF6A7A2" w14:textId="77777777" w:rsidR="00A463D4" w:rsidRPr="006D6358" w:rsidRDefault="00A463D4" w:rsidP="006D6358">
      <w:pPr>
        <w:spacing w:line="480" w:lineRule="auto"/>
        <w:jc w:val="both"/>
        <w:rPr>
          <w:rFonts w:ascii="Arial" w:hAnsi="Arial" w:cs="Arial"/>
        </w:rPr>
      </w:pPr>
    </w:p>
    <w:p w14:paraId="7489C372" w14:textId="77777777" w:rsidR="00A463D4" w:rsidRPr="006D6358" w:rsidRDefault="00A463D4" w:rsidP="006D6358">
      <w:pPr>
        <w:spacing w:line="480" w:lineRule="auto"/>
        <w:jc w:val="both"/>
        <w:rPr>
          <w:rFonts w:ascii="Arial" w:hAnsi="Arial" w:cs="Arial"/>
          <w:b/>
          <w:bCs/>
          <w:sz w:val="28"/>
          <w:szCs w:val="28"/>
        </w:rPr>
      </w:pPr>
    </w:p>
    <w:p w14:paraId="641BE532" w14:textId="77777777" w:rsidR="00A463D4" w:rsidRPr="006D6358" w:rsidRDefault="00A463D4" w:rsidP="006D6358">
      <w:pPr>
        <w:spacing w:line="480" w:lineRule="auto"/>
        <w:jc w:val="both"/>
        <w:rPr>
          <w:rFonts w:ascii="Arial" w:hAnsi="Arial" w:cs="Arial"/>
          <w:b/>
          <w:bCs/>
          <w:sz w:val="28"/>
          <w:szCs w:val="28"/>
        </w:rPr>
      </w:pPr>
    </w:p>
    <w:p w14:paraId="1D34A7E0" w14:textId="77777777" w:rsidR="00A463D4" w:rsidRPr="006D6358" w:rsidRDefault="00A463D4" w:rsidP="006D6358">
      <w:pPr>
        <w:spacing w:line="480" w:lineRule="auto"/>
        <w:jc w:val="both"/>
        <w:rPr>
          <w:rFonts w:ascii="Arial" w:hAnsi="Arial" w:cs="Arial"/>
          <w:b/>
          <w:bCs/>
          <w:sz w:val="28"/>
          <w:szCs w:val="28"/>
        </w:rPr>
      </w:pPr>
    </w:p>
    <w:p w14:paraId="081907C2" w14:textId="77777777" w:rsidR="00A463D4" w:rsidRPr="006D6358" w:rsidRDefault="00A463D4" w:rsidP="006D6358">
      <w:pPr>
        <w:spacing w:line="480" w:lineRule="auto"/>
        <w:jc w:val="both"/>
        <w:rPr>
          <w:rFonts w:ascii="Arial" w:hAnsi="Arial" w:cs="Arial"/>
          <w:b/>
          <w:bCs/>
          <w:sz w:val="28"/>
          <w:szCs w:val="28"/>
        </w:rPr>
      </w:pPr>
    </w:p>
    <w:p w14:paraId="434B469D" w14:textId="77777777" w:rsidR="00A463D4" w:rsidRPr="006D6358" w:rsidRDefault="00A463D4" w:rsidP="006D6358">
      <w:pPr>
        <w:spacing w:line="480" w:lineRule="auto"/>
        <w:jc w:val="both"/>
        <w:rPr>
          <w:rFonts w:ascii="Arial" w:hAnsi="Arial" w:cs="Arial"/>
          <w:b/>
          <w:bCs/>
          <w:sz w:val="28"/>
          <w:szCs w:val="28"/>
        </w:rPr>
      </w:pPr>
    </w:p>
    <w:p w14:paraId="6484E628" w14:textId="7F5126BE" w:rsidR="00A463D4" w:rsidRPr="006D6358" w:rsidRDefault="00A463D4" w:rsidP="006D6358">
      <w:pPr>
        <w:spacing w:line="480" w:lineRule="auto"/>
        <w:jc w:val="both"/>
        <w:rPr>
          <w:rFonts w:ascii="Arial" w:hAnsi="Arial" w:cs="Arial"/>
          <w:b/>
          <w:bCs/>
          <w:sz w:val="28"/>
          <w:szCs w:val="28"/>
        </w:rPr>
      </w:pPr>
      <w:r w:rsidRPr="006D6358">
        <w:rPr>
          <w:rFonts w:ascii="Arial" w:hAnsi="Arial" w:cs="Arial"/>
          <w:b/>
          <w:bCs/>
          <w:sz w:val="28"/>
          <w:szCs w:val="28"/>
        </w:rPr>
        <w:t xml:space="preserve">3. Chapter </w:t>
      </w:r>
      <w:r w:rsidR="00180528">
        <w:rPr>
          <w:rFonts w:ascii="Arial" w:hAnsi="Arial" w:cs="Arial"/>
          <w:b/>
          <w:bCs/>
          <w:sz w:val="28"/>
          <w:szCs w:val="28"/>
        </w:rPr>
        <w:t>3</w:t>
      </w:r>
      <w:r w:rsidRPr="006D6358">
        <w:rPr>
          <w:rFonts w:ascii="Arial" w:hAnsi="Arial" w:cs="Arial"/>
          <w:b/>
          <w:bCs/>
          <w:sz w:val="28"/>
          <w:szCs w:val="28"/>
        </w:rPr>
        <w:t>: Methodology</w:t>
      </w:r>
    </w:p>
    <w:p w14:paraId="597E804B"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1. Aims and Objectives</w:t>
      </w:r>
    </w:p>
    <w:p w14:paraId="650CAF6F"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The aim of the research is to investigate the role leadership practices play in fostering an environment conductive to innovation within primary education settings in South Wales. </w:t>
      </w:r>
    </w:p>
    <w:p w14:paraId="32B32EA2" w14:textId="77777777" w:rsidR="00A463D4" w:rsidRPr="006D6358" w:rsidRDefault="00A463D4" w:rsidP="006D6358">
      <w:pPr>
        <w:spacing w:line="480" w:lineRule="auto"/>
        <w:jc w:val="both"/>
        <w:rPr>
          <w:rFonts w:ascii="Arial" w:hAnsi="Arial" w:cs="Arial"/>
        </w:rPr>
      </w:pPr>
    </w:p>
    <w:p w14:paraId="1F10D99D" w14:textId="77777777" w:rsidR="00A463D4" w:rsidRPr="006D6358" w:rsidRDefault="00A463D4" w:rsidP="006D6358">
      <w:pPr>
        <w:spacing w:line="480" w:lineRule="auto"/>
        <w:jc w:val="both"/>
        <w:rPr>
          <w:rFonts w:ascii="Arial" w:hAnsi="Arial" w:cs="Arial"/>
        </w:rPr>
      </w:pPr>
      <w:r w:rsidRPr="006D6358">
        <w:rPr>
          <w:rFonts w:ascii="Arial" w:hAnsi="Arial" w:cs="Arial"/>
        </w:rPr>
        <w:t>The objectives are:</w:t>
      </w:r>
    </w:p>
    <w:p w14:paraId="647930ED" w14:textId="77777777" w:rsidR="00A463D4" w:rsidRPr="006D6358" w:rsidRDefault="00A463D4" w:rsidP="006D6358">
      <w:pPr>
        <w:pStyle w:val="ListParagraph"/>
        <w:numPr>
          <w:ilvl w:val="0"/>
          <w:numId w:val="1"/>
        </w:numPr>
        <w:spacing w:line="480" w:lineRule="auto"/>
        <w:jc w:val="both"/>
        <w:rPr>
          <w:rFonts w:ascii="Arial" w:hAnsi="Arial" w:cs="Arial"/>
        </w:rPr>
      </w:pPr>
      <w:r w:rsidRPr="006D6358">
        <w:rPr>
          <w:rFonts w:ascii="Arial" w:hAnsi="Arial" w:cs="Arial"/>
        </w:rPr>
        <w:t>To define and categorise the leadership practices and behaviours exhibited by educational leaders within primary education institutions.</w:t>
      </w:r>
    </w:p>
    <w:p w14:paraId="1856EC96" w14:textId="77777777" w:rsidR="00A463D4" w:rsidRPr="006D6358" w:rsidRDefault="00A463D4" w:rsidP="006D6358">
      <w:pPr>
        <w:pStyle w:val="ListParagraph"/>
        <w:spacing w:line="480" w:lineRule="auto"/>
        <w:jc w:val="both"/>
        <w:rPr>
          <w:rFonts w:ascii="Arial" w:hAnsi="Arial" w:cs="Arial"/>
        </w:rPr>
      </w:pPr>
    </w:p>
    <w:p w14:paraId="59BEECF7" w14:textId="77777777" w:rsidR="00A463D4" w:rsidRPr="006D6358" w:rsidRDefault="00A463D4" w:rsidP="006D6358">
      <w:pPr>
        <w:pStyle w:val="ListParagraph"/>
        <w:numPr>
          <w:ilvl w:val="0"/>
          <w:numId w:val="1"/>
        </w:numPr>
        <w:spacing w:line="480" w:lineRule="auto"/>
        <w:jc w:val="both"/>
        <w:rPr>
          <w:rFonts w:ascii="Arial" w:hAnsi="Arial" w:cs="Arial"/>
        </w:rPr>
      </w:pPr>
      <w:r w:rsidRPr="006D6358">
        <w:rPr>
          <w:rFonts w:ascii="Arial" w:hAnsi="Arial" w:cs="Arial"/>
        </w:rPr>
        <w:t>To investigate the influence of leadership practices on educators' willingness to adopt innovative teaching methods and assess their role in cultivating a culture of creativity.</w:t>
      </w:r>
    </w:p>
    <w:p w14:paraId="0C959B99" w14:textId="77777777" w:rsidR="00A463D4" w:rsidRPr="006D6358" w:rsidRDefault="00A463D4" w:rsidP="006D6358">
      <w:pPr>
        <w:pStyle w:val="ListParagraph"/>
        <w:spacing w:line="480" w:lineRule="auto"/>
        <w:jc w:val="both"/>
        <w:rPr>
          <w:rFonts w:ascii="Arial" w:hAnsi="Arial" w:cs="Arial"/>
        </w:rPr>
      </w:pPr>
    </w:p>
    <w:p w14:paraId="627EE438" w14:textId="77777777" w:rsidR="00A463D4" w:rsidRPr="006D6358" w:rsidRDefault="00A463D4" w:rsidP="006D6358">
      <w:pPr>
        <w:pStyle w:val="ListParagraph"/>
        <w:numPr>
          <w:ilvl w:val="0"/>
          <w:numId w:val="1"/>
        </w:numPr>
        <w:spacing w:line="480" w:lineRule="auto"/>
        <w:jc w:val="both"/>
        <w:rPr>
          <w:rFonts w:ascii="Arial" w:hAnsi="Arial" w:cs="Arial"/>
        </w:rPr>
      </w:pPr>
      <w:r w:rsidRPr="006D6358">
        <w:rPr>
          <w:rFonts w:ascii="Arial" w:hAnsi="Arial" w:cs="Arial"/>
        </w:rPr>
        <w:t>To identify and analyse organisational elements and contextual factors that either facilitate or hinder the development of an innovative culture within primary education institutions.</w:t>
      </w:r>
    </w:p>
    <w:p w14:paraId="3906158E" w14:textId="77777777" w:rsidR="00A463D4" w:rsidRPr="006D6358" w:rsidRDefault="00A463D4" w:rsidP="006D6358">
      <w:pPr>
        <w:spacing w:line="480" w:lineRule="auto"/>
        <w:jc w:val="both"/>
        <w:rPr>
          <w:rFonts w:ascii="Arial" w:hAnsi="Arial" w:cs="Arial"/>
        </w:rPr>
      </w:pPr>
    </w:p>
    <w:p w14:paraId="3975C0ED"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3.2 Research Rational</w:t>
      </w:r>
    </w:p>
    <w:p w14:paraId="757723DA" w14:textId="77777777" w:rsidR="00A463D4" w:rsidRPr="006D6358" w:rsidRDefault="00A463D4" w:rsidP="006D6358">
      <w:pPr>
        <w:spacing w:line="480" w:lineRule="auto"/>
        <w:jc w:val="both"/>
        <w:rPr>
          <w:rFonts w:ascii="Arial" w:hAnsi="Arial" w:cs="Arial"/>
        </w:rPr>
      </w:pPr>
      <w:r w:rsidRPr="006D6358">
        <w:rPr>
          <w:rFonts w:ascii="Arial" w:hAnsi="Arial" w:cs="Arial"/>
        </w:rPr>
        <w:t>The research rationale is grounded in the need to understand the influence of leadership practices on innovation within primary education settings. Drawing upon the insights of Mintzberg (1989) regarding leadership's impact on educational outcomes, and Fullan's (2015) work on change within educational contexts, this study seeks to explore how leadership behaviours facilitate or hinder the adoption of innovative teaching methods. The focus on primary education is driven by the recognition of its foundational role in shaping future learning trajectories, emphasizing the importance of creative and innovative pedagogical approaches from an early stage.</w:t>
      </w:r>
    </w:p>
    <w:p w14:paraId="76A767A4" w14:textId="77777777" w:rsidR="00A463D4" w:rsidRPr="006D6358" w:rsidRDefault="00A463D4" w:rsidP="006D6358">
      <w:pPr>
        <w:spacing w:line="480" w:lineRule="auto"/>
        <w:jc w:val="both"/>
        <w:rPr>
          <w:rFonts w:ascii="Arial" w:hAnsi="Arial" w:cs="Arial"/>
        </w:rPr>
      </w:pPr>
      <w:r w:rsidRPr="006D6358">
        <w:rPr>
          <w:rFonts w:ascii="Arial" w:hAnsi="Arial" w:cs="Arial"/>
        </w:rPr>
        <w:t>This investigation is particularly relevant in the context of South Wales, where educational reforms and policies continuously evolve to meet the demands of a changing educational landscape. This study aims to provide a comprehensive analysis of leadership practices, offering insights that could inform policy and practice. The ultimate goal is to contribute to the broader discourse on enhancing educational leadership to foster a culture of innovation, thereby improving student engagement and learning outcomes.</w:t>
      </w:r>
    </w:p>
    <w:p w14:paraId="0F3FEBC1" w14:textId="77777777" w:rsidR="00A463D4" w:rsidRPr="006D6358" w:rsidRDefault="00A463D4" w:rsidP="006D6358">
      <w:pPr>
        <w:spacing w:line="480" w:lineRule="auto"/>
        <w:jc w:val="both"/>
        <w:rPr>
          <w:rFonts w:ascii="Arial" w:hAnsi="Arial" w:cs="Arial"/>
          <w:b/>
          <w:bCs/>
        </w:rPr>
      </w:pPr>
    </w:p>
    <w:p w14:paraId="2243F141"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3.3 Research Design</w:t>
      </w:r>
    </w:p>
    <w:p w14:paraId="238B0F8D" w14:textId="77777777" w:rsidR="00A463D4" w:rsidRPr="006D6358" w:rsidRDefault="00A463D4" w:rsidP="006D6358">
      <w:pPr>
        <w:spacing w:line="480" w:lineRule="auto"/>
        <w:jc w:val="both"/>
        <w:rPr>
          <w:rFonts w:ascii="Arial" w:hAnsi="Arial" w:cs="Arial"/>
        </w:rPr>
      </w:pPr>
      <w:r w:rsidRPr="006D6358">
        <w:rPr>
          <w:rFonts w:ascii="Arial" w:hAnsi="Arial" w:cs="Arial"/>
        </w:rPr>
        <w:t>The research design plays a pivotal role in the methodology of a study, serving as the blueprint that guides the entire research process from inception to conclusion (Creswell, 2014). Research design could be understood through various lenses, such as research paradigms (positivism, interpretivism, pragmatism), methodological orientations (qualitative, quantitative, mixed-methods), and research aims (exploratory, descriptive, explanatory). These lenses provide distinct perspectives on how to approach, structure, and execute a study, guiding the selection of methods and strategies (Bryman &amp; Bell, 2015). Also, Bryman et al., (2022) emphasise that research design serves as a framework that directs the collection, analysis, and interpretation of data in a systematic manner, ensuring that the research objectives are effectively addressed. In contrast, Cresswell et al., (2005) highlights that research design encompasses broader decisions about the overall approach to the study, including whether qualitative, quantitative, or mixed methods will be employed, as well as the methods of data collection and analysis to be used. Thomas (2022), on the other hand, views research design as the planning process for conducting research, specifying the methods and procedures to be used to address the research questions or objectives effectively. Despite these slight differences in emphasis, all definitions underscore the critical role of research design as the foundational structure that governs how a study is conducted, guiding researchers in their efforts to collect, analyse, and interpret data in a systematic and rigorous manner. In the context of educational research, particularly studies focusing on leadership practices and innovation in primary education, the selection of an appropriate research design is instrumental for achieving meaningful and actionable insights (Thomas, 2022).</w:t>
      </w:r>
    </w:p>
    <w:p w14:paraId="28E04BE5" w14:textId="77777777" w:rsidR="00A463D4" w:rsidRPr="006D6358" w:rsidRDefault="00A463D4" w:rsidP="006D6358">
      <w:pPr>
        <w:spacing w:line="480" w:lineRule="auto"/>
        <w:jc w:val="both"/>
        <w:rPr>
          <w:rFonts w:ascii="Arial" w:hAnsi="Arial" w:cs="Arial"/>
        </w:rPr>
      </w:pPr>
      <w:r w:rsidRPr="006D6358">
        <w:rPr>
          <w:rFonts w:ascii="Arial" w:hAnsi="Arial" w:cs="Arial"/>
        </w:rPr>
        <w:t>At its core, a research design helps researchers to concretely lay out the steps necessary to address the research questions and objectives effectively. Bryman (2022) underscores the importance of aligning research designs with the study's aims to ensure that the methodologies employed are well-suited to explore the research questions comprehensively. Creswell and Creswell (2017) further elaborate that a research design encompasses decisions on the research approach, strategies for data collection, and analysis techniques, all of which must cohesively work together to support the study's overarching goals.</w:t>
      </w:r>
    </w:p>
    <w:p w14:paraId="3FCC6875" w14:textId="77777777" w:rsidR="00A463D4" w:rsidRPr="006D6358" w:rsidRDefault="00A463D4" w:rsidP="006D6358">
      <w:pPr>
        <w:spacing w:line="480" w:lineRule="auto"/>
        <w:jc w:val="both"/>
        <w:rPr>
          <w:rFonts w:ascii="Arial" w:hAnsi="Arial" w:cs="Arial"/>
        </w:rPr>
      </w:pPr>
      <w:r w:rsidRPr="006D6358">
        <w:rPr>
          <w:rFonts w:ascii="Arial" w:hAnsi="Arial" w:cs="Arial"/>
        </w:rPr>
        <w:t>Continuing from the foundational importance of a well-considered research design, this study adopts a mixed-methods approach, as highlighted by Bryman et al. (2022) and Creswell et al. (2021). This strategic decision stems from an extensive evaluation of various research methodologies suitable for exploring the complexities of leadership practices and innovation within primary education settings. The mixed-methods approach, characterized by its integration of both quantitative and qualitative data, offers the comprehensive insight needed to address the multifaceted nature of this study's aims. Unlike other methodologies such as case study research and phenomenological research, which provide depth in exploring complex phenomena and capturing personal experiences respectively, the mixed-methods approach facilitates a balanced examination of the research questions. Yin (2014) and Moustakas (1994) underscore the value of case studies and phenomenological research in specific contexts; however, their scope did not align entirely with the broad and varied objectives of this investigation. Instead, the mixed-methods approach enables a holistic view, combining the strength of statistical analysis with the richness of narrative data to understand leadership practices and innovation in education comprehensively.</w:t>
      </w:r>
    </w:p>
    <w:p w14:paraId="1FD0294C" w14:textId="77777777" w:rsidR="00A463D4" w:rsidRPr="006D6358" w:rsidRDefault="00A463D4" w:rsidP="006D6358">
      <w:pPr>
        <w:spacing w:line="480" w:lineRule="auto"/>
        <w:jc w:val="both"/>
        <w:rPr>
          <w:rFonts w:ascii="Arial" w:hAnsi="Arial" w:cs="Arial"/>
        </w:rPr>
      </w:pPr>
      <w:r w:rsidRPr="006D6358">
        <w:rPr>
          <w:rFonts w:ascii="Arial" w:hAnsi="Arial" w:cs="Arial"/>
        </w:rPr>
        <w:t>The mixed-methods design, supported by the work of Tashakkori and Teddlie (2003), was ultimately selected for its ability to integrate the quantitative breadth and qualitative depth necessary for a thorough examination of the research questions. This approach aligns with the recommendations of Creswell and Creswell (2017), who assert the value of mixed-methods research in educational studies, where understanding the complex dynamics between leadership practices and innovation requires a versatile and comprehensive methodological framework. Such a design ensures that the research findings are not only theoretically robust but also practically relevant, offering actionable insights for educational policy and practice. Additionally, the deliberate choice of a mixed-methods research design underscores its adequacy in addressing the intricate relationship between leadership and innovation in primary education settings (Johnson et al., 2017) By synthesising quantitative and qualitative data, this approach promises to yield nuanced insights that may significantly contribute to the field of educational research. The decision to employ this design reflects a methodical consideration of the study's objectives, ensuring that the resultant findings are insightful, applicable, and capable of guiding future educational strategies and policies (Teddlie et al., 2009).</w:t>
      </w:r>
    </w:p>
    <w:p w14:paraId="0FCD0574"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 xml:space="preserve">3.4 Research Paradigms </w:t>
      </w:r>
    </w:p>
    <w:p w14:paraId="4756F980" w14:textId="77777777" w:rsidR="00A463D4" w:rsidRPr="006D6358" w:rsidRDefault="00A463D4" w:rsidP="006D6358">
      <w:pPr>
        <w:spacing w:line="480" w:lineRule="auto"/>
        <w:jc w:val="both"/>
        <w:rPr>
          <w:rFonts w:ascii="Arial" w:hAnsi="Arial" w:cs="Arial"/>
        </w:rPr>
      </w:pPr>
      <w:r w:rsidRPr="006D6358">
        <w:rPr>
          <w:rFonts w:ascii="Arial" w:hAnsi="Arial" w:cs="Arial"/>
        </w:rPr>
        <w:t>According to Killam (2013), the selection of a research paradigm underpins a study's methodology, shaping how it is conducted and influencing the interpretation of its findings. A research paradigm encompasses the core concepts of ontology (the nature of reality), epistemology (the nature of knowledge), and methodology (the processes by which knowledge is obtained and verified). Creswell and Creswell (2018) assert the importance of comprehending these foundational elements for any research endeavour, emphasizing their critical role in constructing a study that is both impactful and actionable. This is especially pertinent in the realm of educational research that delves into leadership practices and innovation in primary education. Bryman et al. (2018) further advocate for the careful alignment of the research paradigm with the study’s objectives to ensure that the chosen methods are aptly suited to explore the research questions effectively, thereby enhancing the study's relevance and utility.</w:t>
      </w:r>
    </w:p>
    <w:p w14:paraId="6EAE6C7A" w14:textId="77777777" w:rsidR="00A463D4" w:rsidRPr="006D6358" w:rsidRDefault="00A463D4" w:rsidP="006D6358">
      <w:pPr>
        <w:spacing w:line="480" w:lineRule="auto"/>
        <w:jc w:val="both"/>
        <w:rPr>
          <w:rFonts w:ascii="Arial" w:hAnsi="Arial" w:cs="Arial"/>
        </w:rPr>
      </w:pPr>
      <w:r w:rsidRPr="006D6358">
        <w:rPr>
          <w:rFonts w:ascii="Arial" w:hAnsi="Arial" w:cs="Arial"/>
        </w:rPr>
        <w:t>Educational research is often grounded in one of three main paradigms: positivist, interpretivist, and critical, with each offering a distinct lens through which to view the research topic (Candy, 1989). Positivism, focused on observable, measurable phenomena, employs a scientific approach to test hypotheses and theories, offering precision but often overlooking the depth of human experiences within educational contexts (Bryman et al., 2019). In contrast, interpretivism delves into the subjective meanings individuals attach to their experiences, emphasizing depth and qualitative analysis but potentially lacking in generalizability (Denscombe, 2014).</w:t>
      </w:r>
    </w:p>
    <w:p w14:paraId="34848160" w14:textId="77777777" w:rsidR="00A463D4" w:rsidRPr="006D6358" w:rsidRDefault="00A463D4" w:rsidP="006D6358">
      <w:pPr>
        <w:spacing w:line="480" w:lineRule="auto"/>
        <w:jc w:val="both"/>
        <w:rPr>
          <w:rFonts w:ascii="Arial" w:hAnsi="Arial" w:cs="Arial"/>
        </w:rPr>
      </w:pPr>
    </w:p>
    <w:p w14:paraId="5A641FDB" w14:textId="77777777" w:rsidR="00A463D4" w:rsidRPr="006D6358" w:rsidRDefault="00A463D4" w:rsidP="006D6358">
      <w:pPr>
        <w:spacing w:line="480" w:lineRule="auto"/>
        <w:jc w:val="both"/>
        <w:rPr>
          <w:rFonts w:ascii="Arial" w:hAnsi="Arial" w:cs="Arial"/>
        </w:rPr>
      </w:pPr>
    </w:p>
    <w:p w14:paraId="4E27088C" w14:textId="77777777" w:rsidR="00A463D4" w:rsidRPr="006D6358" w:rsidRDefault="00A463D4" w:rsidP="006D6358">
      <w:pPr>
        <w:spacing w:line="480" w:lineRule="auto"/>
        <w:jc w:val="both"/>
        <w:rPr>
          <w:rFonts w:ascii="Arial" w:hAnsi="Arial" w:cs="Arial"/>
        </w:rPr>
      </w:pPr>
    </w:p>
    <w:p w14:paraId="4A7FC397" w14:textId="77777777" w:rsidR="00A463D4" w:rsidRPr="006D6358" w:rsidRDefault="00A463D4" w:rsidP="006D6358">
      <w:pPr>
        <w:spacing w:line="480" w:lineRule="auto"/>
        <w:jc w:val="both"/>
        <w:rPr>
          <w:rFonts w:ascii="Arial" w:hAnsi="Arial" w:cs="Arial"/>
        </w:rPr>
      </w:pPr>
      <w:r w:rsidRPr="006D6358">
        <w:rPr>
          <w:rFonts w:ascii="Arial" w:hAnsi="Arial" w:cs="Arial"/>
        </w:rPr>
        <w:t>Emerging from the foundational positivist and interpretivist paradigms is pragmatism, a paradigm that transcends the limitations of the former two by advocating for a practical and flexible approach to research. Pragmatism aligns with the complex, multifaceted nature of educational settings and supports the integration of both qualitative and quantitative methods. This approach enables a comprehensive exploration of phenomena, facilitating a nuanced understanding of leadership practices and their impact on innovation within primary education (Creswell, 2017).</w:t>
      </w:r>
    </w:p>
    <w:p w14:paraId="227F64CE"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3.5 Data Collection</w:t>
      </w:r>
    </w:p>
    <w:p w14:paraId="0C4AEA5C" w14:textId="77777777" w:rsidR="00A463D4" w:rsidRPr="006D6358" w:rsidRDefault="00A463D4" w:rsidP="006D6358">
      <w:pPr>
        <w:spacing w:line="480" w:lineRule="auto"/>
        <w:jc w:val="both"/>
        <w:rPr>
          <w:rFonts w:ascii="Arial" w:hAnsi="Arial" w:cs="Arial"/>
        </w:rPr>
      </w:pPr>
      <w:r w:rsidRPr="006D6358">
        <w:rPr>
          <w:rFonts w:ascii="Arial" w:hAnsi="Arial" w:cs="Arial"/>
        </w:rPr>
        <w:t>In exploring the intricacies of leadership practices and innovation within primary education, this research adopts a mixed-methods data collection strategy, reflecting the pragmatic paradigm's emphasis on methodological flexibility and practical outcomes (Creswell &amp; Creswell, 2018). The integration of quantitative and qualitative methods is pivotal for obtaining a comprehensive understanding of the research topic, as advocated by Johnson and Onwuegbuzie (2004), who highlight the value of combining diverse data sources to enhance research validity and applicability.</w:t>
      </w:r>
    </w:p>
    <w:p w14:paraId="310D95C1" w14:textId="77777777" w:rsidR="00A463D4" w:rsidRPr="006D6358" w:rsidRDefault="00A463D4" w:rsidP="006D6358">
      <w:pPr>
        <w:spacing w:line="480" w:lineRule="auto"/>
        <w:jc w:val="both"/>
        <w:rPr>
          <w:rFonts w:ascii="Arial" w:hAnsi="Arial" w:cs="Arial"/>
        </w:rPr>
      </w:pPr>
      <w:r w:rsidRPr="006D6358">
        <w:rPr>
          <w:rFonts w:ascii="Arial" w:hAnsi="Arial" w:cs="Arial"/>
        </w:rPr>
        <w:t>Quantitative data will be gathered through survey questionnaires distributed via Google Forms, a method recognised for its efficiency and broad reach (Bryman, 2016). This approach facilitates the collection of data across a wide demographic, allowing for the analysis of patterns and trends in leadership practices and their impacts on fostering an innovative educational environment. The questionnaire includes Likert-scale, multiple-choice, and dichotomous questions to effectively capture diverse aspects of educational leadership and innovation (Dillman et al., 2014). Also, by complementing the quantitative surveys, qualitative data will be collected through individual face-to-face interviews. This method is instrumental in capturing the nuanced perspectives and experiences of educational leaders and teachers (Kvale, 2007). By employing a semi-structured interview format, the research aims to delve deeper into the subjective interpretations of leadership practices and innovation in education, offering rich, contextual insights that quantitative methods alone cannot fully provide (Rubin &amp; Rubin, 2012). The choice of face-to-face interviews is deliberate, aiming to establish a rapport with participants and encourage open, detailed discussions, which Seidman (2013) identifies as crucial for eliciting profound insights into personal experiences and perceptions. The dual approach of surveys and interviews is designed to ensure a holistic view of the research topic, aligning with the educational research's goal to inform practice and policy effectively (Cohen, Manion, &amp; Morrison, 2018). This study’s data collection methods are grounded in a pragmatic approach that values the practical implications of research findings (Morgan, 2014). By synthesizing quantitative and qualitative data, the research is positioned to offer actionable insights into how leadership practices can foster innovation in primary education settings, contributing to the field of educational research and practice (Teddlie &amp; Tashakkori, 2009).</w:t>
      </w:r>
    </w:p>
    <w:p w14:paraId="7136C7C8" w14:textId="77777777" w:rsidR="00A463D4" w:rsidRPr="006D6358" w:rsidRDefault="00A463D4" w:rsidP="006D6358">
      <w:pPr>
        <w:pStyle w:val="NoSpacing"/>
        <w:spacing w:line="480" w:lineRule="auto"/>
        <w:jc w:val="both"/>
        <w:rPr>
          <w:rFonts w:ascii="Arial" w:hAnsi="Arial" w:cs="Arial"/>
          <w:b/>
          <w:bCs/>
          <w:sz w:val="24"/>
          <w:szCs w:val="24"/>
        </w:rPr>
      </w:pPr>
      <w:r w:rsidRPr="006D6358">
        <w:rPr>
          <w:rFonts w:ascii="Arial" w:hAnsi="Arial" w:cs="Arial"/>
          <w:b/>
          <w:bCs/>
          <w:sz w:val="24"/>
          <w:szCs w:val="24"/>
        </w:rPr>
        <w:t>3.6Sample and Population</w:t>
      </w:r>
    </w:p>
    <w:p w14:paraId="5D9B261C" w14:textId="77777777" w:rsidR="00A463D4" w:rsidRPr="006D6358" w:rsidRDefault="00A463D4" w:rsidP="006D6358">
      <w:pPr>
        <w:pStyle w:val="NoSpacing"/>
        <w:spacing w:line="480" w:lineRule="auto"/>
        <w:jc w:val="both"/>
        <w:rPr>
          <w:rFonts w:ascii="Arial" w:hAnsi="Arial" w:cs="Arial"/>
          <w:sz w:val="24"/>
          <w:szCs w:val="24"/>
        </w:rPr>
      </w:pPr>
    </w:p>
    <w:p w14:paraId="2411F417" w14:textId="77777777" w:rsidR="00A463D4" w:rsidRPr="006D6358" w:rsidRDefault="00A463D4" w:rsidP="006D6358">
      <w:pPr>
        <w:spacing w:line="480" w:lineRule="auto"/>
        <w:jc w:val="both"/>
        <w:rPr>
          <w:rFonts w:ascii="Arial" w:hAnsi="Arial" w:cs="Arial"/>
        </w:rPr>
      </w:pPr>
      <w:r w:rsidRPr="006D6358">
        <w:rPr>
          <w:rFonts w:ascii="Arial" w:hAnsi="Arial" w:cs="Arial"/>
        </w:rPr>
        <w:t>Sampling, as outlined by Altmann (1974), refers to the process of selecting a representative group from a larger population to participate in a study. This crucial step in research methodology ensures that the findings can potentially be generalized to the wider population from which the sample is drawn. For the qualitative component of this study, purposive sampling is employed, targeting individuals who offer the most valuable insights into educational leadership and innovation within primary schools. Purposive sampling, described by Rai et al. (2013) as judgmental, selective, or subjective sampling, is particularly suitable for educational research where the depth and quality of information are paramount.</w:t>
      </w:r>
    </w:p>
    <w:p w14:paraId="5FCDC9C1" w14:textId="77777777" w:rsidR="00A463D4" w:rsidRPr="006D6358" w:rsidRDefault="00A463D4" w:rsidP="006D6358">
      <w:pPr>
        <w:spacing w:line="480" w:lineRule="auto"/>
        <w:jc w:val="both"/>
        <w:rPr>
          <w:rFonts w:ascii="Arial" w:hAnsi="Arial" w:cs="Arial"/>
        </w:rPr>
      </w:pPr>
      <w:r w:rsidRPr="006D6358">
        <w:rPr>
          <w:rFonts w:ascii="Arial" w:hAnsi="Arial" w:cs="Arial"/>
        </w:rPr>
        <w:t>The population for this study, as defined by Levy et al. (2013), includes educational leaders such as headteachers and teachers in primary education institutions, identified based on their firsthand experience and knowledge in fostering innovative teaching methods and leadership practices. The intent is to ensure a comprehensive understanding of the dynamics at play in educational leadership and the fostering of innovation.</w:t>
      </w:r>
    </w:p>
    <w:p w14:paraId="74C1E22D" w14:textId="77777777" w:rsidR="00A463D4" w:rsidRPr="006D6358" w:rsidRDefault="00A463D4" w:rsidP="006D6358">
      <w:pPr>
        <w:spacing w:line="480" w:lineRule="auto"/>
        <w:jc w:val="both"/>
        <w:rPr>
          <w:rFonts w:ascii="Arial" w:hAnsi="Arial" w:cs="Arial"/>
        </w:rPr>
      </w:pPr>
      <w:r w:rsidRPr="006D6358">
        <w:rPr>
          <w:rFonts w:ascii="Arial" w:hAnsi="Arial" w:cs="Arial"/>
        </w:rPr>
        <w:t>For the quantitative component, the study aims to reach approximately 100 participants through a survey distributed via Google Forms. This approach allows for a broad engagement with primary educators, with the sample size determined by the balance between manage ability and the potential to yield significant findings, a principle supported by Descombe (2014).Conversely, the qualitative aspect involves semi-structure interviews with five to ten participants, a range suggested by Thomas (2017) and Creswell (2017) as sufficient for achieving data saturation and capturing diverse perspectives within the field of educational leadership. This selection aims to gather rich, qualitative insights from participants who hold the experience and insights crucial for the study's depth.</w:t>
      </w:r>
    </w:p>
    <w:p w14:paraId="4D0EDC39"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3.7 Data and Analysis</w:t>
      </w:r>
    </w:p>
    <w:p w14:paraId="4E23448F" w14:textId="77777777" w:rsidR="00A463D4" w:rsidRPr="006D6358" w:rsidRDefault="00A463D4" w:rsidP="006D6358">
      <w:pPr>
        <w:spacing w:line="480" w:lineRule="auto"/>
        <w:jc w:val="both"/>
        <w:rPr>
          <w:rFonts w:ascii="Arial" w:hAnsi="Arial" w:cs="Arial"/>
        </w:rPr>
      </w:pPr>
      <w:r w:rsidRPr="006D6358">
        <w:rPr>
          <w:rFonts w:ascii="Arial" w:hAnsi="Arial" w:cs="Arial"/>
        </w:rPr>
        <w:t>This research segment explores the intricate relationship between leadership practices and innovation in primary education settings through a mixed-methods analysis. Qualitative data from interviews with educational leaders undergo thematic analysis to delineate patterns that reveal insights into leadership dynamics and their impact on innovation. This analytical process, as described by Braun and Clarke (2012), includes familiarization with the data, generating initial codes, searching for themes, reviewing themes, defining and naming themes, and compiling the final report. Such a methodical approach helps distil critical insights from the narratives, enhancing our understanding of how leadership influences innovation. Concurrently, quantitative data collected from a broader educator cohort are analysed to gauge the extent and impact of innovative leadership practices. This analysis employs descriptive and inferential statistics to provide a foundational understanding of data distribution and to explore the relationships between specific leadership behaviours and innovative outcomes in educational contexts (Thomas, 2017).</w:t>
      </w:r>
    </w:p>
    <w:p w14:paraId="3A09F139" w14:textId="77777777" w:rsidR="00A463D4" w:rsidRPr="006D6358" w:rsidRDefault="00A463D4" w:rsidP="006D6358">
      <w:pPr>
        <w:spacing w:line="480" w:lineRule="auto"/>
        <w:jc w:val="both"/>
        <w:rPr>
          <w:rFonts w:ascii="Arial" w:hAnsi="Arial" w:cs="Arial"/>
        </w:rPr>
      </w:pPr>
      <w:r w:rsidRPr="006D6358">
        <w:rPr>
          <w:rFonts w:ascii="Arial" w:hAnsi="Arial" w:cs="Arial"/>
        </w:rPr>
        <w:t>The dual approach of integrating qualitative depth with quantitative breadth is vital for comprehensively addressing the research objectives. This synthesis ensures a balanced perspective that leverages both empirical data and personal experiences, offering a robust view of the dynamic field of educational leadership and innovation (Creswell, 2017). The findings aim to provide a nuanced narrative that not only fills existing gaps in academic literature but also lays a foundation for future research on leadership and innovation in education.</w:t>
      </w:r>
    </w:p>
    <w:p w14:paraId="2A77F84B"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3.8 Validity and reliability</w:t>
      </w:r>
    </w:p>
    <w:p w14:paraId="577D0DE4" w14:textId="77777777" w:rsidR="00A463D4" w:rsidRPr="006D6358" w:rsidRDefault="00A463D4" w:rsidP="006D6358">
      <w:pPr>
        <w:spacing w:line="480" w:lineRule="auto"/>
        <w:jc w:val="both"/>
        <w:rPr>
          <w:rFonts w:ascii="Arial" w:hAnsi="Arial" w:cs="Arial"/>
        </w:rPr>
      </w:pPr>
      <w:r w:rsidRPr="006D6358">
        <w:rPr>
          <w:rFonts w:ascii="Arial" w:hAnsi="Arial" w:cs="Arial"/>
        </w:rPr>
        <w:t>This research is committed to maintaining the integrity of its findings through stringent measures to ensure both reliability and validity. Reliability, signifying the consistency and stability of research measures over various contexts and time, will be reinforced by employing standardized survey instruments. These instruments are chosen for their validation within the educational leadership domain, ensuring consistency in data collection across different settings (Smith &amp; Jones, 2020).</w:t>
      </w:r>
    </w:p>
    <w:p w14:paraId="738AC9F4" w14:textId="77777777" w:rsidR="00A463D4" w:rsidRPr="006D6358" w:rsidRDefault="00A463D4" w:rsidP="006D6358">
      <w:pPr>
        <w:spacing w:line="480" w:lineRule="auto"/>
        <w:jc w:val="both"/>
        <w:rPr>
          <w:rFonts w:ascii="Arial" w:hAnsi="Arial" w:cs="Arial"/>
        </w:rPr>
      </w:pPr>
      <w:r w:rsidRPr="006D6358">
        <w:rPr>
          <w:rFonts w:ascii="Arial" w:hAnsi="Arial" w:cs="Arial"/>
        </w:rPr>
        <w:t>Validity, reflecting the accuracy and genuineness of the research findings, will be systematically addressed. The alignment of survey questions with theoretical frameworks pertinent to educational leadership and innovation guarantees that the measures accurately reflect the intended constructs (Johnson, 2018). This strategic alignment aims to diminish the risk of conceptual misunderstandings, thus bolstering the research's overall validity.</w:t>
      </w:r>
    </w:p>
    <w:p w14:paraId="2E728596" w14:textId="77777777" w:rsidR="00A463D4" w:rsidRPr="006D6358" w:rsidRDefault="00A463D4" w:rsidP="006D6358">
      <w:pPr>
        <w:spacing w:line="480" w:lineRule="auto"/>
        <w:jc w:val="both"/>
        <w:rPr>
          <w:rFonts w:ascii="Arial" w:hAnsi="Arial" w:cs="Arial"/>
        </w:rPr>
      </w:pPr>
      <w:r w:rsidRPr="006D6358">
        <w:rPr>
          <w:rFonts w:ascii="Arial" w:hAnsi="Arial" w:cs="Arial"/>
        </w:rPr>
        <w:t>Further, the validity of qualitative data will be enhanced through rigorous data collection and analysis methods, ensuring that the insights obtained truly represent the participants' perspectives and experiences. The qualitative component will employ strategies to ensure the credibility and trustworthiness of its findings, including the careful selection of participants for their depth of experience and expertise in educational leadership (Mason, 2017). Moreover, the research's mixed-methods design allows for the triangulation of data from both quantitative surveys and qualitative interviews. This integration is instrumental in offering a comprehensive view of the phenomena under study, significantly enriching the study's validity (Creswell &amp; Creswell, 2017). The careful selection of educational leaders as participants is based on their potential to provide rich, insightful data, enhancing both the reliability and validity of the research findings.</w:t>
      </w:r>
    </w:p>
    <w:p w14:paraId="7A7B8D5A" w14:textId="77777777" w:rsidR="00A463D4" w:rsidRPr="006D6358" w:rsidRDefault="00A463D4" w:rsidP="006D6358">
      <w:pPr>
        <w:spacing w:line="480" w:lineRule="auto"/>
        <w:jc w:val="both"/>
        <w:rPr>
          <w:rFonts w:ascii="Arial" w:hAnsi="Arial" w:cs="Arial"/>
        </w:rPr>
      </w:pPr>
      <w:r w:rsidRPr="006D6358">
        <w:rPr>
          <w:rFonts w:ascii="Arial" w:hAnsi="Arial" w:cs="Arial"/>
        </w:rPr>
        <w:t>By adhering to these methodological practices, this study aspires to contribute reliable and valid insights into educational leadership and innovation, addressing the complex dynamics within primary education settings. The careful application of standardised instruments, theoretical alignment, and data triangulation underscores the research's commitment to academic rigor and integrity (Thomas, 2017).</w:t>
      </w:r>
    </w:p>
    <w:p w14:paraId="70EAA8EF" w14:textId="77777777" w:rsidR="00A463D4" w:rsidRPr="006D6358" w:rsidRDefault="00A463D4" w:rsidP="006D6358">
      <w:pPr>
        <w:spacing w:line="480" w:lineRule="auto"/>
        <w:jc w:val="both"/>
        <w:rPr>
          <w:rFonts w:ascii="Arial" w:hAnsi="Arial" w:cs="Arial"/>
        </w:rPr>
      </w:pPr>
    </w:p>
    <w:p w14:paraId="755FC0BF" w14:textId="77777777" w:rsidR="00A463D4" w:rsidRPr="006D6358" w:rsidRDefault="00A463D4" w:rsidP="006D6358">
      <w:pPr>
        <w:spacing w:line="480" w:lineRule="auto"/>
        <w:jc w:val="both"/>
        <w:rPr>
          <w:rFonts w:ascii="Arial" w:hAnsi="Arial" w:cs="Arial"/>
        </w:rPr>
      </w:pPr>
    </w:p>
    <w:p w14:paraId="75725D30" w14:textId="77777777" w:rsidR="00A463D4" w:rsidRPr="006D6358" w:rsidRDefault="00A463D4" w:rsidP="006D6358">
      <w:pPr>
        <w:spacing w:line="480" w:lineRule="auto"/>
        <w:jc w:val="both"/>
        <w:rPr>
          <w:rFonts w:ascii="Arial" w:hAnsi="Arial" w:cs="Arial"/>
        </w:rPr>
      </w:pPr>
    </w:p>
    <w:p w14:paraId="3F6DF9BE"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3.9 Research Ethics</w:t>
      </w:r>
    </w:p>
    <w:p w14:paraId="7912B8E0" w14:textId="77777777" w:rsidR="00A463D4" w:rsidRPr="006D6358" w:rsidRDefault="00A463D4" w:rsidP="006D6358">
      <w:pPr>
        <w:spacing w:line="480" w:lineRule="auto"/>
        <w:jc w:val="both"/>
        <w:rPr>
          <w:rFonts w:ascii="Arial" w:hAnsi="Arial" w:cs="Arial"/>
        </w:rPr>
      </w:pPr>
      <w:r w:rsidRPr="006D6358">
        <w:rPr>
          <w:rFonts w:ascii="Arial" w:hAnsi="Arial" w:cs="Arial"/>
        </w:rPr>
        <w:t>Conducting research within the educational sector, particularly in the exploration of leadership practices and innovation in primary education, necessitates a conscientious commitment to ethical standards. This dedication ensures the protection, respect, and dignity of all participants involved. Drawing upon a comprehensive framework of ethical considerations, this research aligns with the ethical guidelines provided by British Educational Research Association (BERA), (2018), and the University of Wales Trinity Saint David to navigate the complexities of ethical research practice effectively.</w:t>
      </w:r>
    </w:p>
    <w:p w14:paraId="5E4B54D2" w14:textId="77777777" w:rsidR="00A463D4" w:rsidRPr="006D6358" w:rsidRDefault="00A463D4" w:rsidP="006D6358">
      <w:pPr>
        <w:spacing w:line="480" w:lineRule="auto"/>
        <w:jc w:val="both"/>
        <w:rPr>
          <w:rFonts w:ascii="Arial" w:hAnsi="Arial" w:cs="Arial"/>
        </w:rPr>
      </w:pPr>
      <w:r w:rsidRPr="006D6358">
        <w:rPr>
          <w:rFonts w:ascii="Arial" w:hAnsi="Arial" w:cs="Arial"/>
        </w:rPr>
        <w:t>Adhering to these guidelines, the study emphasises informed consent as a cornerstone of ethical research. Participants are provided with detailed information regarding the research's aims, methods, potential impacts, and their rights, ensuring they make an informed decision about their involvement. This process underscores the value of autonomy, allowing participants to engage with the research voluntarily and without any undue influence (Thomas, 2017). Furthermore, the confidentiality and anonymity of participant data stand as pivotal ethical considerations. Stringent measures are in place to anonymise data effectively, safeguarding participants' identities and sensitive information. This approach mitigates risks associated with data privacy and ensures participants' contributions are respected and protected (Smith, 2017). In addition to securing informed consent and ensuring confidentiality, the research is designed to minimise potential harm to participants. The selection of research methods and the formulation of research questions have been carefully considered to avoid any discomfort or psychological distress to participants. This careful planning extends to both the questionnaire design and the conduct of semi-structured interviews, where sensitive topics are approached with tact and empathy (Johnson, 2018).</w:t>
      </w:r>
    </w:p>
    <w:p w14:paraId="0B01E86A" w14:textId="77777777" w:rsidR="00A463D4" w:rsidRPr="006D6358" w:rsidRDefault="00A463D4" w:rsidP="006D6358">
      <w:pPr>
        <w:spacing w:line="480" w:lineRule="auto"/>
        <w:jc w:val="both"/>
        <w:rPr>
          <w:rFonts w:ascii="Arial" w:hAnsi="Arial" w:cs="Arial"/>
        </w:rPr>
      </w:pPr>
      <w:r w:rsidRPr="006D6358">
        <w:rPr>
          <w:rFonts w:ascii="Arial" w:hAnsi="Arial" w:cs="Arial"/>
        </w:rPr>
        <w:t>The ethical review process, as conducted by the University of Wales Trinity Saint David's Research Ethics Department, plays a crucial role in ensuring that the research meets the highest ethical standards. This review process assesses the research proposal's ethical considerations, providing an essential checkpoint before the commencement of the research (Thomas, 2017). Through this process, the research benefits from an additional layer of scrutiny, ensuring that all ethical aspects are thoroughly considered and addressed (BERA, 2018). Moreover, the principle of beneficence guides the research, aiming to contribute positively to the field of educational leadership and innovation. The research seeks not only to advance academic knowledge but also to offer practical insights that may inform policy and practice, thereby having a beneficial impact on primary education (Creswell &amp; Creswell, 2017). Additionally, the ethical handling of sensitive information, particularly when exploring leadership practices, is of paramount importance. The research employs strategies to manage any sensitive data collected, ensuring that findings are reported in a manner that maintains the dignity, anonymity and respect of all institutions and individuals involved. This careful management of sensitive information underscores the research's commitment to integrity and respect for all participants (Mason, 2017).</w:t>
      </w:r>
    </w:p>
    <w:p w14:paraId="633DE21A" w14:textId="77777777" w:rsidR="00A463D4" w:rsidRPr="006D6358" w:rsidRDefault="00A463D4" w:rsidP="006D6358">
      <w:pPr>
        <w:spacing w:line="480" w:lineRule="auto"/>
        <w:jc w:val="both"/>
        <w:rPr>
          <w:rFonts w:ascii="Arial" w:hAnsi="Arial" w:cs="Arial"/>
        </w:rPr>
      </w:pPr>
    </w:p>
    <w:p w14:paraId="5817F71B" w14:textId="77777777" w:rsidR="00A463D4" w:rsidRPr="006D6358" w:rsidRDefault="00A463D4" w:rsidP="006D6358">
      <w:pPr>
        <w:spacing w:line="480" w:lineRule="auto"/>
        <w:jc w:val="both"/>
        <w:rPr>
          <w:rFonts w:ascii="Arial" w:hAnsi="Arial" w:cs="Arial"/>
        </w:rPr>
      </w:pPr>
      <w:r w:rsidRPr="006D6358">
        <w:rPr>
          <w:rFonts w:ascii="Arial" w:hAnsi="Arial" w:cs="Arial"/>
        </w:rPr>
        <w:t>In fulfilling these ethical obligations, the research employs a range of strategies to ensure the reliability and validity of its findings. By integrating data from questionnaires and interviews, the study achieves a comprehensive understanding of leadership practices and their impact on innovation in primary education (Teddlie &amp; Tashakkori, 2009). Also, this research is conducted with a steadfast commitment to upholding ethical principles throughout the research process. From the initial design to data collection, analysis, and reporting, every stage of the research is imbued with a deep respect for the rights and welfare of participants. By adhering to the ethical guidelines established by BERA (2018) and the University of Wales Trinity Saint David, the study aims to contribute meaningfully to the academic discourse on educational leadership and innovation, while ensuring the dignity, respect, and well-being of all participants are protected. Through this ethical research practice, the study aspires to set a standard for conducting educational research that is not only academically rigorous but also ethically responsible (Thomas, 2022).</w:t>
      </w:r>
    </w:p>
    <w:p w14:paraId="5C1A9FA5" w14:textId="77777777" w:rsidR="00180528" w:rsidRDefault="00180528" w:rsidP="006D6358">
      <w:pPr>
        <w:spacing w:line="480" w:lineRule="auto"/>
        <w:jc w:val="both"/>
        <w:rPr>
          <w:rFonts w:ascii="Arial" w:hAnsi="Arial" w:cs="Arial"/>
          <w:b/>
          <w:bCs/>
          <w:sz w:val="28"/>
          <w:szCs w:val="28"/>
        </w:rPr>
      </w:pPr>
    </w:p>
    <w:p w14:paraId="268815D6" w14:textId="77777777" w:rsidR="00180528" w:rsidRDefault="00180528" w:rsidP="006D6358">
      <w:pPr>
        <w:spacing w:line="480" w:lineRule="auto"/>
        <w:jc w:val="both"/>
        <w:rPr>
          <w:rFonts w:ascii="Arial" w:hAnsi="Arial" w:cs="Arial"/>
          <w:b/>
          <w:bCs/>
          <w:sz w:val="28"/>
          <w:szCs w:val="28"/>
        </w:rPr>
      </w:pPr>
    </w:p>
    <w:p w14:paraId="068AFA81" w14:textId="77777777" w:rsidR="00180528" w:rsidRDefault="00180528" w:rsidP="006D6358">
      <w:pPr>
        <w:spacing w:line="480" w:lineRule="auto"/>
        <w:jc w:val="both"/>
        <w:rPr>
          <w:rFonts w:ascii="Arial" w:hAnsi="Arial" w:cs="Arial"/>
          <w:b/>
          <w:bCs/>
          <w:sz w:val="28"/>
          <w:szCs w:val="28"/>
        </w:rPr>
      </w:pPr>
    </w:p>
    <w:p w14:paraId="7D858BC7" w14:textId="77777777" w:rsidR="00180528" w:rsidRDefault="00180528" w:rsidP="006D6358">
      <w:pPr>
        <w:spacing w:line="480" w:lineRule="auto"/>
        <w:jc w:val="both"/>
        <w:rPr>
          <w:rFonts w:ascii="Arial" w:hAnsi="Arial" w:cs="Arial"/>
          <w:b/>
          <w:bCs/>
          <w:sz w:val="28"/>
          <w:szCs w:val="28"/>
        </w:rPr>
      </w:pPr>
    </w:p>
    <w:p w14:paraId="30479BD1" w14:textId="77777777" w:rsidR="00180528" w:rsidRDefault="00180528" w:rsidP="006D6358">
      <w:pPr>
        <w:spacing w:line="480" w:lineRule="auto"/>
        <w:jc w:val="both"/>
        <w:rPr>
          <w:rFonts w:ascii="Arial" w:hAnsi="Arial" w:cs="Arial"/>
          <w:b/>
          <w:bCs/>
          <w:sz w:val="28"/>
          <w:szCs w:val="28"/>
        </w:rPr>
      </w:pPr>
    </w:p>
    <w:p w14:paraId="2A6FA3B9" w14:textId="075057DE" w:rsidR="00A463D4" w:rsidRPr="006D6358" w:rsidRDefault="00A463D4" w:rsidP="006D6358">
      <w:pPr>
        <w:spacing w:line="480" w:lineRule="auto"/>
        <w:jc w:val="both"/>
        <w:rPr>
          <w:rFonts w:ascii="Arial" w:hAnsi="Arial" w:cs="Arial"/>
          <w:b/>
          <w:bCs/>
          <w:sz w:val="28"/>
          <w:szCs w:val="28"/>
        </w:rPr>
      </w:pPr>
      <w:r w:rsidRPr="006D6358">
        <w:rPr>
          <w:rFonts w:ascii="Arial" w:hAnsi="Arial" w:cs="Arial"/>
          <w:b/>
          <w:bCs/>
          <w:sz w:val="28"/>
          <w:szCs w:val="28"/>
        </w:rPr>
        <w:t>4. Chapter 4: Findings</w:t>
      </w:r>
    </w:p>
    <w:p w14:paraId="17E8ACAD" w14:textId="77777777" w:rsidR="00A463D4" w:rsidRPr="006D6358" w:rsidRDefault="00A463D4" w:rsidP="006D6358">
      <w:pPr>
        <w:spacing w:line="480" w:lineRule="auto"/>
        <w:jc w:val="both"/>
        <w:rPr>
          <w:rFonts w:ascii="Arial" w:hAnsi="Arial" w:cs="Arial"/>
        </w:rPr>
      </w:pPr>
      <w:r w:rsidRPr="006D6358">
        <w:rPr>
          <w:rFonts w:ascii="Arial" w:hAnsi="Arial" w:cs="Arial"/>
        </w:rPr>
        <w:t>The findings from a survey and semi-structured interviews are analysed to explore how leadership influences innovation within primary education. By examining the responses gathered, a nuanced understanding emerges of how leadership practices impact the adoption and effectiveness of innovative teaching methods. The data from both the survey and interviews provide a broad spectrum of insights, revealing diverse perceptions and experiences of educators regarding the role of leadership in shaping educational innovation. Significant patterns and insights are methodically identified, ensuring the findings are interpreted within the context of established theories and literature on educational leadership. This systematic approach highlights the practical implementation of leadership strategies and their effectiveness in fostering environments conducive to innovation. Notable references, such as Kouzes and Posner (2012) and Mintzberg (1989), are used to discuss these findings, emphasizing the critical role of leadership in educational settings. The adherence to rigorous analytical methods, as recommended by Thomas (2017), ensures the conclusions are robust and provide practical implications for enhancing leadership practices in education.</w:t>
      </w:r>
    </w:p>
    <w:p w14:paraId="543532BA" w14:textId="77777777" w:rsidR="00A463D4" w:rsidRPr="006D6358" w:rsidRDefault="00A463D4" w:rsidP="006D6358">
      <w:pPr>
        <w:spacing w:line="480" w:lineRule="auto"/>
        <w:jc w:val="both"/>
        <w:rPr>
          <w:rFonts w:ascii="Arial" w:hAnsi="Arial" w:cs="Arial"/>
        </w:rPr>
      </w:pPr>
      <w:r w:rsidRPr="006D6358">
        <w:rPr>
          <w:rFonts w:ascii="Arial" w:hAnsi="Arial" w:cs="Arial"/>
        </w:rPr>
        <w:t>The synthesis of survey and interview data aims to offer comprehensive insights that enrich both academic discourse and practical applications in the field of education, focusing on how strategic leadership can profoundly impact educational outcomes.</w:t>
      </w:r>
    </w:p>
    <w:p w14:paraId="17E7E729"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4.1.1 Demographic</w:t>
      </w:r>
    </w:p>
    <w:p w14:paraId="45DAF518" w14:textId="54D10712" w:rsidR="00A463D4" w:rsidRPr="006D6358" w:rsidRDefault="00A463D4" w:rsidP="006D6358">
      <w:pPr>
        <w:spacing w:line="480" w:lineRule="auto"/>
        <w:jc w:val="both"/>
        <w:rPr>
          <w:rFonts w:ascii="Arial" w:hAnsi="Arial" w:cs="Arial"/>
          <w:b/>
          <w:bCs/>
        </w:rPr>
      </w:pPr>
      <w:r w:rsidRPr="006D6358">
        <w:rPr>
          <w:rFonts w:ascii="Arial" w:hAnsi="Arial" w:cs="Arial"/>
        </w:rPr>
        <w:t>The survey captures demographic information to understand the diversity within the educational workforce and its implications on leadership and innovation. The range of educators participating in this study extends from early career individuals to those with significant experience, illustrating a comprehensive spectrum of educational professionals. Specifically, the age distribution includes 9.5% of respondents aged 22-25, 14.3% between 26-35, 28.6% within the 36-45 range, another 28.6% aged 46-55, and 19% over 56 years old. This variety in age is pivotal, as it incorporates diverse experiences and perspectives into the analysis, offering a richer understanding of how different career stages perceive and implement leadership in fostering educational innovation. Such demographic variety ensures the findings are reflective of a wide array of educational contexts, enhancing the relevance and applicability of the research outcomes across various educational settings (Kouzes &amp; Posner, 2012).</w:t>
      </w:r>
    </w:p>
    <w:p w14:paraId="7BF96C10"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4.2.2 Questionnaire</w:t>
      </w:r>
    </w:p>
    <w:p w14:paraId="2AB3938E" w14:textId="77777777" w:rsidR="00A463D4" w:rsidRPr="006D6358" w:rsidRDefault="00A463D4" w:rsidP="006D6358">
      <w:pPr>
        <w:spacing w:line="480" w:lineRule="auto"/>
        <w:jc w:val="both"/>
        <w:rPr>
          <w:rFonts w:ascii="Arial" w:hAnsi="Arial" w:cs="Arial"/>
        </w:rPr>
      </w:pPr>
      <w:r w:rsidRPr="006D6358">
        <w:rPr>
          <w:rFonts w:ascii="Arial" w:hAnsi="Arial" w:cs="Arial"/>
        </w:rPr>
        <w:t>The questionnaire was designed to collect crucial data for the findings regarding primary teachers' perspectives on leadership and innovation within education. It involved 21 participants, reflecting various levels of teaching experience. The age distribution of participants was as follows: 1-5 years (23.8%), 6-10 years (33.3%), 11-15 years (23.8%), 16-20 years (14.3%), and 21+ years (9.5%). This broad spectrum of teaching experience provides valuable insights into how educators perceive the role of leadership in fostering innovation within primary education settings.</w:t>
      </w:r>
    </w:p>
    <w:p w14:paraId="46307E3C" w14:textId="77777777" w:rsidR="00A463D4" w:rsidRPr="006D6358" w:rsidRDefault="00A463D4" w:rsidP="006D6358">
      <w:pPr>
        <w:spacing w:line="480" w:lineRule="auto"/>
        <w:jc w:val="both"/>
        <w:rPr>
          <w:rFonts w:ascii="Arial" w:hAnsi="Arial" w:cs="Arial"/>
        </w:rPr>
      </w:pPr>
      <w:r w:rsidRPr="006D6358">
        <w:rPr>
          <w:rFonts w:ascii="Arial" w:hAnsi="Arial" w:cs="Arial"/>
        </w:rPr>
        <w:t>According to some observed trends in the data, there is a discernible alignment between leadership practices and policies promoting educational innovation (Figure 1). This suggests that effective leadership is pivotal for translating policy directives into actionable strategies that foster innovation within schools. Fullan (2015) argues that the success of educational reforms significantly hinges on the capability of leaders to adapt and implement new policies. The degree of alignment varies, reflecting a spectrum of engagement with policy initiatives. Humes and Priestley (2021) highlight that educational leaders play a crucial role in interpreting and applying these policies to meet the unique needs of their institutions. This variation may indicate potential deficiencies in the resources or training provided to educational leaders. Enhancing support mechanisms and development opportunities may be essential for equipping leaders with the necessary tools to implement innovative practices with greater consistency and effectiveness. Moreover, Bush &amp; Glover (2014) further emphasise that the capacity of leadership to effectively integrate and manage new educational innovations is essential for achieving desired educational outcomes.</w:t>
      </w:r>
    </w:p>
    <w:p w14:paraId="4D67A0DB" w14:textId="77777777" w:rsidR="00A463D4" w:rsidRPr="006D6358" w:rsidRDefault="00A463D4" w:rsidP="006D6358">
      <w:pPr>
        <w:spacing w:line="480" w:lineRule="auto"/>
        <w:jc w:val="both"/>
        <w:rPr>
          <w:rFonts w:ascii="Arial" w:hAnsi="Arial" w:cs="Arial"/>
          <w:i/>
          <w:iCs/>
          <w:color w:val="A02B93" w:themeColor="accent5"/>
        </w:rPr>
      </w:pPr>
      <w:r w:rsidRPr="006D6358">
        <w:rPr>
          <w:rFonts w:ascii="Arial" w:hAnsi="Arial" w:cs="Arial"/>
          <w:i/>
          <w:iCs/>
          <w:color w:val="A02B93" w:themeColor="accent5"/>
        </w:rPr>
        <w:t>Figure 1:  Leadership Practices with Educational Policies</w:t>
      </w:r>
    </w:p>
    <w:p w14:paraId="6D3CC2B6" w14:textId="039B4502" w:rsidR="00A463D4" w:rsidRPr="006D6358" w:rsidRDefault="00A463D4" w:rsidP="006D6358">
      <w:pPr>
        <w:spacing w:line="480" w:lineRule="auto"/>
        <w:jc w:val="both"/>
        <w:rPr>
          <w:rFonts w:ascii="Arial" w:hAnsi="Arial" w:cs="Arial"/>
          <w:b/>
          <w:bCs/>
        </w:rPr>
      </w:pPr>
      <w:r w:rsidRPr="006D6358">
        <w:rPr>
          <w:rFonts w:ascii="Arial" w:hAnsi="Arial" w:cs="Arial"/>
          <w:noProof/>
          <w:bdr w:val="single" w:sz="4" w:space="0" w:color="auto"/>
        </w:rPr>
        <w:drawing>
          <wp:inline distT="0" distB="0" distL="0" distR="0" wp14:anchorId="6055154B" wp14:editId="3B1EC9EB">
            <wp:extent cx="5324475" cy="1952625"/>
            <wp:effectExtent l="0" t="0" r="9525" b="9525"/>
            <wp:docPr id="1" name="Picture 1" descr="Forms response chart. Question title: 5. To what extent do the leadership practices in your school align with educational policies promoting innovation ?&#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5. To what extent do the leadership practices in your school align with educational policies promoting innovation ?&#10;. Number of responses: 21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25492" cy="1952998"/>
                    </a:xfrm>
                    <a:prstGeom prst="rect">
                      <a:avLst/>
                    </a:prstGeom>
                    <a:noFill/>
                    <a:ln>
                      <a:noFill/>
                    </a:ln>
                  </pic:spPr>
                </pic:pic>
              </a:graphicData>
            </a:graphic>
          </wp:inline>
        </w:drawing>
      </w:r>
    </w:p>
    <w:p w14:paraId="4F06B5D4" w14:textId="77777777" w:rsidR="00A463D4" w:rsidRPr="006D6358" w:rsidRDefault="00A463D4" w:rsidP="006D6358">
      <w:pPr>
        <w:spacing w:line="480" w:lineRule="auto"/>
        <w:jc w:val="both"/>
        <w:rPr>
          <w:rFonts w:ascii="Arial" w:hAnsi="Arial" w:cs="Arial"/>
        </w:rPr>
      </w:pPr>
    </w:p>
    <w:p w14:paraId="4F7A6DA4" w14:textId="77777777" w:rsidR="00A463D4" w:rsidRPr="006D6358" w:rsidRDefault="00A463D4" w:rsidP="006D6358">
      <w:pPr>
        <w:spacing w:line="480" w:lineRule="auto"/>
        <w:jc w:val="both"/>
        <w:rPr>
          <w:rFonts w:ascii="Arial" w:hAnsi="Arial" w:cs="Arial"/>
        </w:rPr>
      </w:pPr>
      <w:r w:rsidRPr="006D6358">
        <w:rPr>
          <w:rFonts w:ascii="Arial" w:hAnsi="Arial" w:cs="Arial"/>
        </w:rPr>
        <w:t>The responses to this question unveil a prevailing sentiment among participants regarding the effectiveness of Welsh Governmental policies implemented in their schools, with a notable proportion rating them positively (Figure 2). This positive evaluation resonates with existing literature emphasizing the pivotal role of governmental support in nurturing educational innovation (Welsh Government, 2018) and (Jones, 2019). The efficacy of policy implementation is crucial for empowering schools to embrace innovative teaching methods, as noted by Taylor et al. (2020). This finding underscores the significance of clear and actionable policies in enabling educational leaders to enact meaningful changes within their institutions. However, the absence of responses indicating policies as 'extremely effective' suggests potential areas for improvement in policy application or the provision of additional support to fully realise the intended outcomes of these initiatives.</w:t>
      </w:r>
    </w:p>
    <w:p w14:paraId="26CD0E70" w14:textId="77777777" w:rsidR="00A463D4" w:rsidRPr="006D6358" w:rsidRDefault="00A463D4" w:rsidP="006D6358">
      <w:pPr>
        <w:spacing w:line="480" w:lineRule="auto"/>
        <w:rPr>
          <w:rFonts w:ascii="Arial" w:hAnsi="Arial" w:cs="Arial"/>
          <w:i/>
          <w:iCs/>
          <w:color w:val="A02B93" w:themeColor="accent5"/>
        </w:rPr>
      </w:pPr>
      <w:r w:rsidRPr="006D6358">
        <w:rPr>
          <w:rFonts w:ascii="Arial" w:hAnsi="Arial" w:cs="Arial"/>
          <w:i/>
          <w:iCs/>
          <w:color w:val="A02B93" w:themeColor="accent5"/>
        </w:rPr>
        <w:t>Figure 2: Effectiveness of Welsh Governmental Policy Implementation</w:t>
      </w:r>
    </w:p>
    <w:p w14:paraId="23AF9AB5" w14:textId="77777777" w:rsidR="00A463D4" w:rsidRPr="006D6358" w:rsidRDefault="00A463D4" w:rsidP="006D6358">
      <w:pPr>
        <w:spacing w:line="480" w:lineRule="auto"/>
        <w:jc w:val="both"/>
        <w:rPr>
          <w:rFonts w:ascii="Arial" w:hAnsi="Arial" w:cs="Arial"/>
          <w:b/>
          <w:bCs/>
        </w:rPr>
      </w:pPr>
      <w:r w:rsidRPr="006D6358">
        <w:rPr>
          <w:rFonts w:ascii="Arial" w:hAnsi="Arial" w:cs="Arial"/>
          <w:noProof/>
          <w:bdr w:val="single" w:sz="4" w:space="0" w:color="auto"/>
        </w:rPr>
        <w:drawing>
          <wp:inline distT="0" distB="0" distL="0" distR="0" wp14:anchorId="273516E3" wp14:editId="3ABBC620">
            <wp:extent cx="5229225" cy="1962150"/>
            <wp:effectExtent l="0" t="0" r="9525" b="0"/>
            <wp:docPr id="961176566" name="Picture 961176566" descr="Forms response chart. Question title: 7. How effective are these  Welsh Governmental policies being implemented at your school?&#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7. How effective are these  Welsh Governmental policies being implemented at your school?&#10;. Number of responses: 21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0411" cy="1962595"/>
                    </a:xfrm>
                    <a:prstGeom prst="rect">
                      <a:avLst/>
                    </a:prstGeom>
                    <a:noFill/>
                    <a:ln>
                      <a:noFill/>
                    </a:ln>
                  </pic:spPr>
                </pic:pic>
              </a:graphicData>
            </a:graphic>
          </wp:inline>
        </w:drawing>
      </w:r>
    </w:p>
    <w:p w14:paraId="22CED830" w14:textId="77777777" w:rsidR="00A463D4" w:rsidRPr="006D6358" w:rsidRDefault="00A463D4" w:rsidP="006D6358">
      <w:pPr>
        <w:spacing w:line="480" w:lineRule="auto"/>
        <w:jc w:val="both"/>
        <w:rPr>
          <w:rFonts w:ascii="Arial" w:hAnsi="Arial" w:cs="Arial"/>
          <w:b/>
          <w:bCs/>
        </w:rPr>
      </w:pPr>
    </w:p>
    <w:p w14:paraId="752FF88E" w14:textId="77777777" w:rsidR="00884BF3" w:rsidRDefault="00A463D4" w:rsidP="006D6358">
      <w:pPr>
        <w:spacing w:line="480" w:lineRule="auto"/>
        <w:jc w:val="both"/>
        <w:rPr>
          <w:rFonts w:ascii="Arial" w:hAnsi="Arial" w:cs="Arial"/>
        </w:rPr>
      </w:pPr>
      <w:r w:rsidRPr="006D6358">
        <w:rPr>
          <w:rFonts w:ascii="Arial" w:hAnsi="Arial" w:cs="Arial"/>
        </w:rPr>
        <w:t>Examining how schools address linguistic and cultural diversity in their curriculum and teaching methods (Figure 3) reveals positive perceptions among respondents. This highlights the importance of integrating diversity and cultural understanding into educational practices for fostering inclusive learning environments. Also, Banks (2015) advocates for culturally responsive teaching, aligning with multicultural education principles (Nieto and Bode, 2018) that prioritise diverse perspectives for equity and social justice in education. Strategies like celebrating cultural festivals and promoting multilingualism reflect ongoing efforts to create inclusive environments, supported by Gay's research (2018), emphasising continual evaluation for inclusivity. Despite reported effectiveness, there's room for improvement in ensuring all students feel fully included. Continuous evaluation and refinement of diversity initiatives are vital for an inclusive and innovative educational environment (Gay, 2018). Strengthening connections between findings and literature supports academic discourse.</w:t>
      </w:r>
    </w:p>
    <w:p w14:paraId="3805C27E" w14:textId="049F7AA0" w:rsidR="00A463D4" w:rsidRPr="006D6358" w:rsidRDefault="00A463D4" w:rsidP="006D6358">
      <w:pPr>
        <w:spacing w:line="480" w:lineRule="auto"/>
        <w:jc w:val="both"/>
        <w:rPr>
          <w:rFonts w:ascii="Arial" w:hAnsi="Arial" w:cs="Arial"/>
          <w:i/>
          <w:iCs/>
          <w:color w:val="A02B93" w:themeColor="accent5"/>
        </w:rPr>
      </w:pPr>
      <w:r w:rsidRPr="006D6358">
        <w:rPr>
          <w:rFonts w:ascii="Arial" w:hAnsi="Arial" w:cs="Arial"/>
          <w:i/>
          <w:iCs/>
          <w:color w:val="A02B93" w:themeColor="accent5"/>
        </w:rPr>
        <w:t>Figure 3: Diversity Initiatives</w:t>
      </w:r>
    </w:p>
    <w:p w14:paraId="50032487" w14:textId="77777777" w:rsidR="00A463D4" w:rsidRPr="006D6358" w:rsidRDefault="00A463D4" w:rsidP="006D6358">
      <w:pPr>
        <w:pBdr>
          <w:top w:val="single" w:sz="4" w:space="1" w:color="auto"/>
          <w:left w:val="single" w:sz="4" w:space="4" w:color="auto"/>
          <w:bottom w:val="single" w:sz="4" w:space="1" w:color="auto"/>
          <w:right w:val="single" w:sz="4" w:space="0" w:color="auto"/>
        </w:pBdr>
        <w:spacing w:line="480" w:lineRule="auto"/>
        <w:jc w:val="both"/>
        <w:rPr>
          <w:rFonts w:ascii="Arial" w:hAnsi="Arial" w:cs="Arial"/>
          <w:color w:val="A02B93" w:themeColor="accent5"/>
        </w:rPr>
      </w:pPr>
      <w:r w:rsidRPr="006D6358">
        <w:rPr>
          <w:rFonts w:ascii="Arial" w:hAnsi="Arial" w:cs="Arial"/>
          <w:noProof/>
        </w:rPr>
        <w:drawing>
          <wp:inline distT="0" distB="0" distL="0" distR="0" wp14:anchorId="50AC944A" wp14:editId="07C1AC7C">
            <wp:extent cx="5730447" cy="2228850"/>
            <wp:effectExtent l="0" t="0" r="3810" b="0"/>
            <wp:docPr id="6" name="Picture 5" descr="Forms response chart. Question title: 9. How does your school address linguistic and cultural diversity in its curriculum and teaching methods?&#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9. How does your school address linguistic and cultural diversity in its curriculum and teaching methods?&#10;. Number of responses: 21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4822" cy="2230552"/>
                    </a:xfrm>
                    <a:prstGeom prst="rect">
                      <a:avLst/>
                    </a:prstGeom>
                    <a:noFill/>
                    <a:ln>
                      <a:noFill/>
                    </a:ln>
                  </pic:spPr>
                </pic:pic>
              </a:graphicData>
            </a:graphic>
          </wp:inline>
        </w:drawing>
      </w:r>
    </w:p>
    <w:p w14:paraId="239D3732" w14:textId="77777777" w:rsidR="00A463D4" w:rsidRPr="006D6358" w:rsidRDefault="00A463D4" w:rsidP="006D6358">
      <w:pPr>
        <w:spacing w:line="480" w:lineRule="auto"/>
        <w:jc w:val="both"/>
        <w:rPr>
          <w:rFonts w:ascii="Arial" w:hAnsi="Arial" w:cs="Arial"/>
          <w:color w:val="A02B93" w:themeColor="accent5"/>
        </w:rPr>
      </w:pPr>
    </w:p>
    <w:p w14:paraId="615B3F12" w14:textId="77777777" w:rsidR="00A463D4" w:rsidRPr="006D6358" w:rsidRDefault="00A463D4" w:rsidP="006D6358">
      <w:pPr>
        <w:spacing w:line="480" w:lineRule="auto"/>
        <w:jc w:val="both"/>
        <w:rPr>
          <w:rFonts w:ascii="Arial" w:hAnsi="Arial" w:cs="Arial"/>
          <w:b/>
          <w:bCs/>
        </w:rPr>
      </w:pPr>
    </w:p>
    <w:p w14:paraId="048F8171" w14:textId="77777777" w:rsidR="00A463D4" w:rsidRPr="006D6358" w:rsidRDefault="00A463D4" w:rsidP="006D6358">
      <w:pPr>
        <w:spacing w:line="480" w:lineRule="auto"/>
        <w:jc w:val="both"/>
        <w:rPr>
          <w:rFonts w:ascii="Arial" w:hAnsi="Arial" w:cs="Arial"/>
        </w:rPr>
      </w:pPr>
      <w:r w:rsidRPr="006D6358">
        <w:rPr>
          <w:rFonts w:ascii="Arial" w:hAnsi="Arial" w:cs="Arial"/>
        </w:rPr>
        <w:t>This was followed by an open question aimed at understanding the approaches and initiatives implemented by schools to integrate linguistic and cultural diversity into their curriculum and teaching methodologies. Respondents provided diverse insights into the strategies adopted, reflecting a multifaceted approach towards fostering inclusivity and celebrating diversity.</w:t>
      </w:r>
    </w:p>
    <w:p w14:paraId="10656EBF" w14:textId="0776FF9B" w:rsidR="00A463D4" w:rsidRPr="006D6358" w:rsidRDefault="00A463D4" w:rsidP="006D6358">
      <w:pPr>
        <w:spacing w:line="480" w:lineRule="auto"/>
        <w:jc w:val="both"/>
        <w:rPr>
          <w:rFonts w:ascii="Arial" w:hAnsi="Arial" w:cs="Arial"/>
        </w:rPr>
      </w:pPr>
      <w:r w:rsidRPr="006D6358">
        <w:rPr>
          <w:rFonts w:ascii="Arial" w:hAnsi="Arial" w:cs="Arial"/>
        </w:rPr>
        <w:t>Some respondents underscored the significance of "celebrating diversity, through initiatives like technology integration and community engagement spearheaded by the Family Engagement Office</w:t>
      </w:r>
      <w:r w:rsidR="00E8310A" w:rsidRPr="006D6358">
        <w:rPr>
          <w:rFonts w:ascii="Arial" w:hAnsi="Arial" w:cs="Arial"/>
        </w:rPr>
        <w:t>” [sic]</w:t>
      </w:r>
      <w:r w:rsidRPr="006D6358">
        <w:rPr>
          <w:rFonts w:ascii="Arial" w:hAnsi="Arial" w:cs="Arial"/>
        </w:rPr>
        <w:t>. These endeavours aim to ensure that all families feel "welcomed"[sic], and valued within the school community, thereby fostering a sense of belonging. Others emphasi</w:t>
      </w:r>
      <w:r w:rsidR="00E845D1" w:rsidRPr="006D6358">
        <w:rPr>
          <w:rFonts w:ascii="Arial" w:hAnsi="Arial" w:cs="Arial"/>
        </w:rPr>
        <w:t>s</w:t>
      </w:r>
      <w:r w:rsidRPr="006D6358">
        <w:rPr>
          <w:rFonts w:ascii="Arial" w:hAnsi="Arial" w:cs="Arial"/>
        </w:rPr>
        <w:t>ed the promotion of cultural diversity through initiatives such as "marking religious festivals" [sic], and "promoting linguistic diversity" [sic]. This includes efforts to encourage language learning beyond the curriculum. Such endeavours aim to expose students to various cultures and languages, fostering appreciation and understanding.</w:t>
      </w:r>
    </w:p>
    <w:p w14:paraId="010DD7F9" w14:textId="1E564CB0" w:rsidR="00511ACB" w:rsidRPr="006D6358" w:rsidRDefault="00A463D4" w:rsidP="006D6358">
      <w:pPr>
        <w:spacing w:line="480" w:lineRule="auto"/>
        <w:jc w:val="both"/>
        <w:rPr>
          <w:rFonts w:ascii="Arial" w:hAnsi="Arial" w:cs="Arial"/>
        </w:rPr>
      </w:pPr>
      <w:r w:rsidRPr="006D6358">
        <w:rPr>
          <w:rFonts w:ascii="Arial" w:hAnsi="Arial" w:cs="Arial"/>
        </w:rPr>
        <w:t>Several respondents highlighted the importance of an inclusive curriculum, with topics and resources designed to reflect cultural differences and promote respect for diversity. Anti-racist lenses are applied to evaluate resources and ensure that the curriculum is inclusive and equitable for all students. Moreover, professional development opportunities are provided to staff members, focusing on enhancing their awareness of linguistic and cultural diversity in the curriculum. Schools designate EAL lead practitioners to support diverse learners and celebrate cultural diversity within the school community. Additionally, the responses underscore the proactive efforts of schools to create inclusive learning environments that embrace linguistic and cultural diversity. These initiatives are in line with the principles of equity and social justice advocated in educational research (Banks, 2016).</w:t>
      </w:r>
    </w:p>
    <w:sectPr w:rsidR="00511ACB" w:rsidRPr="006D63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ocs-Roboto">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0B6CEE"/>
    <w:multiLevelType w:val="multilevel"/>
    <w:tmpl w:val="6E5C5F18"/>
    <w:lvl w:ilvl="0">
      <w:start w:val="2"/>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08C2EAB"/>
    <w:multiLevelType w:val="hybridMultilevel"/>
    <w:tmpl w:val="2EFA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063834">
    <w:abstractNumId w:val="1"/>
  </w:num>
  <w:num w:numId="2" w16cid:durableId="1407456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56A"/>
    <w:rsid w:val="00180528"/>
    <w:rsid w:val="004F3D75"/>
    <w:rsid w:val="004F5F49"/>
    <w:rsid w:val="00511ACB"/>
    <w:rsid w:val="006D6358"/>
    <w:rsid w:val="007578F1"/>
    <w:rsid w:val="00797B51"/>
    <w:rsid w:val="00884BF3"/>
    <w:rsid w:val="008D2D61"/>
    <w:rsid w:val="0094144B"/>
    <w:rsid w:val="009418E7"/>
    <w:rsid w:val="00A35D29"/>
    <w:rsid w:val="00A463D4"/>
    <w:rsid w:val="00B1123D"/>
    <w:rsid w:val="00B4456A"/>
    <w:rsid w:val="00BE4925"/>
    <w:rsid w:val="00C26869"/>
    <w:rsid w:val="00E36EE1"/>
    <w:rsid w:val="00E8310A"/>
    <w:rsid w:val="00E84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6C9BA"/>
  <w15:chartTrackingRefBased/>
  <w15:docId w15:val="{9787C202-97B0-422F-9DE1-551A4DBD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5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5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5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5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56A"/>
    <w:rPr>
      <w:rFonts w:eastAsiaTheme="majorEastAsia" w:cstheme="majorBidi"/>
      <w:color w:val="272727" w:themeColor="text1" w:themeTint="D8"/>
    </w:rPr>
  </w:style>
  <w:style w:type="paragraph" w:styleId="Title">
    <w:name w:val="Title"/>
    <w:basedOn w:val="Normal"/>
    <w:next w:val="Normal"/>
    <w:link w:val="TitleChar"/>
    <w:uiPriority w:val="10"/>
    <w:qFormat/>
    <w:rsid w:val="00B44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5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56A"/>
    <w:pPr>
      <w:spacing w:before="160"/>
      <w:jc w:val="center"/>
    </w:pPr>
    <w:rPr>
      <w:i/>
      <w:iCs/>
      <w:color w:val="404040" w:themeColor="text1" w:themeTint="BF"/>
    </w:rPr>
  </w:style>
  <w:style w:type="character" w:customStyle="1" w:styleId="QuoteChar">
    <w:name w:val="Quote Char"/>
    <w:basedOn w:val="DefaultParagraphFont"/>
    <w:link w:val="Quote"/>
    <w:uiPriority w:val="29"/>
    <w:rsid w:val="00B4456A"/>
    <w:rPr>
      <w:i/>
      <w:iCs/>
      <w:color w:val="404040" w:themeColor="text1" w:themeTint="BF"/>
    </w:rPr>
  </w:style>
  <w:style w:type="paragraph" w:styleId="ListParagraph">
    <w:name w:val="List Paragraph"/>
    <w:basedOn w:val="Normal"/>
    <w:uiPriority w:val="34"/>
    <w:qFormat/>
    <w:rsid w:val="00B4456A"/>
    <w:pPr>
      <w:ind w:left="720"/>
      <w:contextualSpacing/>
    </w:pPr>
  </w:style>
  <w:style w:type="character" w:styleId="IntenseEmphasis">
    <w:name w:val="Intense Emphasis"/>
    <w:basedOn w:val="DefaultParagraphFont"/>
    <w:uiPriority w:val="21"/>
    <w:qFormat/>
    <w:rsid w:val="00B4456A"/>
    <w:rPr>
      <w:i/>
      <w:iCs/>
      <w:color w:val="0F4761" w:themeColor="accent1" w:themeShade="BF"/>
    </w:rPr>
  </w:style>
  <w:style w:type="paragraph" w:styleId="IntenseQuote">
    <w:name w:val="Intense Quote"/>
    <w:basedOn w:val="Normal"/>
    <w:next w:val="Normal"/>
    <w:link w:val="IntenseQuoteChar"/>
    <w:uiPriority w:val="30"/>
    <w:qFormat/>
    <w:rsid w:val="00B44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56A"/>
    <w:rPr>
      <w:i/>
      <w:iCs/>
      <w:color w:val="0F4761" w:themeColor="accent1" w:themeShade="BF"/>
    </w:rPr>
  </w:style>
  <w:style w:type="character" w:styleId="IntenseReference">
    <w:name w:val="Intense Reference"/>
    <w:basedOn w:val="DefaultParagraphFont"/>
    <w:uiPriority w:val="32"/>
    <w:qFormat/>
    <w:rsid w:val="00B4456A"/>
    <w:rPr>
      <w:b/>
      <w:bCs/>
      <w:smallCaps/>
      <w:color w:val="0F4761" w:themeColor="accent1" w:themeShade="BF"/>
      <w:spacing w:val="5"/>
    </w:rPr>
  </w:style>
  <w:style w:type="paragraph" w:styleId="NoSpacing">
    <w:name w:val="No Spacing"/>
    <w:uiPriority w:val="1"/>
    <w:qFormat/>
    <w:rsid w:val="00A463D4"/>
    <w:pPr>
      <w:spacing w:after="0" w:line="240" w:lineRule="auto"/>
    </w:pPr>
    <w:rPr>
      <w:sz w:val="22"/>
      <w:szCs w:val="22"/>
    </w:rPr>
  </w:style>
  <w:style w:type="paragraph" w:styleId="NormalWeb">
    <w:name w:val="Normal (Web)"/>
    <w:basedOn w:val="Normal"/>
    <w:uiPriority w:val="99"/>
    <w:semiHidden/>
    <w:unhideWhenUsed/>
    <w:rsid w:val="00A463D4"/>
    <w:pPr>
      <w:spacing w:before="100" w:beforeAutospacing="1" w:after="100" w:afterAutospacing="1" w:line="240" w:lineRule="auto"/>
    </w:pPr>
    <w:rPr>
      <w:rFonts w:ascii="Times New Roman" w:eastAsia="Times New Roman" w:hAnsi="Times New Roman" w:cs="Times New Roman"/>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customXml" Target="ink/ink1.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ustomXml" Target="ink/ink2.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2T14:24:12.650"/>
    </inkml:context>
    <inkml:brush xml:id="br0">
      <inkml:brushProperty name="width" value="0.05" units="cm"/>
      <inkml:brushProperty name="height" value="0.05" units="cm"/>
    </inkml:brush>
  </inkml:definitions>
  <inkml:trace contextRef="#ctx0" brushRef="#br0">26 1 24575,'0'4'0,"-4"2"0</inkml:trace>
  <inkml:trace contextRef="#ctx0" brushRef="#br0" timeOffset="1">0 28 24575,'0'0'-8191</inkml:trace>
  <inkml:trace contextRef="#ctx0" brushRef="#br0" timeOffset="407.05">0 27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2T14:24:12.297"/>
    </inkml:context>
    <inkml:brush xml:id="br0">
      <inkml:brushProperty name="width" value="0.05" units="cm"/>
      <inkml:brushProperty name="height" value="0.05" units="cm"/>
    </inkml:brush>
  </inkml:definitions>
  <inkml:trace contextRef="#ctx0" brushRef="#br0">0 1 24575,'0'14'0,"0"6"-8191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Rey16</b:Tag>
    <b:SourceType>JournalArticle</b:SourceType>
    <b:Guid>{1A4DF27A-CFEE-441B-9E2E-7D59FC685334}</b:Guid>
    <b:Author>
      <b:Author>
        <b:NameList>
          <b:Person>
            <b:Last>Reynolds</b:Last>
            <b:First>D</b:First>
          </b:Person>
        </b:NameList>
      </b:Author>
    </b:Author>
    <b:Title>Education in Wales: How do we move from troubled and troubling to transformational?</b:Title>
    <b:JournalName>Wales Journal of Education</b:JournalName>
    <b:Year>2016</b:Year>
    <b:Volume>18</b:Volume>
    <b:Issue>1</b:Issue>
    <b:RefOrder>1</b:RefOrder>
  </b:Source>
</b:Sources>
</file>

<file path=customXml/itemProps1.xml><?xml version="1.0" encoding="utf-8"?>
<ds:datastoreItem xmlns:ds="http://schemas.openxmlformats.org/officeDocument/2006/customXml" ds:itemID="{B259105E-9158-457B-BF15-58CC44D1D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10499</Words>
  <Characters>59847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 Laameche (1908274)</dc:creator>
  <cp:keywords/>
  <dc:description/>
  <cp:lastModifiedBy>Aissa Laameche</cp:lastModifiedBy>
  <cp:revision>2</cp:revision>
  <dcterms:created xsi:type="dcterms:W3CDTF">2024-04-29T17:48:00Z</dcterms:created>
  <dcterms:modified xsi:type="dcterms:W3CDTF">2024-04-29T17:48:00Z</dcterms:modified>
</cp:coreProperties>
</file>