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970E2C" w14:textId="1A4D577C" w:rsidR="00C90160" w:rsidRDefault="000E6BB9" w:rsidP="00086A2F">
      <w:pPr>
        <w:spacing w:line="480" w:lineRule="auto"/>
        <w:rPr>
          <w:rFonts w:ascii="Times New Roman" w:hAnsi="Times New Roman"/>
        </w:rPr>
      </w:pPr>
      <w:r>
        <w:rPr>
          <w:rFonts w:ascii="Times New Roman" w:hAnsi="Times New Roman"/>
        </w:rPr>
        <w:t xml:space="preserve">Banquets in Ancient Rome played a huge </w:t>
      </w:r>
      <w:r w:rsidR="003D713C">
        <w:rPr>
          <w:rFonts w:ascii="Times New Roman" w:hAnsi="Times New Roman"/>
        </w:rPr>
        <w:t xml:space="preserve">feature to any driven citizen, when regarding status and social relationships. It did however come in other forms to boost other scenarios to a small group of individuals. However, the main drive for any Roman out there would have been based </w:t>
      </w:r>
      <w:r w:rsidR="002106FD">
        <w:rPr>
          <w:rFonts w:ascii="Times New Roman" w:hAnsi="Times New Roman"/>
        </w:rPr>
        <w:t xml:space="preserve">on business and being involved </w:t>
      </w:r>
      <w:r w:rsidR="00FB3678">
        <w:rPr>
          <w:rFonts w:ascii="Times New Roman" w:hAnsi="Times New Roman"/>
        </w:rPr>
        <w:t>or</w:t>
      </w:r>
      <w:r w:rsidR="003D713C">
        <w:rPr>
          <w:rFonts w:ascii="Times New Roman" w:hAnsi="Times New Roman"/>
        </w:rPr>
        <w:t xml:space="preserve"> present. Then there is the stress of managing the hardships of being a host and the balance of still improving your social relationships and status along the way. Another area was the subtle reflection of wealth, the wealth within hosts and people played a huge role in boosting status when hosting, allowing more status to grow in repertoire. Finally there is the focus on morality while banqueting and how that in a refined sense can also play to status and social relationships.</w:t>
      </w:r>
    </w:p>
    <w:p w14:paraId="24AB894A" w14:textId="563423F7" w:rsidR="000068E1" w:rsidRDefault="000068E1" w:rsidP="00086A2F">
      <w:pPr>
        <w:spacing w:line="480" w:lineRule="auto"/>
        <w:rPr>
          <w:rFonts w:ascii="Times New Roman" w:hAnsi="Times New Roman"/>
        </w:rPr>
      </w:pPr>
    </w:p>
    <w:p w14:paraId="31C1AD0D" w14:textId="41239960" w:rsidR="0025367E" w:rsidRPr="005913AD" w:rsidRDefault="008D3C54" w:rsidP="00086A2F">
      <w:pPr>
        <w:spacing w:line="480" w:lineRule="auto"/>
        <w:rPr>
          <w:rFonts w:ascii="Times New Roman" w:hAnsi="Times New Roman"/>
        </w:rPr>
      </w:pPr>
      <w:r>
        <w:rPr>
          <w:rFonts w:ascii="Times New Roman" w:hAnsi="Times New Roman"/>
        </w:rPr>
        <w:t xml:space="preserve">Roman dining was crucial for many prominent Romans in the ancient world. </w:t>
      </w:r>
      <w:bookmarkStart w:id="0" w:name="_GoBack"/>
      <w:r w:rsidR="00FD04D3">
        <w:rPr>
          <w:rFonts w:ascii="Times New Roman" w:hAnsi="Times New Roman"/>
        </w:rPr>
        <w:t>Nevertheless</w:t>
      </w:r>
      <w:bookmarkEnd w:id="0"/>
      <w:r w:rsidR="003A147D">
        <w:rPr>
          <w:rFonts w:ascii="Times New Roman" w:hAnsi="Times New Roman"/>
        </w:rPr>
        <w:t>,</w:t>
      </w:r>
      <w:r>
        <w:rPr>
          <w:rFonts w:ascii="Times New Roman" w:hAnsi="Times New Roman"/>
        </w:rPr>
        <w:t xml:space="preserve"> banquets were not the only form of appealing to people. Although they are a crucial way to help an individual’s status and social relationships flourish there are other forms.</w:t>
      </w:r>
      <w:r w:rsidR="005913AD">
        <w:rPr>
          <w:rFonts w:ascii="Times New Roman" w:hAnsi="Times New Roman"/>
        </w:rPr>
        <w:t xml:space="preserve"> The most common was the </w:t>
      </w:r>
      <w:r w:rsidR="005913AD">
        <w:rPr>
          <w:rFonts w:ascii="Times New Roman" w:hAnsi="Times New Roman"/>
          <w:i/>
        </w:rPr>
        <w:t xml:space="preserve">triclinium </w:t>
      </w:r>
      <w:r w:rsidR="005913AD">
        <w:rPr>
          <w:rFonts w:ascii="Times New Roman" w:hAnsi="Times New Roman"/>
        </w:rPr>
        <w:t>within the room and its three couches there would typically be nine individuals.</w:t>
      </w:r>
      <w:r w:rsidR="0021035E">
        <w:rPr>
          <w:rStyle w:val="FootnoteReference"/>
          <w:rFonts w:ascii="Times New Roman" w:hAnsi="Times New Roman"/>
        </w:rPr>
        <w:footnoteReference w:id="1"/>
      </w:r>
      <w:r w:rsidR="005913AD">
        <w:rPr>
          <w:rFonts w:ascii="Times New Roman" w:hAnsi="Times New Roman"/>
        </w:rPr>
        <w:t xml:space="preserve"> This easily </w:t>
      </w:r>
      <w:r w:rsidR="003A147D">
        <w:rPr>
          <w:rFonts w:ascii="Times New Roman" w:hAnsi="Times New Roman"/>
        </w:rPr>
        <w:t xml:space="preserve">is </w:t>
      </w:r>
      <w:r w:rsidR="005913AD">
        <w:rPr>
          <w:rFonts w:ascii="Times New Roman" w:hAnsi="Times New Roman"/>
        </w:rPr>
        <w:t>regarded as there is evidence in sources such as Horace in Satire 8 where he describes the layout within it all and the seating of guests, with the most prominent in the middle.</w:t>
      </w:r>
      <w:r w:rsidR="005913AD">
        <w:rPr>
          <w:rStyle w:val="FootnoteReference"/>
          <w:rFonts w:ascii="Times New Roman" w:hAnsi="Times New Roman"/>
        </w:rPr>
        <w:footnoteReference w:id="2"/>
      </w:r>
      <w:r w:rsidR="0025367E">
        <w:rPr>
          <w:rFonts w:ascii="Times New Roman" w:hAnsi="Times New Roman"/>
        </w:rPr>
        <w:t xml:space="preserve"> The other form of dining was publically. Julius Caesar used public games and feasts to also profit his social relationship,  as he was a renowned </w:t>
      </w:r>
      <w:proofErr w:type="spellStart"/>
      <w:r w:rsidR="0025367E" w:rsidRPr="0025367E">
        <w:rPr>
          <w:rFonts w:ascii="Times New Roman" w:hAnsi="Times New Roman"/>
          <w:i/>
        </w:rPr>
        <w:t>populares</w:t>
      </w:r>
      <w:proofErr w:type="spellEnd"/>
      <w:r w:rsidR="0025367E">
        <w:rPr>
          <w:rFonts w:ascii="Times New Roman" w:hAnsi="Times New Roman"/>
        </w:rPr>
        <w:t xml:space="preserve"> in politics and would use that to his advantage in increasing his status through the common people.</w:t>
      </w:r>
      <w:r w:rsidR="0025367E">
        <w:rPr>
          <w:rStyle w:val="FootnoteReference"/>
          <w:rFonts w:ascii="Times New Roman" w:hAnsi="Times New Roman"/>
        </w:rPr>
        <w:footnoteReference w:id="3"/>
      </w:r>
      <w:r w:rsidR="0025367E">
        <w:rPr>
          <w:rFonts w:ascii="Times New Roman" w:hAnsi="Times New Roman"/>
        </w:rPr>
        <w:t xml:space="preserve"> </w:t>
      </w:r>
    </w:p>
    <w:p w14:paraId="08B41E1E" w14:textId="77777777" w:rsidR="008D3C54" w:rsidRDefault="008D3C54" w:rsidP="00086A2F">
      <w:pPr>
        <w:spacing w:line="480" w:lineRule="auto"/>
        <w:rPr>
          <w:rFonts w:ascii="Times New Roman" w:hAnsi="Times New Roman"/>
        </w:rPr>
      </w:pPr>
    </w:p>
    <w:p w14:paraId="2088CE5B" w14:textId="45E706A8" w:rsidR="000068E1" w:rsidRDefault="00AE0E89" w:rsidP="00086A2F">
      <w:pPr>
        <w:spacing w:line="480" w:lineRule="auto"/>
        <w:rPr>
          <w:rFonts w:ascii="Times New Roman" w:hAnsi="Times New Roman"/>
        </w:rPr>
      </w:pPr>
      <w:r>
        <w:rPr>
          <w:rFonts w:ascii="Times New Roman" w:hAnsi="Times New Roman"/>
        </w:rPr>
        <w:t xml:space="preserve">Banquets were crucial to the Roman world for individuals trying to develop social relationships. Social relationships were the backbone of any ambitious and successful </w:t>
      </w:r>
      <w:r>
        <w:rPr>
          <w:rFonts w:ascii="Times New Roman" w:hAnsi="Times New Roman"/>
        </w:rPr>
        <w:lastRenderedPageBreak/>
        <w:t>individual in Rome and throughout the use of banquets, they allowed people to congregate and do what they could to impress the audiences required.</w:t>
      </w:r>
      <w:r w:rsidR="007A1334">
        <w:rPr>
          <w:rFonts w:ascii="Times New Roman" w:hAnsi="Times New Roman"/>
        </w:rPr>
        <w:t xml:space="preserve"> It was viewed by Nicholas Hudson that food was “secondary” in the developing of socials relationships. </w:t>
      </w:r>
      <w:r w:rsidR="007A1334">
        <w:rPr>
          <w:rStyle w:val="FootnoteReference"/>
          <w:rFonts w:ascii="Times New Roman" w:hAnsi="Times New Roman"/>
        </w:rPr>
        <w:footnoteReference w:id="4"/>
      </w:r>
      <w:r w:rsidR="007A1334">
        <w:rPr>
          <w:rFonts w:ascii="Times New Roman" w:hAnsi="Times New Roman"/>
        </w:rPr>
        <w:t xml:space="preserve"> </w:t>
      </w:r>
      <w:r w:rsidR="00E45147">
        <w:rPr>
          <w:rFonts w:ascii="Times New Roman" w:hAnsi="Times New Roman"/>
        </w:rPr>
        <w:t>Additional</w:t>
      </w:r>
      <w:r>
        <w:rPr>
          <w:rFonts w:ascii="Times New Roman" w:hAnsi="Times New Roman"/>
        </w:rPr>
        <w:t xml:space="preserve"> ambitious characters would </w:t>
      </w:r>
      <w:r w:rsidR="007A1334">
        <w:rPr>
          <w:rFonts w:ascii="Times New Roman" w:hAnsi="Times New Roman"/>
        </w:rPr>
        <w:t>crawl</w:t>
      </w:r>
      <w:r>
        <w:rPr>
          <w:rFonts w:ascii="Times New Roman" w:hAnsi="Times New Roman"/>
        </w:rPr>
        <w:t xml:space="preserve"> </w:t>
      </w:r>
      <w:r w:rsidR="007A1334">
        <w:rPr>
          <w:rFonts w:ascii="Times New Roman" w:hAnsi="Times New Roman"/>
        </w:rPr>
        <w:t>their way in to get</w:t>
      </w:r>
      <w:r>
        <w:rPr>
          <w:rFonts w:ascii="Times New Roman" w:hAnsi="Times New Roman"/>
        </w:rPr>
        <w:t xml:space="preserve"> invites and were branded parasites</w:t>
      </w:r>
      <w:r w:rsidR="007A1334">
        <w:rPr>
          <w:rFonts w:ascii="Times New Roman" w:hAnsi="Times New Roman"/>
        </w:rPr>
        <w:t>. Characters of this calibre were just as ambitious and would be in effect, hungry to compliment and make themselves memorable to the wealthy host, patron, guest all alike he would be the chief of flattering in hope of rewards and a fresh connection to boost himself up the social ladder. Plutarch further explains how banquets were the best ground for anyone to further themselves and allow an individual to gain new friends saying that “they attend a party – at least if they are intelligent…”</w:t>
      </w:r>
      <w:r w:rsidR="00775ABB">
        <w:rPr>
          <w:rFonts w:ascii="Times New Roman" w:hAnsi="Times New Roman"/>
        </w:rPr>
        <w:t xml:space="preserve"> proving the relevance of attending a banquet for social relationships at the very least.</w:t>
      </w:r>
      <w:r w:rsidR="00775ABB">
        <w:rPr>
          <w:rStyle w:val="FootnoteReference"/>
          <w:rFonts w:ascii="Times New Roman" w:hAnsi="Times New Roman"/>
        </w:rPr>
        <w:footnoteReference w:id="5"/>
      </w:r>
      <w:r w:rsidR="007A1334">
        <w:rPr>
          <w:rFonts w:ascii="Times New Roman" w:hAnsi="Times New Roman"/>
        </w:rPr>
        <w:t xml:space="preserve"> </w:t>
      </w:r>
    </w:p>
    <w:p w14:paraId="0A62164A" w14:textId="7755A0B0" w:rsidR="00775ABB" w:rsidRDefault="00775ABB" w:rsidP="00086A2F">
      <w:pPr>
        <w:spacing w:line="480" w:lineRule="auto"/>
        <w:rPr>
          <w:rFonts w:ascii="Times New Roman" w:hAnsi="Times New Roman"/>
        </w:rPr>
      </w:pPr>
    </w:p>
    <w:p w14:paraId="2B027E91" w14:textId="01412A98" w:rsidR="00775ABB" w:rsidRDefault="00775ABB" w:rsidP="00086A2F">
      <w:pPr>
        <w:spacing w:line="480" w:lineRule="auto"/>
        <w:rPr>
          <w:rFonts w:ascii="Times New Roman" w:hAnsi="Times New Roman"/>
        </w:rPr>
      </w:pPr>
      <w:r>
        <w:rPr>
          <w:rFonts w:ascii="Times New Roman" w:hAnsi="Times New Roman"/>
        </w:rPr>
        <w:t xml:space="preserve">While the focus may be for individuals to </w:t>
      </w:r>
      <w:r w:rsidR="008C1FD0">
        <w:rPr>
          <w:rFonts w:ascii="Times New Roman" w:hAnsi="Times New Roman"/>
        </w:rPr>
        <w:t>gain a</w:t>
      </w:r>
      <w:r>
        <w:rPr>
          <w:rFonts w:ascii="Times New Roman" w:hAnsi="Times New Roman"/>
        </w:rPr>
        <w:t xml:space="preserve"> higher social status and mingle with potential ‘amici’ and further their o</w:t>
      </w:r>
      <w:r w:rsidR="00D92F9B">
        <w:rPr>
          <w:rFonts w:ascii="Times New Roman" w:hAnsi="Times New Roman"/>
        </w:rPr>
        <w:t>wn ambitions there is also the h</w:t>
      </w:r>
      <w:r>
        <w:rPr>
          <w:rFonts w:ascii="Times New Roman" w:hAnsi="Times New Roman"/>
        </w:rPr>
        <w:t>os</w:t>
      </w:r>
      <w:r w:rsidR="003325CD">
        <w:rPr>
          <w:rFonts w:ascii="Times New Roman" w:hAnsi="Times New Roman"/>
        </w:rPr>
        <w:t xml:space="preserve">t. Being a host relied on </w:t>
      </w:r>
      <w:r w:rsidR="00D92F9B">
        <w:rPr>
          <w:rFonts w:ascii="Times New Roman" w:hAnsi="Times New Roman"/>
        </w:rPr>
        <w:t>their</w:t>
      </w:r>
      <w:r w:rsidR="003325CD">
        <w:rPr>
          <w:rFonts w:ascii="Times New Roman" w:hAnsi="Times New Roman"/>
        </w:rPr>
        <w:t xml:space="preserve"> s</w:t>
      </w:r>
      <w:r>
        <w:rPr>
          <w:rFonts w:ascii="Times New Roman" w:hAnsi="Times New Roman"/>
        </w:rPr>
        <w:t>ocial relationships but more heavily, their status</w:t>
      </w:r>
      <w:r w:rsidR="003325CD">
        <w:rPr>
          <w:rFonts w:ascii="Times New Roman" w:hAnsi="Times New Roman"/>
        </w:rPr>
        <w:t xml:space="preserve"> among businessmen and clients</w:t>
      </w:r>
      <w:r>
        <w:rPr>
          <w:rFonts w:ascii="Times New Roman" w:hAnsi="Times New Roman"/>
        </w:rPr>
        <w:t>.</w:t>
      </w:r>
      <w:r w:rsidR="005824A9">
        <w:rPr>
          <w:rStyle w:val="FootnoteReference"/>
          <w:rFonts w:ascii="Times New Roman" w:hAnsi="Times New Roman"/>
        </w:rPr>
        <w:footnoteReference w:id="6"/>
      </w:r>
      <w:r>
        <w:rPr>
          <w:rFonts w:ascii="Times New Roman" w:hAnsi="Times New Roman"/>
        </w:rPr>
        <w:t xml:space="preserve"> Status in Rome was where the c</w:t>
      </w:r>
      <w:r w:rsidR="008C1FD0">
        <w:rPr>
          <w:rFonts w:ascii="Times New Roman" w:hAnsi="Times New Roman"/>
        </w:rPr>
        <w:t>ompetition was always prominent</w:t>
      </w:r>
      <w:r w:rsidR="009C74F1">
        <w:rPr>
          <w:rFonts w:ascii="Times New Roman" w:hAnsi="Times New Roman"/>
        </w:rPr>
        <w:t xml:space="preserve">. For with a high status meant your social relationships would be </w:t>
      </w:r>
      <w:r w:rsidR="008C1FD0">
        <w:rPr>
          <w:rFonts w:ascii="Times New Roman" w:hAnsi="Times New Roman"/>
        </w:rPr>
        <w:t>linked to more</w:t>
      </w:r>
      <w:r w:rsidR="009C74F1">
        <w:rPr>
          <w:rFonts w:ascii="Times New Roman" w:hAnsi="Times New Roman"/>
        </w:rPr>
        <w:t xml:space="preserve"> prominent members of society. </w:t>
      </w:r>
      <w:r w:rsidR="00C069F9">
        <w:rPr>
          <w:rFonts w:ascii="Times New Roman" w:hAnsi="Times New Roman"/>
        </w:rPr>
        <w:t xml:space="preserve">With all of this, the levels of scrutiny would be higher. As a host, you want to maintain your status but at the same time, with new guests, still increase your social relationships. If you try too hard however you could easily damage your status. In Satire 8, Horace recalls how the host, </w:t>
      </w:r>
      <w:proofErr w:type="spellStart"/>
      <w:r w:rsidR="00610C33">
        <w:rPr>
          <w:rFonts w:ascii="Times New Roman" w:hAnsi="Times New Roman"/>
        </w:rPr>
        <w:t>Nasideanus</w:t>
      </w:r>
      <w:proofErr w:type="spellEnd"/>
      <w:r w:rsidR="00610C33">
        <w:rPr>
          <w:rFonts w:ascii="Times New Roman" w:hAnsi="Times New Roman"/>
        </w:rPr>
        <w:t>,</w:t>
      </w:r>
      <w:r w:rsidR="00C069F9">
        <w:rPr>
          <w:rFonts w:ascii="Times New Roman" w:hAnsi="Times New Roman"/>
        </w:rPr>
        <w:t xml:space="preserve"> tries too hard. Saying how the boar being served was caught in a “Soft southerly breeze”</w:t>
      </w:r>
      <w:r w:rsidR="00610C33">
        <w:rPr>
          <w:rFonts w:ascii="Times New Roman" w:hAnsi="Times New Roman"/>
        </w:rPr>
        <w:t xml:space="preserve"> to try and make the food more </w:t>
      </w:r>
      <w:r w:rsidR="00BF5400">
        <w:rPr>
          <w:rFonts w:ascii="Times New Roman" w:hAnsi="Times New Roman"/>
        </w:rPr>
        <w:t>interesting</w:t>
      </w:r>
      <w:r w:rsidR="00610C33">
        <w:rPr>
          <w:rFonts w:ascii="Times New Roman" w:hAnsi="Times New Roman"/>
        </w:rPr>
        <w:t xml:space="preserve"> to the guests receiving the food.</w:t>
      </w:r>
      <w:r w:rsidR="000346CC">
        <w:rPr>
          <w:rStyle w:val="FootnoteReference"/>
          <w:rFonts w:ascii="Times New Roman" w:hAnsi="Times New Roman"/>
        </w:rPr>
        <w:footnoteReference w:id="7"/>
      </w:r>
      <w:r w:rsidR="00BF5400">
        <w:rPr>
          <w:rFonts w:ascii="Times New Roman" w:hAnsi="Times New Roman"/>
        </w:rPr>
        <w:t xml:space="preserve"> He later </w:t>
      </w:r>
      <w:r w:rsidR="00BF5400">
        <w:rPr>
          <w:rFonts w:ascii="Times New Roman" w:hAnsi="Times New Roman"/>
        </w:rPr>
        <w:lastRenderedPageBreak/>
        <w:t>continues with making ridiculous statements and before the meal finishes his guests leave as Horace states “We paid him back by getting away without tasting a thing”.</w:t>
      </w:r>
      <w:r w:rsidR="00BF5400">
        <w:rPr>
          <w:rStyle w:val="FootnoteReference"/>
          <w:rFonts w:ascii="Times New Roman" w:hAnsi="Times New Roman"/>
        </w:rPr>
        <w:footnoteReference w:id="8"/>
      </w:r>
      <w:r w:rsidR="00BF5400">
        <w:rPr>
          <w:rFonts w:ascii="Times New Roman" w:hAnsi="Times New Roman"/>
        </w:rPr>
        <w:t xml:space="preserve"> Leaving damage to the host status and damaging the social relationships formerly established.</w:t>
      </w:r>
    </w:p>
    <w:p w14:paraId="7E9A60D3" w14:textId="03818D05" w:rsidR="004F1D73" w:rsidRDefault="004F1D73" w:rsidP="00086A2F">
      <w:pPr>
        <w:spacing w:line="480" w:lineRule="auto"/>
        <w:rPr>
          <w:rFonts w:ascii="Times New Roman" w:hAnsi="Times New Roman"/>
        </w:rPr>
      </w:pPr>
    </w:p>
    <w:p w14:paraId="3D1A4DF1" w14:textId="3B23B33B" w:rsidR="000068E1" w:rsidRDefault="004F1D73" w:rsidP="00086A2F">
      <w:pPr>
        <w:spacing w:line="480" w:lineRule="auto"/>
        <w:rPr>
          <w:rFonts w:ascii="Times New Roman" w:hAnsi="Times New Roman"/>
        </w:rPr>
      </w:pPr>
      <w:r>
        <w:rPr>
          <w:rFonts w:ascii="Times New Roman" w:hAnsi="Times New Roman"/>
        </w:rPr>
        <w:t xml:space="preserve">Through high </w:t>
      </w:r>
      <w:r w:rsidRPr="009D4396">
        <w:rPr>
          <w:rFonts w:ascii="Times New Roman" w:hAnsi="Times New Roman"/>
        </w:rPr>
        <w:t>status</w:t>
      </w:r>
      <w:r>
        <w:rPr>
          <w:rFonts w:ascii="Times New Roman" w:hAnsi="Times New Roman"/>
        </w:rPr>
        <w:t>, no</w:t>
      </w:r>
      <w:r w:rsidR="00CC2F98">
        <w:rPr>
          <w:rFonts w:ascii="Times New Roman" w:hAnsi="Times New Roman"/>
        </w:rPr>
        <w:t>rmally comes high wealth which is often followed by a degree of ostentatious attitudes. When a host is hosting his banquet to his guests, he would typically want to highlight the luxury he has accessible to himself in either large or subtle displays.</w:t>
      </w:r>
      <w:r w:rsidR="00441828">
        <w:rPr>
          <w:rFonts w:ascii="Times New Roman" w:hAnsi="Times New Roman"/>
        </w:rPr>
        <w:t xml:space="preserve"> Katherine Raff talks about furniture saying the typical theme would be for a piece of furnishing to be made from wood “but there were also more opulent versions with fittings made of costly materials, such as ivory or bronze</w:t>
      </w:r>
      <w:r w:rsidR="00441828" w:rsidRPr="00C247E2">
        <w:rPr>
          <w:rFonts w:ascii="Times New Roman" w:hAnsi="Times New Roman"/>
        </w:rPr>
        <w:t>”.</w:t>
      </w:r>
      <w:r w:rsidR="00441828" w:rsidRPr="00C247E2">
        <w:rPr>
          <w:rStyle w:val="FootnoteReference"/>
          <w:rFonts w:ascii="Times New Roman" w:hAnsi="Times New Roman"/>
        </w:rPr>
        <w:footnoteReference w:id="9"/>
      </w:r>
      <w:r w:rsidR="00441828" w:rsidRPr="00C247E2">
        <w:rPr>
          <w:rFonts w:ascii="Times New Roman" w:hAnsi="Times New Roman"/>
        </w:rPr>
        <w:t xml:space="preserve"> The more luxury an individual would be able to show off would be more befitting to </w:t>
      </w:r>
      <w:r w:rsidR="00C247E2" w:rsidRPr="00C247E2">
        <w:rPr>
          <w:rFonts w:ascii="Times New Roman" w:hAnsi="Times New Roman"/>
        </w:rPr>
        <w:t xml:space="preserve">them </w:t>
      </w:r>
      <w:r w:rsidR="00441828" w:rsidRPr="00C247E2">
        <w:rPr>
          <w:rFonts w:ascii="Times New Roman" w:hAnsi="Times New Roman"/>
        </w:rPr>
        <w:t>symbolically</w:t>
      </w:r>
      <w:r w:rsidR="00C247E2" w:rsidRPr="00C247E2">
        <w:rPr>
          <w:rFonts w:ascii="Times New Roman" w:hAnsi="Times New Roman"/>
        </w:rPr>
        <w:t xml:space="preserve">, </w:t>
      </w:r>
      <w:r w:rsidR="00441828" w:rsidRPr="00C247E2">
        <w:rPr>
          <w:rFonts w:ascii="Times New Roman" w:hAnsi="Times New Roman"/>
        </w:rPr>
        <w:t>encouraging others to remain in a social relationship for the perks associated with the wealth</w:t>
      </w:r>
      <w:r w:rsidR="00C247E2" w:rsidRPr="00C247E2">
        <w:rPr>
          <w:rFonts w:ascii="Times New Roman" w:hAnsi="Times New Roman"/>
        </w:rPr>
        <w:t xml:space="preserve"> of the host</w:t>
      </w:r>
      <w:r w:rsidR="00441828">
        <w:rPr>
          <w:rFonts w:ascii="Times New Roman" w:hAnsi="Times New Roman"/>
        </w:rPr>
        <w:t xml:space="preserve">. Within </w:t>
      </w:r>
      <w:r w:rsidR="009D4396">
        <w:rPr>
          <w:rFonts w:ascii="Times New Roman" w:hAnsi="Times New Roman"/>
        </w:rPr>
        <w:t>Horace, Satire 8, there is the use of subtle forms of wealth. The details recorded being a boy cleaning the table as he “wiped the maple table with a crimson cloth”</w:t>
      </w:r>
      <w:r w:rsidR="001A76A0">
        <w:rPr>
          <w:rFonts w:ascii="Times New Roman" w:hAnsi="Times New Roman"/>
        </w:rPr>
        <w:t>.</w:t>
      </w:r>
      <w:r w:rsidR="00C247E2">
        <w:rPr>
          <w:rStyle w:val="FootnoteReference"/>
          <w:rFonts w:ascii="Times New Roman" w:hAnsi="Times New Roman"/>
        </w:rPr>
        <w:footnoteReference w:id="10"/>
      </w:r>
      <w:r w:rsidR="009D4396">
        <w:rPr>
          <w:rFonts w:ascii="Times New Roman" w:hAnsi="Times New Roman"/>
        </w:rPr>
        <w:t xml:space="preserve"> This</w:t>
      </w:r>
      <w:r w:rsidR="001A76A0">
        <w:rPr>
          <w:rFonts w:ascii="Times New Roman" w:hAnsi="Times New Roman"/>
        </w:rPr>
        <w:t xml:space="preserve"> is important detail as the wood itself is high quality and costly, and then the cloth itself is</w:t>
      </w:r>
      <w:r w:rsidR="009D4396">
        <w:rPr>
          <w:rFonts w:ascii="Times New Roman" w:hAnsi="Times New Roman"/>
        </w:rPr>
        <w:t xml:space="preserve"> </w:t>
      </w:r>
      <w:r w:rsidR="001A76A0">
        <w:rPr>
          <w:rFonts w:ascii="Times New Roman" w:hAnsi="Times New Roman"/>
        </w:rPr>
        <w:t xml:space="preserve">significant, for a crimson cloth casually being used to clean shows off the hosts status as he is able to use an expensive dyed piece of cloth for just cleaning. Within the </w:t>
      </w:r>
      <w:proofErr w:type="spellStart"/>
      <w:r w:rsidR="001A76A0">
        <w:rPr>
          <w:rFonts w:ascii="Times New Roman" w:hAnsi="Times New Roman"/>
        </w:rPr>
        <w:t>Satyricon</w:t>
      </w:r>
      <w:proofErr w:type="spellEnd"/>
      <w:r w:rsidR="001A76A0">
        <w:rPr>
          <w:rFonts w:ascii="Times New Roman" w:hAnsi="Times New Roman"/>
        </w:rPr>
        <w:t xml:space="preserve"> we are sho</w:t>
      </w:r>
      <w:r w:rsidR="00086B9C">
        <w:rPr>
          <w:rFonts w:ascii="Times New Roman" w:hAnsi="Times New Roman"/>
        </w:rPr>
        <w:t xml:space="preserve">wn the pinnacle of Ostentation, while arriving late to his own diner party </w:t>
      </w:r>
      <w:proofErr w:type="spellStart"/>
      <w:r w:rsidR="00086B9C">
        <w:rPr>
          <w:rFonts w:ascii="Times New Roman" w:hAnsi="Times New Roman"/>
        </w:rPr>
        <w:t>Trimalchio</w:t>
      </w:r>
      <w:proofErr w:type="spellEnd"/>
      <w:r w:rsidR="00086B9C">
        <w:rPr>
          <w:rFonts w:ascii="Times New Roman" w:hAnsi="Times New Roman"/>
        </w:rPr>
        <w:t xml:space="preserve"> was “</w:t>
      </w:r>
      <w:r w:rsidR="00C247E2">
        <w:rPr>
          <w:rFonts w:ascii="Times New Roman" w:hAnsi="Times New Roman"/>
        </w:rPr>
        <w:t>carried in to the sound of music” and adorned in an outfit which over exaggerated points such as the “cropped head stuck out from a scarlet coat … a napkin with a broad purple stripe”.</w:t>
      </w:r>
      <w:r w:rsidR="00C247E2">
        <w:rPr>
          <w:rStyle w:val="FootnoteReference"/>
          <w:rFonts w:ascii="Times New Roman" w:hAnsi="Times New Roman"/>
        </w:rPr>
        <w:footnoteReference w:id="11"/>
      </w:r>
      <w:r w:rsidR="00C247E2">
        <w:rPr>
          <w:rFonts w:ascii="Times New Roman" w:hAnsi="Times New Roman"/>
        </w:rPr>
        <w:t xml:space="preserve"> Here the attitude shown </w:t>
      </w:r>
      <w:r w:rsidR="00086B9C">
        <w:rPr>
          <w:rFonts w:ascii="Times New Roman" w:hAnsi="Times New Roman"/>
        </w:rPr>
        <w:t>is an extreme example of a flamboyant host showing off his status at a dinner party</w:t>
      </w:r>
      <w:r w:rsidR="00C247E2">
        <w:rPr>
          <w:rFonts w:ascii="Times New Roman" w:hAnsi="Times New Roman"/>
        </w:rPr>
        <w:t xml:space="preserve"> and was not a typical way to maintain status or gain social relationships, of a reputable sort at </w:t>
      </w:r>
      <w:r w:rsidR="00C247E2">
        <w:rPr>
          <w:rFonts w:ascii="Times New Roman" w:hAnsi="Times New Roman"/>
        </w:rPr>
        <w:lastRenderedPageBreak/>
        <w:t>least. However, m</w:t>
      </w:r>
      <w:r w:rsidR="001A76A0">
        <w:rPr>
          <w:rFonts w:ascii="Times New Roman" w:hAnsi="Times New Roman"/>
        </w:rPr>
        <w:t>any freedmen became prominent and successful figures in Rome</w:t>
      </w:r>
      <w:r w:rsidR="00086B9C">
        <w:rPr>
          <w:rFonts w:ascii="Times New Roman" w:hAnsi="Times New Roman"/>
        </w:rPr>
        <w:t xml:space="preserve"> as they could inherit their masters businesses or even make their own successful trade.</w:t>
      </w:r>
      <w:r w:rsidR="00DD12EB">
        <w:rPr>
          <w:rStyle w:val="FootnoteReference"/>
          <w:rFonts w:ascii="Times New Roman" w:hAnsi="Times New Roman"/>
        </w:rPr>
        <w:footnoteReference w:id="12"/>
      </w:r>
      <w:r w:rsidR="00C247E2">
        <w:rPr>
          <w:rFonts w:ascii="Times New Roman" w:hAnsi="Times New Roman"/>
        </w:rPr>
        <w:t xml:space="preserve"> But the imagery of </w:t>
      </w:r>
      <w:proofErr w:type="spellStart"/>
      <w:r w:rsidR="00C247E2">
        <w:rPr>
          <w:rFonts w:ascii="Times New Roman" w:hAnsi="Times New Roman"/>
        </w:rPr>
        <w:t>Trimalchio</w:t>
      </w:r>
      <w:proofErr w:type="spellEnd"/>
      <w:r w:rsidR="00C247E2">
        <w:rPr>
          <w:rFonts w:ascii="Times New Roman" w:hAnsi="Times New Roman"/>
        </w:rPr>
        <w:t xml:space="preserve"> is to reflect that over-dramatic scale a</w:t>
      </w:r>
      <w:r w:rsidR="00C5123D">
        <w:rPr>
          <w:rFonts w:ascii="Times New Roman" w:hAnsi="Times New Roman"/>
        </w:rPr>
        <w:t>n</w:t>
      </w:r>
      <w:r w:rsidR="00C247E2">
        <w:rPr>
          <w:rFonts w:ascii="Times New Roman" w:hAnsi="Times New Roman"/>
        </w:rPr>
        <w:t xml:space="preserve"> individual could go to with a high amount of wealth and status.</w:t>
      </w:r>
    </w:p>
    <w:p w14:paraId="29C1923C" w14:textId="0213C205" w:rsidR="00FE40EA" w:rsidRDefault="00FE40EA" w:rsidP="00086A2F">
      <w:pPr>
        <w:spacing w:line="480" w:lineRule="auto"/>
        <w:rPr>
          <w:rFonts w:ascii="Times New Roman" w:hAnsi="Times New Roman"/>
        </w:rPr>
      </w:pPr>
    </w:p>
    <w:p w14:paraId="4B06F276" w14:textId="34E5FD20" w:rsidR="00FE40EA" w:rsidRDefault="004D6C7C" w:rsidP="00086A2F">
      <w:pPr>
        <w:spacing w:line="480" w:lineRule="auto"/>
        <w:rPr>
          <w:rFonts w:ascii="Times New Roman" w:hAnsi="Times New Roman"/>
        </w:rPr>
      </w:pPr>
      <w:r>
        <w:rPr>
          <w:rFonts w:ascii="Times New Roman" w:hAnsi="Times New Roman"/>
        </w:rPr>
        <w:t xml:space="preserve">For social relationships </w:t>
      </w:r>
      <w:r w:rsidR="00EC5990">
        <w:rPr>
          <w:rFonts w:ascii="Times New Roman" w:hAnsi="Times New Roman"/>
        </w:rPr>
        <w:t xml:space="preserve">the seating and quality of food and drink </w:t>
      </w:r>
      <w:r>
        <w:rPr>
          <w:rFonts w:ascii="Times New Roman" w:hAnsi="Times New Roman"/>
        </w:rPr>
        <w:t>w</w:t>
      </w:r>
      <w:r w:rsidR="00292136">
        <w:rPr>
          <w:rFonts w:ascii="Times New Roman" w:hAnsi="Times New Roman"/>
        </w:rPr>
        <w:t>ithin ancient Rome could present</w:t>
      </w:r>
      <w:r>
        <w:rPr>
          <w:rFonts w:ascii="Times New Roman" w:hAnsi="Times New Roman"/>
        </w:rPr>
        <w:t xml:space="preserve"> </w:t>
      </w:r>
      <w:r w:rsidR="00292136">
        <w:rPr>
          <w:rFonts w:ascii="Times New Roman" w:hAnsi="Times New Roman"/>
        </w:rPr>
        <w:t>who was a</w:t>
      </w:r>
      <w:r>
        <w:rPr>
          <w:rFonts w:ascii="Times New Roman" w:hAnsi="Times New Roman"/>
        </w:rPr>
        <w:t xml:space="preserve"> priority and </w:t>
      </w:r>
      <w:r w:rsidR="00292136">
        <w:rPr>
          <w:rFonts w:ascii="Times New Roman" w:hAnsi="Times New Roman"/>
        </w:rPr>
        <w:t xml:space="preserve">what the </w:t>
      </w:r>
      <w:r>
        <w:rPr>
          <w:rFonts w:ascii="Times New Roman" w:hAnsi="Times New Roman"/>
        </w:rPr>
        <w:t xml:space="preserve">social standing </w:t>
      </w:r>
      <w:r w:rsidR="00292136">
        <w:rPr>
          <w:rFonts w:ascii="Times New Roman" w:hAnsi="Times New Roman"/>
        </w:rPr>
        <w:t>with the</w:t>
      </w:r>
      <w:r>
        <w:rPr>
          <w:rFonts w:ascii="Times New Roman" w:hAnsi="Times New Roman"/>
        </w:rPr>
        <w:t xml:space="preserve"> </w:t>
      </w:r>
      <w:r w:rsidR="00292136">
        <w:rPr>
          <w:rFonts w:ascii="Times New Roman" w:hAnsi="Times New Roman"/>
        </w:rPr>
        <w:t>host was</w:t>
      </w:r>
      <w:r>
        <w:rPr>
          <w:rFonts w:ascii="Times New Roman" w:hAnsi="Times New Roman"/>
        </w:rPr>
        <w:t xml:space="preserve"> at a banquet. P</w:t>
      </w:r>
      <w:r w:rsidR="00292136">
        <w:rPr>
          <w:rFonts w:ascii="Times New Roman" w:hAnsi="Times New Roman"/>
        </w:rPr>
        <w:t>liny the Younger recalls in one of his letters how the host “put the wine into tiny little flasks, divided into three categories”.</w:t>
      </w:r>
      <w:r w:rsidR="00292136">
        <w:rPr>
          <w:rStyle w:val="FootnoteReference"/>
          <w:rFonts w:ascii="Times New Roman" w:hAnsi="Times New Roman"/>
        </w:rPr>
        <w:footnoteReference w:id="13"/>
      </w:r>
      <w:r w:rsidR="00292136">
        <w:rPr>
          <w:rFonts w:ascii="Times New Roman" w:hAnsi="Times New Roman"/>
        </w:rPr>
        <w:t xml:space="preserve"> The idea that the host categorises his wine, giving the </w:t>
      </w:r>
      <w:r w:rsidR="00EC5990">
        <w:rPr>
          <w:rFonts w:ascii="Times New Roman" w:hAnsi="Times New Roman"/>
        </w:rPr>
        <w:t>best to his closest is a reflection of social relationships held in a distinctive manner. Pliny does openly say invites a guest “it is for a meal, not to make class distinctions.” To then later say, instead of categorizing wine he chooses the middle choice wine as he searches for an equal night. Hudson remarks that this is Pliny advising a student / colleague in how best to act when hosting a banquet or party as it is morally right and befitting to uphold your status and social relationships.</w:t>
      </w:r>
      <w:r w:rsidR="00EC5990">
        <w:rPr>
          <w:rStyle w:val="FootnoteReference"/>
          <w:rFonts w:ascii="Times New Roman" w:hAnsi="Times New Roman"/>
        </w:rPr>
        <w:footnoteReference w:id="14"/>
      </w:r>
      <w:r w:rsidR="00EC5990">
        <w:rPr>
          <w:rFonts w:ascii="Times New Roman" w:hAnsi="Times New Roman"/>
        </w:rPr>
        <w:t xml:space="preserve"> It is believed that through the positioning of seating we could </w:t>
      </w:r>
      <w:r w:rsidR="008945EB">
        <w:rPr>
          <w:rFonts w:ascii="Times New Roman" w:hAnsi="Times New Roman"/>
        </w:rPr>
        <w:t>define the status of an individual.</w:t>
      </w:r>
      <w:r w:rsidR="00EC5990">
        <w:rPr>
          <w:rFonts w:ascii="Times New Roman" w:hAnsi="Times New Roman"/>
        </w:rPr>
        <w:t xml:space="preserve"> </w:t>
      </w:r>
      <w:r w:rsidR="008945EB">
        <w:rPr>
          <w:rFonts w:ascii="Times New Roman" w:hAnsi="Times New Roman"/>
        </w:rPr>
        <w:t>Shelly Brown states that “the middle seat in the middle bed was an especially honourable one” and this is reflected in ancient works.</w:t>
      </w:r>
      <w:r w:rsidR="008945EB">
        <w:rPr>
          <w:rStyle w:val="FootnoteReference"/>
          <w:rFonts w:ascii="Times New Roman" w:hAnsi="Times New Roman"/>
        </w:rPr>
        <w:footnoteReference w:id="15"/>
      </w:r>
      <w:r w:rsidR="008945EB">
        <w:rPr>
          <w:rFonts w:ascii="Times New Roman" w:hAnsi="Times New Roman"/>
        </w:rPr>
        <w:t xml:space="preserve"> </w:t>
      </w:r>
      <w:r w:rsidR="00014A79">
        <w:rPr>
          <w:rFonts w:ascii="Times New Roman" w:hAnsi="Times New Roman"/>
        </w:rPr>
        <w:t>In the Myth of the Aeneid, there would be a reflection of contemporary values and themes implemented within the writings. To exemplify the point of the seating location Virgil writes “the queen was already seated under a rich awning on a golden couch in the middle of the palace” symbolically representing the location of her awning, stipulating her status as Queen of Carthage, allowing all social relationships to acknowledge her position and authority.</w:t>
      </w:r>
      <w:r w:rsidR="00014A79">
        <w:rPr>
          <w:rStyle w:val="FootnoteReference"/>
          <w:rFonts w:ascii="Times New Roman" w:hAnsi="Times New Roman"/>
        </w:rPr>
        <w:footnoteReference w:id="16"/>
      </w:r>
    </w:p>
    <w:p w14:paraId="18C08272" w14:textId="2C591014" w:rsidR="00595859" w:rsidRDefault="00595859" w:rsidP="00086A2F">
      <w:pPr>
        <w:spacing w:line="480" w:lineRule="auto"/>
        <w:rPr>
          <w:rFonts w:ascii="Times New Roman" w:hAnsi="Times New Roman"/>
        </w:rPr>
      </w:pPr>
    </w:p>
    <w:p w14:paraId="01C59237" w14:textId="66E61985" w:rsidR="002D4EF5" w:rsidRDefault="00680662" w:rsidP="00086A2F">
      <w:pPr>
        <w:spacing w:line="480" w:lineRule="auto"/>
        <w:rPr>
          <w:rFonts w:ascii="Times New Roman" w:hAnsi="Times New Roman"/>
        </w:rPr>
      </w:pPr>
      <w:r>
        <w:rPr>
          <w:rFonts w:ascii="Times New Roman" w:hAnsi="Times New Roman"/>
        </w:rPr>
        <w:t xml:space="preserve">The way you viewed food would bring you into niche social relationships. Horace in Satire 2 here we see the Epicureanism views of food, a simplistic lifestyle that is reflected when dealing with food. Instead of a lavish lifestyle Horace’s friend </w:t>
      </w:r>
      <w:proofErr w:type="spellStart"/>
      <w:r>
        <w:rPr>
          <w:rFonts w:ascii="Times New Roman" w:hAnsi="Times New Roman"/>
        </w:rPr>
        <w:t>Ofellus</w:t>
      </w:r>
      <w:proofErr w:type="spellEnd"/>
      <w:r>
        <w:rPr>
          <w:rFonts w:ascii="Times New Roman" w:hAnsi="Times New Roman"/>
        </w:rPr>
        <w:t xml:space="preserve"> tells us to “get your sauce by sweat”</w:t>
      </w:r>
      <w:r>
        <w:rPr>
          <w:rStyle w:val="FootnoteReference"/>
          <w:rFonts w:ascii="Times New Roman" w:hAnsi="Times New Roman"/>
        </w:rPr>
        <w:footnoteReference w:id="17"/>
      </w:r>
      <w:r>
        <w:rPr>
          <w:rFonts w:ascii="Times New Roman" w:hAnsi="Times New Roman"/>
        </w:rPr>
        <w:t xml:space="preserve"> earning food with labour and effort, making the food appeal to you for it is simple nourishment that goes the furthest. </w:t>
      </w:r>
      <w:r w:rsidR="00466836">
        <w:rPr>
          <w:rFonts w:ascii="Times New Roman" w:hAnsi="Times New Roman"/>
        </w:rPr>
        <w:t>He gives examples stating that it would be best to ignore a luxury fish such as the mullet, and stick to the bass, as it is larger and cheaper than any luxury fish.</w:t>
      </w:r>
      <w:r w:rsidR="00466836">
        <w:rPr>
          <w:rStyle w:val="FootnoteReference"/>
          <w:rFonts w:ascii="Times New Roman" w:hAnsi="Times New Roman"/>
        </w:rPr>
        <w:footnoteReference w:id="18"/>
      </w:r>
      <w:r w:rsidR="00466836">
        <w:rPr>
          <w:rFonts w:ascii="Times New Roman" w:hAnsi="Times New Roman"/>
        </w:rPr>
        <w:t xml:space="preserve"> It is through this refined view that social relationships can bring you to a varied amount of people, for each practice has its own followers. The spin from luxury is reflected within excess, Suetonius recalls in his works how some would use a feather once too tired, to lighten the load.</w:t>
      </w:r>
      <w:r w:rsidR="005824A9">
        <w:rPr>
          <w:rStyle w:val="FootnoteReference"/>
          <w:rFonts w:ascii="Times New Roman" w:hAnsi="Times New Roman"/>
        </w:rPr>
        <w:footnoteReference w:id="19"/>
      </w:r>
      <w:r w:rsidR="005824A9">
        <w:rPr>
          <w:rFonts w:ascii="Times New Roman" w:hAnsi="Times New Roman"/>
        </w:rPr>
        <w:t xml:space="preserve"> </w:t>
      </w:r>
      <w:r w:rsidR="00D12C87">
        <w:rPr>
          <w:rFonts w:ascii="Times New Roman" w:hAnsi="Times New Roman"/>
        </w:rPr>
        <w:t xml:space="preserve"> </w:t>
      </w:r>
      <w:r w:rsidR="002106FD">
        <w:rPr>
          <w:rFonts w:ascii="Times New Roman" w:hAnsi="Times New Roman"/>
        </w:rPr>
        <w:t xml:space="preserve">As this is probably due to guests being involved in the “lavish banquets of his elite friends and colleagues.” For the further into Imperial Rome you went the higher the status and social relationships and greater the gluttony which eventually mirrors </w:t>
      </w:r>
      <w:proofErr w:type="spellStart"/>
      <w:r w:rsidR="002106FD">
        <w:rPr>
          <w:rFonts w:ascii="Times New Roman" w:hAnsi="Times New Roman"/>
        </w:rPr>
        <w:t>Trimalchio’s</w:t>
      </w:r>
      <w:proofErr w:type="spellEnd"/>
      <w:r w:rsidR="002106FD">
        <w:rPr>
          <w:rFonts w:ascii="Times New Roman" w:hAnsi="Times New Roman"/>
        </w:rPr>
        <w:t xml:space="preserve"> dinner party became evermore present in the elite.</w:t>
      </w:r>
    </w:p>
    <w:p w14:paraId="246DE82C" w14:textId="2770A632" w:rsidR="00FB2EC1" w:rsidRDefault="00FB2EC1" w:rsidP="00086A2F">
      <w:pPr>
        <w:spacing w:line="480" w:lineRule="auto"/>
        <w:rPr>
          <w:rFonts w:ascii="Times New Roman" w:hAnsi="Times New Roman"/>
        </w:rPr>
      </w:pPr>
    </w:p>
    <w:p w14:paraId="27A48736" w14:textId="641D0EC1" w:rsidR="00FB2EC1" w:rsidRDefault="00FB2EC1" w:rsidP="00086A2F">
      <w:pPr>
        <w:spacing w:line="480" w:lineRule="auto"/>
        <w:rPr>
          <w:rFonts w:ascii="Times New Roman" w:hAnsi="Times New Roman"/>
        </w:rPr>
      </w:pPr>
      <w:r>
        <w:rPr>
          <w:rFonts w:ascii="Times New Roman" w:hAnsi="Times New Roman"/>
        </w:rPr>
        <w:t>In conclusion, the Banquets of ancient Rome where not the only way to win over people to benefit your own status. But on the other-</w:t>
      </w:r>
      <w:r w:rsidR="003A147D">
        <w:rPr>
          <w:rFonts w:ascii="Times New Roman" w:hAnsi="Times New Roman"/>
        </w:rPr>
        <w:t xml:space="preserve">hand banquets in ancient Rome where the pinnacle of all social relationships and truly formed a large back-bone for the social world. Any host was always aware of the competition that was thriving with parties, but </w:t>
      </w:r>
      <w:r w:rsidR="00125547">
        <w:rPr>
          <w:rFonts w:ascii="Times New Roman" w:hAnsi="Times New Roman"/>
        </w:rPr>
        <w:t>will also be determined t</w:t>
      </w:r>
      <w:r w:rsidR="00796D57">
        <w:rPr>
          <w:rFonts w:ascii="Times New Roman" w:hAnsi="Times New Roman"/>
        </w:rPr>
        <w:t>o thrive and succeed where able to further his own status</w:t>
      </w:r>
      <w:r w:rsidR="00A9276D">
        <w:rPr>
          <w:rFonts w:ascii="Times New Roman" w:hAnsi="Times New Roman"/>
        </w:rPr>
        <w:t xml:space="preserve"> This allowed for </w:t>
      </w:r>
      <w:r w:rsidR="00796D57">
        <w:rPr>
          <w:rFonts w:ascii="Times New Roman" w:hAnsi="Times New Roman"/>
        </w:rPr>
        <w:t>people to be extravagant with their wealth but as always within reason and finally for people to associate themselves within niche groups choosing a minimalistic life over a gluttonous life.</w:t>
      </w:r>
    </w:p>
    <w:p w14:paraId="3B7DD3C9" w14:textId="77777777" w:rsidR="002D4EF5" w:rsidRDefault="002D4EF5" w:rsidP="00086A2F">
      <w:pPr>
        <w:spacing w:line="480" w:lineRule="auto"/>
        <w:rPr>
          <w:rFonts w:ascii="Times New Roman" w:hAnsi="Times New Roman"/>
        </w:rPr>
      </w:pPr>
    </w:p>
    <w:p w14:paraId="3F743CDF" w14:textId="69501BA3" w:rsidR="000137E5" w:rsidRDefault="000137E5" w:rsidP="00086A2F">
      <w:pPr>
        <w:spacing w:line="480" w:lineRule="auto"/>
        <w:rPr>
          <w:rFonts w:ascii="Times New Roman" w:hAnsi="Times New Roman"/>
        </w:rPr>
      </w:pPr>
    </w:p>
    <w:p w14:paraId="141D56C7" w14:textId="570308C6" w:rsidR="006A1757" w:rsidRPr="006A1757" w:rsidRDefault="006A1757" w:rsidP="00086A2F">
      <w:pPr>
        <w:spacing w:line="480" w:lineRule="auto"/>
        <w:rPr>
          <w:rFonts w:ascii="Times New Roman" w:hAnsi="Times New Roman"/>
          <w:b/>
          <w:sz w:val="28"/>
        </w:rPr>
      </w:pPr>
      <w:r w:rsidRPr="006A1757">
        <w:rPr>
          <w:rFonts w:ascii="Times New Roman" w:hAnsi="Times New Roman"/>
          <w:b/>
          <w:sz w:val="28"/>
        </w:rPr>
        <w:t xml:space="preserve">Bibliography </w:t>
      </w:r>
    </w:p>
    <w:p w14:paraId="68459E33" w14:textId="77777777" w:rsidR="006A1757" w:rsidRDefault="006A1757" w:rsidP="00086A2F">
      <w:pPr>
        <w:spacing w:line="480" w:lineRule="auto"/>
        <w:rPr>
          <w:rFonts w:ascii="Times New Roman" w:hAnsi="Times New Roman"/>
        </w:rPr>
      </w:pPr>
    </w:p>
    <w:p w14:paraId="14EA2237" w14:textId="629A5098" w:rsidR="000068E1" w:rsidRDefault="006A1757" w:rsidP="00086A2F">
      <w:pPr>
        <w:spacing w:line="480" w:lineRule="auto"/>
        <w:rPr>
          <w:rFonts w:ascii="Times New Roman" w:hAnsi="Times New Roman"/>
          <w:b/>
        </w:rPr>
      </w:pPr>
      <w:r w:rsidRPr="006A1757">
        <w:rPr>
          <w:rFonts w:ascii="Times New Roman" w:hAnsi="Times New Roman"/>
          <w:b/>
        </w:rPr>
        <w:t xml:space="preserve">Ancient Sources </w:t>
      </w:r>
    </w:p>
    <w:p w14:paraId="51DD16A2" w14:textId="0A8FC9B9" w:rsidR="006A1757" w:rsidRPr="00B62052" w:rsidRDefault="006A1757" w:rsidP="00086A2F">
      <w:pPr>
        <w:spacing w:line="480" w:lineRule="auto"/>
        <w:rPr>
          <w:rFonts w:ascii="Times New Roman" w:hAnsi="Times New Roman"/>
        </w:rPr>
      </w:pPr>
      <w:r w:rsidRPr="006A1757">
        <w:rPr>
          <w:rFonts w:ascii="Times New Roman" w:hAnsi="Times New Roman"/>
        </w:rPr>
        <w:t>Horace</w:t>
      </w:r>
      <w:r>
        <w:rPr>
          <w:rFonts w:ascii="Times New Roman" w:hAnsi="Times New Roman"/>
        </w:rPr>
        <w:t xml:space="preserve">, </w:t>
      </w:r>
      <w:r>
        <w:rPr>
          <w:rFonts w:ascii="Times New Roman" w:hAnsi="Times New Roman"/>
          <w:i/>
        </w:rPr>
        <w:t xml:space="preserve">Satires and Epistles. </w:t>
      </w:r>
      <w:r w:rsidR="00B62052">
        <w:rPr>
          <w:rFonts w:ascii="Times New Roman" w:hAnsi="Times New Roman"/>
        </w:rPr>
        <w:t>N. Rudd (trans). 2005. London: Penguin Books.</w:t>
      </w:r>
    </w:p>
    <w:p w14:paraId="5E8B41EB" w14:textId="1D500B82" w:rsidR="006A1757" w:rsidRDefault="006A1757" w:rsidP="00086A2F">
      <w:pPr>
        <w:spacing w:line="480" w:lineRule="auto"/>
        <w:rPr>
          <w:rFonts w:ascii="Times New Roman" w:hAnsi="Times New Roman"/>
        </w:rPr>
      </w:pPr>
      <w:r>
        <w:rPr>
          <w:rFonts w:ascii="Times New Roman" w:hAnsi="Times New Roman"/>
        </w:rPr>
        <w:t xml:space="preserve">Petronius, </w:t>
      </w:r>
      <w:r>
        <w:rPr>
          <w:rFonts w:ascii="Times New Roman" w:hAnsi="Times New Roman"/>
          <w:i/>
        </w:rPr>
        <w:t xml:space="preserve">The </w:t>
      </w:r>
      <w:proofErr w:type="spellStart"/>
      <w:r>
        <w:rPr>
          <w:rFonts w:ascii="Times New Roman" w:hAnsi="Times New Roman"/>
          <w:i/>
        </w:rPr>
        <w:t>Satyricon</w:t>
      </w:r>
      <w:proofErr w:type="spellEnd"/>
      <w:r>
        <w:rPr>
          <w:rFonts w:ascii="Times New Roman" w:hAnsi="Times New Roman"/>
        </w:rPr>
        <w:t xml:space="preserve">. </w:t>
      </w:r>
      <w:r w:rsidR="00B62052">
        <w:rPr>
          <w:rFonts w:ascii="Times New Roman" w:hAnsi="Times New Roman"/>
        </w:rPr>
        <w:t>J. P. Sullivan (trans). 2011. London: Penguin Books.</w:t>
      </w:r>
    </w:p>
    <w:p w14:paraId="132F5E81" w14:textId="77777777" w:rsidR="00DD12EB" w:rsidRDefault="006A1757" w:rsidP="00086A2F">
      <w:pPr>
        <w:spacing w:line="480" w:lineRule="auto"/>
        <w:rPr>
          <w:rFonts w:ascii="Times New Roman" w:hAnsi="Times New Roman"/>
        </w:rPr>
      </w:pPr>
      <w:r>
        <w:rPr>
          <w:rFonts w:ascii="Times New Roman" w:hAnsi="Times New Roman"/>
        </w:rPr>
        <w:t xml:space="preserve">Pliny, </w:t>
      </w:r>
      <w:r>
        <w:rPr>
          <w:rFonts w:ascii="Times New Roman" w:hAnsi="Times New Roman"/>
          <w:i/>
        </w:rPr>
        <w:t>The Letters of Pliny the Younger</w:t>
      </w:r>
      <w:r>
        <w:rPr>
          <w:rFonts w:ascii="Times New Roman" w:hAnsi="Times New Roman"/>
        </w:rPr>
        <w:t>.</w:t>
      </w:r>
      <w:r w:rsidR="00B62052">
        <w:rPr>
          <w:rFonts w:ascii="Times New Roman" w:hAnsi="Times New Roman"/>
        </w:rPr>
        <w:t xml:space="preserve"> B. </w:t>
      </w:r>
      <w:proofErr w:type="spellStart"/>
      <w:r w:rsidR="00B62052">
        <w:rPr>
          <w:rFonts w:ascii="Times New Roman" w:hAnsi="Times New Roman"/>
        </w:rPr>
        <w:t>Radice</w:t>
      </w:r>
      <w:proofErr w:type="spellEnd"/>
      <w:r w:rsidR="00B62052">
        <w:rPr>
          <w:rFonts w:ascii="Times New Roman" w:hAnsi="Times New Roman"/>
        </w:rPr>
        <w:t xml:space="preserve"> (trans) 2003. London: Penguin Books</w:t>
      </w:r>
      <w:r w:rsidR="00DD12EB" w:rsidRPr="00DD12EB">
        <w:rPr>
          <w:rFonts w:ascii="Times New Roman" w:hAnsi="Times New Roman"/>
        </w:rPr>
        <w:t xml:space="preserve"> </w:t>
      </w:r>
      <w:r w:rsidR="00DD12EB">
        <w:rPr>
          <w:rFonts w:ascii="Times New Roman" w:hAnsi="Times New Roman"/>
        </w:rPr>
        <w:t xml:space="preserve">Plutarch, </w:t>
      </w:r>
      <w:r w:rsidR="00DD12EB">
        <w:rPr>
          <w:rFonts w:ascii="Times New Roman" w:hAnsi="Times New Roman"/>
          <w:i/>
        </w:rPr>
        <w:t>Plutarch’s Lives</w:t>
      </w:r>
      <w:r w:rsidR="00DD12EB">
        <w:rPr>
          <w:rFonts w:ascii="Times New Roman" w:hAnsi="Times New Roman"/>
        </w:rPr>
        <w:t>. B. Perrin (trans). 1919. London: Harvard University Press.</w:t>
      </w:r>
    </w:p>
    <w:p w14:paraId="2341EB74" w14:textId="4A2DF900" w:rsidR="00DD12EB" w:rsidRDefault="00DD12EB" w:rsidP="00086A2F">
      <w:pPr>
        <w:spacing w:line="480" w:lineRule="auto"/>
        <w:rPr>
          <w:rFonts w:ascii="Times New Roman" w:hAnsi="Times New Roman"/>
        </w:rPr>
      </w:pPr>
      <w:r>
        <w:rPr>
          <w:rFonts w:ascii="Times New Roman" w:hAnsi="Times New Roman"/>
        </w:rPr>
        <w:t xml:space="preserve">Found at: </w:t>
      </w:r>
      <w:r>
        <w:rPr>
          <w:rFonts w:ascii="Times New Roman" w:hAnsi="Times New Roman"/>
        </w:rPr>
        <w:fldChar w:fldCharType="begin"/>
      </w:r>
      <w:r>
        <w:rPr>
          <w:rFonts w:ascii="Times New Roman" w:hAnsi="Times New Roman"/>
        </w:rPr>
        <w:instrText xml:space="preserve"> HYPERLINK "</w:instrText>
      </w:r>
      <w:r w:rsidRPr="00DD12EB">
        <w:rPr>
          <w:rFonts w:ascii="Times New Roman" w:hAnsi="Times New Roman"/>
        </w:rPr>
        <w:instrText>http://www.perseus.tufts.edu/hopper/text?doc=Perseus%3Atext%3A1999.01.0244%3Achapter%3D5%3Asection%3D5</w:instrText>
      </w:r>
      <w:r>
        <w:rPr>
          <w:rFonts w:ascii="Times New Roman" w:hAnsi="Times New Roman"/>
        </w:rPr>
        <w:instrText xml:space="preserve">" </w:instrText>
      </w:r>
      <w:r>
        <w:rPr>
          <w:rFonts w:ascii="Times New Roman" w:hAnsi="Times New Roman"/>
        </w:rPr>
        <w:fldChar w:fldCharType="separate"/>
      </w:r>
      <w:r w:rsidRPr="00361FF4">
        <w:rPr>
          <w:rStyle w:val="Hyperlink"/>
          <w:rFonts w:ascii="Times New Roman" w:hAnsi="Times New Roman"/>
        </w:rPr>
        <w:t>http://www.perseus.tufts.edu/hopper/text?doc=Perseus%3Atext%3A1999.01.0244%3Achapter%3D5%3Asection%3D5</w:t>
      </w:r>
      <w:r>
        <w:rPr>
          <w:rFonts w:ascii="Times New Roman" w:hAnsi="Times New Roman"/>
        </w:rPr>
        <w:fldChar w:fldCharType="end"/>
      </w:r>
      <w:r>
        <w:rPr>
          <w:rFonts w:ascii="Times New Roman" w:hAnsi="Times New Roman"/>
        </w:rPr>
        <w:t xml:space="preserve"> [Accessed 1</w:t>
      </w:r>
      <w:r w:rsidRPr="00DD12EB">
        <w:rPr>
          <w:rFonts w:ascii="Times New Roman" w:hAnsi="Times New Roman"/>
          <w:vertAlign w:val="superscript"/>
        </w:rPr>
        <w:t>st</w:t>
      </w:r>
      <w:r>
        <w:rPr>
          <w:rFonts w:ascii="Times New Roman" w:hAnsi="Times New Roman"/>
        </w:rPr>
        <w:t xml:space="preserve"> May 2018]</w:t>
      </w:r>
      <w:r w:rsidR="00192BF2" w:rsidRPr="00192BF2">
        <w:rPr>
          <w:rFonts w:ascii="Times New Roman" w:hAnsi="Times New Roman"/>
        </w:rPr>
        <w:t xml:space="preserve"> </w:t>
      </w:r>
    </w:p>
    <w:p w14:paraId="038C34B9" w14:textId="53BD87A7" w:rsidR="00765F0D" w:rsidRPr="00765F0D" w:rsidRDefault="00765F0D" w:rsidP="00086A2F">
      <w:pPr>
        <w:spacing w:line="480" w:lineRule="auto"/>
        <w:rPr>
          <w:rFonts w:ascii="Times New Roman" w:hAnsi="Times New Roman"/>
        </w:rPr>
      </w:pPr>
      <w:r>
        <w:rPr>
          <w:rFonts w:ascii="Times New Roman" w:hAnsi="Times New Roman"/>
        </w:rPr>
        <w:t xml:space="preserve">Plutarch. </w:t>
      </w:r>
      <w:r>
        <w:rPr>
          <w:rFonts w:ascii="Times New Roman" w:hAnsi="Times New Roman"/>
          <w:i/>
        </w:rPr>
        <w:t>‘</w:t>
      </w:r>
      <w:proofErr w:type="spellStart"/>
      <w:r>
        <w:rPr>
          <w:rFonts w:ascii="Times New Roman" w:hAnsi="Times New Roman"/>
          <w:i/>
        </w:rPr>
        <w:t>Quaestiones</w:t>
      </w:r>
      <w:proofErr w:type="spellEnd"/>
      <w:r>
        <w:rPr>
          <w:rFonts w:ascii="Times New Roman" w:hAnsi="Times New Roman"/>
          <w:i/>
        </w:rPr>
        <w:t xml:space="preserve"> </w:t>
      </w:r>
      <w:proofErr w:type="spellStart"/>
      <w:r>
        <w:rPr>
          <w:rFonts w:ascii="Times New Roman" w:hAnsi="Times New Roman"/>
          <w:i/>
        </w:rPr>
        <w:t>Convivales</w:t>
      </w:r>
      <w:proofErr w:type="spellEnd"/>
      <w:r>
        <w:rPr>
          <w:rFonts w:ascii="Times New Roman" w:hAnsi="Times New Roman"/>
          <w:i/>
        </w:rPr>
        <w:t xml:space="preserve">. </w:t>
      </w:r>
      <w:r>
        <w:rPr>
          <w:rFonts w:ascii="Times New Roman" w:hAnsi="Times New Roman"/>
        </w:rPr>
        <w:t xml:space="preserve">W. W. Goodwin (trans) 1874. Available at: </w:t>
      </w:r>
      <w:hyperlink r:id="rId7" w:history="1">
        <w:r w:rsidR="00267FEF" w:rsidRPr="00361FF4">
          <w:rPr>
            <w:rStyle w:val="Hyperlink"/>
            <w:rFonts w:ascii="Times New Roman" w:hAnsi="Times New Roman"/>
          </w:rPr>
          <w:t>http://www.perseus.tufts.edu/hopper/text?doc=Perseus%3Atext%3A2008.01.0312%3Abook%3D4%3Achapter%3D0%3Asection%3D1</w:t>
        </w:r>
      </w:hyperlink>
      <w:r w:rsidR="00267FEF">
        <w:rPr>
          <w:rFonts w:ascii="Times New Roman" w:hAnsi="Times New Roman"/>
        </w:rPr>
        <w:t xml:space="preserve"> </w:t>
      </w:r>
      <w:r w:rsidR="00192BF2">
        <w:rPr>
          <w:rFonts w:ascii="Times New Roman" w:hAnsi="Times New Roman"/>
        </w:rPr>
        <w:t>[Accessed 1</w:t>
      </w:r>
      <w:r w:rsidR="00192BF2" w:rsidRPr="00192BF2">
        <w:rPr>
          <w:rFonts w:ascii="Times New Roman" w:hAnsi="Times New Roman"/>
          <w:vertAlign w:val="superscript"/>
        </w:rPr>
        <w:t>st</w:t>
      </w:r>
      <w:r w:rsidR="00192BF2">
        <w:rPr>
          <w:rFonts w:ascii="Times New Roman" w:hAnsi="Times New Roman"/>
        </w:rPr>
        <w:t xml:space="preserve"> May 2018]</w:t>
      </w:r>
    </w:p>
    <w:p w14:paraId="461ACAB0" w14:textId="493A70B5" w:rsidR="006A1757" w:rsidRDefault="006A1757" w:rsidP="00086A2F">
      <w:pPr>
        <w:spacing w:line="480" w:lineRule="auto"/>
        <w:rPr>
          <w:rFonts w:ascii="Times New Roman" w:hAnsi="Times New Roman"/>
        </w:rPr>
      </w:pPr>
      <w:r>
        <w:rPr>
          <w:rFonts w:ascii="Times New Roman" w:hAnsi="Times New Roman"/>
        </w:rPr>
        <w:t xml:space="preserve">Suetonius, </w:t>
      </w:r>
      <w:r>
        <w:rPr>
          <w:rFonts w:ascii="Times New Roman" w:hAnsi="Times New Roman"/>
          <w:i/>
        </w:rPr>
        <w:t xml:space="preserve">The Twelve </w:t>
      </w:r>
      <w:proofErr w:type="spellStart"/>
      <w:r>
        <w:rPr>
          <w:rFonts w:ascii="Times New Roman" w:hAnsi="Times New Roman"/>
          <w:i/>
        </w:rPr>
        <w:t>Ceasars</w:t>
      </w:r>
      <w:proofErr w:type="spellEnd"/>
      <w:r w:rsidR="00B62052">
        <w:rPr>
          <w:rFonts w:ascii="Times New Roman" w:hAnsi="Times New Roman"/>
        </w:rPr>
        <w:t>. R. Graves (tra</w:t>
      </w:r>
      <w:r w:rsidR="00DD12EB">
        <w:rPr>
          <w:rFonts w:ascii="Times New Roman" w:hAnsi="Times New Roman"/>
        </w:rPr>
        <w:t>ns) 2007. London: Penguin Books.</w:t>
      </w:r>
    </w:p>
    <w:p w14:paraId="3EF9E11A" w14:textId="77777777" w:rsidR="008A5FAD" w:rsidRPr="008A5FAD" w:rsidRDefault="008A5FAD" w:rsidP="008A5FAD">
      <w:pPr>
        <w:rPr>
          <w:rFonts w:ascii="Times New Roman" w:hAnsi="Times New Roman" w:cs="Times New Roman"/>
        </w:rPr>
      </w:pPr>
      <w:r w:rsidRPr="008A5FAD">
        <w:rPr>
          <w:rFonts w:ascii="Times New Roman" w:hAnsi="Times New Roman" w:cs="Times New Roman"/>
        </w:rPr>
        <w:t xml:space="preserve">Virgil, </w:t>
      </w:r>
      <w:r w:rsidRPr="008A5FAD">
        <w:rPr>
          <w:rFonts w:ascii="Times New Roman" w:hAnsi="Times New Roman" w:cs="Times New Roman"/>
          <w:i/>
        </w:rPr>
        <w:t xml:space="preserve">The </w:t>
      </w:r>
      <w:proofErr w:type="spellStart"/>
      <w:r w:rsidRPr="008A5FAD">
        <w:rPr>
          <w:rFonts w:ascii="Times New Roman" w:hAnsi="Times New Roman" w:cs="Times New Roman"/>
          <w:i/>
        </w:rPr>
        <w:t>Aenied</w:t>
      </w:r>
      <w:proofErr w:type="spellEnd"/>
      <w:r w:rsidRPr="008A5FAD">
        <w:rPr>
          <w:rFonts w:ascii="Times New Roman" w:hAnsi="Times New Roman" w:cs="Times New Roman"/>
          <w:i/>
        </w:rPr>
        <w:t xml:space="preserve">. </w:t>
      </w:r>
      <w:r w:rsidRPr="008A5FAD">
        <w:rPr>
          <w:rFonts w:ascii="Times New Roman" w:hAnsi="Times New Roman" w:cs="Times New Roman"/>
        </w:rPr>
        <w:t>D. West (trans). 2003. London, Penguin Books Ltd.: The Penguin Group</w:t>
      </w:r>
    </w:p>
    <w:p w14:paraId="133D7099" w14:textId="77777777" w:rsidR="008A5FAD" w:rsidRPr="005E52F9" w:rsidRDefault="008A5FAD" w:rsidP="008A5FAD">
      <w:pPr>
        <w:rPr>
          <w:rFonts w:ascii="Times" w:hAnsi="Times"/>
        </w:rPr>
      </w:pPr>
    </w:p>
    <w:p w14:paraId="6202B9ED" w14:textId="77777777" w:rsidR="008A5FAD" w:rsidRPr="00B62052" w:rsidRDefault="008A5FAD" w:rsidP="00086A2F">
      <w:pPr>
        <w:spacing w:line="480" w:lineRule="auto"/>
        <w:rPr>
          <w:rFonts w:ascii="Times New Roman" w:hAnsi="Times New Roman"/>
        </w:rPr>
      </w:pPr>
    </w:p>
    <w:p w14:paraId="638DE189" w14:textId="3B6D4C49" w:rsidR="006A1757" w:rsidRPr="006A1757" w:rsidRDefault="006A1757" w:rsidP="00086A2F">
      <w:pPr>
        <w:spacing w:line="480" w:lineRule="auto"/>
        <w:rPr>
          <w:rFonts w:ascii="Times New Roman" w:hAnsi="Times New Roman"/>
        </w:rPr>
      </w:pPr>
    </w:p>
    <w:p w14:paraId="6B145067" w14:textId="7B4D9539" w:rsidR="006A1757" w:rsidRPr="006A1757" w:rsidRDefault="006A1757" w:rsidP="00086A2F">
      <w:pPr>
        <w:spacing w:line="480" w:lineRule="auto"/>
        <w:rPr>
          <w:rFonts w:ascii="Times New Roman" w:hAnsi="Times New Roman"/>
          <w:b/>
        </w:rPr>
      </w:pPr>
      <w:r w:rsidRPr="006A1757">
        <w:rPr>
          <w:rFonts w:ascii="Times New Roman" w:hAnsi="Times New Roman"/>
          <w:b/>
        </w:rPr>
        <w:t>Journals</w:t>
      </w:r>
    </w:p>
    <w:p w14:paraId="6A62A191" w14:textId="44C161C0" w:rsidR="006A1757" w:rsidRPr="00C17B06" w:rsidRDefault="006B511F" w:rsidP="00C17B06">
      <w:pPr>
        <w:pStyle w:val="NormalWeb"/>
        <w:spacing w:line="480" w:lineRule="auto"/>
      </w:pPr>
      <w:r w:rsidRPr="00C17B06">
        <w:t>Hudson, N, F. 2010. ‘</w:t>
      </w:r>
      <w:r w:rsidRPr="00C17B06">
        <w:rPr>
          <w:i/>
        </w:rPr>
        <w:t>Changing place</w:t>
      </w:r>
      <w:r w:rsidR="00C17B06">
        <w:rPr>
          <w:i/>
        </w:rPr>
        <w:t xml:space="preserve">s: The Archaeology of the Roman </w:t>
      </w:r>
      <w:r w:rsidRPr="00C17B06">
        <w:rPr>
          <w:i/>
        </w:rPr>
        <w:t>“</w:t>
      </w:r>
      <w:proofErr w:type="spellStart"/>
      <w:r w:rsidRPr="00C17B06">
        <w:rPr>
          <w:i/>
        </w:rPr>
        <w:t>Convivium</w:t>
      </w:r>
      <w:proofErr w:type="spellEnd"/>
      <w:r w:rsidRPr="00C17B06">
        <w:rPr>
          <w:i/>
        </w:rPr>
        <w:t>”’.</w:t>
      </w:r>
      <w:r w:rsidR="007B50C1" w:rsidRPr="00C17B06">
        <w:t xml:space="preserve">American Journal of Archaeology. Available at: </w:t>
      </w:r>
      <w:hyperlink r:id="rId8" w:history="1">
        <w:r w:rsidR="007B50C1" w:rsidRPr="00C17B06">
          <w:rPr>
            <w:rStyle w:val="Hyperlink"/>
          </w:rPr>
          <w:t>http://</w:t>
        </w:r>
        <w:proofErr w:type="spellStart"/>
        <w:r w:rsidR="007B50C1" w:rsidRPr="00C17B06">
          <w:rPr>
            <w:rStyle w:val="Hyperlink"/>
          </w:rPr>
          <w:t>www.jstor.org</w:t>
        </w:r>
        <w:proofErr w:type="spellEnd"/>
        <w:r w:rsidR="007B50C1" w:rsidRPr="00C17B06">
          <w:rPr>
            <w:rStyle w:val="Hyperlink"/>
          </w:rPr>
          <w:t>/stable/25</w:t>
        </w:r>
        <w:r w:rsidR="007B50C1" w:rsidRPr="00C17B06">
          <w:rPr>
            <w:rStyle w:val="Hyperlink"/>
          </w:rPr>
          <w:t>7</w:t>
        </w:r>
        <w:r w:rsidR="007B50C1" w:rsidRPr="00C17B06">
          <w:rPr>
            <w:rStyle w:val="Hyperlink"/>
          </w:rPr>
          <w:t>63806</w:t>
        </w:r>
      </w:hyperlink>
      <w:r w:rsidR="007B50C1" w:rsidRPr="00C17B06">
        <w:t xml:space="preserve"> [</w:t>
      </w:r>
      <w:proofErr w:type="spellStart"/>
      <w:r w:rsidR="007B50C1" w:rsidRPr="00C17B06">
        <w:t>Accesed</w:t>
      </w:r>
      <w:proofErr w:type="spellEnd"/>
      <w:r w:rsidR="007B50C1" w:rsidRPr="00C17B06">
        <w:t xml:space="preserve"> 30</w:t>
      </w:r>
      <w:r w:rsidR="007B50C1" w:rsidRPr="00C17B06">
        <w:rPr>
          <w:vertAlign w:val="superscript"/>
        </w:rPr>
        <w:t>th</w:t>
      </w:r>
      <w:r w:rsidR="007B50C1" w:rsidRPr="00C17B06">
        <w:t xml:space="preserve"> April 2018]</w:t>
      </w:r>
    </w:p>
    <w:p w14:paraId="4BBFFFDC" w14:textId="77777777" w:rsidR="006A1757" w:rsidRDefault="006A1757" w:rsidP="00086A2F">
      <w:pPr>
        <w:spacing w:line="480" w:lineRule="auto"/>
        <w:rPr>
          <w:rFonts w:ascii="Times New Roman" w:hAnsi="Times New Roman"/>
        </w:rPr>
      </w:pPr>
    </w:p>
    <w:p w14:paraId="564FB88C" w14:textId="64B40AD0" w:rsidR="006A1757" w:rsidRPr="006A1757" w:rsidRDefault="006A1757" w:rsidP="00086A2F">
      <w:pPr>
        <w:spacing w:line="480" w:lineRule="auto"/>
        <w:rPr>
          <w:rFonts w:ascii="Times New Roman" w:hAnsi="Times New Roman"/>
          <w:b/>
        </w:rPr>
      </w:pPr>
      <w:r w:rsidRPr="006A1757">
        <w:rPr>
          <w:rFonts w:ascii="Times New Roman" w:hAnsi="Times New Roman"/>
          <w:b/>
        </w:rPr>
        <w:t>Websites</w:t>
      </w:r>
    </w:p>
    <w:p w14:paraId="1D6A1B29" w14:textId="21C07B7D" w:rsidR="00C17B06" w:rsidRPr="00C17B06" w:rsidRDefault="00C17B06" w:rsidP="00086A2F">
      <w:pPr>
        <w:spacing w:line="480" w:lineRule="auto"/>
        <w:rPr>
          <w:rFonts w:ascii="Times New Roman" w:hAnsi="Times New Roman"/>
        </w:rPr>
      </w:pPr>
      <w:r>
        <w:rPr>
          <w:rFonts w:ascii="Times New Roman" w:hAnsi="Times New Roman"/>
        </w:rPr>
        <w:lastRenderedPageBreak/>
        <w:t>A. Becker</w:t>
      </w:r>
      <w:r>
        <w:rPr>
          <w:rFonts w:ascii="Times New Roman" w:hAnsi="Times New Roman"/>
        </w:rPr>
        <w:t xml:space="preserve">. </w:t>
      </w:r>
      <w:r>
        <w:rPr>
          <w:rFonts w:ascii="Times New Roman" w:hAnsi="Times New Roman"/>
          <w:i/>
        </w:rPr>
        <w:t xml:space="preserve">‘Pompeii: House of the </w:t>
      </w:r>
      <w:proofErr w:type="spellStart"/>
      <w:r>
        <w:rPr>
          <w:rFonts w:ascii="Times New Roman" w:hAnsi="Times New Roman"/>
          <w:i/>
        </w:rPr>
        <w:t>Vetti</w:t>
      </w:r>
      <w:proofErr w:type="spellEnd"/>
      <w:r>
        <w:rPr>
          <w:rFonts w:ascii="Times New Roman" w:hAnsi="Times New Roman"/>
          <w:i/>
        </w:rPr>
        <w:t xml:space="preserve">’ </w:t>
      </w:r>
      <w:r>
        <w:rPr>
          <w:rFonts w:ascii="Times New Roman" w:hAnsi="Times New Roman"/>
        </w:rPr>
        <w:t xml:space="preserve">2014. Khan Academy. </w:t>
      </w:r>
      <w:hyperlink r:id="rId9" w:history="1">
        <w:r w:rsidRPr="00361FF4">
          <w:rPr>
            <w:rStyle w:val="Hyperlink"/>
            <w:rFonts w:ascii="Times New Roman" w:hAnsi="Times New Roman"/>
          </w:rPr>
          <w:t>https://www.khanacademy.org/humanities/ancient-art-civilizations/roman/wall-painting/a/pompeii-house-of-the-vettii</w:t>
        </w:r>
      </w:hyperlink>
      <w:r>
        <w:rPr>
          <w:rFonts w:ascii="Times New Roman" w:hAnsi="Times New Roman"/>
        </w:rPr>
        <w:t xml:space="preserve"> [Accessed May 1st </w:t>
      </w:r>
      <w:r w:rsidR="00765F0D">
        <w:rPr>
          <w:rFonts w:ascii="Times New Roman" w:hAnsi="Times New Roman"/>
        </w:rPr>
        <w:t>2018]</w:t>
      </w:r>
    </w:p>
    <w:p w14:paraId="4F1674C3" w14:textId="59FC93C5" w:rsidR="00C17B06" w:rsidRPr="00C17B06" w:rsidRDefault="00B62052" w:rsidP="00086A2F">
      <w:pPr>
        <w:spacing w:line="480" w:lineRule="auto"/>
        <w:rPr>
          <w:rFonts w:ascii="Times New Roman" w:hAnsi="Times New Roman"/>
        </w:rPr>
      </w:pPr>
      <w:r>
        <w:rPr>
          <w:rFonts w:ascii="Times New Roman" w:hAnsi="Times New Roman"/>
        </w:rPr>
        <w:t>S. Brown. ‘</w:t>
      </w:r>
      <w:r>
        <w:rPr>
          <w:rFonts w:ascii="Times New Roman" w:hAnsi="Times New Roman"/>
          <w:i/>
        </w:rPr>
        <w:t>Reclining and Dining (and Drinking) in Ancient Rome’</w:t>
      </w:r>
      <w:r>
        <w:rPr>
          <w:rFonts w:ascii="Times New Roman" w:hAnsi="Times New Roman"/>
        </w:rPr>
        <w:t xml:space="preserve"> 2012. The Iris. </w:t>
      </w:r>
      <w:hyperlink r:id="rId10" w:history="1">
        <w:r w:rsidRPr="00361FF4">
          <w:rPr>
            <w:rStyle w:val="Hyperlink"/>
            <w:rFonts w:ascii="Times New Roman" w:hAnsi="Times New Roman"/>
          </w:rPr>
          <w:t>http://blogs.getty.edu/iris/reclining-and-dining-and-drinking-in-ancient-rome/</w:t>
        </w:r>
      </w:hyperlink>
      <w:r>
        <w:rPr>
          <w:rFonts w:ascii="Times New Roman" w:hAnsi="Times New Roman"/>
        </w:rPr>
        <w:t xml:space="preserve"> [Accessed May 1</w:t>
      </w:r>
      <w:r w:rsidRPr="00B62052">
        <w:rPr>
          <w:rFonts w:ascii="Times New Roman" w:hAnsi="Times New Roman"/>
          <w:vertAlign w:val="superscript"/>
        </w:rPr>
        <w:t>st</w:t>
      </w:r>
      <w:r>
        <w:rPr>
          <w:rFonts w:ascii="Times New Roman" w:hAnsi="Times New Roman"/>
        </w:rPr>
        <w:t xml:space="preserve"> 2018]</w:t>
      </w:r>
    </w:p>
    <w:p w14:paraId="6A0FC05A" w14:textId="22D5F40F" w:rsidR="006A1757" w:rsidRPr="00B62052" w:rsidRDefault="00B62052" w:rsidP="00086A2F">
      <w:pPr>
        <w:spacing w:line="480" w:lineRule="auto"/>
        <w:rPr>
          <w:rFonts w:ascii="Times New Roman" w:hAnsi="Times New Roman"/>
        </w:rPr>
      </w:pPr>
      <w:r>
        <w:rPr>
          <w:rFonts w:ascii="Times New Roman" w:hAnsi="Times New Roman"/>
        </w:rPr>
        <w:t>k. Raff. ‘</w:t>
      </w:r>
      <w:r>
        <w:rPr>
          <w:rFonts w:ascii="Times New Roman" w:hAnsi="Times New Roman"/>
          <w:i/>
        </w:rPr>
        <w:t>The Roman Banquet’</w:t>
      </w:r>
      <w:r>
        <w:rPr>
          <w:rFonts w:ascii="Times New Roman" w:hAnsi="Times New Roman"/>
        </w:rPr>
        <w:t xml:space="preserve"> 2011. Metropolitan Museum. </w:t>
      </w:r>
      <w:hyperlink r:id="rId11" w:history="1">
        <w:r w:rsidRPr="00361FF4">
          <w:rPr>
            <w:rStyle w:val="Hyperlink"/>
            <w:rFonts w:ascii="Times New Roman" w:hAnsi="Times New Roman"/>
          </w:rPr>
          <w:t>https://</w:t>
        </w:r>
        <w:proofErr w:type="spellStart"/>
        <w:r w:rsidRPr="00361FF4">
          <w:rPr>
            <w:rStyle w:val="Hyperlink"/>
            <w:rFonts w:ascii="Times New Roman" w:hAnsi="Times New Roman"/>
          </w:rPr>
          <w:t>www.metmuseum.org</w:t>
        </w:r>
        <w:proofErr w:type="spellEnd"/>
        <w:r w:rsidRPr="00361FF4">
          <w:rPr>
            <w:rStyle w:val="Hyperlink"/>
            <w:rFonts w:ascii="Times New Roman" w:hAnsi="Times New Roman"/>
          </w:rPr>
          <w:t>/</w:t>
        </w:r>
        <w:proofErr w:type="spellStart"/>
        <w:r w:rsidRPr="00361FF4">
          <w:rPr>
            <w:rStyle w:val="Hyperlink"/>
            <w:rFonts w:ascii="Times New Roman" w:hAnsi="Times New Roman"/>
          </w:rPr>
          <w:t>toah</w:t>
        </w:r>
        <w:proofErr w:type="spellEnd"/>
        <w:r w:rsidRPr="00361FF4">
          <w:rPr>
            <w:rStyle w:val="Hyperlink"/>
            <w:rFonts w:ascii="Times New Roman" w:hAnsi="Times New Roman"/>
          </w:rPr>
          <w:t>/</w:t>
        </w:r>
        <w:proofErr w:type="spellStart"/>
        <w:r w:rsidRPr="00361FF4">
          <w:rPr>
            <w:rStyle w:val="Hyperlink"/>
            <w:rFonts w:ascii="Times New Roman" w:hAnsi="Times New Roman"/>
          </w:rPr>
          <w:t>hd</w:t>
        </w:r>
        <w:proofErr w:type="spellEnd"/>
        <w:r w:rsidRPr="00361FF4">
          <w:rPr>
            <w:rStyle w:val="Hyperlink"/>
            <w:rFonts w:ascii="Times New Roman" w:hAnsi="Times New Roman"/>
          </w:rPr>
          <w:t>/</w:t>
        </w:r>
        <w:proofErr w:type="spellStart"/>
        <w:r w:rsidRPr="00361FF4">
          <w:rPr>
            <w:rStyle w:val="Hyperlink"/>
            <w:rFonts w:ascii="Times New Roman" w:hAnsi="Times New Roman"/>
          </w:rPr>
          <w:t>banq</w:t>
        </w:r>
        <w:proofErr w:type="spellEnd"/>
        <w:r w:rsidRPr="00361FF4">
          <w:rPr>
            <w:rStyle w:val="Hyperlink"/>
            <w:rFonts w:ascii="Times New Roman" w:hAnsi="Times New Roman"/>
          </w:rPr>
          <w:t>/</w:t>
        </w:r>
        <w:proofErr w:type="spellStart"/>
        <w:r w:rsidRPr="00361FF4">
          <w:rPr>
            <w:rStyle w:val="Hyperlink"/>
            <w:rFonts w:ascii="Times New Roman" w:hAnsi="Times New Roman"/>
          </w:rPr>
          <w:t>hd_banq.htm</w:t>
        </w:r>
        <w:proofErr w:type="spellEnd"/>
      </w:hyperlink>
      <w:r>
        <w:rPr>
          <w:rFonts w:ascii="Times New Roman" w:hAnsi="Times New Roman"/>
        </w:rPr>
        <w:t xml:space="preserve"> [Accessed May 1st 2018]</w:t>
      </w:r>
    </w:p>
    <w:p w14:paraId="0526C557" w14:textId="77777777" w:rsidR="006A1757" w:rsidRDefault="006A1757" w:rsidP="00086A2F">
      <w:pPr>
        <w:spacing w:line="480" w:lineRule="auto"/>
        <w:rPr>
          <w:rFonts w:ascii="Times New Roman" w:hAnsi="Times New Roman"/>
        </w:rPr>
      </w:pPr>
    </w:p>
    <w:p w14:paraId="35ED58A9" w14:textId="2F8DB07A" w:rsidR="006A1757" w:rsidRPr="00086A2F" w:rsidRDefault="006A1757" w:rsidP="00086A2F">
      <w:pPr>
        <w:spacing w:line="480" w:lineRule="auto"/>
        <w:rPr>
          <w:rFonts w:ascii="Times New Roman" w:hAnsi="Times New Roman"/>
        </w:rPr>
      </w:pPr>
    </w:p>
    <w:sectPr w:rsidR="006A1757" w:rsidRPr="00086A2F" w:rsidSect="00C04E4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0091F7" w14:textId="77777777" w:rsidR="004C1ADD" w:rsidRDefault="004C1ADD" w:rsidP="004318E4">
      <w:r>
        <w:separator/>
      </w:r>
    </w:p>
  </w:endnote>
  <w:endnote w:type="continuationSeparator" w:id="0">
    <w:p w14:paraId="6353574C" w14:textId="77777777" w:rsidR="004C1ADD" w:rsidRDefault="004C1ADD" w:rsidP="004318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Times">
    <w:panose1 w:val="0200050000000000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607406" w14:textId="77777777" w:rsidR="004C1ADD" w:rsidRDefault="004C1ADD" w:rsidP="004318E4">
      <w:r>
        <w:separator/>
      </w:r>
    </w:p>
  </w:footnote>
  <w:footnote w:type="continuationSeparator" w:id="0">
    <w:p w14:paraId="32F1A7C3" w14:textId="77777777" w:rsidR="004C1ADD" w:rsidRDefault="004C1ADD" w:rsidP="004318E4">
      <w:r>
        <w:continuationSeparator/>
      </w:r>
    </w:p>
  </w:footnote>
  <w:footnote w:id="1">
    <w:p w14:paraId="6E1F0EDF" w14:textId="293F072C" w:rsidR="0021035E" w:rsidRDefault="0021035E">
      <w:pPr>
        <w:pStyle w:val="FootnoteText"/>
      </w:pPr>
      <w:r>
        <w:rPr>
          <w:rStyle w:val="FootnoteReference"/>
        </w:rPr>
        <w:footnoteRef/>
      </w:r>
      <w:r>
        <w:t xml:space="preserve"> K Raff 2011</w:t>
      </w:r>
    </w:p>
  </w:footnote>
  <w:footnote w:id="2">
    <w:p w14:paraId="197B9073" w14:textId="37B054B5" w:rsidR="005913AD" w:rsidRDefault="005913AD">
      <w:pPr>
        <w:pStyle w:val="FootnoteText"/>
      </w:pPr>
      <w:r>
        <w:rPr>
          <w:rStyle w:val="FootnoteReference"/>
        </w:rPr>
        <w:footnoteRef/>
      </w:r>
      <w:r w:rsidR="00DD12EB">
        <w:t xml:space="preserve"> Horace. </w:t>
      </w:r>
      <w:r w:rsidR="006B511F">
        <w:t>Satire II.</w:t>
      </w:r>
      <w:r w:rsidR="00DD12EB">
        <w:t xml:space="preserve"> 8</w:t>
      </w:r>
    </w:p>
  </w:footnote>
  <w:footnote w:id="3">
    <w:p w14:paraId="6AF6BFF4" w14:textId="2725C914" w:rsidR="0025367E" w:rsidRDefault="0025367E">
      <w:pPr>
        <w:pStyle w:val="FootnoteText"/>
      </w:pPr>
      <w:r>
        <w:rPr>
          <w:rStyle w:val="FootnoteReference"/>
        </w:rPr>
        <w:footnoteRef/>
      </w:r>
      <w:r>
        <w:t xml:space="preserve"> </w:t>
      </w:r>
      <w:proofErr w:type="spellStart"/>
      <w:r>
        <w:t>Plut</w:t>
      </w:r>
      <w:proofErr w:type="spellEnd"/>
      <w:r>
        <w:t xml:space="preserve">. </w:t>
      </w:r>
      <w:proofErr w:type="spellStart"/>
      <w:r w:rsidR="00DD12EB">
        <w:t>Caes</w:t>
      </w:r>
      <w:proofErr w:type="spellEnd"/>
      <w:r w:rsidR="00DD12EB">
        <w:t>. 5. 5</w:t>
      </w:r>
    </w:p>
  </w:footnote>
  <w:footnote w:id="4">
    <w:p w14:paraId="45C287D0" w14:textId="73689907" w:rsidR="007A1334" w:rsidRDefault="007A1334">
      <w:pPr>
        <w:pStyle w:val="FootnoteText"/>
      </w:pPr>
      <w:r>
        <w:rPr>
          <w:rStyle w:val="FootnoteReference"/>
        </w:rPr>
        <w:footnoteRef/>
      </w:r>
      <w:r>
        <w:t xml:space="preserve"> Hudson</w:t>
      </w:r>
      <w:r w:rsidR="00C17B06">
        <w:t xml:space="preserve"> 2010</w:t>
      </w:r>
      <w:r w:rsidR="00F714FD">
        <w:t>:</w:t>
      </w:r>
      <w:r w:rsidR="00C17B06">
        <w:t xml:space="preserve"> 663</w:t>
      </w:r>
    </w:p>
  </w:footnote>
  <w:footnote w:id="5">
    <w:p w14:paraId="07F19F6C" w14:textId="7C277E3F" w:rsidR="00775ABB" w:rsidRDefault="00775ABB">
      <w:pPr>
        <w:pStyle w:val="FootnoteText"/>
      </w:pPr>
      <w:r>
        <w:rPr>
          <w:rStyle w:val="FootnoteReference"/>
        </w:rPr>
        <w:footnoteRef/>
      </w:r>
      <w:r w:rsidR="0021035E">
        <w:t xml:space="preserve"> </w:t>
      </w:r>
      <w:proofErr w:type="spellStart"/>
      <w:r w:rsidR="0021035E">
        <w:t>Plut</w:t>
      </w:r>
      <w:proofErr w:type="spellEnd"/>
      <w:r w:rsidR="0021035E">
        <w:t xml:space="preserve">. </w:t>
      </w:r>
      <w:proofErr w:type="spellStart"/>
      <w:r w:rsidR="0021035E">
        <w:t>Quaes</w:t>
      </w:r>
      <w:proofErr w:type="spellEnd"/>
      <w:r w:rsidR="0021035E">
        <w:t xml:space="preserve">. Conv. </w:t>
      </w:r>
    </w:p>
  </w:footnote>
  <w:footnote w:id="6">
    <w:p w14:paraId="3C0BCA08" w14:textId="6A0E54F9" w:rsidR="005824A9" w:rsidRDefault="005824A9">
      <w:pPr>
        <w:pStyle w:val="FootnoteText"/>
      </w:pPr>
      <w:r>
        <w:rPr>
          <w:rStyle w:val="FootnoteReference"/>
        </w:rPr>
        <w:footnoteRef/>
      </w:r>
      <w:r>
        <w:t xml:space="preserve"> Raff 2011</w:t>
      </w:r>
    </w:p>
  </w:footnote>
  <w:footnote w:id="7">
    <w:p w14:paraId="2ED9E03F" w14:textId="629A4882" w:rsidR="000346CC" w:rsidRDefault="000346CC">
      <w:pPr>
        <w:pStyle w:val="FootnoteText"/>
      </w:pPr>
      <w:r>
        <w:rPr>
          <w:rStyle w:val="FootnoteReference"/>
        </w:rPr>
        <w:footnoteRef/>
      </w:r>
      <w:r w:rsidR="006B511F">
        <w:t xml:space="preserve"> Horace. Satire II</w:t>
      </w:r>
      <w:r w:rsidR="00DD12EB">
        <w:t>. 8</w:t>
      </w:r>
    </w:p>
  </w:footnote>
  <w:footnote w:id="8">
    <w:p w14:paraId="5E1BA3D3" w14:textId="6B163921" w:rsidR="00BF5400" w:rsidRDefault="00BF5400">
      <w:pPr>
        <w:pStyle w:val="FootnoteText"/>
      </w:pPr>
      <w:r>
        <w:rPr>
          <w:rStyle w:val="FootnoteReference"/>
        </w:rPr>
        <w:footnoteRef/>
      </w:r>
      <w:r>
        <w:t xml:space="preserve"> </w:t>
      </w:r>
      <w:r w:rsidR="006B511F">
        <w:t>Horace Satire II. 8</w:t>
      </w:r>
    </w:p>
  </w:footnote>
  <w:footnote w:id="9">
    <w:p w14:paraId="5009275B" w14:textId="0595E992" w:rsidR="00441828" w:rsidRDefault="00441828">
      <w:pPr>
        <w:pStyle w:val="FootnoteText"/>
      </w:pPr>
      <w:r>
        <w:rPr>
          <w:rStyle w:val="FootnoteReference"/>
        </w:rPr>
        <w:footnoteRef/>
      </w:r>
      <w:r>
        <w:t xml:space="preserve"> </w:t>
      </w:r>
      <w:r w:rsidR="006B511F">
        <w:t>Raff 2011</w:t>
      </w:r>
    </w:p>
  </w:footnote>
  <w:footnote w:id="10">
    <w:p w14:paraId="4EA61AED" w14:textId="422C8EE7" w:rsidR="00C247E2" w:rsidRDefault="00C247E2">
      <w:pPr>
        <w:pStyle w:val="FootnoteText"/>
      </w:pPr>
      <w:r>
        <w:rPr>
          <w:rStyle w:val="FootnoteReference"/>
        </w:rPr>
        <w:footnoteRef/>
      </w:r>
      <w:r w:rsidR="006B511F">
        <w:t xml:space="preserve"> Horace. Satire II. 8</w:t>
      </w:r>
    </w:p>
  </w:footnote>
  <w:footnote w:id="11">
    <w:p w14:paraId="1E1987E2" w14:textId="0047526E" w:rsidR="00C247E2" w:rsidRDefault="00C247E2">
      <w:pPr>
        <w:pStyle w:val="FootnoteText"/>
      </w:pPr>
      <w:r>
        <w:rPr>
          <w:rStyle w:val="FootnoteReference"/>
        </w:rPr>
        <w:footnoteRef/>
      </w:r>
      <w:r w:rsidR="006B511F">
        <w:t xml:space="preserve"> Petronius. </w:t>
      </w:r>
      <w:proofErr w:type="spellStart"/>
      <w:r w:rsidR="006B511F">
        <w:t>Satyricon</w:t>
      </w:r>
      <w:proofErr w:type="spellEnd"/>
      <w:r w:rsidR="006B511F">
        <w:t>. 32.</w:t>
      </w:r>
    </w:p>
  </w:footnote>
  <w:footnote w:id="12">
    <w:p w14:paraId="639FC203" w14:textId="1682CE4B" w:rsidR="00DD12EB" w:rsidRDefault="00DD12EB">
      <w:pPr>
        <w:pStyle w:val="FootnoteText"/>
      </w:pPr>
      <w:r>
        <w:rPr>
          <w:rStyle w:val="FootnoteReference"/>
        </w:rPr>
        <w:footnoteRef/>
      </w:r>
      <w:r>
        <w:t xml:space="preserve"> Khan Academy 2018</w:t>
      </w:r>
    </w:p>
  </w:footnote>
  <w:footnote w:id="13">
    <w:p w14:paraId="71A7B1A0" w14:textId="55A1BCD3" w:rsidR="00292136" w:rsidRDefault="00292136">
      <w:pPr>
        <w:pStyle w:val="FootnoteText"/>
      </w:pPr>
      <w:r>
        <w:rPr>
          <w:rStyle w:val="FootnoteReference"/>
        </w:rPr>
        <w:footnoteRef/>
      </w:r>
      <w:r w:rsidR="00DD12EB">
        <w:t xml:space="preserve"> </w:t>
      </w:r>
      <w:r>
        <w:t>Pliny</w:t>
      </w:r>
      <w:r w:rsidR="006B511F">
        <w:t>.</w:t>
      </w:r>
      <w:r>
        <w:t xml:space="preserve"> </w:t>
      </w:r>
      <w:r w:rsidR="006B511F">
        <w:t xml:space="preserve">Letters. </w:t>
      </w:r>
      <w:r>
        <w:t>6</w:t>
      </w:r>
    </w:p>
  </w:footnote>
  <w:footnote w:id="14">
    <w:p w14:paraId="416C8178" w14:textId="6E850D24" w:rsidR="00EC5990" w:rsidRDefault="00EC5990">
      <w:pPr>
        <w:pStyle w:val="FootnoteText"/>
      </w:pPr>
      <w:r>
        <w:rPr>
          <w:rStyle w:val="FootnoteReference"/>
        </w:rPr>
        <w:footnoteRef/>
      </w:r>
      <w:r>
        <w:t xml:space="preserve"> Hudson</w:t>
      </w:r>
      <w:r w:rsidR="00C17B06">
        <w:t xml:space="preserve"> 2010</w:t>
      </w:r>
      <w:r w:rsidR="00F714FD">
        <w:t>: 663-664</w:t>
      </w:r>
    </w:p>
  </w:footnote>
  <w:footnote w:id="15">
    <w:p w14:paraId="1E537C46" w14:textId="4F911508" w:rsidR="008945EB" w:rsidRDefault="008945EB">
      <w:pPr>
        <w:pStyle w:val="FootnoteText"/>
      </w:pPr>
      <w:r>
        <w:rPr>
          <w:rStyle w:val="FootnoteReference"/>
        </w:rPr>
        <w:footnoteRef/>
      </w:r>
      <w:r>
        <w:t xml:space="preserve"> Brown 2012</w:t>
      </w:r>
    </w:p>
  </w:footnote>
  <w:footnote w:id="16">
    <w:p w14:paraId="762C7B94" w14:textId="5B2140CA" w:rsidR="00014A79" w:rsidRDefault="00014A79">
      <w:pPr>
        <w:pStyle w:val="FootnoteText"/>
      </w:pPr>
      <w:r>
        <w:rPr>
          <w:rStyle w:val="FootnoteReference"/>
        </w:rPr>
        <w:footnoteRef/>
      </w:r>
      <w:r w:rsidR="008A5FAD">
        <w:t xml:space="preserve"> Aeneid. 1. 690 – 700.</w:t>
      </w:r>
    </w:p>
  </w:footnote>
  <w:footnote w:id="17">
    <w:p w14:paraId="4510A843" w14:textId="03D0223D" w:rsidR="00680662" w:rsidRDefault="00680662">
      <w:pPr>
        <w:pStyle w:val="FootnoteText"/>
      </w:pPr>
      <w:r>
        <w:rPr>
          <w:rStyle w:val="FootnoteReference"/>
        </w:rPr>
        <w:footnoteRef/>
      </w:r>
      <w:r w:rsidR="006B511F">
        <w:t xml:space="preserve"> Horace. Satire II.2</w:t>
      </w:r>
    </w:p>
  </w:footnote>
  <w:footnote w:id="18">
    <w:p w14:paraId="53C3F430" w14:textId="1C9E565E" w:rsidR="00466836" w:rsidRDefault="00466836">
      <w:pPr>
        <w:pStyle w:val="FootnoteText"/>
      </w:pPr>
      <w:r>
        <w:rPr>
          <w:rStyle w:val="FootnoteReference"/>
        </w:rPr>
        <w:footnoteRef/>
      </w:r>
      <w:r>
        <w:t xml:space="preserve"> </w:t>
      </w:r>
      <w:r w:rsidR="006B511F">
        <w:t>Horace. Satire II.2</w:t>
      </w:r>
    </w:p>
  </w:footnote>
  <w:footnote w:id="19">
    <w:p w14:paraId="7DDB4351" w14:textId="60B25BA5" w:rsidR="005824A9" w:rsidRDefault="005824A9">
      <w:pPr>
        <w:pStyle w:val="FootnoteText"/>
      </w:pPr>
      <w:r>
        <w:rPr>
          <w:rStyle w:val="FootnoteReference"/>
        </w:rPr>
        <w:footnoteRef/>
      </w:r>
      <w:r>
        <w:t xml:space="preserve"> Suet. Div. Claud. 33.1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E45"/>
    <w:rsid w:val="000068E1"/>
    <w:rsid w:val="000137E5"/>
    <w:rsid w:val="00014A79"/>
    <w:rsid w:val="000346CC"/>
    <w:rsid w:val="0007167F"/>
    <w:rsid w:val="00086A2F"/>
    <w:rsid w:val="00086B9C"/>
    <w:rsid w:val="000E6BB9"/>
    <w:rsid w:val="00125547"/>
    <w:rsid w:val="00192BF2"/>
    <w:rsid w:val="001932D3"/>
    <w:rsid w:val="001A76A0"/>
    <w:rsid w:val="0021035E"/>
    <w:rsid w:val="002106FD"/>
    <w:rsid w:val="00234020"/>
    <w:rsid w:val="0025367E"/>
    <w:rsid w:val="00267FEF"/>
    <w:rsid w:val="00292136"/>
    <w:rsid w:val="0029611F"/>
    <w:rsid w:val="002D4EF5"/>
    <w:rsid w:val="003325CD"/>
    <w:rsid w:val="00366E2A"/>
    <w:rsid w:val="003A147D"/>
    <w:rsid w:val="003D713C"/>
    <w:rsid w:val="00427659"/>
    <w:rsid w:val="004318E4"/>
    <w:rsid w:val="00441828"/>
    <w:rsid w:val="00466836"/>
    <w:rsid w:val="004C1ADD"/>
    <w:rsid w:val="004D6C7C"/>
    <w:rsid w:val="004F1D73"/>
    <w:rsid w:val="005824A9"/>
    <w:rsid w:val="005913AD"/>
    <w:rsid w:val="00595859"/>
    <w:rsid w:val="005A1A3F"/>
    <w:rsid w:val="005D03A8"/>
    <w:rsid w:val="005F222E"/>
    <w:rsid w:val="00610C33"/>
    <w:rsid w:val="00680662"/>
    <w:rsid w:val="006A1757"/>
    <w:rsid w:val="006B511F"/>
    <w:rsid w:val="006B65C0"/>
    <w:rsid w:val="00765F0D"/>
    <w:rsid w:val="00775ABB"/>
    <w:rsid w:val="00796D57"/>
    <w:rsid w:val="007A1334"/>
    <w:rsid w:val="007B50C1"/>
    <w:rsid w:val="008945EB"/>
    <w:rsid w:val="008A5FAD"/>
    <w:rsid w:val="008A7043"/>
    <w:rsid w:val="008C1FD0"/>
    <w:rsid w:val="008D3C54"/>
    <w:rsid w:val="009477BF"/>
    <w:rsid w:val="009C74F1"/>
    <w:rsid w:val="009D4396"/>
    <w:rsid w:val="00A9276D"/>
    <w:rsid w:val="00AE0E89"/>
    <w:rsid w:val="00B62052"/>
    <w:rsid w:val="00B8693B"/>
    <w:rsid w:val="00BD6167"/>
    <w:rsid w:val="00BF5400"/>
    <w:rsid w:val="00C04E45"/>
    <w:rsid w:val="00C069F9"/>
    <w:rsid w:val="00C17B06"/>
    <w:rsid w:val="00C247E2"/>
    <w:rsid w:val="00C5123D"/>
    <w:rsid w:val="00C90160"/>
    <w:rsid w:val="00CC2F98"/>
    <w:rsid w:val="00D12C87"/>
    <w:rsid w:val="00D92F9B"/>
    <w:rsid w:val="00DD12EB"/>
    <w:rsid w:val="00DD5681"/>
    <w:rsid w:val="00E31F0B"/>
    <w:rsid w:val="00E45147"/>
    <w:rsid w:val="00EC5990"/>
    <w:rsid w:val="00F714FD"/>
    <w:rsid w:val="00FB2EC1"/>
    <w:rsid w:val="00FB3678"/>
    <w:rsid w:val="00FD04D3"/>
    <w:rsid w:val="00FE40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3CE0F2"/>
  <w14:defaultImageDpi w14:val="32767"/>
  <w15:chartTrackingRefBased/>
  <w15:docId w15:val="{87BC93F3-1F70-3C49-A34F-8F4D69EDC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18E4"/>
    <w:pPr>
      <w:tabs>
        <w:tab w:val="center" w:pos="4513"/>
        <w:tab w:val="right" w:pos="9026"/>
      </w:tabs>
    </w:pPr>
  </w:style>
  <w:style w:type="character" w:customStyle="1" w:styleId="HeaderChar">
    <w:name w:val="Header Char"/>
    <w:basedOn w:val="DefaultParagraphFont"/>
    <w:link w:val="Header"/>
    <w:uiPriority w:val="99"/>
    <w:rsid w:val="004318E4"/>
  </w:style>
  <w:style w:type="paragraph" w:styleId="Footer">
    <w:name w:val="footer"/>
    <w:basedOn w:val="Normal"/>
    <w:link w:val="FooterChar"/>
    <w:uiPriority w:val="99"/>
    <w:unhideWhenUsed/>
    <w:rsid w:val="004318E4"/>
    <w:pPr>
      <w:tabs>
        <w:tab w:val="center" w:pos="4513"/>
        <w:tab w:val="right" w:pos="9026"/>
      </w:tabs>
    </w:pPr>
  </w:style>
  <w:style w:type="character" w:customStyle="1" w:styleId="FooterChar">
    <w:name w:val="Footer Char"/>
    <w:basedOn w:val="DefaultParagraphFont"/>
    <w:link w:val="Footer"/>
    <w:uiPriority w:val="99"/>
    <w:rsid w:val="004318E4"/>
  </w:style>
  <w:style w:type="paragraph" w:styleId="FootnoteText">
    <w:name w:val="footnote text"/>
    <w:basedOn w:val="Normal"/>
    <w:link w:val="FootnoteTextChar"/>
    <w:uiPriority w:val="99"/>
    <w:semiHidden/>
    <w:unhideWhenUsed/>
    <w:rsid w:val="007A1334"/>
    <w:rPr>
      <w:sz w:val="20"/>
      <w:szCs w:val="20"/>
    </w:rPr>
  </w:style>
  <w:style w:type="character" w:customStyle="1" w:styleId="FootnoteTextChar">
    <w:name w:val="Footnote Text Char"/>
    <w:basedOn w:val="DefaultParagraphFont"/>
    <w:link w:val="FootnoteText"/>
    <w:uiPriority w:val="99"/>
    <w:semiHidden/>
    <w:rsid w:val="007A1334"/>
    <w:rPr>
      <w:sz w:val="20"/>
      <w:szCs w:val="20"/>
    </w:rPr>
  </w:style>
  <w:style w:type="character" w:styleId="FootnoteReference">
    <w:name w:val="footnote reference"/>
    <w:basedOn w:val="DefaultParagraphFont"/>
    <w:uiPriority w:val="99"/>
    <w:semiHidden/>
    <w:unhideWhenUsed/>
    <w:rsid w:val="007A1334"/>
    <w:rPr>
      <w:vertAlign w:val="superscript"/>
    </w:rPr>
  </w:style>
  <w:style w:type="character" w:styleId="Hyperlink">
    <w:name w:val="Hyperlink"/>
    <w:basedOn w:val="DefaultParagraphFont"/>
    <w:uiPriority w:val="99"/>
    <w:unhideWhenUsed/>
    <w:rsid w:val="00B62052"/>
    <w:rPr>
      <w:color w:val="0563C1" w:themeColor="hyperlink"/>
      <w:u w:val="single"/>
    </w:rPr>
  </w:style>
  <w:style w:type="character" w:styleId="UnresolvedMention">
    <w:name w:val="Unresolved Mention"/>
    <w:basedOn w:val="DefaultParagraphFont"/>
    <w:uiPriority w:val="99"/>
    <w:rsid w:val="00B62052"/>
    <w:rPr>
      <w:color w:val="808080"/>
      <w:shd w:val="clear" w:color="auto" w:fill="E6E6E6"/>
    </w:rPr>
  </w:style>
  <w:style w:type="paragraph" w:styleId="NormalWeb">
    <w:name w:val="Normal (Web)"/>
    <w:basedOn w:val="Normal"/>
    <w:uiPriority w:val="99"/>
    <w:unhideWhenUsed/>
    <w:rsid w:val="007B50C1"/>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192B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145316">
      <w:bodyDiv w:val="1"/>
      <w:marLeft w:val="0"/>
      <w:marRight w:val="0"/>
      <w:marTop w:val="0"/>
      <w:marBottom w:val="0"/>
      <w:divBdr>
        <w:top w:val="none" w:sz="0" w:space="0" w:color="auto"/>
        <w:left w:val="none" w:sz="0" w:space="0" w:color="auto"/>
        <w:bottom w:val="none" w:sz="0" w:space="0" w:color="auto"/>
        <w:right w:val="none" w:sz="0" w:space="0" w:color="auto"/>
      </w:divBdr>
      <w:divsChild>
        <w:div w:id="1068308675">
          <w:marLeft w:val="0"/>
          <w:marRight w:val="0"/>
          <w:marTop w:val="0"/>
          <w:marBottom w:val="0"/>
          <w:divBdr>
            <w:top w:val="none" w:sz="0" w:space="0" w:color="auto"/>
            <w:left w:val="none" w:sz="0" w:space="0" w:color="auto"/>
            <w:bottom w:val="none" w:sz="0" w:space="0" w:color="auto"/>
            <w:right w:val="none" w:sz="0" w:space="0" w:color="auto"/>
          </w:divBdr>
          <w:divsChild>
            <w:div w:id="644897066">
              <w:marLeft w:val="0"/>
              <w:marRight w:val="0"/>
              <w:marTop w:val="0"/>
              <w:marBottom w:val="0"/>
              <w:divBdr>
                <w:top w:val="none" w:sz="0" w:space="0" w:color="auto"/>
                <w:left w:val="none" w:sz="0" w:space="0" w:color="auto"/>
                <w:bottom w:val="none" w:sz="0" w:space="0" w:color="auto"/>
                <w:right w:val="none" w:sz="0" w:space="0" w:color="auto"/>
              </w:divBdr>
              <w:divsChild>
                <w:div w:id="1152527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2576380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perseus.tufts.edu/hopper/text?doc=Perseus%3Atext%3A2008.01.0312%3Abook%3D4%3Achapter%3D0%3Asection%3D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etmuseum.org/toah/hd/banq/hd_banq.htm" TargetMode="External"/><Relationship Id="rId5" Type="http://schemas.openxmlformats.org/officeDocument/2006/relationships/footnotes" Target="footnotes.xml"/><Relationship Id="rId10" Type="http://schemas.openxmlformats.org/officeDocument/2006/relationships/hyperlink" Target="http://blogs.getty.edu/iris/reclining-and-dining-and-drinking-in-ancient-rome/" TargetMode="External"/><Relationship Id="rId4" Type="http://schemas.openxmlformats.org/officeDocument/2006/relationships/webSettings" Target="webSettings.xml"/><Relationship Id="rId9" Type="http://schemas.openxmlformats.org/officeDocument/2006/relationships/hyperlink" Target="https://www.khanacademy.org/humanities/ancient-art-civilizations/roman/wall-painting/a/pompeii-house-of-the-vetti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440DEA-C4D8-9A4D-B97D-0E4088B4EA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Essay Food.docx</Template>
  <TotalTime>378</TotalTime>
  <Pages>7</Pages>
  <Words>1713</Words>
  <Characters>9769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85</cp:revision>
  <dcterms:created xsi:type="dcterms:W3CDTF">2017-06-29T18:08:00Z</dcterms:created>
  <dcterms:modified xsi:type="dcterms:W3CDTF">2018-05-01T20:03:00Z</dcterms:modified>
</cp:coreProperties>
</file>