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1FE12A" w14:textId="77777777" w:rsidR="002B0DF1" w:rsidRPr="002B0DF1" w:rsidRDefault="002B0DF1" w:rsidP="002B0DF1">
      <w:pPr>
        <w:spacing w:line="360" w:lineRule="auto"/>
        <w:jc w:val="both"/>
        <w:rPr>
          <w:rFonts w:ascii="Arial" w:hAnsi="Arial" w:cs="Arial"/>
          <w:b/>
          <w:bCs/>
          <w:sz w:val="22"/>
          <w:szCs w:val="22"/>
        </w:rPr>
      </w:pPr>
      <w:r w:rsidRPr="002B0DF1">
        <w:rPr>
          <w:rFonts w:ascii="Arial" w:hAnsi="Arial" w:cs="Arial"/>
          <w:noProof/>
          <w:sz w:val="22"/>
          <w:szCs w:val="22"/>
        </w:rPr>
        <w:drawing>
          <wp:inline distT="0" distB="0" distL="0" distR="0" wp14:anchorId="5F02D6F0" wp14:editId="64560E1E">
            <wp:extent cx="2466753" cy="1052623"/>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a:xfrm>
                      <a:off x="0" y="0"/>
                      <a:ext cx="2523234" cy="1076725"/>
                    </a:xfrm>
                    <a:prstGeom prst="rect">
                      <a:avLst/>
                    </a:prstGeom>
                    <a:noFill/>
                    <a:ln>
                      <a:noFill/>
                    </a:ln>
                  </pic:spPr>
                </pic:pic>
              </a:graphicData>
            </a:graphic>
          </wp:inline>
        </w:drawing>
      </w:r>
    </w:p>
    <w:p w14:paraId="5631D00E" w14:textId="77777777" w:rsidR="002B0DF1" w:rsidRDefault="002B0DF1" w:rsidP="002B0DF1">
      <w:pPr>
        <w:spacing w:line="360" w:lineRule="auto"/>
        <w:jc w:val="both"/>
        <w:rPr>
          <w:rFonts w:ascii="Arial" w:hAnsi="Arial" w:cs="Arial"/>
          <w:b/>
          <w:bCs/>
          <w:sz w:val="22"/>
          <w:szCs w:val="22"/>
        </w:rPr>
      </w:pPr>
    </w:p>
    <w:p w14:paraId="485B5894" w14:textId="77777777" w:rsidR="0020558A" w:rsidRDefault="0020558A" w:rsidP="002B0DF1">
      <w:pPr>
        <w:spacing w:line="360" w:lineRule="auto"/>
        <w:jc w:val="both"/>
        <w:rPr>
          <w:rFonts w:ascii="Arial" w:hAnsi="Arial" w:cs="Arial"/>
          <w:b/>
          <w:bCs/>
          <w:sz w:val="22"/>
          <w:szCs w:val="22"/>
        </w:rPr>
      </w:pPr>
    </w:p>
    <w:p w14:paraId="114FD237" w14:textId="77777777" w:rsidR="0020558A" w:rsidRPr="002B0DF1" w:rsidRDefault="0020558A" w:rsidP="002B0DF1">
      <w:pPr>
        <w:spacing w:line="360" w:lineRule="auto"/>
        <w:jc w:val="both"/>
        <w:rPr>
          <w:rFonts w:ascii="Arial" w:hAnsi="Arial" w:cs="Arial"/>
          <w:b/>
          <w:bCs/>
          <w:sz w:val="22"/>
          <w:szCs w:val="22"/>
        </w:rPr>
      </w:pPr>
    </w:p>
    <w:p w14:paraId="4356E293" w14:textId="51E9D92D" w:rsidR="002B0DF1" w:rsidRPr="0020558A" w:rsidRDefault="0020558A" w:rsidP="0020558A">
      <w:pPr>
        <w:spacing w:after="0" w:line="276" w:lineRule="auto"/>
        <w:rPr>
          <w:rFonts w:ascii="Arial Rounded MT Bold" w:hAnsi="Arial Rounded MT Bold" w:cs="Arial"/>
          <w:b/>
          <w:bCs/>
          <w:sz w:val="52"/>
          <w:szCs w:val="52"/>
        </w:rPr>
      </w:pPr>
      <w:r w:rsidRPr="0020558A">
        <w:rPr>
          <w:rFonts w:ascii="Arial Rounded MT Bold" w:hAnsi="Arial Rounded MT Bold" w:cs="Arial"/>
          <w:b/>
          <w:bCs/>
          <w:sz w:val="52"/>
          <w:szCs w:val="52"/>
        </w:rPr>
        <w:t>BMHP5016</w:t>
      </w:r>
    </w:p>
    <w:p w14:paraId="516291B9" w14:textId="38EB6115" w:rsidR="007E0A97" w:rsidRDefault="0020558A" w:rsidP="0020558A">
      <w:pPr>
        <w:spacing w:after="0" w:line="276" w:lineRule="auto"/>
        <w:rPr>
          <w:rFonts w:ascii="Arial Rounded MT Bold" w:hAnsi="Arial Rounded MT Bold" w:cs="Arial"/>
          <w:b/>
          <w:bCs/>
          <w:sz w:val="52"/>
          <w:szCs w:val="52"/>
        </w:rPr>
      </w:pPr>
      <w:r w:rsidRPr="0020558A">
        <w:rPr>
          <w:rFonts w:ascii="Arial Rounded MT Bold" w:hAnsi="Arial Rounded MT Bold" w:cs="Arial"/>
          <w:b/>
          <w:bCs/>
          <w:sz w:val="52"/>
          <w:szCs w:val="52"/>
        </w:rPr>
        <w:t>PRINCIPLES OF HEALTH &amp; SOCIAL CARE PRACTICE</w:t>
      </w:r>
    </w:p>
    <w:p w14:paraId="542D9E53" w14:textId="77777777" w:rsidR="0020558A" w:rsidRDefault="0020558A" w:rsidP="0020558A">
      <w:pPr>
        <w:spacing w:after="0" w:line="276" w:lineRule="auto"/>
        <w:rPr>
          <w:rFonts w:ascii="Arial Rounded MT Bold" w:hAnsi="Arial Rounded MT Bold" w:cs="Arial"/>
          <w:b/>
          <w:bCs/>
          <w:sz w:val="52"/>
          <w:szCs w:val="52"/>
        </w:rPr>
      </w:pPr>
    </w:p>
    <w:p w14:paraId="5D0E252B" w14:textId="4E6919C4" w:rsidR="0020558A" w:rsidRPr="007E0A97" w:rsidRDefault="0020558A" w:rsidP="0020558A">
      <w:pPr>
        <w:spacing w:after="0" w:line="276" w:lineRule="auto"/>
        <w:rPr>
          <w:rFonts w:ascii="Arial Rounded MT Bold" w:hAnsi="Arial Rounded MT Bold" w:cs="Arial"/>
          <w:b/>
          <w:bCs/>
          <w:sz w:val="52"/>
          <w:szCs w:val="52"/>
        </w:rPr>
      </w:pPr>
      <w:r>
        <w:rPr>
          <w:rFonts w:ascii="Arial Rounded MT Bold" w:hAnsi="Arial Rounded MT Bold" w:cs="Arial"/>
          <w:b/>
          <w:bCs/>
          <w:sz w:val="52"/>
          <w:szCs w:val="52"/>
        </w:rPr>
        <w:t>Component 2</w:t>
      </w:r>
    </w:p>
    <w:p w14:paraId="1844381A" w14:textId="77777777" w:rsidR="0020558A" w:rsidRDefault="0020558A" w:rsidP="002B0DF1">
      <w:pPr>
        <w:spacing w:line="360" w:lineRule="auto"/>
        <w:jc w:val="both"/>
        <w:rPr>
          <w:rFonts w:ascii="Arial" w:hAnsi="Arial" w:cs="Arial"/>
          <w:b/>
          <w:bCs/>
          <w:sz w:val="22"/>
          <w:szCs w:val="22"/>
        </w:rPr>
      </w:pPr>
    </w:p>
    <w:p w14:paraId="1C3EC1EC" w14:textId="77777777" w:rsidR="0020558A" w:rsidRDefault="0020558A" w:rsidP="002B0DF1">
      <w:pPr>
        <w:spacing w:line="360" w:lineRule="auto"/>
        <w:jc w:val="both"/>
        <w:rPr>
          <w:rFonts w:ascii="Arial" w:hAnsi="Arial" w:cs="Arial"/>
          <w:b/>
          <w:bCs/>
          <w:sz w:val="22"/>
          <w:szCs w:val="22"/>
        </w:rPr>
      </w:pPr>
    </w:p>
    <w:p w14:paraId="45185C6E" w14:textId="77777777" w:rsidR="0020558A" w:rsidRDefault="0020558A" w:rsidP="002B0DF1">
      <w:pPr>
        <w:spacing w:line="360" w:lineRule="auto"/>
        <w:jc w:val="both"/>
        <w:rPr>
          <w:rFonts w:ascii="Arial" w:hAnsi="Arial" w:cs="Arial"/>
          <w:b/>
          <w:bCs/>
          <w:sz w:val="22"/>
          <w:szCs w:val="22"/>
        </w:rPr>
      </w:pPr>
    </w:p>
    <w:p w14:paraId="21ADBE71" w14:textId="77777777" w:rsidR="0020558A" w:rsidRDefault="0020558A" w:rsidP="002B0DF1">
      <w:pPr>
        <w:spacing w:line="360" w:lineRule="auto"/>
        <w:jc w:val="both"/>
        <w:rPr>
          <w:rFonts w:ascii="Arial" w:hAnsi="Arial" w:cs="Arial"/>
          <w:b/>
          <w:bCs/>
          <w:sz w:val="22"/>
          <w:szCs w:val="22"/>
        </w:rPr>
      </w:pPr>
    </w:p>
    <w:p w14:paraId="57ABE628" w14:textId="77777777" w:rsidR="0020558A" w:rsidRDefault="0020558A" w:rsidP="002B0DF1">
      <w:pPr>
        <w:spacing w:line="360" w:lineRule="auto"/>
        <w:jc w:val="both"/>
        <w:rPr>
          <w:rFonts w:ascii="Arial" w:hAnsi="Arial" w:cs="Arial"/>
          <w:b/>
          <w:bCs/>
          <w:sz w:val="22"/>
          <w:szCs w:val="22"/>
        </w:rPr>
      </w:pPr>
    </w:p>
    <w:p w14:paraId="4D7D4D3C" w14:textId="216FC381" w:rsidR="007E0A97" w:rsidRPr="0020558A" w:rsidRDefault="007E0A97" w:rsidP="002B0DF1">
      <w:pPr>
        <w:spacing w:line="360" w:lineRule="auto"/>
        <w:jc w:val="both"/>
        <w:rPr>
          <w:rFonts w:ascii="Arial" w:hAnsi="Arial" w:cs="Arial"/>
          <w:b/>
          <w:bCs/>
          <w:sz w:val="32"/>
          <w:szCs w:val="32"/>
        </w:rPr>
      </w:pPr>
      <w:r w:rsidRPr="007E0A97">
        <w:rPr>
          <w:rFonts w:ascii="Arial" w:hAnsi="Arial" w:cs="Arial"/>
          <w:b/>
          <w:bCs/>
          <w:sz w:val="32"/>
          <w:szCs w:val="32"/>
        </w:rPr>
        <w:t xml:space="preserve">Student: </w:t>
      </w:r>
      <w:r w:rsidR="0020558A" w:rsidRPr="0020558A">
        <w:rPr>
          <w:rFonts w:ascii="Arial" w:hAnsi="Arial" w:cs="Arial"/>
          <w:b/>
          <w:bCs/>
          <w:sz w:val="32"/>
          <w:szCs w:val="32"/>
        </w:rPr>
        <w:t>MAMINATA DEMBELE</w:t>
      </w:r>
    </w:p>
    <w:p w14:paraId="75770AED" w14:textId="1D292B42" w:rsidR="0020558A" w:rsidRPr="007E0A97" w:rsidRDefault="0020558A" w:rsidP="002B0DF1">
      <w:pPr>
        <w:spacing w:line="360" w:lineRule="auto"/>
        <w:jc w:val="both"/>
        <w:rPr>
          <w:rFonts w:ascii="Arial" w:hAnsi="Arial" w:cs="Arial"/>
          <w:sz w:val="32"/>
          <w:szCs w:val="32"/>
        </w:rPr>
      </w:pPr>
      <w:r w:rsidRPr="0020558A">
        <w:rPr>
          <w:rFonts w:ascii="Arial" w:hAnsi="Arial" w:cs="Arial"/>
          <w:b/>
          <w:bCs/>
          <w:sz w:val="32"/>
          <w:szCs w:val="32"/>
        </w:rPr>
        <w:t xml:space="preserve">Word Count: </w:t>
      </w:r>
      <w:r w:rsidR="00E27989">
        <w:rPr>
          <w:rFonts w:ascii="Arial" w:hAnsi="Arial" w:cs="Arial"/>
          <w:b/>
          <w:bCs/>
          <w:sz w:val="32"/>
          <w:szCs w:val="32"/>
        </w:rPr>
        <w:t>2190</w:t>
      </w:r>
    </w:p>
    <w:p w14:paraId="7E646480" w14:textId="77777777" w:rsidR="007E0A97" w:rsidRPr="002B0DF1" w:rsidRDefault="007E0A97" w:rsidP="002B0DF1">
      <w:pPr>
        <w:spacing w:line="360" w:lineRule="auto"/>
        <w:jc w:val="both"/>
        <w:rPr>
          <w:rFonts w:ascii="Arial" w:hAnsi="Arial" w:cs="Arial"/>
          <w:sz w:val="22"/>
          <w:szCs w:val="22"/>
        </w:rPr>
      </w:pPr>
    </w:p>
    <w:p w14:paraId="60DDEAFC" w14:textId="77777777" w:rsidR="002B0DF1" w:rsidRPr="002B0DF1" w:rsidRDefault="002B0DF1" w:rsidP="002B0DF1">
      <w:pPr>
        <w:spacing w:line="360" w:lineRule="auto"/>
        <w:jc w:val="both"/>
        <w:rPr>
          <w:rFonts w:ascii="Arial" w:hAnsi="Arial" w:cs="Arial"/>
          <w:b/>
          <w:bCs/>
          <w:sz w:val="22"/>
          <w:szCs w:val="22"/>
        </w:rPr>
      </w:pPr>
    </w:p>
    <w:p w14:paraId="7AD6BE9B" w14:textId="77777777" w:rsidR="002B0DF1" w:rsidRPr="002B0DF1" w:rsidRDefault="002B0DF1" w:rsidP="002B0DF1">
      <w:pPr>
        <w:spacing w:line="360" w:lineRule="auto"/>
        <w:jc w:val="both"/>
        <w:rPr>
          <w:rFonts w:ascii="Arial" w:hAnsi="Arial" w:cs="Arial"/>
          <w:b/>
          <w:bCs/>
          <w:sz w:val="22"/>
          <w:szCs w:val="22"/>
        </w:rPr>
      </w:pPr>
    </w:p>
    <w:p w14:paraId="16C3D38B" w14:textId="77777777" w:rsidR="002B0DF1" w:rsidRPr="002B0DF1" w:rsidRDefault="002B0DF1" w:rsidP="002B0DF1">
      <w:pPr>
        <w:spacing w:line="360" w:lineRule="auto"/>
        <w:jc w:val="both"/>
        <w:rPr>
          <w:rFonts w:ascii="Arial" w:hAnsi="Arial" w:cs="Arial"/>
          <w:b/>
          <w:bCs/>
          <w:sz w:val="22"/>
          <w:szCs w:val="22"/>
        </w:rPr>
      </w:pPr>
    </w:p>
    <w:p w14:paraId="7243BA5F" w14:textId="77777777" w:rsidR="002B0DF1" w:rsidRPr="002B0DF1" w:rsidRDefault="002B0DF1" w:rsidP="002B0DF1">
      <w:pPr>
        <w:spacing w:line="360" w:lineRule="auto"/>
        <w:jc w:val="both"/>
        <w:rPr>
          <w:rFonts w:ascii="Arial" w:hAnsi="Arial" w:cs="Arial"/>
          <w:b/>
          <w:bCs/>
          <w:sz w:val="22"/>
          <w:szCs w:val="22"/>
        </w:rPr>
      </w:pPr>
    </w:p>
    <w:p w14:paraId="7AD17F0D" w14:textId="6C938434" w:rsidR="007E0A97" w:rsidRPr="007E0A97" w:rsidRDefault="007E0A97" w:rsidP="0020558A">
      <w:pPr>
        <w:pStyle w:val="Heading1"/>
      </w:pPr>
      <w:r w:rsidRPr="007E0A97">
        <w:lastRenderedPageBreak/>
        <w:t>Introduction</w:t>
      </w:r>
    </w:p>
    <w:p w14:paraId="1645724A" w14:textId="16693532" w:rsidR="0020558A" w:rsidRPr="0020558A" w:rsidRDefault="0020558A" w:rsidP="0020558A">
      <w:pPr>
        <w:spacing w:line="360" w:lineRule="auto"/>
        <w:jc w:val="both"/>
        <w:rPr>
          <w:rFonts w:ascii="Arial" w:hAnsi="Arial" w:cs="Arial"/>
          <w:sz w:val="22"/>
          <w:szCs w:val="22"/>
        </w:rPr>
      </w:pPr>
      <w:r w:rsidRPr="0020558A">
        <w:rPr>
          <w:rFonts w:ascii="Arial" w:hAnsi="Arial" w:cs="Arial"/>
          <w:sz w:val="22"/>
          <w:szCs w:val="22"/>
        </w:rPr>
        <w:t xml:space="preserve">Three fundamental principles have been identified as key drivers of </w:t>
      </w:r>
      <w:r w:rsidRPr="0020558A">
        <w:rPr>
          <w:rFonts w:ascii="Arial" w:hAnsi="Arial" w:cs="Arial"/>
          <w:sz w:val="22"/>
          <w:szCs w:val="22"/>
        </w:rPr>
        <w:t>high-quality</w:t>
      </w:r>
      <w:r w:rsidRPr="0020558A">
        <w:rPr>
          <w:rFonts w:ascii="Arial" w:hAnsi="Arial" w:cs="Arial"/>
          <w:sz w:val="22"/>
          <w:szCs w:val="22"/>
        </w:rPr>
        <w:t xml:space="preserve"> care throughout the UK's Health &amp; Social Care System: Person-Centred Care; Partnership Working; and Ethical Practice. </w:t>
      </w:r>
      <w:proofErr w:type="gramStart"/>
      <w:r w:rsidRPr="0020558A">
        <w:rPr>
          <w:rFonts w:ascii="Arial" w:hAnsi="Arial" w:cs="Arial"/>
          <w:sz w:val="22"/>
          <w:szCs w:val="22"/>
        </w:rPr>
        <w:t>All of</w:t>
      </w:r>
      <w:proofErr w:type="gramEnd"/>
      <w:r w:rsidRPr="0020558A">
        <w:rPr>
          <w:rFonts w:ascii="Arial" w:hAnsi="Arial" w:cs="Arial"/>
          <w:sz w:val="22"/>
          <w:szCs w:val="22"/>
        </w:rPr>
        <w:t xml:space="preserve"> these principles are key to supporting an individual's Dignity; Autonomy and Equality while receiving services. As Glasby (2020) explains, all three principles also represent a conscious shift in policy direction away from paternalism towards a collaborative approach to Healthcare and Rights-Based Care with an emphasis on Shared Decision Making.</w:t>
      </w:r>
      <w:r>
        <w:rPr>
          <w:rFonts w:ascii="Arial" w:hAnsi="Arial" w:cs="Arial"/>
          <w:sz w:val="22"/>
          <w:szCs w:val="22"/>
        </w:rPr>
        <w:t xml:space="preserve"> </w:t>
      </w:r>
      <w:r w:rsidRPr="0020558A">
        <w:rPr>
          <w:rFonts w:ascii="Arial" w:hAnsi="Arial" w:cs="Arial"/>
          <w:sz w:val="22"/>
          <w:szCs w:val="22"/>
        </w:rPr>
        <w:t>The Care Act 2014 provides a legislative duty to enable Local Authorities and Providers to work collaboratively to facilitate an individual's participation in decision making regarding their own wellbeing. A similar legislative duty exists in relation to the establishment of Integrated Care Systems (ICSs) through the Health &amp; Care Act 2022 with an aim to improve outcomes for service users through improved inter-organisational collaboration.</w:t>
      </w:r>
      <w:r>
        <w:rPr>
          <w:rFonts w:ascii="Arial" w:hAnsi="Arial" w:cs="Arial"/>
          <w:sz w:val="22"/>
          <w:szCs w:val="22"/>
        </w:rPr>
        <w:t xml:space="preserve"> </w:t>
      </w:r>
      <w:r w:rsidRPr="0020558A">
        <w:rPr>
          <w:rFonts w:ascii="Arial" w:hAnsi="Arial" w:cs="Arial"/>
          <w:sz w:val="22"/>
          <w:szCs w:val="22"/>
        </w:rPr>
        <w:t xml:space="preserve">In addition to providing a framework for decision making, ethical principles such as those proposed by Beauchamp &amp; Childress (2019) provide guidance when faced with difficult decisions and assist in ensuring that fair practices are </w:t>
      </w:r>
      <w:proofErr w:type="gramStart"/>
      <w:r w:rsidRPr="0020558A">
        <w:rPr>
          <w:rFonts w:ascii="Arial" w:hAnsi="Arial" w:cs="Arial"/>
          <w:sz w:val="22"/>
          <w:szCs w:val="22"/>
        </w:rPr>
        <w:t>followed at all times</w:t>
      </w:r>
      <w:proofErr w:type="gramEnd"/>
      <w:r w:rsidRPr="0020558A">
        <w:rPr>
          <w:rFonts w:ascii="Arial" w:hAnsi="Arial" w:cs="Arial"/>
          <w:sz w:val="22"/>
          <w:szCs w:val="22"/>
        </w:rPr>
        <w:t>.</w:t>
      </w:r>
    </w:p>
    <w:p w14:paraId="4E95EF1D" w14:textId="6B6A355F" w:rsidR="0020558A" w:rsidRPr="0020558A" w:rsidRDefault="0020558A" w:rsidP="0020558A">
      <w:pPr>
        <w:spacing w:line="360" w:lineRule="auto"/>
        <w:jc w:val="both"/>
        <w:rPr>
          <w:rFonts w:ascii="Arial" w:hAnsi="Arial" w:cs="Arial"/>
          <w:sz w:val="22"/>
          <w:szCs w:val="22"/>
        </w:rPr>
      </w:pPr>
      <w:r w:rsidRPr="0020558A">
        <w:rPr>
          <w:rFonts w:ascii="Arial" w:hAnsi="Arial" w:cs="Arial"/>
          <w:sz w:val="22"/>
          <w:szCs w:val="22"/>
        </w:rPr>
        <w:t>This report will critically evaluate the significance of these principles in determining contemporary Health &amp; Social Care Services. The report will subsequently illustrate how they can be applied using Robyn’s Story from NHS England</w:t>
      </w:r>
      <w:r>
        <w:rPr>
          <w:rFonts w:ascii="Arial" w:hAnsi="Arial" w:cs="Arial"/>
          <w:sz w:val="22"/>
          <w:szCs w:val="22"/>
        </w:rPr>
        <w:t xml:space="preserve"> </w:t>
      </w:r>
      <w:r w:rsidRPr="0020558A">
        <w:rPr>
          <w:rFonts w:ascii="Arial" w:hAnsi="Arial" w:cs="Arial"/>
          <w:sz w:val="22"/>
          <w:szCs w:val="22"/>
        </w:rPr>
        <w:t xml:space="preserve">further </w:t>
      </w:r>
      <w:r>
        <w:rPr>
          <w:rFonts w:ascii="Arial" w:hAnsi="Arial" w:cs="Arial"/>
          <w:sz w:val="22"/>
          <w:szCs w:val="22"/>
        </w:rPr>
        <w:t>examining</w:t>
      </w:r>
      <w:r w:rsidRPr="0020558A">
        <w:rPr>
          <w:rFonts w:ascii="Arial" w:hAnsi="Arial" w:cs="Arial"/>
          <w:sz w:val="22"/>
          <w:szCs w:val="22"/>
        </w:rPr>
        <w:t xml:space="preserve"> the principles' effectiveness.</w:t>
      </w:r>
      <w:r>
        <w:rPr>
          <w:rFonts w:ascii="Arial" w:hAnsi="Arial" w:cs="Arial"/>
          <w:sz w:val="22"/>
          <w:szCs w:val="22"/>
        </w:rPr>
        <w:t xml:space="preserve"> </w:t>
      </w:r>
      <w:r w:rsidRPr="0020558A">
        <w:rPr>
          <w:rFonts w:ascii="Arial" w:hAnsi="Arial" w:cs="Arial"/>
          <w:sz w:val="22"/>
          <w:szCs w:val="22"/>
        </w:rPr>
        <w:t>Finally, the report will provide a reflective account of a professional experience gained while providing Communication Support in a Dementia Care setting and use Gibbs (1988) Reflective Cycle to highlight areas of Learning and Future Development Needs.</w:t>
      </w:r>
    </w:p>
    <w:p w14:paraId="4D7855C6" w14:textId="77777777" w:rsidR="002B0DF1" w:rsidRPr="002B0DF1" w:rsidRDefault="002B0DF1" w:rsidP="002B0DF1">
      <w:pPr>
        <w:spacing w:line="360" w:lineRule="auto"/>
        <w:jc w:val="both"/>
        <w:rPr>
          <w:rFonts w:ascii="Arial" w:hAnsi="Arial" w:cs="Arial"/>
          <w:sz w:val="22"/>
          <w:szCs w:val="22"/>
        </w:rPr>
      </w:pPr>
    </w:p>
    <w:p w14:paraId="759824C0" w14:textId="500791FC" w:rsidR="007E0A97" w:rsidRPr="007E0A97" w:rsidRDefault="007E0A97" w:rsidP="00500A7F">
      <w:pPr>
        <w:pStyle w:val="Heading1"/>
      </w:pPr>
      <w:r w:rsidRPr="007E0A97">
        <w:t>Task 1: Critical Importance of Principles</w:t>
      </w:r>
    </w:p>
    <w:p w14:paraId="5825C244" w14:textId="63D07A3C" w:rsidR="00500A7F" w:rsidRPr="00500A7F" w:rsidRDefault="00500A7F" w:rsidP="00500A7F">
      <w:pPr>
        <w:spacing w:after="0" w:line="360" w:lineRule="auto"/>
        <w:jc w:val="both"/>
        <w:rPr>
          <w:rFonts w:ascii="Arial" w:hAnsi="Arial" w:cs="Arial"/>
          <w:b/>
          <w:bCs/>
          <w:sz w:val="22"/>
          <w:szCs w:val="22"/>
        </w:rPr>
      </w:pPr>
      <w:r w:rsidRPr="00500A7F">
        <w:rPr>
          <w:rFonts w:ascii="Arial" w:hAnsi="Arial" w:cs="Arial"/>
          <w:b/>
          <w:bCs/>
          <w:sz w:val="22"/>
          <w:szCs w:val="22"/>
        </w:rPr>
        <w:t>Patient-</w:t>
      </w:r>
      <w:proofErr w:type="spellStart"/>
      <w:r w:rsidRPr="00500A7F">
        <w:rPr>
          <w:rFonts w:ascii="Arial" w:hAnsi="Arial" w:cs="Arial"/>
          <w:b/>
          <w:bCs/>
          <w:sz w:val="22"/>
          <w:szCs w:val="22"/>
        </w:rPr>
        <w:t>centered</w:t>
      </w:r>
      <w:proofErr w:type="spellEnd"/>
      <w:r w:rsidRPr="00500A7F">
        <w:rPr>
          <w:rFonts w:ascii="Arial" w:hAnsi="Arial" w:cs="Arial"/>
          <w:b/>
          <w:bCs/>
          <w:sz w:val="22"/>
          <w:szCs w:val="22"/>
        </w:rPr>
        <w:t xml:space="preserve"> care</w:t>
      </w:r>
    </w:p>
    <w:p w14:paraId="3B9A9627" w14:textId="1658AEAB" w:rsidR="00500A7F" w:rsidRPr="00500A7F" w:rsidRDefault="00500A7F" w:rsidP="00500A7F">
      <w:pPr>
        <w:spacing w:line="360" w:lineRule="auto"/>
        <w:jc w:val="both"/>
        <w:rPr>
          <w:rFonts w:ascii="Arial" w:hAnsi="Arial" w:cs="Arial"/>
          <w:sz w:val="22"/>
          <w:szCs w:val="22"/>
        </w:rPr>
      </w:pPr>
      <w:r w:rsidRPr="00500A7F">
        <w:rPr>
          <w:rFonts w:ascii="Arial" w:hAnsi="Arial" w:cs="Arial"/>
          <w:sz w:val="22"/>
          <w:szCs w:val="22"/>
        </w:rPr>
        <w:t>Patient-</w:t>
      </w:r>
      <w:proofErr w:type="spellStart"/>
      <w:r w:rsidRPr="00500A7F">
        <w:rPr>
          <w:rFonts w:ascii="Arial" w:hAnsi="Arial" w:cs="Arial"/>
          <w:sz w:val="22"/>
          <w:szCs w:val="22"/>
        </w:rPr>
        <w:t>centered</w:t>
      </w:r>
      <w:proofErr w:type="spellEnd"/>
      <w:r w:rsidRPr="00500A7F">
        <w:rPr>
          <w:rFonts w:ascii="Arial" w:hAnsi="Arial" w:cs="Arial"/>
          <w:sz w:val="22"/>
          <w:szCs w:val="22"/>
        </w:rPr>
        <w:t xml:space="preserve"> care is based on the premise that patients will participate in their care in a collaborative and not just passively receive it. In addition to focusing on the patients' personal identity, </w:t>
      </w:r>
      <w:r w:rsidRPr="00500A7F">
        <w:rPr>
          <w:rFonts w:ascii="Arial" w:hAnsi="Arial" w:cs="Arial"/>
          <w:sz w:val="22"/>
          <w:szCs w:val="22"/>
        </w:rPr>
        <w:t>patients</w:t>
      </w:r>
      <w:r w:rsidRPr="00500A7F">
        <w:rPr>
          <w:rFonts w:ascii="Arial" w:hAnsi="Arial" w:cs="Arial"/>
          <w:sz w:val="22"/>
          <w:szCs w:val="22"/>
        </w:rPr>
        <w:t xml:space="preserve"> lived experiences, cultural needs and personal goals (Santana et al., 2021) it emphasizes that the goal of care is to improve the patients' quality of life. As stated within the Care Act 2014, providing people with the ability to control their own lives, to be involved in their care and to enable them to have a good quality of life is an obligatory duty for both providers and commissioners; it is not optional. Implementing this approach to care has been shown to improve patient satisfaction and to improve the overall health of the patient in addition to increasing the trust that patients have in the service.</w:t>
      </w:r>
    </w:p>
    <w:p w14:paraId="347F1BC7" w14:textId="64BF2810" w:rsidR="00500A7F" w:rsidRPr="00500A7F" w:rsidRDefault="00500A7F" w:rsidP="00500A7F">
      <w:pPr>
        <w:spacing w:line="360" w:lineRule="auto"/>
        <w:jc w:val="both"/>
        <w:rPr>
          <w:rFonts w:ascii="Arial" w:hAnsi="Arial" w:cs="Arial"/>
          <w:sz w:val="22"/>
          <w:szCs w:val="22"/>
        </w:rPr>
      </w:pPr>
      <w:r w:rsidRPr="00500A7F">
        <w:rPr>
          <w:rFonts w:ascii="Arial" w:hAnsi="Arial" w:cs="Arial"/>
          <w:sz w:val="22"/>
          <w:szCs w:val="22"/>
        </w:rPr>
        <w:t>However, despite the potential benefits, there are still many barriers to implementing patient-</w:t>
      </w:r>
      <w:r w:rsidRPr="00500A7F">
        <w:rPr>
          <w:rFonts w:ascii="Arial" w:hAnsi="Arial" w:cs="Arial"/>
          <w:sz w:val="22"/>
          <w:szCs w:val="22"/>
        </w:rPr>
        <w:t>centred</w:t>
      </w:r>
      <w:r w:rsidRPr="00500A7F">
        <w:rPr>
          <w:rFonts w:ascii="Arial" w:hAnsi="Arial" w:cs="Arial"/>
          <w:sz w:val="22"/>
          <w:szCs w:val="22"/>
        </w:rPr>
        <w:t xml:space="preserve"> care. For example, research has indicated that patient-</w:t>
      </w:r>
      <w:r w:rsidRPr="00500A7F">
        <w:rPr>
          <w:rFonts w:ascii="Arial" w:hAnsi="Arial" w:cs="Arial"/>
          <w:sz w:val="22"/>
          <w:szCs w:val="22"/>
        </w:rPr>
        <w:t>centred</w:t>
      </w:r>
      <w:r w:rsidRPr="00500A7F">
        <w:rPr>
          <w:rFonts w:ascii="Arial" w:hAnsi="Arial" w:cs="Arial"/>
          <w:sz w:val="22"/>
          <w:szCs w:val="22"/>
        </w:rPr>
        <w:t xml:space="preserve"> care is often </w:t>
      </w:r>
      <w:r w:rsidRPr="00500A7F">
        <w:rPr>
          <w:rFonts w:ascii="Arial" w:hAnsi="Arial" w:cs="Arial"/>
          <w:sz w:val="22"/>
          <w:szCs w:val="22"/>
        </w:rPr>
        <w:lastRenderedPageBreak/>
        <w:t xml:space="preserve">implemented superficially; for example, staff record that they provided personalized care to a particular patient; however, </w:t>
      </w:r>
      <w:proofErr w:type="gramStart"/>
      <w:r w:rsidRPr="00500A7F">
        <w:rPr>
          <w:rFonts w:ascii="Arial" w:hAnsi="Arial" w:cs="Arial"/>
          <w:sz w:val="22"/>
          <w:szCs w:val="22"/>
        </w:rPr>
        <w:t>in reality the</w:t>
      </w:r>
      <w:proofErr w:type="gramEnd"/>
      <w:r w:rsidRPr="00500A7F">
        <w:rPr>
          <w:rFonts w:ascii="Arial" w:hAnsi="Arial" w:cs="Arial"/>
          <w:sz w:val="22"/>
          <w:szCs w:val="22"/>
        </w:rPr>
        <w:t xml:space="preserve"> patient received the same level of care as every other patient (</w:t>
      </w:r>
      <w:proofErr w:type="spellStart"/>
      <w:r w:rsidRPr="00500A7F">
        <w:rPr>
          <w:rFonts w:ascii="Arial" w:hAnsi="Arial" w:cs="Arial"/>
          <w:sz w:val="22"/>
          <w:szCs w:val="22"/>
        </w:rPr>
        <w:t>Ocloo</w:t>
      </w:r>
      <w:proofErr w:type="spellEnd"/>
      <w:r w:rsidRPr="00500A7F">
        <w:rPr>
          <w:rFonts w:ascii="Arial" w:hAnsi="Arial" w:cs="Arial"/>
          <w:sz w:val="22"/>
          <w:szCs w:val="22"/>
        </w:rPr>
        <w:t xml:space="preserve"> &amp; Matthews, 2016). </w:t>
      </w:r>
      <w:proofErr w:type="gramStart"/>
      <w:r w:rsidRPr="00500A7F">
        <w:rPr>
          <w:rFonts w:ascii="Arial" w:hAnsi="Arial" w:cs="Arial"/>
          <w:sz w:val="22"/>
          <w:szCs w:val="22"/>
        </w:rPr>
        <w:t>A number of</w:t>
      </w:r>
      <w:proofErr w:type="gramEnd"/>
      <w:r w:rsidRPr="00500A7F">
        <w:rPr>
          <w:rFonts w:ascii="Arial" w:hAnsi="Arial" w:cs="Arial"/>
          <w:sz w:val="22"/>
          <w:szCs w:val="22"/>
        </w:rPr>
        <w:t xml:space="preserve"> factors including workforce shortages, lack of time and institutional routines can cause barriers to listening to patients, adapting to patients' preferences and responding to patients' needs (Wolf, 2022). Therefore, implementing effective patient-</w:t>
      </w:r>
      <w:r w:rsidRPr="00500A7F">
        <w:rPr>
          <w:rFonts w:ascii="Arial" w:hAnsi="Arial" w:cs="Arial"/>
          <w:sz w:val="22"/>
          <w:szCs w:val="22"/>
        </w:rPr>
        <w:t>centred</w:t>
      </w:r>
      <w:r w:rsidRPr="00500A7F">
        <w:rPr>
          <w:rFonts w:ascii="Arial" w:hAnsi="Arial" w:cs="Arial"/>
          <w:sz w:val="22"/>
          <w:szCs w:val="22"/>
        </w:rPr>
        <w:t xml:space="preserve"> care requires more than just a culture shift. It also requires additional education and training for staff to develop the necessary communication and relationship-building skills to engage with patients and to create the environment and resources necessary to allow staff to develop an understanding of each patient's individual needs.</w:t>
      </w:r>
    </w:p>
    <w:p w14:paraId="493FF9F5" w14:textId="77777777" w:rsidR="00500A7F" w:rsidRDefault="00500A7F" w:rsidP="00500A7F">
      <w:pPr>
        <w:spacing w:line="360" w:lineRule="auto"/>
        <w:jc w:val="both"/>
        <w:rPr>
          <w:rFonts w:ascii="Arial" w:hAnsi="Arial" w:cs="Arial"/>
          <w:sz w:val="22"/>
          <w:szCs w:val="22"/>
        </w:rPr>
      </w:pPr>
    </w:p>
    <w:p w14:paraId="0B597152" w14:textId="1470DFA2" w:rsidR="00500A7F" w:rsidRPr="00500A7F" w:rsidRDefault="00500A7F" w:rsidP="00500A7F">
      <w:pPr>
        <w:spacing w:after="0" w:line="360" w:lineRule="auto"/>
        <w:jc w:val="both"/>
        <w:rPr>
          <w:rFonts w:ascii="Arial" w:hAnsi="Arial" w:cs="Arial"/>
          <w:b/>
          <w:bCs/>
          <w:sz w:val="22"/>
          <w:szCs w:val="22"/>
        </w:rPr>
      </w:pPr>
      <w:r w:rsidRPr="00500A7F">
        <w:rPr>
          <w:rFonts w:ascii="Arial" w:hAnsi="Arial" w:cs="Arial"/>
          <w:b/>
          <w:bCs/>
          <w:sz w:val="22"/>
          <w:szCs w:val="22"/>
        </w:rPr>
        <w:t>Collaboration and partnerships</w:t>
      </w:r>
    </w:p>
    <w:p w14:paraId="015D09F8" w14:textId="77777777" w:rsidR="00500A7F" w:rsidRPr="00500A7F" w:rsidRDefault="00500A7F" w:rsidP="00500A7F">
      <w:pPr>
        <w:spacing w:line="360" w:lineRule="auto"/>
        <w:jc w:val="both"/>
        <w:rPr>
          <w:rFonts w:ascii="Arial" w:hAnsi="Arial" w:cs="Arial"/>
          <w:sz w:val="22"/>
          <w:szCs w:val="22"/>
        </w:rPr>
      </w:pPr>
      <w:r w:rsidRPr="00500A7F">
        <w:rPr>
          <w:rFonts w:ascii="Arial" w:hAnsi="Arial" w:cs="Arial"/>
          <w:sz w:val="22"/>
          <w:szCs w:val="22"/>
        </w:rPr>
        <w:t xml:space="preserve">Individuals who have complex needs use a variety of services delivered by a range of organizations including public sector agencies, voluntary sector organizations and private sector agencies. Collaboration between these organizations is intended to address the fragmentation that occurs when each agency delivers its services independently (The King’s Fund, 2023). As a result of the Health and Care Act 2022, Integrated Care Systems (ICSs) are required to collaborate with each other </w:t>
      </w:r>
      <w:proofErr w:type="gramStart"/>
      <w:r w:rsidRPr="00500A7F">
        <w:rPr>
          <w:rFonts w:ascii="Arial" w:hAnsi="Arial" w:cs="Arial"/>
          <w:sz w:val="22"/>
          <w:szCs w:val="22"/>
        </w:rPr>
        <w:t>in order to</w:t>
      </w:r>
      <w:proofErr w:type="gramEnd"/>
      <w:r w:rsidRPr="00500A7F">
        <w:rPr>
          <w:rFonts w:ascii="Arial" w:hAnsi="Arial" w:cs="Arial"/>
          <w:sz w:val="22"/>
          <w:szCs w:val="22"/>
        </w:rPr>
        <w:t xml:space="preserve"> share responsibility for the health of the population and to work together to address health inequalities (Health and Care Act, 2022).</w:t>
      </w:r>
    </w:p>
    <w:p w14:paraId="5C1828B4" w14:textId="385D0FC5" w:rsidR="00500A7F" w:rsidRPr="00500A7F" w:rsidRDefault="00500A7F" w:rsidP="00500A7F">
      <w:pPr>
        <w:spacing w:line="360" w:lineRule="auto"/>
        <w:jc w:val="both"/>
        <w:rPr>
          <w:rFonts w:ascii="Arial" w:hAnsi="Arial" w:cs="Arial"/>
          <w:sz w:val="22"/>
          <w:szCs w:val="22"/>
        </w:rPr>
      </w:pPr>
      <w:r w:rsidRPr="00500A7F">
        <w:rPr>
          <w:rFonts w:ascii="Arial" w:hAnsi="Arial" w:cs="Arial"/>
          <w:sz w:val="22"/>
          <w:szCs w:val="22"/>
        </w:rPr>
        <w:t xml:space="preserve">When successful, collaboration can lead to increased continuity of care, faster decision-making and improved protection for vulnerable adults due to the sharing of information and expertise (Hughes et al., 2022). However, achieving greater levels of collaboration is not always possible </w:t>
      </w:r>
      <w:r w:rsidRPr="00500A7F">
        <w:rPr>
          <w:rFonts w:ascii="Arial" w:hAnsi="Arial" w:cs="Arial"/>
          <w:sz w:val="22"/>
          <w:szCs w:val="22"/>
        </w:rPr>
        <w:t>and, in some cases,</w:t>
      </w:r>
      <w:r w:rsidRPr="00500A7F">
        <w:rPr>
          <w:rFonts w:ascii="Arial" w:hAnsi="Arial" w:cs="Arial"/>
          <w:sz w:val="22"/>
          <w:szCs w:val="22"/>
        </w:rPr>
        <w:t xml:space="preserve"> may be difficult. Barriers to collaboration include differences in funding mechanisms, professional cultures and communication systems (</w:t>
      </w:r>
      <w:proofErr w:type="spellStart"/>
      <w:r w:rsidRPr="00500A7F">
        <w:rPr>
          <w:rFonts w:ascii="Arial" w:hAnsi="Arial" w:cs="Arial"/>
          <w:sz w:val="22"/>
          <w:szCs w:val="22"/>
        </w:rPr>
        <w:t>Kuluski</w:t>
      </w:r>
      <w:proofErr w:type="spellEnd"/>
      <w:r w:rsidRPr="00500A7F">
        <w:rPr>
          <w:rFonts w:ascii="Arial" w:hAnsi="Arial" w:cs="Arial"/>
          <w:sz w:val="22"/>
          <w:szCs w:val="22"/>
        </w:rPr>
        <w:t xml:space="preserve"> et al., 2022). Additionally, digital systems used by different agencies may be incompatible, leading to delays in the exchange of information, which contradicts one of the main objectives of collaboration (</w:t>
      </w:r>
      <w:proofErr w:type="spellStart"/>
      <w:r w:rsidRPr="00500A7F">
        <w:rPr>
          <w:rFonts w:ascii="Arial" w:hAnsi="Arial" w:cs="Arial"/>
          <w:sz w:val="22"/>
          <w:szCs w:val="22"/>
        </w:rPr>
        <w:t>Kuluski</w:t>
      </w:r>
      <w:proofErr w:type="spellEnd"/>
      <w:r w:rsidRPr="00500A7F">
        <w:rPr>
          <w:rFonts w:ascii="Arial" w:hAnsi="Arial" w:cs="Arial"/>
          <w:sz w:val="22"/>
          <w:szCs w:val="22"/>
        </w:rPr>
        <w:t xml:space="preserve"> et al., 2022). Another barrier to collaboration includes power imbalances between organizations that can affect whose views are heard and considered in planning discussions.</w:t>
      </w:r>
      <w:r>
        <w:rPr>
          <w:rFonts w:ascii="Arial" w:hAnsi="Arial" w:cs="Arial"/>
          <w:sz w:val="22"/>
          <w:szCs w:val="22"/>
        </w:rPr>
        <w:t xml:space="preserve"> </w:t>
      </w:r>
      <w:r w:rsidRPr="00500A7F">
        <w:rPr>
          <w:rFonts w:ascii="Arial" w:hAnsi="Arial" w:cs="Arial"/>
          <w:sz w:val="22"/>
          <w:szCs w:val="22"/>
        </w:rPr>
        <w:t>Therefore, while collaboration and partnerships are important for delivering effective care, they must be supported by the necessary practical resources, clear leadership and a shared vision and values.</w:t>
      </w:r>
    </w:p>
    <w:p w14:paraId="66DED28F" w14:textId="77777777" w:rsidR="00500A7F" w:rsidRDefault="00500A7F" w:rsidP="00500A7F">
      <w:pPr>
        <w:spacing w:line="360" w:lineRule="auto"/>
        <w:jc w:val="both"/>
        <w:rPr>
          <w:rFonts w:ascii="Arial" w:hAnsi="Arial" w:cs="Arial"/>
          <w:sz w:val="22"/>
          <w:szCs w:val="22"/>
        </w:rPr>
      </w:pPr>
    </w:p>
    <w:p w14:paraId="25DE5995" w14:textId="6532BF39" w:rsidR="00500A7F" w:rsidRPr="00500A7F" w:rsidRDefault="00500A7F" w:rsidP="00500A7F">
      <w:pPr>
        <w:spacing w:after="0" w:line="360" w:lineRule="auto"/>
        <w:jc w:val="both"/>
        <w:rPr>
          <w:rFonts w:ascii="Arial" w:hAnsi="Arial" w:cs="Arial"/>
          <w:b/>
          <w:bCs/>
          <w:sz w:val="22"/>
          <w:szCs w:val="22"/>
        </w:rPr>
      </w:pPr>
      <w:r w:rsidRPr="00500A7F">
        <w:rPr>
          <w:rFonts w:ascii="Arial" w:hAnsi="Arial" w:cs="Arial"/>
          <w:b/>
          <w:bCs/>
          <w:sz w:val="22"/>
          <w:szCs w:val="22"/>
        </w:rPr>
        <w:t>Ethics in Practice</w:t>
      </w:r>
    </w:p>
    <w:p w14:paraId="5E1F7AF3" w14:textId="77777777" w:rsidR="00500A7F" w:rsidRPr="00500A7F" w:rsidRDefault="00500A7F" w:rsidP="00500A7F">
      <w:pPr>
        <w:spacing w:line="360" w:lineRule="auto"/>
        <w:jc w:val="both"/>
        <w:rPr>
          <w:rFonts w:ascii="Arial" w:hAnsi="Arial" w:cs="Arial"/>
          <w:sz w:val="22"/>
          <w:szCs w:val="22"/>
        </w:rPr>
      </w:pPr>
      <w:r w:rsidRPr="00500A7F">
        <w:rPr>
          <w:rFonts w:ascii="Arial" w:hAnsi="Arial" w:cs="Arial"/>
          <w:sz w:val="22"/>
          <w:szCs w:val="22"/>
        </w:rPr>
        <w:t xml:space="preserve">Involvement of ethics in practice is a necessity </w:t>
      </w:r>
      <w:proofErr w:type="gramStart"/>
      <w:r w:rsidRPr="00500A7F">
        <w:rPr>
          <w:rFonts w:ascii="Arial" w:hAnsi="Arial" w:cs="Arial"/>
          <w:sz w:val="22"/>
          <w:szCs w:val="22"/>
        </w:rPr>
        <w:t>due to the fact that</w:t>
      </w:r>
      <w:proofErr w:type="gramEnd"/>
      <w:r w:rsidRPr="00500A7F">
        <w:rPr>
          <w:rFonts w:ascii="Arial" w:hAnsi="Arial" w:cs="Arial"/>
          <w:sz w:val="22"/>
          <w:szCs w:val="22"/>
        </w:rPr>
        <w:t xml:space="preserve"> professionals in the field of care are often faced with making decisions regarding conflicting rights, risks and needs of individuals. Ethics provides a framework for examining decisions using four key principles: </w:t>
      </w:r>
      <w:r w:rsidRPr="00500A7F">
        <w:rPr>
          <w:rFonts w:ascii="Arial" w:hAnsi="Arial" w:cs="Arial"/>
          <w:sz w:val="22"/>
          <w:szCs w:val="22"/>
        </w:rPr>
        <w:lastRenderedPageBreak/>
        <w:t>autonomy, beneficence, non-maleficence and justice (Beauchamp &amp; Childress, 2019). The Mental Capacity Act 2005 supports autonomy by allowing practitioners to presume that individuals have the capacity to make decisions unless it can be demonstrated otherwise. The Act also requires that, when making decisions on behalf of another, the least restrictive alternative be used (Scales et al., 2022). The Human Rights Act 1998 protects dignity and prevents discrimination against individuals (Scales et al., 2022).</w:t>
      </w:r>
    </w:p>
    <w:p w14:paraId="78BCA39A" w14:textId="77777777" w:rsidR="00500A7F" w:rsidRPr="00500A7F" w:rsidRDefault="00500A7F" w:rsidP="00500A7F">
      <w:pPr>
        <w:spacing w:line="360" w:lineRule="auto"/>
        <w:jc w:val="both"/>
        <w:rPr>
          <w:rFonts w:ascii="Arial" w:hAnsi="Arial" w:cs="Arial"/>
          <w:sz w:val="22"/>
          <w:szCs w:val="22"/>
        </w:rPr>
      </w:pPr>
      <w:r w:rsidRPr="00500A7F">
        <w:rPr>
          <w:rFonts w:ascii="Arial" w:hAnsi="Arial" w:cs="Arial"/>
          <w:sz w:val="22"/>
          <w:szCs w:val="22"/>
        </w:rPr>
        <w:t xml:space="preserve">While ethics provide a structured way of making decisions, applying ethics is not always a simple process. Professionals are often faced with balancing the need to protect individuals with the need to give individuals independence, which can create conflict particularly in disability and dementia care where autonomy and risk are closely related (Tadd et al., 2024). If professionals do not have the skills and confidence to reason ethically, they may limit the options available to the individual </w:t>
      </w:r>
      <w:proofErr w:type="gramStart"/>
      <w:r w:rsidRPr="00500A7F">
        <w:rPr>
          <w:rFonts w:ascii="Arial" w:hAnsi="Arial" w:cs="Arial"/>
          <w:sz w:val="22"/>
          <w:szCs w:val="22"/>
        </w:rPr>
        <w:t>in order to</w:t>
      </w:r>
      <w:proofErr w:type="gramEnd"/>
      <w:r w:rsidRPr="00500A7F">
        <w:rPr>
          <w:rFonts w:ascii="Arial" w:hAnsi="Arial" w:cs="Arial"/>
          <w:sz w:val="22"/>
          <w:szCs w:val="22"/>
        </w:rPr>
        <w:t xml:space="preserve"> minimize risk, which can ultimately impact on the well-being of the individual (Tadd et al., 2024). Therefore, developing ethical competence is a critical element to supporting rights-based and person-centred care practices.</w:t>
      </w:r>
    </w:p>
    <w:p w14:paraId="77DD374A" w14:textId="77777777" w:rsidR="00500A7F" w:rsidRPr="00500A7F" w:rsidRDefault="00500A7F" w:rsidP="00500A7F">
      <w:pPr>
        <w:spacing w:line="360" w:lineRule="auto"/>
        <w:jc w:val="both"/>
        <w:rPr>
          <w:rFonts w:ascii="Arial" w:hAnsi="Arial" w:cs="Arial"/>
          <w:sz w:val="22"/>
          <w:szCs w:val="22"/>
        </w:rPr>
      </w:pPr>
      <w:r w:rsidRPr="00500A7F">
        <w:rPr>
          <w:rFonts w:ascii="Arial" w:hAnsi="Arial" w:cs="Arial"/>
          <w:sz w:val="22"/>
          <w:szCs w:val="22"/>
        </w:rPr>
        <w:t>Therefore, the three elements of care; person-centred care, partnership working and ethical practice should not be seen as independent of one another. The combination of the three will result in empowering, safe and equitable support being offered to individuals. Conversely, failure to implement any of the three elements will result in fragmented, disempowering or potentially damaging support for individuals. These three elements therefore form the basis of high-quality contemporary practice across UK health and social care settings (Ham, 2021).</w:t>
      </w:r>
    </w:p>
    <w:p w14:paraId="52F4AB10" w14:textId="77777777" w:rsidR="00500A7F" w:rsidRDefault="00500A7F" w:rsidP="002B0DF1">
      <w:pPr>
        <w:spacing w:line="360" w:lineRule="auto"/>
        <w:jc w:val="both"/>
        <w:rPr>
          <w:rFonts w:ascii="Arial" w:hAnsi="Arial" w:cs="Arial"/>
          <w:sz w:val="22"/>
          <w:szCs w:val="22"/>
        </w:rPr>
      </w:pPr>
    </w:p>
    <w:p w14:paraId="4DCB6B24" w14:textId="0784062F" w:rsidR="007E0A97" w:rsidRPr="007E0A97" w:rsidRDefault="007E0A97" w:rsidP="00500A7F">
      <w:pPr>
        <w:pStyle w:val="Heading1"/>
      </w:pPr>
      <w:r w:rsidRPr="007E0A97">
        <w:t>Task 2: Application to Practice</w:t>
      </w:r>
      <w:r w:rsidR="00500A7F">
        <w:t xml:space="preserve">: </w:t>
      </w:r>
      <w:r w:rsidRPr="007E0A97">
        <w:t xml:space="preserve">Robyn’s </w:t>
      </w:r>
      <w:r w:rsidR="005632B9">
        <w:t>Case Study</w:t>
      </w:r>
    </w:p>
    <w:p w14:paraId="11FC9EA5" w14:textId="58936DEA" w:rsidR="00957CD6" w:rsidRPr="00957CD6" w:rsidRDefault="00957CD6" w:rsidP="00957CD6">
      <w:pPr>
        <w:spacing w:line="360" w:lineRule="auto"/>
        <w:jc w:val="both"/>
        <w:rPr>
          <w:rFonts w:ascii="Arial" w:hAnsi="Arial" w:cs="Arial"/>
          <w:sz w:val="22"/>
          <w:szCs w:val="22"/>
        </w:rPr>
      </w:pPr>
      <w:r w:rsidRPr="00957CD6">
        <w:rPr>
          <w:rFonts w:ascii="Arial" w:hAnsi="Arial" w:cs="Arial"/>
          <w:sz w:val="22"/>
          <w:szCs w:val="22"/>
        </w:rPr>
        <w:t xml:space="preserve">Robyn </w:t>
      </w:r>
      <w:r w:rsidR="00002A29">
        <w:rPr>
          <w:rFonts w:ascii="Arial" w:hAnsi="Arial" w:cs="Arial"/>
          <w:sz w:val="22"/>
          <w:szCs w:val="22"/>
        </w:rPr>
        <w:t>the subject of the case study is a young adult, with an autism condition, which caused s</w:t>
      </w:r>
      <w:r w:rsidRPr="00957CD6">
        <w:rPr>
          <w:rFonts w:ascii="Arial" w:hAnsi="Arial" w:cs="Arial"/>
          <w:sz w:val="22"/>
          <w:szCs w:val="22"/>
        </w:rPr>
        <w:t xml:space="preserve">ignificant anxiety during the transition from children to adult services. This transition represents a "cliff edge" for most young people with autism. Robyn experienced anxiety related to this transition; however, she was </w:t>
      </w:r>
      <w:r w:rsidR="00002A29">
        <w:rPr>
          <w:rFonts w:ascii="Arial" w:hAnsi="Arial" w:cs="Arial"/>
          <w:sz w:val="22"/>
          <w:szCs w:val="22"/>
        </w:rPr>
        <w:t xml:space="preserve">supported </w:t>
      </w:r>
      <w:r w:rsidRPr="00957CD6">
        <w:rPr>
          <w:rFonts w:ascii="Arial" w:hAnsi="Arial" w:cs="Arial"/>
          <w:sz w:val="22"/>
          <w:szCs w:val="22"/>
        </w:rPr>
        <w:t>to engage in goal setting and identi</w:t>
      </w:r>
      <w:r w:rsidR="00002A29">
        <w:rPr>
          <w:rFonts w:ascii="Arial" w:hAnsi="Arial" w:cs="Arial"/>
          <w:sz w:val="22"/>
          <w:szCs w:val="22"/>
        </w:rPr>
        <w:t>fication of</w:t>
      </w:r>
      <w:r w:rsidRPr="00957CD6">
        <w:rPr>
          <w:rFonts w:ascii="Arial" w:hAnsi="Arial" w:cs="Arial"/>
          <w:sz w:val="22"/>
          <w:szCs w:val="22"/>
        </w:rPr>
        <w:t xml:space="preserve"> her personal goals, which included engagement in social activities and receipt of communication strategies tailored to her sensory needs.</w:t>
      </w:r>
    </w:p>
    <w:p w14:paraId="235EE268" w14:textId="7CED51FB" w:rsidR="00957CD6" w:rsidRPr="00957CD6" w:rsidRDefault="00957CD6" w:rsidP="00957CD6">
      <w:pPr>
        <w:spacing w:line="360" w:lineRule="auto"/>
        <w:jc w:val="both"/>
        <w:rPr>
          <w:rFonts w:ascii="Arial" w:hAnsi="Arial" w:cs="Arial"/>
          <w:sz w:val="22"/>
          <w:szCs w:val="22"/>
        </w:rPr>
      </w:pPr>
      <w:r w:rsidRPr="00957CD6">
        <w:rPr>
          <w:rFonts w:ascii="Arial" w:hAnsi="Arial" w:cs="Arial"/>
          <w:sz w:val="22"/>
          <w:szCs w:val="22"/>
        </w:rPr>
        <w:t xml:space="preserve">Co-productive approaches were used to improve Robyn's confidence and participation in planning and goal achievement. As noted by Cottini et al. (2021), </w:t>
      </w:r>
      <w:r w:rsidR="00002A29">
        <w:rPr>
          <w:rFonts w:ascii="Arial" w:hAnsi="Arial" w:cs="Arial"/>
          <w:sz w:val="22"/>
          <w:szCs w:val="22"/>
        </w:rPr>
        <w:t xml:space="preserve">supportive approaches has been observed to help reduce the </w:t>
      </w:r>
      <w:r w:rsidRPr="00957CD6">
        <w:rPr>
          <w:rFonts w:ascii="Arial" w:hAnsi="Arial" w:cs="Arial"/>
          <w:sz w:val="22"/>
          <w:szCs w:val="22"/>
        </w:rPr>
        <w:t xml:space="preserve">reliance on stereotypical views of autism and promote </w:t>
      </w:r>
      <w:r w:rsidR="00002A29" w:rsidRPr="00957CD6">
        <w:rPr>
          <w:rFonts w:ascii="Arial" w:hAnsi="Arial" w:cs="Arial"/>
          <w:sz w:val="22"/>
          <w:szCs w:val="22"/>
        </w:rPr>
        <w:t>identity-based</w:t>
      </w:r>
      <w:r w:rsidRPr="00957CD6">
        <w:rPr>
          <w:rFonts w:ascii="Arial" w:hAnsi="Arial" w:cs="Arial"/>
          <w:sz w:val="22"/>
          <w:szCs w:val="22"/>
        </w:rPr>
        <w:t xml:space="preserve"> planning. In addition, co-productive approaches enable participants to develop plans that reflect their unique experiences and needs. As stated by Heslop et al. (2020) and </w:t>
      </w:r>
      <w:proofErr w:type="spellStart"/>
      <w:r w:rsidRPr="00957CD6">
        <w:rPr>
          <w:rFonts w:ascii="Arial" w:hAnsi="Arial" w:cs="Arial"/>
          <w:sz w:val="22"/>
          <w:szCs w:val="22"/>
        </w:rPr>
        <w:lastRenderedPageBreak/>
        <w:t>Ocloo</w:t>
      </w:r>
      <w:proofErr w:type="spellEnd"/>
      <w:r w:rsidRPr="00957CD6">
        <w:rPr>
          <w:rFonts w:ascii="Arial" w:hAnsi="Arial" w:cs="Arial"/>
          <w:sz w:val="22"/>
          <w:szCs w:val="22"/>
        </w:rPr>
        <w:t xml:space="preserve"> and Matthews (2016), these types of approaches are important </w:t>
      </w:r>
      <w:proofErr w:type="gramStart"/>
      <w:r w:rsidRPr="00957CD6">
        <w:rPr>
          <w:rFonts w:ascii="Arial" w:hAnsi="Arial" w:cs="Arial"/>
          <w:sz w:val="22"/>
          <w:szCs w:val="22"/>
        </w:rPr>
        <w:t>in order to</w:t>
      </w:r>
      <w:proofErr w:type="gramEnd"/>
      <w:r w:rsidRPr="00957CD6">
        <w:rPr>
          <w:rFonts w:ascii="Arial" w:hAnsi="Arial" w:cs="Arial"/>
          <w:sz w:val="22"/>
          <w:szCs w:val="22"/>
        </w:rPr>
        <w:t xml:space="preserve"> provide equitable and inclusive support to individuals with disabilities.</w:t>
      </w:r>
    </w:p>
    <w:p w14:paraId="0A2067AE" w14:textId="248E0623" w:rsidR="00957CD6" w:rsidRPr="00957CD6" w:rsidRDefault="00002A29" w:rsidP="00957CD6">
      <w:pPr>
        <w:spacing w:line="360" w:lineRule="auto"/>
        <w:jc w:val="both"/>
        <w:rPr>
          <w:rFonts w:ascii="Arial" w:hAnsi="Arial" w:cs="Arial"/>
          <w:sz w:val="22"/>
          <w:szCs w:val="22"/>
        </w:rPr>
      </w:pPr>
      <w:r>
        <w:rPr>
          <w:rFonts w:ascii="Arial" w:hAnsi="Arial" w:cs="Arial"/>
          <w:sz w:val="22"/>
          <w:szCs w:val="22"/>
        </w:rPr>
        <w:t>It</w:t>
      </w:r>
      <w:r w:rsidR="00957CD6" w:rsidRPr="00957CD6">
        <w:rPr>
          <w:rFonts w:ascii="Arial" w:hAnsi="Arial" w:cs="Arial"/>
          <w:sz w:val="22"/>
          <w:szCs w:val="22"/>
        </w:rPr>
        <w:t xml:space="preserve"> is essential that there is effective coordination and collaboration among all relevant and other professionals. A key worker may facilitate continuity throughout the planning process. However, as stated by Hughes et al. (2022) and The King's Fund (2023), </w:t>
      </w:r>
      <w:r>
        <w:rPr>
          <w:rFonts w:ascii="Arial" w:hAnsi="Arial" w:cs="Arial"/>
          <w:sz w:val="22"/>
          <w:szCs w:val="22"/>
        </w:rPr>
        <w:t xml:space="preserve">while there are clear benefits of support approaches to planning and delivery of services, barriers remain evident due to </w:t>
      </w:r>
      <w:r w:rsidR="00957CD6" w:rsidRPr="00957CD6">
        <w:rPr>
          <w:rFonts w:ascii="Arial" w:hAnsi="Arial" w:cs="Arial"/>
          <w:sz w:val="22"/>
          <w:szCs w:val="22"/>
        </w:rPr>
        <w:t>funding constraints and differences in service provision across local authorities.</w:t>
      </w:r>
    </w:p>
    <w:p w14:paraId="18364505" w14:textId="6666F7E6" w:rsidR="00957CD6" w:rsidRPr="00957CD6" w:rsidRDefault="00957CD6" w:rsidP="00957CD6">
      <w:pPr>
        <w:spacing w:line="360" w:lineRule="auto"/>
        <w:jc w:val="both"/>
        <w:rPr>
          <w:rFonts w:ascii="Arial" w:hAnsi="Arial" w:cs="Arial"/>
          <w:sz w:val="22"/>
          <w:szCs w:val="22"/>
        </w:rPr>
      </w:pPr>
      <w:r w:rsidRPr="00957CD6">
        <w:rPr>
          <w:rFonts w:ascii="Arial" w:hAnsi="Arial" w:cs="Arial"/>
          <w:sz w:val="22"/>
          <w:szCs w:val="22"/>
        </w:rPr>
        <w:t xml:space="preserve">Robyn's autonomy was enhanced by using supportive communication techniques and by providing her with choices regarding her decisions. Kapp (2020) </w:t>
      </w:r>
      <w:r w:rsidR="001A645C">
        <w:rPr>
          <w:rFonts w:ascii="Arial" w:hAnsi="Arial" w:cs="Arial"/>
          <w:sz w:val="22"/>
          <w:szCs w:val="22"/>
        </w:rPr>
        <w:t xml:space="preserve">suggest that in develop and implementing care plan, a strengths-based approach, should be adopted to ensure </w:t>
      </w:r>
      <w:r w:rsidRPr="00957CD6">
        <w:rPr>
          <w:rFonts w:ascii="Arial" w:hAnsi="Arial" w:cs="Arial"/>
          <w:sz w:val="22"/>
          <w:szCs w:val="22"/>
        </w:rPr>
        <w:t xml:space="preserve">fair and equitable access to opportunities. </w:t>
      </w:r>
      <w:r w:rsidR="001A645C">
        <w:rPr>
          <w:rFonts w:ascii="Arial" w:hAnsi="Arial" w:cs="Arial"/>
          <w:sz w:val="22"/>
          <w:szCs w:val="22"/>
        </w:rPr>
        <w:t xml:space="preserve">This is to both </w:t>
      </w:r>
      <w:r w:rsidRPr="00957CD6">
        <w:rPr>
          <w:rFonts w:ascii="Arial" w:hAnsi="Arial" w:cs="Arial"/>
          <w:sz w:val="22"/>
          <w:szCs w:val="22"/>
        </w:rPr>
        <w:t xml:space="preserve">prevent discrimination </w:t>
      </w:r>
      <w:r w:rsidR="001A645C">
        <w:rPr>
          <w:rFonts w:ascii="Arial" w:hAnsi="Arial" w:cs="Arial"/>
          <w:sz w:val="22"/>
          <w:szCs w:val="22"/>
        </w:rPr>
        <w:t xml:space="preserve">and ensure the application of the </w:t>
      </w:r>
      <w:r w:rsidRPr="00957CD6">
        <w:rPr>
          <w:rFonts w:ascii="Arial" w:hAnsi="Arial" w:cs="Arial"/>
          <w:sz w:val="22"/>
          <w:szCs w:val="22"/>
        </w:rPr>
        <w:t>equality legislation</w:t>
      </w:r>
      <w:r w:rsidR="001A645C">
        <w:rPr>
          <w:rFonts w:ascii="Arial" w:hAnsi="Arial" w:cs="Arial"/>
          <w:sz w:val="22"/>
          <w:szCs w:val="22"/>
        </w:rPr>
        <w:t>. Finally, as noted</w:t>
      </w:r>
      <w:r w:rsidRPr="00957CD6">
        <w:rPr>
          <w:rFonts w:ascii="Arial" w:hAnsi="Arial" w:cs="Arial"/>
          <w:sz w:val="22"/>
          <w:szCs w:val="22"/>
        </w:rPr>
        <w:t xml:space="preserve"> by Hughes et al. (2022), this study demonstrates the moral imperative of viewing disability as diversity rather than deficit.</w:t>
      </w:r>
    </w:p>
    <w:p w14:paraId="5A6DB459" w14:textId="77777777" w:rsidR="00500A7F" w:rsidRDefault="00500A7F" w:rsidP="002B0DF1">
      <w:pPr>
        <w:spacing w:line="360" w:lineRule="auto"/>
        <w:jc w:val="both"/>
        <w:rPr>
          <w:rFonts w:ascii="Arial" w:hAnsi="Arial" w:cs="Arial"/>
          <w:b/>
          <w:bCs/>
          <w:sz w:val="22"/>
          <w:szCs w:val="22"/>
        </w:rPr>
      </w:pPr>
    </w:p>
    <w:p w14:paraId="15D81D70" w14:textId="363E1963" w:rsidR="007E0A97" w:rsidRPr="007E0A97" w:rsidRDefault="007E0A97" w:rsidP="00500A7F">
      <w:pPr>
        <w:pStyle w:val="Heading1"/>
      </w:pPr>
      <w:r w:rsidRPr="007E0A97">
        <w:t>Task 3</w:t>
      </w:r>
      <w:r w:rsidR="00500A7F">
        <w:t xml:space="preserve">: </w:t>
      </w:r>
      <w:r w:rsidRPr="007E0A97">
        <w:t>Reflective Practice</w:t>
      </w:r>
      <w:r w:rsidR="00500A7F">
        <w:t xml:space="preserve">: </w:t>
      </w:r>
      <w:r w:rsidRPr="007E0A97">
        <w:rPr>
          <w:sz w:val="22"/>
          <w:szCs w:val="22"/>
        </w:rPr>
        <w:t>Using Gibbs’ Reflective Cycle (1988)</w:t>
      </w:r>
    </w:p>
    <w:p w14:paraId="06C30539" w14:textId="1BAEA21D" w:rsidR="001A645C" w:rsidRPr="001A645C" w:rsidRDefault="001A645C" w:rsidP="001A645C">
      <w:pPr>
        <w:spacing w:line="360" w:lineRule="auto"/>
        <w:jc w:val="both"/>
        <w:rPr>
          <w:rFonts w:ascii="Arial" w:hAnsi="Arial" w:cs="Arial"/>
          <w:sz w:val="22"/>
          <w:szCs w:val="22"/>
        </w:rPr>
      </w:pPr>
      <w:r w:rsidRPr="001A645C">
        <w:rPr>
          <w:rFonts w:ascii="Arial" w:hAnsi="Arial" w:cs="Arial"/>
          <w:sz w:val="22"/>
          <w:szCs w:val="22"/>
        </w:rPr>
        <w:t xml:space="preserve">Supporting a person who lived with dementia during mealtimes provided me with valuable learning opportunities </w:t>
      </w:r>
      <w:r>
        <w:rPr>
          <w:rFonts w:ascii="Arial" w:hAnsi="Arial" w:cs="Arial"/>
          <w:sz w:val="22"/>
          <w:szCs w:val="22"/>
        </w:rPr>
        <w:t xml:space="preserve">enabling me to put to practice all the key lessons, I have learnt as a health and social care professional. </w:t>
      </w:r>
      <w:r w:rsidR="00E27989">
        <w:rPr>
          <w:rFonts w:ascii="Arial" w:hAnsi="Arial" w:cs="Arial"/>
          <w:sz w:val="22"/>
          <w:szCs w:val="22"/>
        </w:rPr>
        <w:t xml:space="preserve">This reflective activity took place at a residential care setting. This subject </w:t>
      </w:r>
      <w:r w:rsidRPr="001A645C">
        <w:rPr>
          <w:rFonts w:ascii="Arial" w:hAnsi="Arial" w:cs="Arial"/>
          <w:sz w:val="22"/>
          <w:szCs w:val="22"/>
        </w:rPr>
        <w:t xml:space="preserve">to </w:t>
      </w:r>
      <w:r w:rsidR="00E27989">
        <w:rPr>
          <w:rFonts w:ascii="Arial" w:hAnsi="Arial" w:cs="Arial"/>
          <w:sz w:val="22"/>
          <w:szCs w:val="22"/>
        </w:rPr>
        <w:t>who</w:t>
      </w:r>
      <w:r w:rsidRPr="001A645C">
        <w:rPr>
          <w:rFonts w:ascii="Arial" w:hAnsi="Arial" w:cs="Arial"/>
          <w:sz w:val="22"/>
          <w:szCs w:val="22"/>
        </w:rPr>
        <w:t xml:space="preserve"> experienced anxiety and agitation during meals because she found it difficult to follow instructions and process information quickly.</w:t>
      </w:r>
      <w:r w:rsidR="00E27989">
        <w:rPr>
          <w:rFonts w:ascii="Arial" w:hAnsi="Arial" w:cs="Arial"/>
          <w:sz w:val="22"/>
          <w:szCs w:val="22"/>
        </w:rPr>
        <w:t xml:space="preserve"> </w:t>
      </w:r>
      <w:r w:rsidRPr="001A645C">
        <w:rPr>
          <w:rFonts w:ascii="Arial" w:hAnsi="Arial" w:cs="Arial"/>
          <w:sz w:val="22"/>
          <w:szCs w:val="22"/>
        </w:rPr>
        <w:t xml:space="preserve">Therefore, I </w:t>
      </w:r>
      <w:r w:rsidR="00E27989">
        <w:rPr>
          <w:rFonts w:ascii="Arial" w:hAnsi="Arial" w:cs="Arial"/>
          <w:sz w:val="22"/>
          <w:szCs w:val="22"/>
        </w:rPr>
        <w:t>decided</w:t>
      </w:r>
      <w:r w:rsidRPr="001A645C">
        <w:rPr>
          <w:rFonts w:ascii="Arial" w:hAnsi="Arial" w:cs="Arial"/>
          <w:sz w:val="22"/>
          <w:szCs w:val="22"/>
        </w:rPr>
        <w:t xml:space="preserve"> to take a different approach </w:t>
      </w:r>
      <w:r w:rsidR="00E27989">
        <w:rPr>
          <w:rFonts w:ascii="Arial" w:hAnsi="Arial" w:cs="Arial"/>
          <w:sz w:val="22"/>
          <w:szCs w:val="22"/>
        </w:rPr>
        <w:t xml:space="preserve">in providing </w:t>
      </w:r>
      <w:r w:rsidRPr="001A645C">
        <w:rPr>
          <w:rFonts w:ascii="Arial" w:hAnsi="Arial" w:cs="Arial"/>
          <w:sz w:val="22"/>
          <w:szCs w:val="22"/>
        </w:rPr>
        <w:t xml:space="preserve">support </w:t>
      </w:r>
      <w:r w:rsidR="00E27989">
        <w:rPr>
          <w:rFonts w:ascii="Arial" w:hAnsi="Arial" w:cs="Arial"/>
          <w:sz w:val="22"/>
          <w:szCs w:val="22"/>
        </w:rPr>
        <w:t xml:space="preserve">for </w:t>
      </w:r>
      <w:r w:rsidRPr="001A645C">
        <w:rPr>
          <w:rFonts w:ascii="Arial" w:hAnsi="Arial" w:cs="Arial"/>
          <w:sz w:val="22"/>
          <w:szCs w:val="22"/>
        </w:rPr>
        <w:t>her communication experience and support her autonomy.</w:t>
      </w:r>
    </w:p>
    <w:p w14:paraId="02AC13AF" w14:textId="77777777" w:rsidR="001A645C" w:rsidRPr="001A645C" w:rsidRDefault="001A645C" w:rsidP="001A645C">
      <w:pPr>
        <w:spacing w:line="360" w:lineRule="auto"/>
        <w:jc w:val="both"/>
        <w:rPr>
          <w:rFonts w:ascii="Arial" w:hAnsi="Arial" w:cs="Arial"/>
          <w:sz w:val="22"/>
          <w:szCs w:val="22"/>
        </w:rPr>
      </w:pPr>
      <w:r w:rsidRPr="001A645C">
        <w:rPr>
          <w:rFonts w:ascii="Arial" w:hAnsi="Arial" w:cs="Arial"/>
          <w:sz w:val="22"/>
          <w:szCs w:val="22"/>
        </w:rPr>
        <w:t>From a personal perspective, I approached the situation with empathy and respect for the person, but I also struggled with uncertainty about whether others would view my alternative approach as inefficient and/or problematic in a fast-paced environment where time seems to be paramount. I was concerned that others would view me as taking too much time to accomplish a task and/or creating unnecessary obstacles in the completion of routine tasks. However, seeing the person's response to respectful communication, and watching her regain a sense of calmness while eating and her regaining some control over her meal, I felt more confident in supporting people in this way.</w:t>
      </w:r>
    </w:p>
    <w:p w14:paraId="1E7BC7FD" w14:textId="017E3E97" w:rsidR="001A645C" w:rsidRPr="001A645C" w:rsidRDefault="00E27989" w:rsidP="001A645C">
      <w:pPr>
        <w:spacing w:line="360" w:lineRule="auto"/>
        <w:jc w:val="both"/>
        <w:rPr>
          <w:rFonts w:ascii="Arial" w:hAnsi="Arial" w:cs="Arial"/>
          <w:sz w:val="22"/>
          <w:szCs w:val="22"/>
        </w:rPr>
      </w:pPr>
      <w:r w:rsidRPr="001A645C">
        <w:rPr>
          <w:rFonts w:ascii="Arial" w:hAnsi="Arial" w:cs="Arial"/>
          <w:sz w:val="22"/>
          <w:szCs w:val="22"/>
        </w:rPr>
        <w:t>Analysing</w:t>
      </w:r>
      <w:r w:rsidR="001A645C" w:rsidRPr="001A645C">
        <w:rPr>
          <w:rFonts w:ascii="Arial" w:hAnsi="Arial" w:cs="Arial"/>
          <w:sz w:val="22"/>
          <w:szCs w:val="22"/>
        </w:rPr>
        <w:t xml:space="preserve"> the impact of the experience, the positive impacts were numerous. The resident was less agitated, made eye contact, and consumed more of her meal than usual. Furthermore, the method used promoted both nutritional and emotional wellbeing. This aligns with research that states that using dignity enhancing communication decreases distress and </w:t>
      </w:r>
      <w:r w:rsidR="001A645C" w:rsidRPr="001A645C">
        <w:rPr>
          <w:rFonts w:ascii="Arial" w:hAnsi="Arial" w:cs="Arial"/>
          <w:sz w:val="22"/>
          <w:szCs w:val="22"/>
        </w:rPr>
        <w:lastRenderedPageBreak/>
        <w:t xml:space="preserve">promotes independence in dementia care (Lee et al., 2022). The intervention also supported the residents' legal rights as outlined in the Care Act 2014. The Act mandates healthcare professionals to promote wellbeing and maximize the choices available to the person. There were also several challenges. </w:t>
      </w:r>
      <w:proofErr w:type="gramStart"/>
      <w:r w:rsidR="001A645C" w:rsidRPr="001A645C">
        <w:rPr>
          <w:rFonts w:ascii="Arial" w:hAnsi="Arial" w:cs="Arial"/>
          <w:sz w:val="22"/>
          <w:szCs w:val="22"/>
        </w:rPr>
        <w:t>A number of</w:t>
      </w:r>
      <w:proofErr w:type="gramEnd"/>
      <w:r w:rsidR="001A645C" w:rsidRPr="001A645C">
        <w:rPr>
          <w:rFonts w:ascii="Arial" w:hAnsi="Arial" w:cs="Arial"/>
          <w:sz w:val="22"/>
          <w:szCs w:val="22"/>
        </w:rPr>
        <w:t xml:space="preserve"> the staff expressed frustration and suggested that assisting the resident quickly would be safer and easier to accomplish. The pressure to complete meals in a timely fashion and the structured nature of the mealtime schedule impacted how staff viewed adapting care to meet the needs of individuals. This illustrates a cultural issue. Healthcare organizations promote person-</w:t>
      </w:r>
      <w:proofErr w:type="spellStart"/>
      <w:r w:rsidR="001A645C" w:rsidRPr="001A645C">
        <w:rPr>
          <w:rFonts w:ascii="Arial" w:hAnsi="Arial" w:cs="Arial"/>
          <w:sz w:val="22"/>
          <w:szCs w:val="22"/>
        </w:rPr>
        <w:t>centered</w:t>
      </w:r>
      <w:proofErr w:type="spellEnd"/>
      <w:r w:rsidR="001A645C" w:rsidRPr="001A645C">
        <w:rPr>
          <w:rFonts w:ascii="Arial" w:hAnsi="Arial" w:cs="Arial"/>
          <w:sz w:val="22"/>
          <w:szCs w:val="22"/>
        </w:rPr>
        <w:t xml:space="preserve"> care in policy, but in many cases, the implementation of this type of care is inconsistent due to the workload of staff (Scales et al., 2022).</w:t>
      </w:r>
    </w:p>
    <w:p w14:paraId="0DB3FD39" w14:textId="589EF14A" w:rsidR="001A645C" w:rsidRPr="001A645C" w:rsidRDefault="001A645C" w:rsidP="001A645C">
      <w:pPr>
        <w:spacing w:line="360" w:lineRule="auto"/>
        <w:jc w:val="both"/>
        <w:rPr>
          <w:rFonts w:ascii="Arial" w:hAnsi="Arial" w:cs="Arial"/>
          <w:sz w:val="22"/>
          <w:szCs w:val="22"/>
        </w:rPr>
      </w:pPr>
      <w:r w:rsidRPr="001A645C">
        <w:rPr>
          <w:rFonts w:ascii="Arial" w:hAnsi="Arial" w:cs="Arial"/>
          <w:sz w:val="22"/>
          <w:szCs w:val="22"/>
        </w:rPr>
        <w:t xml:space="preserve">Using theory and policy to </w:t>
      </w:r>
      <w:r w:rsidR="00E27989" w:rsidRPr="001A645C">
        <w:rPr>
          <w:rFonts w:ascii="Arial" w:hAnsi="Arial" w:cs="Arial"/>
          <w:sz w:val="22"/>
          <w:szCs w:val="22"/>
        </w:rPr>
        <w:t>analyse</w:t>
      </w:r>
      <w:r w:rsidRPr="001A645C">
        <w:rPr>
          <w:rFonts w:ascii="Arial" w:hAnsi="Arial" w:cs="Arial"/>
          <w:sz w:val="22"/>
          <w:szCs w:val="22"/>
        </w:rPr>
        <w:t xml:space="preserve"> the experience, there are a few key points that were important to consider. As dementia progresses, it has an impact on memory, language, and perception. Therefore, communication must be adjusted to accommodate the resident's level of understanding (Scales et al., 2022). The approach I used was based on the principles of person-</w:t>
      </w:r>
      <w:proofErr w:type="spellStart"/>
      <w:r w:rsidRPr="001A645C">
        <w:rPr>
          <w:rFonts w:ascii="Arial" w:hAnsi="Arial" w:cs="Arial"/>
          <w:sz w:val="22"/>
          <w:szCs w:val="22"/>
        </w:rPr>
        <w:t>centered</w:t>
      </w:r>
      <w:proofErr w:type="spellEnd"/>
      <w:r w:rsidRPr="001A645C">
        <w:rPr>
          <w:rFonts w:ascii="Arial" w:hAnsi="Arial" w:cs="Arial"/>
          <w:sz w:val="22"/>
          <w:szCs w:val="22"/>
        </w:rPr>
        <w:t xml:space="preserve"> care, which includes providing the resident with autonomy, offering them choices, and recognizing the person beyond their diagnosis (Santana et al., 2021). The four ethical principles were also integral to decision making. Autonomy was incorporated into the resident's care through the involvement of the resident; beneficence was motivating for the purpose of promoting the resident's wellbeing; non-maleficence guided my supervision of the resident's care to minimize risk; and justice was incorporated into the resident's care as it was imperative to treat the resident equally, and not exclude her from participating in decision making due to her cognitive impairment (Beauchamp &amp; Childress, 2019). The Mental Capacity Act 2005 further emphasized my responsibility to assume that the resident was able to participate in decision making when appropriate support was given, and to implement the least restrictive alternative.</w:t>
      </w:r>
    </w:p>
    <w:p w14:paraId="5FC2EB6D" w14:textId="77777777" w:rsidR="001A645C" w:rsidRPr="001A645C" w:rsidRDefault="001A645C" w:rsidP="001A645C">
      <w:pPr>
        <w:spacing w:line="360" w:lineRule="auto"/>
        <w:jc w:val="both"/>
        <w:rPr>
          <w:rFonts w:ascii="Arial" w:hAnsi="Arial" w:cs="Arial"/>
          <w:sz w:val="22"/>
          <w:szCs w:val="22"/>
        </w:rPr>
      </w:pPr>
      <w:r w:rsidRPr="001A645C">
        <w:rPr>
          <w:rFonts w:ascii="Arial" w:hAnsi="Arial" w:cs="Arial"/>
          <w:sz w:val="22"/>
          <w:szCs w:val="22"/>
        </w:rPr>
        <w:t>Based upon my reflection of the experience, I concluded that there is a significant relationship between communication, dignity and independence. I also identified that even minimal changes to practice can significantly affect a resident's wellbeing. However, true person-</w:t>
      </w:r>
      <w:proofErr w:type="spellStart"/>
      <w:r w:rsidRPr="001A645C">
        <w:rPr>
          <w:rFonts w:ascii="Arial" w:hAnsi="Arial" w:cs="Arial"/>
          <w:sz w:val="22"/>
          <w:szCs w:val="22"/>
        </w:rPr>
        <w:t>centered</w:t>
      </w:r>
      <w:proofErr w:type="spellEnd"/>
      <w:r w:rsidRPr="001A645C">
        <w:rPr>
          <w:rFonts w:ascii="Arial" w:hAnsi="Arial" w:cs="Arial"/>
          <w:sz w:val="22"/>
          <w:szCs w:val="22"/>
        </w:rPr>
        <w:t xml:space="preserve"> care requires assertiveness and confidence to effectively challenge traditional, routine-based practices. The experience also illustrated potential avenues for future growth, particularly regarding inter-professional communication. If I had communicated the rationale behind my communication strategy prior to its implementation, I believe that my colleagues may have provided greater support. Therefore, I recognize that simply knowing what is correct is insufficient; rather, I must also convey the evidence that supports the implementation of each practice decision.</w:t>
      </w:r>
    </w:p>
    <w:p w14:paraId="53CE9ACD" w14:textId="3088FB5E" w:rsidR="001A645C" w:rsidRPr="001A645C" w:rsidRDefault="001A645C" w:rsidP="001A645C">
      <w:pPr>
        <w:spacing w:line="360" w:lineRule="auto"/>
        <w:jc w:val="both"/>
        <w:rPr>
          <w:rFonts w:ascii="Arial" w:hAnsi="Arial" w:cs="Arial"/>
          <w:sz w:val="22"/>
          <w:szCs w:val="22"/>
        </w:rPr>
      </w:pPr>
      <w:r w:rsidRPr="001A645C">
        <w:rPr>
          <w:rFonts w:ascii="Arial" w:hAnsi="Arial" w:cs="Arial"/>
          <w:sz w:val="22"/>
          <w:szCs w:val="22"/>
        </w:rPr>
        <w:lastRenderedPageBreak/>
        <w:t>My development plan for continued education and professional development will focus on formal education, teamwork, and ethical competencies. I intend to obtain recognized dementia communication training within the next six months to develop my skills and build my confidence in adapting communication strategies for individuals with dementia. Additionally, I intend to incorporate communication techniques in handover and/or team meetings, to inform my colleagues of the benefits of implementing a dignified-based approach to care and to develop a consistent, team-based approach to care. To continue developing my ethical reasoning, I intend to engage in regular reflection using recognized models and ensure that all decisions I make are founded in legislation and evidence.</w:t>
      </w:r>
    </w:p>
    <w:p w14:paraId="6FBD93A2" w14:textId="77777777" w:rsidR="001C280E" w:rsidRDefault="001C280E" w:rsidP="002B0DF1">
      <w:pPr>
        <w:spacing w:line="360" w:lineRule="auto"/>
        <w:jc w:val="both"/>
        <w:rPr>
          <w:rFonts w:ascii="Arial" w:hAnsi="Arial" w:cs="Arial"/>
          <w:sz w:val="22"/>
          <w:szCs w:val="22"/>
        </w:rPr>
      </w:pPr>
    </w:p>
    <w:p w14:paraId="4D1F9A9A" w14:textId="77777777" w:rsidR="00E27989" w:rsidRDefault="00E27989" w:rsidP="002B0DF1">
      <w:pPr>
        <w:spacing w:line="360" w:lineRule="auto"/>
        <w:jc w:val="both"/>
        <w:rPr>
          <w:rFonts w:ascii="Arial" w:hAnsi="Arial" w:cs="Arial"/>
          <w:b/>
          <w:bCs/>
          <w:sz w:val="22"/>
          <w:szCs w:val="22"/>
        </w:rPr>
      </w:pPr>
    </w:p>
    <w:p w14:paraId="12C5CC44" w14:textId="77777777" w:rsidR="00E27989" w:rsidRDefault="00E27989" w:rsidP="002B0DF1">
      <w:pPr>
        <w:spacing w:line="360" w:lineRule="auto"/>
        <w:jc w:val="both"/>
        <w:rPr>
          <w:rFonts w:ascii="Arial" w:hAnsi="Arial" w:cs="Arial"/>
          <w:b/>
          <w:bCs/>
          <w:sz w:val="22"/>
          <w:szCs w:val="22"/>
        </w:rPr>
      </w:pPr>
    </w:p>
    <w:p w14:paraId="53701C00" w14:textId="77777777" w:rsidR="00E27989" w:rsidRDefault="00E27989" w:rsidP="002B0DF1">
      <w:pPr>
        <w:spacing w:line="360" w:lineRule="auto"/>
        <w:jc w:val="both"/>
        <w:rPr>
          <w:rFonts w:ascii="Arial" w:hAnsi="Arial" w:cs="Arial"/>
          <w:b/>
          <w:bCs/>
          <w:sz w:val="22"/>
          <w:szCs w:val="22"/>
        </w:rPr>
      </w:pPr>
    </w:p>
    <w:p w14:paraId="032D15DE" w14:textId="77777777" w:rsidR="00E27989" w:rsidRDefault="00E27989" w:rsidP="002B0DF1">
      <w:pPr>
        <w:spacing w:line="360" w:lineRule="auto"/>
        <w:jc w:val="both"/>
        <w:rPr>
          <w:rFonts w:ascii="Arial" w:hAnsi="Arial" w:cs="Arial"/>
          <w:b/>
          <w:bCs/>
          <w:sz w:val="22"/>
          <w:szCs w:val="22"/>
        </w:rPr>
      </w:pPr>
    </w:p>
    <w:p w14:paraId="3EF13882" w14:textId="77777777" w:rsidR="00E27989" w:rsidRDefault="00E27989" w:rsidP="002B0DF1">
      <w:pPr>
        <w:spacing w:line="360" w:lineRule="auto"/>
        <w:jc w:val="both"/>
        <w:rPr>
          <w:rFonts w:ascii="Arial" w:hAnsi="Arial" w:cs="Arial"/>
          <w:b/>
          <w:bCs/>
          <w:sz w:val="22"/>
          <w:szCs w:val="22"/>
        </w:rPr>
      </w:pPr>
    </w:p>
    <w:p w14:paraId="0AB387AA" w14:textId="77777777" w:rsidR="00E27989" w:rsidRDefault="00E27989" w:rsidP="002B0DF1">
      <w:pPr>
        <w:spacing w:line="360" w:lineRule="auto"/>
        <w:jc w:val="both"/>
        <w:rPr>
          <w:rFonts w:ascii="Arial" w:hAnsi="Arial" w:cs="Arial"/>
          <w:b/>
          <w:bCs/>
          <w:sz w:val="22"/>
          <w:szCs w:val="22"/>
        </w:rPr>
      </w:pPr>
    </w:p>
    <w:p w14:paraId="4CFD2A92" w14:textId="77777777" w:rsidR="00E27989" w:rsidRDefault="00E27989" w:rsidP="002B0DF1">
      <w:pPr>
        <w:spacing w:line="360" w:lineRule="auto"/>
        <w:jc w:val="both"/>
        <w:rPr>
          <w:rFonts w:ascii="Arial" w:hAnsi="Arial" w:cs="Arial"/>
          <w:b/>
          <w:bCs/>
          <w:sz w:val="22"/>
          <w:szCs w:val="22"/>
        </w:rPr>
      </w:pPr>
    </w:p>
    <w:p w14:paraId="5271AFE8" w14:textId="77777777" w:rsidR="00E27989" w:rsidRDefault="00E27989" w:rsidP="002B0DF1">
      <w:pPr>
        <w:spacing w:line="360" w:lineRule="auto"/>
        <w:jc w:val="both"/>
        <w:rPr>
          <w:rFonts w:ascii="Arial" w:hAnsi="Arial" w:cs="Arial"/>
          <w:b/>
          <w:bCs/>
          <w:sz w:val="22"/>
          <w:szCs w:val="22"/>
        </w:rPr>
      </w:pPr>
    </w:p>
    <w:p w14:paraId="4655CECC" w14:textId="77777777" w:rsidR="00E27989" w:rsidRDefault="00E27989" w:rsidP="002B0DF1">
      <w:pPr>
        <w:spacing w:line="360" w:lineRule="auto"/>
        <w:jc w:val="both"/>
        <w:rPr>
          <w:rFonts w:ascii="Arial" w:hAnsi="Arial" w:cs="Arial"/>
          <w:b/>
          <w:bCs/>
          <w:sz w:val="22"/>
          <w:szCs w:val="22"/>
        </w:rPr>
      </w:pPr>
    </w:p>
    <w:p w14:paraId="3064D7EA" w14:textId="77777777" w:rsidR="00E27989" w:rsidRDefault="00E27989" w:rsidP="002B0DF1">
      <w:pPr>
        <w:spacing w:line="360" w:lineRule="auto"/>
        <w:jc w:val="both"/>
        <w:rPr>
          <w:rFonts w:ascii="Arial" w:hAnsi="Arial" w:cs="Arial"/>
          <w:b/>
          <w:bCs/>
          <w:sz w:val="22"/>
          <w:szCs w:val="22"/>
        </w:rPr>
      </w:pPr>
    </w:p>
    <w:p w14:paraId="73F6DEF7" w14:textId="77777777" w:rsidR="00E27989" w:rsidRDefault="00E27989" w:rsidP="002B0DF1">
      <w:pPr>
        <w:spacing w:line="360" w:lineRule="auto"/>
        <w:jc w:val="both"/>
        <w:rPr>
          <w:rFonts w:ascii="Arial" w:hAnsi="Arial" w:cs="Arial"/>
          <w:b/>
          <w:bCs/>
          <w:sz w:val="22"/>
          <w:szCs w:val="22"/>
        </w:rPr>
      </w:pPr>
    </w:p>
    <w:p w14:paraId="58F28E4B" w14:textId="77777777" w:rsidR="00E27989" w:rsidRDefault="00E27989" w:rsidP="002B0DF1">
      <w:pPr>
        <w:spacing w:line="360" w:lineRule="auto"/>
        <w:jc w:val="both"/>
        <w:rPr>
          <w:rFonts w:ascii="Arial" w:hAnsi="Arial" w:cs="Arial"/>
          <w:b/>
          <w:bCs/>
          <w:sz w:val="22"/>
          <w:szCs w:val="22"/>
        </w:rPr>
      </w:pPr>
    </w:p>
    <w:p w14:paraId="65DA649D" w14:textId="77777777" w:rsidR="00E27989" w:rsidRDefault="00E27989" w:rsidP="002B0DF1">
      <w:pPr>
        <w:spacing w:line="360" w:lineRule="auto"/>
        <w:jc w:val="both"/>
        <w:rPr>
          <w:rFonts w:ascii="Arial" w:hAnsi="Arial" w:cs="Arial"/>
          <w:b/>
          <w:bCs/>
          <w:sz w:val="22"/>
          <w:szCs w:val="22"/>
        </w:rPr>
      </w:pPr>
    </w:p>
    <w:p w14:paraId="3058EB5F" w14:textId="77777777" w:rsidR="00E27989" w:rsidRDefault="00E27989" w:rsidP="002B0DF1">
      <w:pPr>
        <w:spacing w:line="360" w:lineRule="auto"/>
        <w:jc w:val="both"/>
        <w:rPr>
          <w:rFonts w:ascii="Arial" w:hAnsi="Arial" w:cs="Arial"/>
          <w:b/>
          <w:bCs/>
          <w:sz w:val="22"/>
          <w:szCs w:val="22"/>
        </w:rPr>
      </w:pPr>
    </w:p>
    <w:p w14:paraId="6984CF5D" w14:textId="77777777" w:rsidR="00E27989" w:rsidRDefault="00E27989" w:rsidP="002B0DF1">
      <w:pPr>
        <w:spacing w:line="360" w:lineRule="auto"/>
        <w:jc w:val="both"/>
        <w:rPr>
          <w:rFonts w:ascii="Arial" w:hAnsi="Arial" w:cs="Arial"/>
          <w:b/>
          <w:bCs/>
          <w:sz w:val="22"/>
          <w:szCs w:val="22"/>
        </w:rPr>
      </w:pPr>
    </w:p>
    <w:p w14:paraId="4A7DD65C" w14:textId="77777777" w:rsidR="00E27989" w:rsidRDefault="00E27989" w:rsidP="002B0DF1">
      <w:pPr>
        <w:spacing w:line="360" w:lineRule="auto"/>
        <w:jc w:val="both"/>
        <w:rPr>
          <w:rFonts w:ascii="Arial" w:hAnsi="Arial" w:cs="Arial"/>
          <w:b/>
          <w:bCs/>
          <w:sz w:val="22"/>
          <w:szCs w:val="22"/>
        </w:rPr>
      </w:pPr>
    </w:p>
    <w:p w14:paraId="73A4B152" w14:textId="77777777" w:rsidR="00E27989" w:rsidRDefault="00E27989" w:rsidP="002B0DF1">
      <w:pPr>
        <w:spacing w:line="360" w:lineRule="auto"/>
        <w:jc w:val="both"/>
        <w:rPr>
          <w:rFonts w:ascii="Arial" w:hAnsi="Arial" w:cs="Arial"/>
          <w:b/>
          <w:bCs/>
          <w:sz w:val="22"/>
          <w:szCs w:val="22"/>
        </w:rPr>
      </w:pPr>
    </w:p>
    <w:p w14:paraId="274293DE" w14:textId="77777777" w:rsidR="00E27989" w:rsidRDefault="00E27989" w:rsidP="002B0DF1">
      <w:pPr>
        <w:spacing w:line="360" w:lineRule="auto"/>
        <w:jc w:val="both"/>
        <w:rPr>
          <w:rFonts w:ascii="Arial" w:hAnsi="Arial" w:cs="Arial"/>
          <w:b/>
          <w:bCs/>
          <w:sz w:val="22"/>
          <w:szCs w:val="22"/>
        </w:rPr>
      </w:pPr>
    </w:p>
    <w:p w14:paraId="736F6B75" w14:textId="10339E0A" w:rsidR="007E0A97" w:rsidRPr="007E0A97" w:rsidRDefault="007E0A97" w:rsidP="00E27989">
      <w:pPr>
        <w:pStyle w:val="Heading1"/>
      </w:pPr>
      <w:r w:rsidRPr="007E0A97">
        <w:lastRenderedPageBreak/>
        <w:t>References</w:t>
      </w:r>
    </w:p>
    <w:p w14:paraId="74CB7B82" w14:textId="77777777" w:rsidR="00E27989" w:rsidRDefault="007E0A97" w:rsidP="00E27989">
      <w:pPr>
        <w:spacing w:line="360" w:lineRule="auto"/>
        <w:jc w:val="both"/>
        <w:rPr>
          <w:rFonts w:ascii="Arial" w:hAnsi="Arial" w:cs="Arial"/>
          <w:sz w:val="22"/>
          <w:szCs w:val="22"/>
        </w:rPr>
      </w:pPr>
      <w:r w:rsidRPr="007E0A97">
        <w:rPr>
          <w:rFonts w:ascii="Arial" w:hAnsi="Arial" w:cs="Arial"/>
          <w:sz w:val="22"/>
          <w:szCs w:val="22"/>
        </w:rPr>
        <w:t xml:space="preserve">Beauchamp, T. and Childress, J. (2019) </w:t>
      </w:r>
      <w:r w:rsidRPr="007E0A97">
        <w:rPr>
          <w:rFonts w:ascii="Arial" w:hAnsi="Arial" w:cs="Arial"/>
          <w:i/>
          <w:iCs/>
          <w:sz w:val="22"/>
          <w:szCs w:val="22"/>
        </w:rPr>
        <w:t>Principles of Biomedical Ethics</w:t>
      </w:r>
      <w:r w:rsidRPr="007E0A97">
        <w:rPr>
          <w:rFonts w:ascii="Arial" w:hAnsi="Arial" w:cs="Arial"/>
          <w:sz w:val="22"/>
          <w:szCs w:val="22"/>
        </w:rPr>
        <w:t>. Oxford: Oxford University Press.</w:t>
      </w:r>
    </w:p>
    <w:p w14:paraId="7F8BB837"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Care Act (2014) c.23. London: The Stationery Office.</w:t>
      </w:r>
    </w:p>
    <w:p w14:paraId="2F433B94"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Cottini, L., Palumbo, F. and Zilli, P. (2021) ‘Personalised planning in autism support’, </w:t>
      </w:r>
      <w:r w:rsidRPr="007E0A97">
        <w:rPr>
          <w:rFonts w:ascii="Arial" w:hAnsi="Arial" w:cs="Arial"/>
          <w:i/>
          <w:iCs/>
          <w:sz w:val="22"/>
          <w:szCs w:val="22"/>
        </w:rPr>
        <w:t>Journal of Intellectual Disability Research</w:t>
      </w:r>
      <w:r w:rsidRPr="007E0A97">
        <w:rPr>
          <w:rFonts w:ascii="Arial" w:hAnsi="Arial" w:cs="Arial"/>
          <w:sz w:val="22"/>
          <w:szCs w:val="22"/>
        </w:rPr>
        <w:t>, 65(12), pp.1127–1139.</w:t>
      </w:r>
    </w:p>
    <w:p w14:paraId="5A554337"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CQC (2014) </w:t>
      </w:r>
      <w:r w:rsidRPr="007E0A97">
        <w:rPr>
          <w:rFonts w:ascii="Arial" w:hAnsi="Arial" w:cs="Arial"/>
          <w:i/>
          <w:iCs/>
          <w:sz w:val="22"/>
          <w:szCs w:val="22"/>
        </w:rPr>
        <w:t>Regulated Activities Regulations 2014: Regulation 9</w:t>
      </w:r>
      <w:r w:rsidRPr="007E0A97">
        <w:rPr>
          <w:rFonts w:ascii="Arial" w:hAnsi="Arial" w:cs="Arial"/>
          <w:sz w:val="22"/>
          <w:szCs w:val="22"/>
        </w:rPr>
        <w:t>. London: CQC.</w:t>
      </w:r>
    </w:p>
    <w:p w14:paraId="6F016300"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Entwistle, V.A. and Watt, I.S. (2013) ‘Treating patients as persons’, </w:t>
      </w:r>
      <w:r w:rsidRPr="007E0A97">
        <w:rPr>
          <w:rFonts w:ascii="Arial" w:hAnsi="Arial" w:cs="Arial"/>
          <w:i/>
          <w:iCs/>
          <w:sz w:val="22"/>
          <w:szCs w:val="22"/>
        </w:rPr>
        <w:t>BMJ</w:t>
      </w:r>
      <w:r w:rsidRPr="007E0A97">
        <w:rPr>
          <w:rFonts w:ascii="Arial" w:hAnsi="Arial" w:cs="Arial"/>
          <w:sz w:val="22"/>
          <w:szCs w:val="22"/>
        </w:rPr>
        <w:t>, 347, p.f7186.</w:t>
      </w:r>
    </w:p>
    <w:p w14:paraId="38F261AF" w14:textId="77777777" w:rsidR="00E27989" w:rsidRDefault="007E0A97" w:rsidP="00E27989">
      <w:pPr>
        <w:spacing w:before="240" w:line="360" w:lineRule="auto"/>
        <w:jc w:val="both"/>
        <w:rPr>
          <w:rFonts w:ascii="Arial" w:hAnsi="Arial" w:cs="Arial"/>
          <w:sz w:val="22"/>
          <w:szCs w:val="22"/>
        </w:rPr>
      </w:pPr>
      <w:proofErr w:type="spellStart"/>
      <w:r w:rsidRPr="007E0A97">
        <w:rPr>
          <w:rFonts w:ascii="Arial" w:hAnsi="Arial" w:cs="Arial"/>
          <w:sz w:val="22"/>
          <w:szCs w:val="22"/>
        </w:rPr>
        <w:t>Frontini</w:t>
      </w:r>
      <w:proofErr w:type="spellEnd"/>
      <w:r w:rsidRPr="007E0A97">
        <w:rPr>
          <w:rFonts w:ascii="Arial" w:hAnsi="Arial" w:cs="Arial"/>
          <w:sz w:val="22"/>
          <w:szCs w:val="22"/>
        </w:rPr>
        <w:t xml:space="preserve">, R. et al. (2024) ‘Integrated care and multimorbidity: teamwork challenges for safe care’, </w:t>
      </w:r>
      <w:r w:rsidRPr="007E0A97">
        <w:rPr>
          <w:rFonts w:ascii="Arial" w:hAnsi="Arial" w:cs="Arial"/>
          <w:i/>
          <w:iCs/>
          <w:sz w:val="22"/>
          <w:szCs w:val="22"/>
        </w:rPr>
        <w:t>Frontiers in Sociology</w:t>
      </w:r>
      <w:r w:rsidRPr="007E0A97">
        <w:rPr>
          <w:rFonts w:ascii="Arial" w:hAnsi="Arial" w:cs="Arial"/>
          <w:sz w:val="22"/>
          <w:szCs w:val="22"/>
        </w:rPr>
        <w:t>, 9, pp.1–10.</w:t>
      </w:r>
    </w:p>
    <w:p w14:paraId="62E492B1"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Glasby, J. (2020) </w:t>
      </w:r>
      <w:r w:rsidRPr="007E0A97">
        <w:rPr>
          <w:rFonts w:ascii="Arial" w:hAnsi="Arial" w:cs="Arial"/>
          <w:i/>
          <w:iCs/>
          <w:sz w:val="22"/>
          <w:szCs w:val="22"/>
        </w:rPr>
        <w:t>Understanding Health and Social Care</w:t>
      </w:r>
      <w:r w:rsidRPr="007E0A97">
        <w:rPr>
          <w:rFonts w:ascii="Arial" w:hAnsi="Arial" w:cs="Arial"/>
          <w:sz w:val="22"/>
          <w:szCs w:val="22"/>
        </w:rPr>
        <w:t xml:space="preserve">. 4th </w:t>
      </w:r>
      <w:proofErr w:type="spellStart"/>
      <w:r w:rsidRPr="007E0A97">
        <w:rPr>
          <w:rFonts w:ascii="Arial" w:hAnsi="Arial" w:cs="Arial"/>
          <w:sz w:val="22"/>
          <w:szCs w:val="22"/>
        </w:rPr>
        <w:t>edn</w:t>
      </w:r>
      <w:proofErr w:type="spellEnd"/>
      <w:r w:rsidRPr="007E0A97">
        <w:rPr>
          <w:rFonts w:ascii="Arial" w:hAnsi="Arial" w:cs="Arial"/>
          <w:sz w:val="22"/>
          <w:szCs w:val="22"/>
        </w:rPr>
        <w:t>. Bristol: Policy Press.</w:t>
      </w:r>
    </w:p>
    <w:p w14:paraId="518B4524"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Ham, C. (2021) ‘Integration in health systems: where next?’, </w:t>
      </w:r>
      <w:r w:rsidRPr="007E0A97">
        <w:rPr>
          <w:rFonts w:ascii="Arial" w:hAnsi="Arial" w:cs="Arial"/>
          <w:i/>
          <w:iCs/>
          <w:sz w:val="22"/>
          <w:szCs w:val="22"/>
        </w:rPr>
        <w:t>The Lancet Public Health</w:t>
      </w:r>
      <w:r w:rsidRPr="007E0A97">
        <w:rPr>
          <w:rFonts w:ascii="Arial" w:hAnsi="Arial" w:cs="Arial"/>
          <w:sz w:val="22"/>
          <w:szCs w:val="22"/>
        </w:rPr>
        <w:t xml:space="preserve">, 6(4), </w:t>
      </w:r>
      <w:proofErr w:type="gramStart"/>
      <w:r w:rsidRPr="007E0A97">
        <w:rPr>
          <w:rFonts w:ascii="Arial" w:hAnsi="Arial" w:cs="Arial"/>
          <w:sz w:val="22"/>
          <w:szCs w:val="22"/>
        </w:rPr>
        <w:t>pp.e</w:t>
      </w:r>
      <w:proofErr w:type="gramEnd"/>
      <w:r w:rsidRPr="007E0A97">
        <w:rPr>
          <w:rFonts w:ascii="Arial" w:hAnsi="Arial" w:cs="Arial"/>
          <w:sz w:val="22"/>
          <w:szCs w:val="22"/>
        </w:rPr>
        <w:t>334–e336.</w:t>
      </w:r>
    </w:p>
    <w:p w14:paraId="36D963C9"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HCPC (2016) </w:t>
      </w:r>
      <w:r w:rsidRPr="007E0A97">
        <w:rPr>
          <w:rFonts w:ascii="Arial" w:hAnsi="Arial" w:cs="Arial"/>
          <w:i/>
          <w:iCs/>
          <w:sz w:val="22"/>
          <w:szCs w:val="22"/>
        </w:rPr>
        <w:t>Standards of Conduct, Performance and Ethics</w:t>
      </w:r>
      <w:r w:rsidRPr="007E0A97">
        <w:rPr>
          <w:rFonts w:ascii="Arial" w:hAnsi="Arial" w:cs="Arial"/>
          <w:sz w:val="22"/>
          <w:szCs w:val="22"/>
        </w:rPr>
        <w:t>. London: HCPC.</w:t>
      </w:r>
    </w:p>
    <w:p w14:paraId="1EB56D49"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Health and Care Act (2022). London: UK Government.</w:t>
      </w:r>
    </w:p>
    <w:p w14:paraId="4A7F5A7B"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Heslop, P. et al. (2020) ‘Transition support for autistic adults’, </w:t>
      </w:r>
      <w:r w:rsidRPr="007E0A97">
        <w:rPr>
          <w:rFonts w:ascii="Arial" w:hAnsi="Arial" w:cs="Arial"/>
          <w:i/>
          <w:iCs/>
          <w:sz w:val="22"/>
          <w:szCs w:val="22"/>
        </w:rPr>
        <w:t>British Journal of Learning Disabilities</w:t>
      </w:r>
      <w:r w:rsidRPr="007E0A97">
        <w:rPr>
          <w:rFonts w:ascii="Arial" w:hAnsi="Arial" w:cs="Arial"/>
          <w:sz w:val="22"/>
          <w:szCs w:val="22"/>
        </w:rPr>
        <w:t>, 48(2), pp.118–129.</w:t>
      </w:r>
    </w:p>
    <w:p w14:paraId="319CE99D"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HRA (1998) </w:t>
      </w:r>
      <w:r w:rsidRPr="007E0A97">
        <w:rPr>
          <w:rFonts w:ascii="Arial" w:hAnsi="Arial" w:cs="Arial"/>
          <w:i/>
          <w:iCs/>
          <w:sz w:val="22"/>
          <w:szCs w:val="22"/>
        </w:rPr>
        <w:t>Human Rights Act 1998</w:t>
      </w:r>
      <w:r w:rsidRPr="007E0A97">
        <w:rPr>
          <w:rFonts w:ascii="Arial" w:hAnsi="Arial" w:cs="Arial"/>
          <w:sz w:val="22"/>
          <w:szCs w:val="22"/>
        </w:rPr>
        <w:t>. London: The Stationery Office.</w:t>
      </w:r>
    </w:p>
    <w:p w14:paraId="458BE37C"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Hughes, G. et al. (2022) ‘Collaboration across MDTs and its challenges’, </w:t>
      </w:r>
      <w:r w:rsidRPr="007E0A97">
        <w:rPr>
          <w:rFonts w:ascii="Arial" w:hAnsi="Arial" w:cs="Arial"/>
          <w:i/>
          <w:iCs/>
          <w:sz w:val="22"/>
          <w:szCs w:val="22"/>
        </w:rPr>
        <w:t>BMC Health Services Research</w:t>
      </w:r>
      <w:r w:rsidRPr="007E0A97">
        <w:rPr>
          <w:rFonts w:ascii="Arial" w:hAnsi="Arial" w:cs="Arial"/>
          <w:sz w:val="22"/>
          <w:szCs w:val="22"/>
        </w:rPr>
        <w:t>, 22(1), pp.1–10.</w:t>
      </w:r>
    </w:p>
    <w:p w14:paraId="34938025"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Kapp, S.K. (2020) </w:t>
      </w:r>
      <w:r w:rsidRPr="007E0A97">
        <w:rPr>
          <w:rFonts w:ascii="Arial" w:hAnsi="Arial" w:cs="Arial"/>
          <w:i/>
          <w:iCs/>
          <w:sz w:val="22"/>
          <w:szCs w:val="22"/>
        </w:rPr>
        <w:t>Autistic Community and the Neurodiversity Movement</w:t>
      </w:r>
      <w:r w:rsidRPr="007E0A97">
        <w:rPr>
          <w:rFonts w:ascii="Arial" w:hAnsi="Arial" w:cs="Arial"/>
          <w:sz w:val="22"/>
          <w:szCs w:val="22"/>
        </w:rPr>
        <w:t>. Singapore: Springer.</w:t>
      </w:r>
    </w:p>
    <w:p w14:paraId="562A5E82"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Kuluski, K. et al. (2022) ‘Barriers to partnership working in integrated care’, </w:t>
      </w:r>
      <w:r w:rsidRPr="007E0A97">
        <w:rPr>
          <w:rFonts w:ascii="Arial" w:hAnsi="Arial" w:cs="Arial"/>
          <w:i/>
          <w:iCs/>
          <w:sz w:val="22"/>
          <w:szCs w:val="22"/>
        </w:rPr>
        <w:t>International Journal of Integrated Care</w:t>
      </w:r>
      <w:r w:rsidRPr="007E0A97">
        <w:rPr>
          <w:rFonts w:ascii="Arial" w:hAnsi="Arial" w:cs="Arial"/>
          <w:sz w:val="22"/>
          <w:szCs w:val="22"/>
        </w:rPr>
        <w:t>, 22(4), pp.1–13.</w:t>
      </w:r>
    </w:p>
    <w:p w14:paraId="0D9461BC"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Lee, A., Ng, C. and Banerjee, S. (2022) ‘Dementia mealtime experience and dignity’, </w:t>
      </w:r>
      <w:r w:rsidRPr="007E0A97">
        <w:rPr>
          <w:rFonts w:ascii="Arial" w:hAnsi="Arial" w:cs="Arial"/>
          <w:i/>
          <w:iCs/>
          <w:sz w:val="22"/>
          <w:szCs w:val="22"/>
        </w:rPr>
        <w:t>Age and Ageing</w:t>
      </w:r>
      <w:r w:rsidRPr="007E0A97">
        <w:rPr>
          <w:rFonts w:ascii="Arial" w:hAnsi="Arial" w:cs="Arial"/>
          <w:sz w:val="22"/>
          <w:szCs w:val="22"/>
        </w:rPr>
        <w:t>, 51(3), pp.1–9.</w:t>
      </w:r>
    </w:p>
    <w:p w14:paraId="614EEAC9"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lastRenderedPageBreak/>
        <w:t xml:space="preserve">Maslow, A.H. (1943) ‘A theory of human motivation’, </w:t>
      </w:r>
      <w:r w:rsidRPr="007E0A97">
        <w:rPr>
          <w:rFonts w:ascii="Arial" w:hAnsi="Arial" w:cs="Arial"/>
          <w:i/>
          <w:iCs/>
          <w:sz w:val="22"/>
          <w:szCs w:val="22"/>
        </w:rPr>
        <w:t>Psychological Review</w:t>
      </w:r>
      <w:r w:rsidRPr="007E0A97">
        <w:rPr>
          <w:rFonts w:ascii="Arial" w:hAnsi="Arial" w:cs="Arial"/>
          <w:sz w:val="22"/>
          <w:szCs w:val="22"/>
        </w:rPr>
        <w:t>, 50(4), pp.370–396.</w:t>
      </w:r>
    </w:p>
    <w:p w14:paraId="7CD894D3"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MCA (2005) </w:t>
      </w:r>
      <w:r w:rsidRPr="007E0A97">
        <w:rPr>
          <w:rFonts w:ascii="Arial" w:hAnsi="Arial" w:cs="Arial"/>
          <w:i/>
          <w:iCs/>
          <w:sz w:val="22"/>
          <w:szCs w:val="22"/>
        </w:rPr>
        <w:t>Mental Capacity Act 2005</w:t>
      </w:r>
      <w:r w:rsidRPr="007E0A97">
        <w:rPr>
          <w:rFonts w:ascii="Arial" w:hAnsi="Arial" w:cs="Arial"/>
          <w:sz w:val="22"/>
          <w:szCs w:val="22"/>
        </w:rPr>
        <w:t>. London: The Stationery Office.</w:t>
      </w:r>
    </w:p>
    <w:p w14:paraId="4E0CB69E"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NHS England (2022) </w:t>
      </w:r>
      <w:r w:rsidRPr="007E0A97">
        <w:rPr>
          <w:rFonts w:ascii="Arial" w:hAnsi="Arial" w:cs="Arial"/>
          <w:i/>
          <w:iCs/>
          <w:sz w:val="22"/>
          <w:szCs w:val="22"/>
        </w:rPr>
        <w:t>ICS Implementation Guidance</w:t>
      </w:r>
      <w:r w:rsidRPr="007E0A97">
        <w:rPr>
          <w:rFonts w:ascii="Arial" w:hAnsi="Arial" w:cs="Arial"/>
          <w:sz w:val="22"/>
          <w:szCs w:val="22"/>
        </w:rPr>
        <w:t>. London: NHS England.</w:t>
      </w:r>
      <w:r w:rsidRPr="007E0A97">
        <w:rPr>
          <w:rFonts w:ascii="Arial" w:hAnsi="Arial" w:cs="Arial"/>
          <w:sz w:val="22"/>
          <w:szCs w:val="22"/>
        </w:rPr>
        <w:br/>
      </w:r>
      <w:proofErr w:type="spellStart"/>
      <w:r w:rsidRPr="007E0A97">
        <w:rPr>
          <w:rFonts w:ascii="Arial" w:hAnsi="Arial" w:cs="Arial"/>
          <w:sz w:val="22"/>
          <w:szCs w:val="22"/>
        </w:rPr>
        <w:t>Ocloo</w:t>
      </w:r>
      <w:proofErr w:type="spellEnd"/>
      <w:r w:rsidRPr="007E0A97">
        <w:rPr>
          <w:rFonts w:ascii="Arial" w:hAnsi="Arial" w:cs="Arial"/>
          <w:sz w:val="22"/>
          <w:szCs w:val="22"/>
        </w:rPr>
        <w:t xml:space="preserve">, J. and Matthews, R. (2016) ‘The power imbalance in patient involvement’, </w:t>
      </w:r>
      <w:r w:rsidRPr="007E0A97">
        <w:rPr>
          <w:rFonts w:ascii="Arial" w:hAnsi="Arial" w:cs="Arial"/>
          <w:i/>
          <w:iCs/>
          <w:sz w:val="22"/>
          <w:szCs w:val="22"/>
        </w:rPr>
        <w:t>Health Expectations</w:t>
      </w:r>
      <w:r w:rsidRPr="007E0A97">
        <w:rPr>
          <w:rFonts w:ascii="Arial" w:hAnsi="Arial" w:cs="Arial"/>
          <w:sz w:val="22"/>
          <w:szCs w:val="22"/>
        </w:rPr>
        <w:t>, 19(6), pp.1151–1166.</w:t>
      </w:r>
    </w:p>
    <w:p w14:paraId="2B4D52C5"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Santana, M.J. et al. (2021) ‘Person-centred care framework’, </w:t>
      </w:r>
      <w:r w:rsidRPr="007E0A97">
        <w:rPr>
          <w:rFonts w:ascii="Arial" w:hAnsi="Arial" w:cs="Arial"/>
          <w:i/>
          <w:iCs/>
          <w:sz w:val="22"/>
          <w:szCs w:val="22"/>
        </w:rPr>
        <w:t>BMJ Quality &amp; Safety</w:t>
      </w:r>
      <w:r w:rsidRPr="007E0A97">
        <w:rPr>
          <w:rFonts w:ascii="Arial" w:hAnsi="Arial" w:cs="Arial"/>
          <w:sz w:val="22"/>
          <w:szCs w:val="22"/>
        </w:rPr>
        <w:t>, 30(4), pp.292–300.</w:t>
      </w:r>
    </w:p>
    <w:p w14:paraId="3B11BA7A"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Scales, K. et al. (2022) ‘Human rights and older people living with dementia’, </w:t>
      </w:r>
      <w:r w:rsidRPr="007E0A97">
        <w:rPr>
          <w:rFonts w:ascii="Arial" w:hAnsi="Arial" w:cs="Arial"/>
          <w:i/>
          <w:iCs/>
          <w:sz w:val="22"/>
          <w:szCs w:val="22"/>
        </w:rPr>
        <w:t>Dementia</w:t>
      </w:r>
      <w:r w:rsidRPr="007E0A97">
        <w:rPr>
          <w:rFonts w:ascii="Arial" w:hAnsi="Arial" w:cs="Arial"/>
          <w:sz w:val="22"/>
          <w:szCs w:val="22"/>
        </w:rPr>
        <w:t>, 21(4), pp.1374–1392.</w:t>
      </w:r>
    </w:p>
    <w:p w14:paraId="339927CA"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Scholl, I., Zill, J. and </w:t>
      </w:r>
      <w:proofErr w:type="spellStart"/>
      <w:r w:rsidRPr="007E0A97">
        <w:rPr>
          <w:rFonts w:ascii="Arial" w:hAnsi="Arial" w:cs="Arial"/>
          <w:sz w:val="22"/>
          <w:szCs w:val="22"/>
        </w:rPr>
        <w:t>Härter</w:t>
      </w:r>
      <w:proofErr w:type="spellEnd"/>
      <w:r w:rsidRPr="007E0A97">
        <w:rPr>
          <w:rFonts w:ascii="Arial" w:hAnsi="Arial" w:cs="Arial"/>
          <w:sz w:val="22"/>
          <w:szCs w:val="22"/>
        </w:rPr>
        <w:t xml:space="preserve">, M. (2018) ‘The impact of person-centred care on decision-making’, </w:t>
      </w:r>
      <w:r w:rsidRPr="007E0A97">
        <w:rPr>
          <w:rFonts w:ascii="Arial" w:hAnsi="Arial" w:cs="Arial"/>
          <w:i/>
          <w:iCs/>
          <w:sz w:val="22"/>
          <w:szCs w:val="22"/>
        </w:rPr>
        <w:t>Implementation Science</w:t>
      </w:r>
      <w:r w:rsidRPr="007E0A97">
        <w:rPr>
          <w:rFonts w:ascii="Arial" w:hAnsi="Arial" w:cs="Arial"/>
          <w:sz w:val="22"/>
          <w:szCs w:val="22"/>
        </w:rPr>
        <w:t>, 13(1), pp.1–19.</w:t>
      </w:r>
    </w:p>
    <w:p w14:paraId="5A8A6C2A"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Tadd, W. et al. (2024) ‘Ethical challenges in dementia care’, </w:t>
      </w:r>
      <w:r w:rsidRPr="007E0A97">
        <w:rPr>
          <w:rFonts w:ascii="Arial" w:hAnsi="Arial" w:cs="Arial"/>
          <w:i/>
          <w:iCs/>
          <w:sz w:val="22"/>
          <w:szCs w:val="22"/>
        </w:rPr>
        <w:t>Journal of Medical Ethics</w:t>
      </w:r>
      <w:r w:rsidRPr="007E0A97">
        <w:rPr>
          <w:rFonts w:ascii="Arial" w:hAnsi="Arial" w:cs="Arial"/>
          <w:sz w:val="22"/>
          <w:szCs w:val="22"/>
        </w:rPr>
        <w:t>, 50(1), pp.44–50.</w:t>
      </w:r>
    </w:p>
    <w:p w14:paraId="66E70B34" w14:textId="77777777" w:rsidR="00E27989"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The King’s Fund (2023) </w:t>
      </w:r>
      <w:r w:rsidRPr="007E0A97">
        <w:rPr>
          <w:rFonts w:ascii="Arial" w:hAnsi="Arial" w:cs="Arial"/>
          <w:i/>
          <w:iCs/>
          <w:sz w:val="22"/>
          <w:szCs w:val="22"/>
        </w:rPr>
        <w:t>Integrated care systems explained</w:t>
      </w:r>
      <w:r w:rsidRPr="007E0A97">
        <w:rPr>
          <w:rFonts w:ascii="Arial" w:hAnsi="Arial" w:cs="Arial"/>
          <w:sz w:val="22"/>
          <w:szCs w:val="22"/>
        </w:rPr>
        <w:t>. London: The King’s Fund.</w:t>
      </w:r>
    </w:p>
    <w:p w14:paraId="147A62EA" w14:textId="48A5B962" w:rsidR="007E0A97" w:rsidRDefault="007E0A97" w:rsidP="00E27989">
      <w:pPr>
        <w:spacing w:before="240" w:line="360" w:lineRule="auto"/>
        <w:jc w:val="both"/>
        <w:rPr>
          <w:rFonts w:ascii="Arial" w:hAnsi="Arial" w:cs="Arial"/>
          <w:sz w:val="22"/>
          <w:szCs w:val="22"/>
        </w:rPr>
      </w:pPr>
      <w:r w:rsidRPr="007E0A97">
        <w:rPr>
          <w:rFonts w:ascii="Arial" w:hAnsi="Arial" w:cs="Arial"/>
          <w:sz w:val="22"/>
          <w:szCs w:val="22"/>
        </w:rPr>
        <w:t xml:space="preserve">Wolf, J. (2022) ‘Relational care and compassion in practice’, </w:t>
      </w:r>
      <w:r w:rsidRPr="007E0A97">
        <w:rPr>
          <w:rFonts w:ascii="Arial" w:hAnsi="Arial" w:cs="Arial"/>
          <w:i/>
          <w:iCs/>
          <w:sz w:val="22"/>
          <w:szCs w:val="22"/>
        </w:rPr>
        <w:t>Journal of Nursing Care Quality</w:t>
      </w:r>
      <w:r w:rsidRPr="007E0A97">
        <w:rPr>
          <w:rFonts w:ascii="Arial" w:hAnsi="Arial" w:cs="Arial"/>
          <w:sz w:val="22"/>
          <w:szCs w:val="22"/>
        </w:rPr>
        <w:t>, 37(2), pp.112–118.</w:t>
      </w:r>
    </w:p>
    <w:p w14:paraId="76D67090" w14:textId="77777777" w:rsidR="00E51ABF" w:rsidRPr="002B0DF1" w:rsidRDefault="00E51ABF" w:rsidP="00E27989">
      <w:pPr>
        <w:spacing w:before="240" w:line="360" w:lineRule="auto"/>
        <w:jc w:val="both"/>
        <w:rPr>
          <w:rFonts w:ascii="Arial" w:hAnsi="Arial" w:cs="Arial"/>
          <w:sz w:val="22"/>
          <w:szCs w:val="22"/>
        </w:rPr>
      </w:pPr>
    </w:p>
    <w:sectPr w:rsidR="00E51ABF" w:rsidRPr="002B0DF1" w:rsidSect="00730F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A97"/>
    <w:rsid w:val="00002A29"/>
    <w:rsid w:val="001A645C"/>
    <w:rsid w:val="001C280E"/>
    <w:rsid w:val="0020558A"/>
    <w:rsid w:val="00233328"/>
    <w:rsid w:val="002B0DF1"/>
    <w:rsid w:val="00331CB3"/>
    <w:rsid w:val="004E7710"/>
    <w:rsid w:val="00500A7F"/>
    <w:rsid w:val="005632B9"/>
    <w:rsid w:val="00730FAE"/>
    <w:rsid w:val="007E0A97"/>
    <w:rsid w:val="008F18E6"/>
    <w:rsid w:val="00957CD6"/>
    <w:rsid w:val="009E1B49"/>
    <w:rsid w:val="00DC1E02"/>
    <w:rsid w:val="00E27989"/>
    <w:rsid w:val="00E51ABF"/>
    <w:rsid w:val="00E7050A"/>
    <w:rsid w:val="00F838C7"/>
  </w:rsids>
  <m:mathPr>
    <m:mathFont m:val="Cambria Math"/>
    <m:brkBin m:val="before"/>
    <m:brkBinSub m:val="--"/>
    <m:smallFrac m:val="0"/>
    <m:dispDef/>
    <m:lMargin m:val="0"/>
    <m:rMargin m:val="0"/>
    <m:defJc m:val="centerGroup"/>
    <m:wrapIndent m:val="1440"/>
    <m:intLim m:val="subSup"/>
    <m:naryLim m:val="undOvr"/>
  </m:mathPr>
  <w:themeFontLang w:val="en-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BFD36"/>
  <w15:chartTrackingRefBased/>
  <w15:docId w15:val="{CCDB55FA-125E-4E18-9182-354DFB24F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58A"/>
    <w:pPr>
      <w:spacing w:after="0" w:line="360" w:lineRule="auto"/>
      <w:jc w:val="both"/>
      <w:outlineLvl w:val="0"/>
    </w:pPr>
    <w:rPr>
      <w:rFonts w:ascii="Arial" w:hAnsi="Arial" w:cs="Arial"/>
      <w:b/>
      <w:bCs/>
    </w:rPr>
  </w:style>
  <w:style w:type="paragraph" w:styleId="Heading2">
    <w:name w:val="heading 2"/>
    <w:basedOn w:val="Normal"/>
    <w:next w:val="Normal"/>
    <w:link w:val="Heading2Char"/>
    <w:uiPriority w:val="9"/>
    <w:semiHidden/>
    <w:unhideWhenUsed/>
    <w:qFormat/>
    <w:rsid w:val="007E0A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E0A9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E0A9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E0A9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E0A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0A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0A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0A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58A"/>
    <w:rPr>
      <w:rFonts w:ascii="Arial" w:hAnsi="Arial" w:cs="Arial"/>
      <w:b/>
      <w:bCs/>
    </w:rPr>
  </w:style>
  <w:style w:type="character" w:customStyle="1" w:styleId="Heading2Char">
    <w:name w:val="Heading 2 Char"/>
    <w:basedOn w:val="DefaultParagraphFont"/>
    <w:link w:val="Heading2"/>
    <w:uiPriority w:val="9"/>
    <w:semiHidden/>
    <w:rsid w:val="007E0A9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E0A9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E0A9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E0A9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E0A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0A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0A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0A97"/>
    <w:rPr>
      <w:rFonts w:eastAsiaTheme="majorEastAsia" w:cstheme="majorBidi"/>
      <w:color w:val="272727" w:themeColor="text1" w:themeTint="D8"/>
    </w:rPr>
  </w:style>
  <w:style w:type="paragraph" w:styleId="Title">
    <w:name w:val="Title"/>
    <w:basedOn w:val="Normal"/>
    <w:next w:val="Normal"/>
    <w:link w:val="TitleChar"/>
    <w:uiPriority w:val="10"/>
    <w:qFormat/>
    <w:rsid w:val="007E0A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0A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0A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0A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0A97"/>
    <w:pPr>
      <w:spacing w:before="160"/>
      <w:jc w:val="center"/>
    </w:pPr>
    <w:rPr>
      <w:i/>
      <w:iCs/>
      <w:color w:val="404040" w:themeColor="text1" w:themeTint="BF"/>
    </w:rPr>
  </w:style>
  <w:style w:type="character" w:customStyle="1" w:styleId="QuoteChar">
    <w:name w:val="Quote Char"/>
    <w:basedOn w:val="DefaultParagraphFont"/>
    <w:link w:val="Quote"/>
    <w:uiPriority w:val="29"/>
    <w:rsid w:val="007E0A97"/>
    <w:rPr>
      <w:i/>
      <w:iCs/>
      <w:color w:val="404040" w:themeColor="text1" w:themeTint="BF"/>
    </w:rPr>
  </w:style>
  <w:style w:type="paragraph" w:styleId="ListParagraph">
    <w:name w:val="List Paragraph"/>
    <w:basedOn w:val="Normal"/>
    <w:uiPriority w:val="34"/>
    <w:qFormat/>
    <w:rsid w:val="007E0A97"/>
    <w:pPr>
      <w:ind w:left="720"/>
      <w:contextualSpacing/>
    </w:pPr>
  </w:style>
  <w:style w:type="character" w:styleId="IntenseEmphasis">
    <w:name w:val="Intense Emphasis"/>
    <w:basedOn w:val="DefaultParagraphFont"/>
    <w:uiPriority w:val="21"/>
    <w:qFormat/>
    <w:rsid w:val="007E0A97"/>
    <w:rPr>
      <w:i/>
      <w:iCs/>
      <w:color w:val="2F5496" w:themeColor="accent1" w:themeShade="BF"/>
    </w:rPr>
  </w:style>
  <w:style w:type="paragraph" w:styleId="IntenseQuote">
    <w:name w:val="Intense Quote"/>
    <w:basedOn w:val="Normal"/>
    <w:next w:val="Normal"/>
    <w:link w:val="IntenseQuoteChar"/>
    <w:uiPriority w:val="30"/>
    <w:qFormat/>
    <w:rsid w:val="007E0A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E0A97"/>
    <w:rPr>
      <w:i/>
      <w:iCs/>
      <w:color w:val="2F5496" w:themeColor="accent1" w:themeShade="BF"/>
    </w:rPr>
  </w:style>
  <w:style w:type="character" w:styleId="IntenseReference">
    <w:name w:val="Intense Reference"/>
    <w:basedOn w:val="DefaultParagraphFont"/>
    <w:uiPriority w:val="32"/>
    <w:qFormat/>
    <w:rsid w:val="007E0A9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9</Pages>
  <Words>2667</Words>
  <Characters>15207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2025-10-26T17:48:00Z</dcterms:created>
  <dcterms:modified xsi:type="dcterms:W3CDTF">2025-10-26T22:28:00Z</dcterms:modified>
</cp:coreProperties>
</file>