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700C1" w:rsidRDefault="003700C1">
      <w:pPr>
        <w:spacing w:line="360" w:lineRule="auto"/>
        <w:jc w:val="center"/>
        <w:rPr>
          <w:rFonts w:ascii="Times New Roman" w:eastAsia="Times New Roman" w:hAnsi="Times New Roman" w:cs="Times New Roman"/>
          <w:b/>
          <w:sz w:val="32"/>
          <w:szCs w:val="32"/>
        </w:rPr>
      </w:pPr>
    </w:p>
    <w:p w14:paraId="00000002" w14:textId="77777777" w:rsidR="003700C1" w:rsidRDefault="003700C1">
      <w:pPr>
        <w:spacing w:line="360" w:lineRule="auto"/>
        <w:jc w:val="center"/>
        <w:rPr>
          <w:rFonts w:ascii="Times New Roman" w:eastAsia="Times New Roman" w:hAnsi="Times New Roman" w:cs="Times New Roman"/>
          <w:b/>
          <w:sz w:val="32"/>
          <w:szCs w:val="32"/>
        </w:rPr>
      </w:pPr>
    </w:p>
    <w:p w14:paraId="00000003" w14:textId="77777777" w:rsidR="003700C1" w:rsidRDefault="003700C1">
      <w:pPr>
        <w:spacing w:line="360" w:lineRule="auto"/>
        <w:jc w:val="center"/>
        <w:rPr>
          <w:rFonts w:ascii="Times New Roman" w:eastAsia="Times New Roman" w:hAnsi="Times New Roman" w:cs="Times New Roman"/>
          <w:b/>
          <w:sz w:val="32"/>
          <w:szCs w:val="32"/>
        </w:rPr>
      </w:pPr>
    </w:p>
    <w:p w14:paraId="00000004" w14:textId="77777777" w:rsidR="003700C1" w:rsidRDefault="003700C1">
      <w:pPr>
        <w:spacing w:line="360" w:lineRule="auto"/>
        <w:jc w:val="center"/>
        <w:rPr>
          <w:rFonts w:ascii="Times New Roman" w:eastAsia="Times New Roman" w:hAnsi="Times New Roman" w:cs="Times New Roman"/>
          <w:b/>
          <w:sz w:val="32"/>
          <w:szCs w:val="32"/>
        </w:rPr>
      </w:pPr>
    </w:p>
    <w:p w14:paraId="00000005" w14:textId="77777777" w:rsidR="003700C1" w:rsidRDefault="00000000">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MSc Public Health and Social Care in Practice</w:t>
      </w:r>
    </w:p>
    <w:p w14:paraId="00000006" w14:textId="77777777" w:rsidR="003700C1" w:rsidRDefault="003700C1">
      <w:pPr>
        <w:spacing w:line="360" w:lineRule="auto"/>
        <w:jc w:val="center"/>
        <w:rPr>
          <w:rFonts w:ascii="Times New Roman" w:eastAsia="Times New Roman" w:hAnsi="Times New Roman" w:cs="Times New Roman"/>
          <w:b/>
          <w:sz w:val="32"/>
          <w:szCs w:val="32"/>
        </w:rPr>
      </w:pPr>
    </w:p>
    <w:p w14:paraId="00000007" w14:textId="03AB1EA7" w:rsidR="003700C1" w:rsidRDefault="00000000" w:rsidP="00E50CA8">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name</w:t>
      </w:r>
      <w:r w:rsidR="00E50CA8">
        <w:rPr>
          <w:rFonts w:ascii="Times New Roman" w:eastAsia="Times New Roman" w:hAnsi="Times New Roman" w:cs="Times New Roman"/>
          <w:b/>
          <w:sz w:val="32"/>
          <w:szCs w:val="32"/>
        </w:rPr>
        <w:t xml:space="preserve"> </w:t>
      </w:r>
      <w:r w:rsidR="00E50CA8">
        <w:rPr>
          <w:rFonts w:ascii="Times New Roman" w:eastAsia="Times New Roman" w:hAnsi="Times New Roman" w:cs="Times New Roman"/>
          <w:b/>
          <w:sz w:val="32"/>
          <w:szCs w:val="32"/>
        </w:rPr>
        <w:softHyphen/>
        <w:t>- sivaanilkumar lella</w:t>
      </w:r>
    </w:p>
    <w:p w14:paraId="00000008" w14:textId="3EE34430" w:rsidR="003700C1" w:rsidRDefault="00000000" w:rsidP="00E50CA8">
      <w:pPr>
        <w:spacing w:line="360" w:lineRule="auto"/>
        <w:rPr>
          <w:rFonts w:ascii="Times New Roman" w:eastAsia="Times New Roman" w:hAnsi="Times New Roman" w:cs="Times New Roman"/>
          <w:sz w:val="24"/>
          <w:szCs w:val="24"/>
        </w:rPr>
      </w:pPr>
      <w:r>
        <w:rPr>
          <w:rFonts w:ascii="Times New Roman" w:eastAsia="Times New Roman" w:hAnsi="Times New Roman" w:cs="Times New Roman"/>
          <w:b/>
          <w:sz w:val="32"/>
          <w:szCs w:val="32"/>
        </w:rPr>
        <w:t>Student ID</w:t>
      </w:r>
      <w:r w:rsidR="00E50CA8">
        <w:rPr>
          <w:rFonts w:ascii="Times New Roman" w:eastAsia="Times New Roman" w:hAnsi="Times New Roman" w:cs="Times New Roman"/>
          <w:b/>
          <w:sz w:val="32"/>
          <w:szCs w:val="32"/>
        </w:rPr>
        <w:t xml:space="preserve"> - 2241658</w:t>
      </w:r>
    </w:p>
    <w:p w14:paraId="00000009" w14:textId="423F501A" w:rsidR="003700C1" w:rsidRDefault="00000000" w:rsidP="00E50CA8">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name</w:t>
      </w:r>
      <w:r w:rsidR="00E50CA8">
        <w:rPr>
          <w:rFonts w:ascii="Times New Roman" w:eastAsia="Times New Roman" w:hAnsi="Times New Roman" w:cs="Times New Roman"/>
          <w:b/>
          <w:sz w:val="32"/>
          <w:szCs w:val="32"/>
        </w:rPr>
        <w:t xml:space="preserve"> – population health and digital health promotion</w:t>
      </w:r>
    </w:p>
    <w:p w14:paraId="2D811231" w14:textId="2DD15897" w:rsidR="00E50CA8" w:rsidRDefault="00E50CA8" w:rsidP="00E50CA8">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code </w:t>
      </w:r>
      <w:r>
        <w:rPr>
          <w:rFonts w:ascii="Times New Roman" w:eastAsia="Times New Roman" w:hAnsi="Times New Roman" w:cs="Times New Roman"/>
          <w:b/>
          <w:sz w:val="32"/>
          <w:szCs w:val="32"/>
        </w:rPr>
        <w:softHyphen/>
        <w:t>– LCHS7007.</w:t>
      </w:r>
    </w:p>
    <w:p w14:paraId="0000000A" w14:textId="77777777" w:rsidR="003700C1" w:rsidRDefault="00000000">
      <w:pPr>
        <w:rPr>
          <w:rFonts w:ascii="Times New Roman" w:eastAsia="Times New Roman" w:hAnsi="Times New Roman" w:cs="Times New Roman"/>
          <w:b/>
          <w:sz w:val="32"/>
          <w:szCs w:val="32"/>
        </w:rPr>
      </w:pPr>
      <w:r>
        <w:br w:type="page"/>
      </w:r>
    </w:p>
    <w:p w14:paraId="0000000B" w14:textId="77777777" w:rsidR="003700C1" w:rsidRDefault="00000000">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502668817"/>
        <w:docPartObj>
          <w:docPartGallery w:val="Table of Contents"/>
          <w:docPartUnique/>
        </w:docPartObj>
      </w:sdtPr>
      <w:sdtContent>
        <w:p w14:paraId="0000000C" w14:textId="77777777" w:rsidR="003700C1" w:rsidRDefault="0000000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j62w1qqa0lm2">
            <w:r>
              <w:rPr>
                <w:rFonts w:ascii="Times New Roman" w:eastAsia="Times New Roman" w:hAnsi="Times New Roman" w:cs="Times New Roman"/>
                <w:color w:val="000000"/>
                <w:sz w:val="24"/>
                <w:szCs w:val="24"/>
              </w:rPr>
              <w:t>Task 1: Blogs</w:t>
            </w:r>
            <w:r>
              <w:rPr>
                <w:rFonts w:ascii="Times New Roman" w:eastAsia="Times New Roman" w:hAnsi="Times New Roman" w:cs="Times New Roman"/>
                <w:color w:val="000000"/>
                <w:sz w:val="24"/>
                <w:szCs w:val="24"/>
              </w:rPr>
              <w:tab/>
              <w:t>2</w:t>
            </w:r>
          </w:hyperlink>
        </w:p>
        <w:p w14:paraId="0000000D" w14:textId="77777777" w:rsidR="003700C1" w:rsidRDefault="00000000">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gjdgxs">
            <w:r>
              <w:rPr>
                <w:rFonts w:ascii="Times New Roman" w:eastAsia="Times New Roman" w:hAnsi="Times New Roman" w:cs="Times New Roman"/>
                <w:color w:val="000000"/>
                <w:sz w:val="24"/>
                <w:szCs w:val="24"/>
              </w:rPr>
              <w:t>Blog 1</w:t>
            </w:r>
            <w:r>
              <w:rPr>
                <w:rFonts w:ascii="Times New Roman" w:eastAsia="Times New Roman" w:hAnsi="Times New Roman" w:cs="Times New Roman"/>
                <w:color w:val="000000"/>
                <w:sz w:val="24"/>
                <w:szCs w:val="24"/>
              </w:rPr>
              <w:tab/>
              <w:t>2</w:t>
            </w:r>
          </w:hyperlink>
        </w:p>
        <w:p w14:paraId="0000000E" w14:textId="77777777" w:rsidR="003700C1" w:rsidRDefault="00000000">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Blog 2</w:t>
            </w:r>
            <w:r>
              <w:rPr>
                <w:rFonts w:ascii="Times New Roman" w:eastAsia="Times New Roman" w:hAnsi="Times New Roman" w:cs="Times New Roman"/>
                <w:color w:val="000000"/>
                <w:sz w:val="24"/>
                <w:szCs w:val="24"/>
              </w:rPr>
              <w:tab/>
              <w:t>3</w:t>
            </w:r>
          </w:hyperlink>
        </w:p>
        <w:p w14:paraId="0000000F" w14:textId="77777777" w:rsidR="003700C1" w:rsidRDefault="00000000">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ehi6g9bi07jp">
            <w:r>
              <w:rPr>
                <w:rFonts w:ascii="Times New Roman" w:eastAsia="Times New Roman" w:hAnsi="Times New Roman" w:cs="Times New Roman"/>
                <w:color w:val="000000"/>
                <w:sz w:val="24"/>
                <w:szCs w:val="24"/>
              </w:rPr>
              <w:t>Reference</w:t>
            </w:r>
            <w:r>
              <w:rPr>
                <w:rFonts w:ascii="Times New Roman" w:eastAsia="Times New Roman" w:hAnsi="Times New Roman" w:cs="Times New Roman"/>
                <w:color w:val="000000"/>
                <w:sz w:val="24"/>
                <w:szCs w:val="24"/>
              </w:rPr>
              <w:tab/>
              <w:t>5</w:t>
            </w:r>
          </w:hyperlink>
        </w:p>
        <w:p w14:paraId="00000010" w14:textId="77777777" w:rsidR="003700C1" w:rsidRDefault="00000000">
          <w:pPr>
            <w:pBdr>
              <w:top w:val="nil"/>
              <w:left w:val="nil"/>
              <w:bottom w:val="nil"/>
              <w:right w:val="nil"/>
              <w:between w:val="nil"/>
            </w:pBdr>
            <w:tabs>
              <w:tab w:val="right" w:leader="dot" w:pos="9350"/>
            </w:tabs>
            <w:spacing w:after="100" w:line="360" w:lineRule="auto"/>
            <w:rPr>
              <w:rFonts w:ascii="Times New Roman" w:eastAsia="Times New Roman" w:hAnsi="Times New Roman" w:cs="Times New Roman"/>
              <w:color w:val="000000"/>
              <w:sz w:val="24"/>
              <w:szCs w:val="24"/>
            </w:rPr>
          </w:pPr>
          <w:hyperlink w:anchor="_heading=h.r0ybqdr375uu">
            <w:r>
              <w:rPr>
                <w:rFonts w:ascii="Times New Roman" w:eastAsia="Times New Roman" w:hAnsi="Times New Roman" w:cs="Times New Roman"/>
                <w:color w:val="000000"/>
                <w:sz w:val="24"/>
                <w:szCs w:val="24"/>
              </w:rPr>
              <w:t>Task 2: Poster</w:t>
            </w:r>
            <w:r>
              <w:rPr>
                <w:rFonts w:ascii="Times New Roman" w:eastAsia="Times New Roman" w:hAnsi="Times New Roman" w:cs="Times New Roman"/>
                <w:color w:val="000000"/>
                <w:sz w:val="24"/>
                <w:szCs w:val="24"/>
              </w:rPr>
              <w:tab/>
              <w:t>6</w:t>
            </w:r>
          </w:hyperlink>
        </w:p>
        <w:p w14:paraId="00000011" w14:textId="77777777" w:rsidR="003700C1" w:rsidRDefault="00000000">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Background</w:t>
            </w:r>
            <w:r>
              <w:rPr>
                <w:rFonts w:ascii="Times New Roman" w:eastAsia="Times New Roman" w:hAnsi="Times New Roman" w:cs="Times New Roman"/>
                <w:color w:val="000000"/>
                <w:sz w:val="24"/>
                <w:szCs w:val="24"/>
              </w:rPr>
              <w:tab/>
              <w:t>6</w:t>
            </w:r>
          </w:hyperlink>
        </w:p>
        <w:p w14:paraId="00000012" w14:textId="77777777" w:rsidR="003700C1" w:rsidRDefault="00000000">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Health Promotion Values and Principles</w:t>
            </w:r>
            <w:r>
              <w:rPr>
                <w:rFonts w:ascii="Times New Roman" w:eastAsia="Times New Roman" w:hAnsi="Times New Roman" w:cs="Times New Roman"/>
                <w:color w:val="000000"/>
                <w:sz w:val="24"/>
                <w:szCs w:val="24"/>
              </w:rPr>
              <w:tab/>
              <w:t>7</w:t>
            </w:r>
          </w:hyperlink>
        </w:p>
        <w:p w14:paraId="00000013" w14:textId="77777777" w:rsidR="003700C1" w:rsidRDefault="00000000">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Behavior change theory</w:t>
            </w:r>
            <w:r>
              <w:rPr>
                <w:rFonts w:ascii="Times New Roman" w:eastAsia="Times New Roman" w:hAnsi="Times New Roman" w:cs="Times New Roman"/>
                <w:color w:val="000000"/>
                <w:sz w:val="24"/>
                <w:szCs w:val="24"/>
              </w:rPr>
              <w:tab/>
              <w:t>8</w:t>
            </w:r>
          </w:hyperlink>
        </w:p>
        <w:p w14:paraId="00000014" w14:textId="77777777" w:rsidR="003700C1" w:rsidRDefault="00000000">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Expected outcome</w:t>
            </w:r>
            <w:r>
              <w:rPr>
                <w:rFonts w:ascii="Times New Roman" w:eastAsia="Times New Roman" w:hAnsi="Times New Roman" w:cs="Times New Roman"/>
                <w:color w:val="000000"/>
                <w:sz w:val="24"/>
                <w:szCs w:val="24"/>
              </w:rPr>
              <w:tab/>
              <w:t>9</w:t>
            </w:r>
          </w:hyperlink>
        </w:p>
        <w:p w14:paraId="00000015" w14:textId="77777777" w:rsidR="003700C1" w:rsidRDefault="00000000">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3dy6vkm">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10</w:t>
            </w:r>
          </w:hyperlink>
        </w:p>
        <w:p w14:paraId="00000016" w14:textId="77777777" w:rsidR="003700C1" w:rsidRDefault="00000000">
          <w:pPr>
            <w:pBdr>
              <w:top w:val="nil"/>
              <w:left w:val="nil"/>
              <w:bottom w:val="nil"/>
              <w:right w:val="nil"/>
              <w:between w:val="nil"/>
            </w:pBdr>
            <w:tabs>
              <w:tab w:val="right" w:leader="dot" w:pos="9350"/>
            </w:tabs>
            <w:spacing w:after="100" w:line="360" w:lineRule="auto"/>
            <w:ind w:left="220"/>
            <w:rPr>
              <w:rFonts w:ascii="Times New Roman" w:eastAsia="Times New Roman" w:hAnsi="Times New Roman" w:cs="Times New Roman"/>
              <w:color w:val="000000"/>
              <w:sz w:val="24"/>
              <w:szCs w:val="24"/>
            </w:rPr>
          </w:pPr>
          <w:hyperlink w:anchor="_heading=h.11nr5b2ndqhb">
            <w:r>
              <w:rPr>
                <w:rFonts w:ascii="Times New Roman" w:eastAsia="Times New Roman" w:hAnsi="Times New Roman" w:cs="Times New Roman"/>
                <w:color w:val="000000"/>
                <w:sz w:val="24"/>
                <w:szCs w:val="24"/>
              </w:rPr>
              <w:t>Reference</w:t>
            </w:r>
            <w:r>
              <w:rPr>
                <w:rFonts w:ascii="Times New Roman" w:eastAsia="Times New Roman" w:hAnsi="Times New Roman" w:cs="Times New Roman"/>
                <w:color w:val="000000"/>
                <w:sz w:val="24"/>
                <w:szCs w:val="24"/>
              </w:rPr>
              <w:tab/>
              <w:t>11</w:t>
            </w:r>
          </w:hyperlink>
        </w:p>
        <w:p w14:paraId="00000017" w14:textId="77777777" w:rsidR="003700C1" w:rsidRDefault="00000000">
          <w:pPr>
            <w:spacing w:line="360" w:lineRule="auto"/>
          </w:pPr>
          <w:r>
            <w:fldChar w:fldCharType="end"/>
          </w:r>
        </w:p>
      </w:sdtContent>
    </w:sdt>
    <w:p w14:paraId="00000018" w14:textId="77777777" w:rsidR="003700C1" w:rsidRDefault="00000000">
      <w:pPr>
        <w:spacing w:line="360" w:lineRule="auto"/>
        <w:jc w:val="center"/>
        <w:rPr>
          <w:rFonts w:ascii="Times New Roman" w:eastAsia="Times New Roman" w:hAnsi="Times New Roman" w:cs="Times New Roman"/>
          <w:sz w:val="24"/>
          <w:szCs w:val="24"/>
        </w:rPr>
      </w:pPr>
      <w:r>
        <w:br w:type="page"/>
      </w:r>
    </w:p>
    <w:p w14:paraId="00000019" w14:textId="77777777" w:rsidR="003700C1" w:rsidRDefault="00000000">
      <w:pPr>
        <w:pStyle w:val="Heading1"/>
        <w:spacing w:line="360" w:lineRule="auto"/>
        <w:jc w:val="both"/>
        <w:rPr>
          <w:b w:val="0"/>
        </w:rPr>
      </w:pPr>
      <w:bookmarkStart w:id="0" w:name="_heading=h.j62w1qqa0lm2" w:colFirst="0" w:colLast="0"/>
      <w:bookmarkEnd w:id="0"/>
      <w:r>
        <w:lastRenderedPageBreak/>
        <w:t xml:space="preserve">Task 1: Blogs </w:t>
      </w:r>
    </w:p>
    <w:p w14:paraId="0000001A" w14:textId="77777777" w:rsidR="003700C1" w:rsidRDefault="00000000">
      <w:pPr>
        <w:pStyle w:val="Heading2"/>
      </w:pPr>
      <w:bookmarkStart w:id="1" w:name="_heading=h.gjdgxs" w:colFirst="0" w:colLast="0"/>
      <w:bookmarkEnd w:id="1"/>
      <w:r>
        <w:t>Blog 1</w:t>
      </w:r>
    </w:p>
    <w:p w14:paraId="0000001B"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Sedentary lifestyles are on the rise, which poses major health hazards in today's fast-paced, technology-driven society. According to the World Health Organization, sedentary lifestyles are associated with higher incidences of obesity, cardiovascular disease, and mental health issues. Considering this, it's not hard to see how digital technology, and more specifically fitness tracking applications and wearables, could play a role in encouraging people to adopt better lifestyles. The health advantages of fitness tracking technology have the potential to improve people's health by encouraging them to become more physically active, however only if efforts are taken to ensure that everyone benefits from it.</w:t>
      </w:r>
    </w:p>
    <w:p w14:paraId="0000001C"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advent of fitness-tracking devices has changed the way people think about and approach physical activity (Woessner et al., 2021). In order to combat the negative effects of inactive lifestyles and give people more control over their health, these digital gadgets provide constant monitoring and unique insights. Studies published in peer-reviewed journals like the Journal of Medical Internet Research show that this sort of technology can significantly increase people's rates of physical activity. There is no denying the helpfulness of fitness monitors. It has dual functions by providing users with objective statistics on their activity levels. This realization motivates change, leading to increased physical activity and healthier eating habits. The second advantage of these technologies is that they help users feel more in charge and successful by allowing them to create goals that are both achievable and tailored to their individual needs and preferences in terms of fitness (Pal et al., 2019).</w:t>
      </w:r>
    </w:p>
    <w:p w14:paraId="0000001D"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benefits of using digital technology to promote health should be weighed against any potential drawbacks. Having such a high barrier to admission is particularly troubling. There are considerable inequities in the adoption of fitness trackers since not everyone can afford one or easily obtain one. A comprehensive plan that integrates community-based activities and creates links with healthcare professionals is necessary to disseminate the benefits of digital health technology to underprivileged communities (Li et al., 2021). One other big issue is people's tendency to rely too heavily on modern conveniences. Some users may develop an unhealthy attachment to their fitness trackers, which could reduce their enthusiasm for going out. By combining the benefits of technology with other motivational tactics, everyone may take a more holistic approach to health promotion (Wan &amp; Zhang, 2020).</w:t>
      </w:r>
    </w:p>
    <w:p w14:paraId="0000001E"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Fitness tracking technology has come a long way in its quest to encourage exercise and discourage sedentary lifestyles. Recognizing its strengths while working to improve its weaknesses will maximize its influence (Nielsen and Sahay, 2022). The widespread adoption of equitable policies and the promotion of a comprehensive approach have the potential to usher in a new age of public health in which people of all backgrounds can benefit from engaging in regular physical exercise.</w:t>
      </w:r>
    </w:p>
    <w:p w14:paraId="0000001F" w14:textId="77777777" w:rsidR="003700C1" w:rsidRDefault="00000000">
      <w:pPr>
        <w:pStyle w:val="Heading2"/>
      </w:pPr>
      <w:bookmarkStart w:id="2" w:name="_heading=h.30j0zll" w:colFirst="0" w:colLast="0"/>
      <w:bookmarkEnd w:id="2"/>
      <w:r>
        <w:t>Blog 2</w:t>
      </w:r>
    </w:p>
    <w:p w14:paraId="00000020"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Mental health disorders continue to be a major problem in public health, affecting people of all ages and socioeconomic backgrounds. To address this pressing issue, they have developed MindScape, a novel digital intervention that uses virtual reality to rethink the way mental health promotion is approached. Although MindScape's virtual reality (VR) approach to mental health interventions provides a completely immersive and tailored experience, widespread adoption requires addressing barriers to adoption in terms of accessibility and ethics.</w:t>
      </w:r>
    </w:p>
    <w:p w14:paraId="00000021"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prevalence of mental health issues, which affect approximately one-quarter of the global population, is the driving public health concern behind MindScape's creation. Interventions for mental health problems must be both effective and accessible, as failure to do so can have far-reaching consequences (Saleem et al., 2021). MindScape uses current virtual reality technologies to increase the effectiveness of conventional therapy methods. By donning a VR headset, one can join a simulated setting well-suited to activities like guided meditation, exposure treatment, and simple unwinding. The objective is to get people more involved and invested in their mental health interventions so they have a better therapeutic experience. MindScape's personalized and collaborative approach to mental health care has the potential to significantly reduce the prevalence of this issue (Cordeiro, 2021). Users in these serene environments participate in individualized therapy exercises designed to boost their physical and mental health. Virtual reality's potential to improve users' mental health stems from the medium's interactive and immersive qualities. MindScape's pioneering use of VR for mental health interventions is undeniably productive (Gao et al., 2020). This fresh and interesting approach to treatment has the potential to improve upon the success of more established treatments. </w:t>
      </w:r>
    </w:p>
    <w:p w14:paraId="00000022"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their digital mental health journey, users can adjust the therapeutic activities they complete to better suit their individual needs. In order to fully realize MindScape's potential, its limitations must be exposed and fixed. Problems with the cost and accessibility of virtual reality technology, such as the required headgear, may reduce the intervention's reach and exacerbate the already </w:t>
      </w:r>
      <w:r>
        <w:rPr>
          <w:rFonts w:ascii="Times New Roman" w:eastAsia="Times New Roman" w:hAnsi="Times New Roman" w:cs="Times New Roman"/>
          <w:sz w:val="24"/>
          <w:szCs w:val="24"/>
        </w:rPr>
        <w:lastRenderedPageBreak/>
        <w:t>severe scarcity of mental health professionals (Wilson et al., 2020). Ethical considerations, like as privacy and the proper curation of content in the virtual domain, require significant attention. MindScape hopes to establish partnerships with mental health organizations and community institutions to increase access to virtual reality experiences. Safe and responsible use of the technology is paramount, thus certain privacy safeguards and ethical standards will be put in place (Silva et al., 2021).</w:t>
      </w:r>
    </w:p>
    <w:p w14:paraId="00000023"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MindScape has made great gains in the field of mental health promotion thanks to its capacity to tailor the virtual reality experience to each individual user. Results are promising, yet MindScape will not be fully realized until measures are taken to increase accessibility and address ethical problems.</w:t>
      </w:r>
    </w:p>
    <w:p w14:paraId="00000024" w14:textId="77777777" w:rsidR="003700C1" w:rsidRDefault="003700C1">
      <w:pPr>
        <w:spacing w:line="360" w:lineRule="auto"/>
        <w:jc w:val="both"/>
        <w:rPr>
          <w:rFonts w:ascii="Times New Roman" w:eastAsia="Times New Roman" w:hAnsi="Times New Roman" w:cs="Times New Roman"/>
          <w:sz w:val="24"/>
          <w:szCs w:val="24"/>
        </w:rPr>
      </w:pPr>
    </w:p>
    <w:p w14:paraId="00000025" w14:textId="77777777" w:rsidR="003700C1" w:rsidRDefault="00000000">
      <w:pPr>
        <w:spacing w:line="360" w:lineRule="auto"/>
        <w:jc w:val="both"/>
        <w:rPr>
          <w:rFonts w:ascii="Times New Roman" w:eastAsia="Times New Roman" w:hAnsi="Times New Roman" w:cs="Times New Roman"/>
          <w:b/>
          <w:sz w:val="24"/>
          <w:szCs w:val="24"/>
        </w:rPr>
      </w:pPr>
      <w:r>
        <w:br w:type="page"/>
      </w:r>
    </w:p>
    <w:p w14:paraId="00000026" w14:textId="77777777" w:rsidR="003700C1" w:rsidRDefault="00000000">
      <w:pPr>
        <w:pStyle w:val="Heading2"/>
      </w:pPr>
      <w:bookmarkStart w:id="3" w:name="_heading=h.ehi6g9bi07jp" w:colFirst="0" w:colLast="0"/>
      <w:bookmarkEnd w:id="3"/>
      <w:r>
        <w:lastRenderedPageBreak/>
        <w:t>Reference</w:t>
      </w:r>
    </w:p>
    <w:p w14:paraId="00000027"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Cordeiro, J.V., 2021. Digital technologies and data science as health enablers: an outline of appealing promises and compelling ethical, legal, and social challenges. </w:t>
      </w:r>
      <w:r>
        <w:rPr>
          <w:rFonts w:ascii="Times New Roman" w:eastAsia="Times New Roman" w:hAnsi="Times New Roman" w:cs="Times New Roman"/>
          <w:i/>
          <w:sz w:val="24"/>
          <w:szCs w:val="24"/>
        </w:rPr>
        <w:t>Frontiers in Medicine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w:t>
      </w:r>
      <w:r>
        <w:rPr>
          <w:rFonts w:ascii="Times New Roman" w:eastAsia="Times New Roman" w:hAnsi="Times New Roman" w:cs="Times New Roman"/>
          <w:sz w:val="24"/>
          <w:szCs w:val="24"/>
        </w:rPr>
        <w:t xml:space="preserve">, p.647897. </w:t>
      </w:r>
    </w:p>
    <w:p w14:paraId="00000028"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Gao, Z., Lee, J.E., McDonough, D.J. and Albers, C., 2020. Virtual reality exercise as a coping strategy for health and wellness promotion in older adults during the COVID-19 pandemic. </w:t>
      </w:r>
      <w:r>
        <w:rPr>
          <w:rFonts w:ascii="Times New Roman" w:eastAsia="Times New Roman" w:hAnsi="Times New Roman" w:cs="Times New Roman"/>
          <w:i/>
          <w:sz w:val="24"/>
          <w:szCs w:val="24"/>
        </w:rPr>
        <w:t>Journal of clinical medicine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 xml:space="preserve">(6), p.1986. </w:t>
      </w:r>
    </w:p>
    <w:p w14:paraId="00000029"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 J.P.O., Liu, H., Ting, D.S., Jeon, S., Chan, R.P., Kim, J.E., Sim, D.A., Thomas, P.B., Lin, H., Chen, Y. and Sakomoto, T., 2021. Digital technology, tele-medicine and artificial intelligence in ophthalmology: A global perspective. </w:t>
      </w:r>
      <w:r>
        <w:rPr>
          <w:rFonts w:ascii="Times New Roman" w:eastAsia="Times New Roman" w:hAnsi="Times New Roman" w:cs="Times New Roman"/>
          <w:i/>
          <w:sz w:val="24"/>
          <w:szCs w:val="24"/>
        </w:rPr>
        <w:t>Progress in retinal and eye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82</w:t>
      </w:r>
      <w:r>
        <w:rPr>
          <w:rFonts w:ascii="Times New Roman" w:eastAsia="Times New Roman" w:hAnsi="Times New Roman" w:cs="Times New Roman"/>
          <w:sz w:val="24"/>
          <w:szCs w:val="24"/>
        </w:rPr>
        <w:t xml:space="preserve">, p.100900. </w:t>
      </w:r>
    </w:p>
    <w:p w14:paraId="0000002A"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Nielsen, P. and Sahay, S., 2022. A critical review of the role of technology and context in digital health research. </w:t>
      </w:r>
      <w:r>
        <w:rPr>
          <w:rFonts w:ascii="Times New Roman" w:eastAsia="Times New Roman" w:hAnsi="Times New Roman" w:cs="Times New Roman"/>
          <w:i/>
          <w:sz w:val="24"/>
          <w:szCs w:val="24"/>
        </w:rPr>
        <w:t>Digital health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w:t>
      </w:r>
      <w:r>
        <w:rPr>
          <w:rFonts w:ascii="Times New Roman" w:eastAsia="Times New Roman" w:hAnsi="Times New Roman" w:cs="Times New Roman"/>
          <w:sz w:val="24"/>
          <w:szCs w:val="24"/>
        </w:rPr>
        <w:t xml:space="preserve">, p.20552076221109554. </w:t>
      </w:r>
    </w:p>
    <w:p w14:paraId="0000002B"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 D., Tassanaviboon, A., Arpnikanondt, C. and Papasratorn, B., 2019. Quality of experience of smart-wearables: From fitness-bands to smartwatches. </w:t>
      </w:r>
      <w:r>
        <w:rPr>
          <w:rFonts w:ascii="Times New Roman" w:eastAsia="Times New Roman" w:hAnsi="Times New Roman" w:cs="Times New Roman"/>
          <w:i/>
          <w:sz w:val="24"/>
          <w:szCs w:val="24"/>
        </w:rPr>
        <w:t>IEEE Consumer Electronics Magazine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 xml:space="preserve">(1), pp.49-53. </w:t>
      </w:r>
    </w:p>
    <w:p w14:paraId="0000002C"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Saleem, M., Kühne, L., De Santis, K.K., Christianson, L., Brand, T. and Busse, H., 2021. Understanding engagement strategies in digital interventions for mental health promotion: scoping review. </w:t>
      </w:r>
      <w:r>
        <w:rPr>
          <w:rFonts w:ascii="Times New Roman" w:eastAsia="Times New Roman" w:hAnsi="Times New Roman" w:cs="Times New Roman"/>
          <w:i/>
          <w:sz w:val="24"/>
          <w:szCs w:val="24"/>
        </w:rPr>
        <w:t>JMIR mental health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w:t>
      </w:r>
      <w:r>
        <w:rPr>
          <w:rFonts w:ascii="Times New Roman" w:eastAsia="Times New Roman" w:hAnsi="Times New Roman" w:cs="Times New Roman"/>
          <w:sz w:val="24"/>
          <w:szCs w:val="24"/>
        </w:rPr>
        <w:t xml:space="preserve">(12), p.e30000. </w:t>
      </w:r>
    </w:p>
    <w:p w14:paraId="0000002D"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Silva, T.C., Carvalho, A.G.D., Tholl, A.D., Borrego, M.A.R., Soto, P.J.L. and Viegas, S.M.D.F., 2021. Technosociality in the daily lives of primary care professionals and health promotion: scoping review. </w:t>
      </w:r>
      <w:r>
        <w:rPr>
          <w:rFonts w:ascii="Times New Roman" w:eastAsia="Times New Roman" w:hAnsi="Times New Roman" w:cs="Times New Roman"/>
          <w:i/>
          <w:sz w:val="24"/>
          <w:szCs w:val="24"/>
        </w:rPr>
        <w:t>Saúde em Debate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45</w:t>
      </w:r>
      <w:r>
        <w:rPr>
          <w:rFonts w:ascii="Times New Roman" w:eastAsia="Times New Roman" w:hAnsi="Times New Roman" w:cs="Times New Roman"/>
          <w:sz w:val="24"/>
          <w:szCs w:val="24"/>
        </w:rPr>
        <w:t xml:space="preserve">, pp.1183-1198. </w:t>
      </w:r>
    </w:p>
    <w:p w14:paraId="0000002E"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 L. and Zhang, C., 2020. Do Wearable Devices Change Behavior? A Study of Smart Fitness Trackers. </w:t>
      </w:r>
      <w:r>
        <w:rPr>
          <w:rFonts w:ascii="Times New Roman" w:eastAsia="Times New Roman" w:hAnsi="Times New Roman" w:cs="Times New Roman"/>
          <w:i/>
          <w:sz w:val="24"/>
          <w:szCs w:val="24"/>
        </w:rPr>
        <w:t>The Journal of Information Systems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29</w:t>
      </w:r>
      <w:r>
        <w:rPr>
          <w:rFonts w:ascii="Times New Roman" w:eastAsia="Times New Roman" w:hAnsi="Times New Roman" w:cs="Times New Roman"/>
          <w:sz w:val="24"/>
          <w:szCs w:val="24"/>
        </w:rPr>
        <w:t xml:space="preserve">(1), pp.201-224. </w:t>
      </w:r>
    </w:p>
    <w:p w14:paraId="0000002F"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Wilson, C.B., Slade, C., Wong, W.Y.A. and Peacock, A., 2020. Health care students experience of using digital technology in patient care: a scoping review of the literature. </w:t>
      </w:r>
      <w:r>
        <w:rPr>
          <w:rFonts w:ascii="Times New Roman" w:eastAsia="Times New Roman" w:hAnsi="Times New Roman" w:cs="Times New Roman"/>
          <w:i/>
          <w:sz w:val="24"/>
          <w:szCs w:val="24"/>
        </w:rPr>
        <w:t>Nurse Education Today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95</w:t>
      </w:r>
      <w:r>
        <w:rPr>
          <w:rFonts w:ascii="Times New Roman" w:eastAsia="Times New Roman" w:hAnsi="Times New Roman" w:cs="Times New Roman"/>
          <w:sz w:val="24"/>
          <w:szCs w:val="24"/>
        </w:rPr>
        <w:t xml:space="preserve">, p.104580. </w:t>
      </w:r>
    </w:p>
    <w:p w14:paraId="00000030"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Woessner, M.N., Tacey, A., Levinger-Limor, A., Parker, A.G., Levinger, P. and Levinger, I., 2021. The evolution of technology and physical inactivity: the good, the bad, and the way forward. </w:t>
      </w:r>
      <w:r>
        <w:rPr>
          <w:rFonts w:ascii="Times New Roman" w:eastAsia="Times New Roman" w:hAnsi="Times New Roman" w:cs="Times New Roman"/>
          <w:i/>
          <w:sz w:val="24"/>
          <w:szCs w:val="24"/>
        </w:rPr>
        <w:t>Frontiers in public health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 xml:space="preserve">, p.655491. </w:t>
      </w:r>
    </w:p>
    <w:p w14:paraId="00000031" w14:textId="77777777" w:rsidR="003700C1" w:rsidRDefault="00000000">
      <w:pPr>
        <w:spacing w:line="360" w:lineRule="auto"/>
        <w:jc w:val="both"/>
        <w:rPr>
          <w:rFonts w:ascii="Times New Roman" w:eastAsia="Times New Roman" w:hAnsi="Times New Roman" w:cs="Times New Roman"/>
          <w:b/>
          <w:sz w:val="24"/>
          <w:szCs w:val="24"/>
        </w:rPr>
      </w:pPr>
      <w:r>
        <w:br w:type="page"/>
      </w:r>
    </w:p>
    <w:p w14:paraId="00000032" w14:textId="77777777" w:rsidR="003700C1" w:rsidRDefault="00000000">
      <w:pPr>
        <w:pStyle w:val="Heading1"/>
        <w:rPr>
          <w:b w:val="0"/>
        </w:rPr>
      </w:pPr>
      <w:bookmarkStart w:id="4" w:name="_heading=h.r0ybqdr375uu" w:colFirst="0" w:colLast="0"/>
      <w:bookmarkEnd w:id="4"/>
      <w:r>
        <w:lastRenderedPageBreak/>
        <w:t>Task 2: Poster</w:t>
      </w:r>
    </w:p>
    <w:p w14:paraId="00000033" w14:textId="77777777" w:rsidR="003700C1" w:rsidRDefault="00000000">
      <w:pPr>
        <w:pStyle w:val="Heading2"/>
      </w:pPr>
      <w:bookmarkStart w:id="5" w:name="_heading=h.1fob9te" w:colFirst="0" w:colLast="0"/>
      <w:bookmarkEnd w:id="5"/>
      <w:r>
        <w:t>Background</w:t>
      </w:r>
    </w:p>
    <w:p w14:paraId="00000034" w14:textId="77777777" w:rsidR="003700C1" w:rsidRDefault="00000000">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Disparities in mental health care is a shockingly widespread issue in the world's public health systems, impacting people of all ages, socioeconomic backgrounds, and ethnicities.</w:t>
      </w:r>
    </w:p>
    <w:p w14:paraId="00000035" w14:textId="77777777" w:rsidR="003700C1" w:rsidRDefault="00000000">
      <w:pPr>
        <w:numPr>
          <w:ilvl w:val="0"/>
          <w:numId w:val="1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in four people may have a mental health issue in their lifetime, according to the World Health Organization (Bull et al., 2020).</w:t>
      </w:r>
    </w:p>
    <w:p w14:paraId="00000036" w14:textId="77777777" w:rsidR="003700C1"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widespread nature of mental health problems, there is a significant treatment gap; numerous barriers prevent people from receiving standard therapies.</w:t>
      </w:r>
    </w:p>
    <w:p w14:paraId="00000037" w14:textId="77777777" w:rsidR="003700C1" w:rsidRDefault="00000000">
      <w:pPr>
        <w:numPr>
          <w:ilvl w:val="0"/>
          <w:numId w:val="1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combat these disparities, many public health initiatives have been created, using both digital and non-digital technologies (Hale et al., 2020).</w:t>
      </w:r>
    </w:p>
    <w:p w14:paraId="00000038" w14:textId="77777777" w:rsidR="003700C1" w:rsidRDefault="00000000">
      <w:pPr>
        <w:numPr>
          <w:ilvl w:val="0"/>
          <w:numId w:val="2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Traditional interventions include in-person therapy sessions, community-based support groups, and awareness campaigns.</w:t>
      </w:r>
    </w:p>
    <w:p w14:paraId="00000039" w14:textId="77777777" w:rsidR="003700C1" w:rsidRDefault="00000000">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 these methods have helped some people, many others have not received the care they need due to issues with cost, availability, and stigma.</w:t>
      </w:r>
    </w:p>
    <w:p w14:paraId="0000003A" w14:textId="77777777" w:rsidR="003700C1" w:rsidRDefault="00000000">
      <w:pPr>
        <w:numPr>
          <w:ilvl w:val="0"/>
          <w:numId w:val="2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Numerous online initiatives of varying forms have developed to address these voids.</w:t>
      </w:r>
    </w:p>
    <w:p w14:paraId="0000003B" w14:textId="77777777" w:rsidR="003700C1" w:rsidRDefault="00000000">
      <w:pPr>
        <w:numPr>
          <w:ilvl w:val="0"/>
          <w:numId w:val="1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rise in popularity of mobile mental health apps, for example, can be attributed to their capacity to circumvent logistical hurdles like distance and scheduling conflicts (Haleem et al., 2021).</w:t>
      </w:r>
    </w:p>
    <w:p w14:paraId="0000003C" w14:textId="77777777" w:rsidR="003700C1" w:rsidRDefault="00000000">
      <w:pPr>
        <w:numPr>
          <w:ilvl w:val="0"/>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Some of how these apps facilitate mental health care are through mood tracking, guided relaxation exercises, and access to online support groups.</w:t>
      </w:r>
    </w:p>
    <w:p w14:paraId="0000003D" w14:textId="77777777" w:rsidR="003700C1"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MindMate, in this sense, is illustrative of a class of useful digital health solutions.</w:t>
      </w:r>
    </w:p>
    <w:p w14:paraId="0000003E" w14:textId="77777777" w:rsidR="003700C1" w:rsidRDefault="00000000">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smartphone app seeks to provide a holistic platform for mental health by integrating AI with best practices in evidence-based treatment (Tønning et al., 2021).</w:t>
      </w:r>
    </w:p>
    <w:p w14:paraId="0000003F" w14:textId="77777777" w:rsidR="003700C1" w:rsidRDefault="00000000">
      <w:pPr>
        <w:numPr>
          <w:ilvl w:val="0"/>
          <w:numId w:val="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MindMate's goal is to transform mental health treatment by linking individuals with individualized programs that are sensitive to their specific requirements and levels of motivation.</w:t>
      </w:r>
    </w:p>
    <w:p w14:paraId="00000040" w14:textId="77777777" w:rsidR="003700C1" w:rsidRDefault="00000000">
      <w:pPr>
        <w:numPr>
          <w:ilvl w:val="0"/>
          <w:numId w:val="1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the digital health inequality that exists in the culture, MindMate was built with these purposes in mind.</w:t>
      </w:r>
    </w:p>
    <w:p w14:paraId="00000041" w14:textId="77777777" w:rsidR="003700C1" w:rsidRDefault="00000000">
      <w:pPr>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MindMate's mission is to make mental health care accessible to anyone, regardless of socioeconomic status, by eliminating financial obstacles.</w:t>
      </w:r>
    </w:p>
    <w:p w14:paraId="00000042" w14:textId="77777777" w:rsidR="003700C1" w:rsidRDefault="003700C1">
      <w:pPr>
        <w:pStyle w:val="Heading2"/>
      </w:pPr>
    </w:p>
    <w:p w14:paraId="00000043" w14:textId="77777777" w:rsidR="003700C1" w:rsidRDefault="00000000">
      <w:pPr>
        <w:pStyle w:val="Heading2"/>
      </w:pPr>
      <w:bookmarkStart w:id="6" w:name="_heading=h.3znysh7" w:colFirst="0" w:colLast="0"/>
      <w:bookmarkEnd w:id="6"/>
      <w:r>
        <w:lastRenderedPageBreak/>
        <w:t>Health Promotion Values and Principles</w:t>
      </w:r>
    </w:p>
    <w:p w14:paraId="00000044" w14:textId="77777777" w:rsidR="003700C1" w:rsidRDefault="00000000">
      <w:pPr>
        <w:numPr>
          <w:ilvl w:val="0"/>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goals of health promotion interventions are to improve people's health and the health of their communities (Cassetti et al., 2020).</w:t>
      </w:r>
    </w:p>
    <w:p w14:paraId="00000045" w14:textId="77777777" w:rsidR="003700C1" w:rsidRDefault="00000000">
      <w:pPr>
        <w:numPr>
          <w:ilvl w:val="0"/>
          <w:numId w:val="2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Many initiatives to improve people's health are founded on the three pillars of equity, participation, and empowerment.</w:t>
      </w:r>
    </w:p>
    <w:p w14:paraId="00000046" w14:textId="77777777" w:rsidR="003700C1"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MindMate's level of alignment with these principles may be determined by dissecting the app's structure and objectives, as it is a digital intervention for mental health.</w:t>
      </w:r>
    </w:p>
    <w:p w14:paraId="00000047" w14:textId="77777777" w:rsidR="003700C1"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objective of health equity is to guarantee that everyone has the same possibilities to improve their health and succeed.</w:t>
      </w:r>
    </w:p>
    <w:p w14:paraId="00000048" w14:textId="77777777" w:rsidR="003700C1"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its struggle against the pervasive digital health disparity that exists in today's society, MindMate symbolizes this stance.</w:t>
      </w:r>
    </w:p>
    <w:p w14:paraId="00000049" w14:textId="77777777" w:rsidR="003700C1"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was taken into account throughout the program's development that not everyone owns a smartphone.</w:t>
      </w:r>
    </w:p>
    <w:p w14:paraId="0000004A" w14:textId="77777777" w:rsidR="003700C1" w:rsidRDefault="00000000">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MindMate is collaborating with nonprofits, creating low-cost access efforts, and making user-friendly interfaces in an effort to bridge the digital gap.</w:t>
      </w:r>
    </w:p>
    <w:p w14:paraId="0000004B" w14:textId="77777777" w:rsidR="003700C1" w:rsidRDefault="000000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MindMate's goal is to make its services accessible to people from all walks of life by eliminating technical barriers to doing so.</w:t>
      </w:r>
    </w:p>
    <w:p w14:paraId="0000004C" w14:textId="77777777" w:rsidR="003700C1" w:rsidRDefault="000000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Involving more people at all stages of healthcare decision-making is an important part of promoting health (Sousa et al., 2019).</w:t>
      </w:r>
    </w:p>
    <w:p w14:paraId="0000004D" w14:textId="77777777" w:rsidR="003700C1" w:rsidRDefault="000000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MindMate makes this idea more accessible by valuing communication and cooperation among its users.</w:t>
      </w:r>
    </w:p>
    <w:p w14:paraId="0000004E" w14:textId="77777777" w:rsidR="003700C1" w:rsidRDefault="000000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application makes it easier to connect with those who can relate through the use of internet forums.</w:t>
      </w:r>
    </w:p>
    <w:p w14:paraId="0000004F" w14:textId="77777777" w:rsidR="003700C1" w:rsidRDefault="000000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 yet not least, the value of education to empower people to make better health and wellness choices for themselves (Tzenios, 2020).</w:t>
      </w:r>
    </w:p>
    <w:p w14:paraId="00000050" w14:textId="77777777" w:rsidR="003700C1" w:rsidRDefault="000000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idea is exemplified by MindMate's emphasis on user agency and customisation.</w:t>
      </w:r>
    </w:p>
    <w:p w14:paraId="00000051" w14:textId="77777777" w:rsidR="003700C1" w:rsidRDefault="000000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app's features, such as mood tracking, goal setting, and guided relaxation exercises, will empower users to take charge of their mental health.</w:t>
      </w:r>
    </w:p>
    <w:p w14:paraId="00000052" w14:textId="77777777" w:rsidR="003700C1" w:rsidRDefault="00000000">
      <w:pPr>
        <w:numPr>
          <w:ilvl w:val="0"/>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MindMate's customized services encourage users to prioritize their mental health and seek help when they need it.</w:t>
      </w:r>
    </w:p>
    <w:p w14:paraId="00000053" w14:textId="77777777" w:rsidR="003700C1" w:rsidRDefault="00000000">
      <w:pPr>
        <w:numPr>
          <w:ilvl w:val="0"/>
          <w:numId w:val="2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MindMate's aim to create a positive space for people to discuss their mental health issues is bolstered by the fact that it is in line with health promotion ideals including equity, involvement, and empowerment.</w:t>
      </w:r>
    </w:p>
    <w:p w14:paraId="00000054" w14:textId="77777777" w:rsidR="003700C1" w:rsidRDefault="00000000">
      <w:pPr>
        <w:pStyle w:val="Heading2"/>
      </w:pPr>
      <w:bookmarkStart w:id="7" w:name="_heading=h.2et92p0" w:colFirst="0" w:colLast="0"/>
      <w:bookmarkEnd w:id="7"/>
      <w:r>
        <w:t xml:space="preserve">Behavior change theory </w:t>
      </w:r>
    </w:p>
    <w:p w14:paraId="00000055" w14:textId="77777777" w:rsidR="003700C1" w:rsidRDefault="00000000">
      <w:pPr>
        <w:numPr>
          <w:ilvl w:val="0"/>
          <w:numId w:val="1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theoretical foundation for any intervention that seeks to systematically influence an individual's behaviour is the Behaviour Change Theory (Teixeira et al., 2020).</w:t>
      </w:r>
    </w:p>
    <w:p w14:paraId="00000056" w14:textId="77777777" w:rsidR="003700C1" w:rsidRDefault="00000000">
      <w:pPr>
        <w:numPr>
          <w:ilvl w:val="0"/>
          <w:numId w:val="1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MindMate group has settled on using the Transtheoretical Model (TTM), a multi-stage framework for describing behaviour change.</w:t>
      </w:r>
    </w:p>
    <w:p w14:paraId="00000057" w14:textId="77777777" w:rsidR="003700C1" w:rsidRDefault="00000000">
      <w:pPr>
        <w:numPr>
          <w:ilvl w:val="0"/>
          <w:numId w:val="1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Recognizing the subtleties of TTM is crucial to the success of MindMate's features in accommodating users at any stage of their mental health journey (Kleis et al., 2020).</w:t>
      </w:r>
    </w:p>
    <w:p w14:paraId="00000058" w14:textId="77777777" w:rsidR="003700C1" w:rsidRDefault="00000000">
      <w:pPr>
        <w:numPr>
          <w:ilvl w:val="0"/>
          <w:numId w:val="1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Precontemplation, Contemplation, Preparation, Action, Maintenance, and Termination are the six phases that make up the Transtheoretical Model.</w:t>
      </w:r>
    </w:p>
    <w:p w14:paraId="00000059" w14:textId="77777777" w:rsidR="003700C1" w:rsidRDefault="00000000">
      <w:pPr>
        <w:numPr>
          <w:ilvl w:val="0"/>
          <w:numId w:val="1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Each stage represents a distinct level of readiness for adjusting one's behaviour, and individuals can progress through them at their own pace.</w:t>
      </w:r>
    </w:p>
    <w:p w14:paraId="0000005A" w14:textId="77777777" w:rsidR="003700C1" w:rsidRDefault="00000000">
      <w:pPr>
        <w:numPr>
          <w:ilvl w:val="0"/>
          <w:numId w:val="1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pre-contemplation stage, individuals are not yet considering behaviour change (Thigpen et al., 2019).</w:t>
      </w:r>
    </w:p>
    <w:p w14:paraId="0000005B" w14:textId="77777777" w:rsidR="003700C1" w:rsidRDefault="00000000">
      <w:pPr>
        <w:numPr>
          <w:ilvl w:val="0"/>
          <w:numId w:val="1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MindMate includes educational tools that convey the benefits of obtaining professional help for mental health difficulties in a non-threatening manner, which might be helpful for taking this first step.</w:t>
      </w:r>
    </w:p>
    <w:p w14:paraId="0000005C" w14:textId="77777777" w:rsidR="003700C1" w:rsidRDefault="00000000">
      <w:pPr>
        <w:numPr>
          <w:ilvl w:val="0"/>
          <w:numId w:val="1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it highlights the potential benefits of involvement, MindMate prepares the path for cognition even among people who aren't actively seeking a shift in perspective.</w:t>
      </w:r>
    </w:p>
    <w:p w14:paraId="0000005D" w14:textId="77777777" w:rsidR="003700C1" w:rsidRDefault="00000000">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MindMate's mission is to propel its users to take action by introducing them to compelling information.</w:t>
      </w:r>
    </w:p>
    <w:p w14:paraId="0000005E" w14:textId="77777777" w:rsidR="003700C1" w:rsidRDefault="00000000">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new goal-setting tools in MindMate are meant to inspire users to develop actionable strategies for improving their mental well-being.</w:t>
      </w:r>
    </w:p>
    <w:p w14:paraId="0000005F" w14:textId="77777777" w:rsidR="003700C1" w:rsidRDefault="00000000">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Users go toward the Action stage by doing things like preparing for mindfulness exercises and establishing attainable goals for rating their mood.</w:t>
      </w:r>
    </w:p>
    <w:p w14:paraId="00000060" w14:textId="77777777" w:rsidR="003700C1" w:rsidRDefault="00000000">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Creating a new pattern begins with taking any form of action.</w:t>
      </w:r>
    </w:p>
    <w:p w14:paraId="00000061" w14:textId="77777777" w:rsidR="003700C1" w:rsidRDefault="00000000">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MindMate's built-in guided relaxation sessions, interactive activities, and real-time support make this phase more effective (Anomaly, 2023).</w:t>
      </w:r>
    </w:p>
    <w:p w14:paraId="00000062" w14:textId="77777777" w:rsidR="003700C1" w:rsidRDefault="00000000">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purpose of MindMate is to encourage proactive tactics for sustaining mental health by offering easy access to valuable tools that may be incorporated into daily life and utilized to reinforce positive behavioural changes.</w:t>
      </w:r>
    </w:p>
    <w:p w14:paraId="00000063" w14:textId="77777777" w:rsidR="003700C1" w:rsidRDefault="00000000">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order to keep its users engaged and productive, MindMate employees features such as reminders, tracking, and a 24/7 support network.</w:t>
      </w:r>
    </w:p>
    <w:p w14:paraId="00000064" w14:textId="77777777" w:rsidR="003700C1" w:rsidRDefault="00000000">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app's built-in social capabilities, users may encourage and motivate one another to stick to their positive mental habits despite the challenges they may face.</w:t>
      </w:r>
    </w:p>
    <w:p w14:paraId="00000065" w14:textId="77777777" w:rsidR="003700C1" w:rsidRDefault="00000000">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more moderate treatments, like Termination, are unavailable, MindMate aims to provide its users with the resilience and autonomy they'll need to keep their mental health in check.</w:t>
      </w:r>
    </w:p>
    <w:p w14:paraId="00000066" w14:textId="77777777" w:rsidR="003700C1" w:rsidRDefault="00000000">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Transtheoretical Model, MindMate tailors therapy sessions to each user's unique readiness for behavioural change (Hashemzadeh et al., 2019).</w:t>
      </w:r>
    </w:p>
    <w:p w14:paraId="00000067" w14:textId="77777777" w:rsidR="003700C1" w:rsidRDefault="00000000">
      <w:pPr>
        <w:numPr>
          <w:ilvl w:val="0"/>
          <w:numId w:val="2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carefully aligning the app's features with the many phases of TTM, MindMate hopes to have a profound effect on users' mental health behaviours and, ultimately, on their overall well-being for the long term.</w:t>
      </w:r>
    </w:p>
    <w:p w14:paraId="00000068" w14:textId="77777777" w:rsidR="003700C1" w:rsidRDefault="00000000">
      <w:pPr>
        <w:pStyle w:val="Heading2"/>
      </w:pPr>
      <w:bookmarkStart w:id="8" w:name="_heading=h.tyjcwt" w:colFirst="0" w:colLast="0"/>
      <w:bookmarkEnd w:id="8"/>
      <w:r>
        <w:t xml:space="preserve">Expected outcome </w:t>
      </w:r>
    </w:p>
    <w:p w14:paraId="00000069" w14:textId="77777777" w:rsidR="003700C1"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Many in the mental health community feel that if MindMate were to adopt the Transtheoretical Model (TTM), it would have far-reaching implications.</w:t>
      </w:r>
    </w:p>
    <w:p w14:paraId="0000006A" w14:textId="77777777" w:rsidR="003700C1"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the app's features match the stages of behaviour modification, it is hoped that the treatment gap in mental health will be reduced.</w:t>
      </w:r>
    </w:p>
    <w:p w14:paraId="0000006B" w14:textId="77777777" w:rsidR="003700C1"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MindMate is to help people go past the "Thinking and Wondering" phase of TTM and into "Doing" and "Keeping Up," where they are more likely to be successful in their attempts to enhance their mental health (Paakkari and Okan, 2020).</w:t>
      </w:r>
    </w:p>
    <w:p w14:paraId="0000006C" w14:textId="77777777" w:rsidR="003700C1"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Individuals are urged to take care of their mental health with the use of the app's individualized workouts, goal-setting tools, and online support groups.</w:t>
      </w:r>
    </w:p>
    <w:p w14:paraId="0000006D" w14:textId="77777777" w:rsidR="003700C1"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Everyone in the intended audience will have easy access to the resources and networks they need to maintain healthy mental well-being over time.</w:t>
      </w:r>
    </w:p>
    <w:p w14:paraId="0000006E" w14:textId="77777777" w:rsidR="003700C1"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goal is for the service's consumers to improve the population's average levels of literacy, self-sufficiency, and competence (dos Santos et al., 2019).</w:t>
      </w:r>
    </w:p>
    <w:p w14:paraId="0000006F" w14:textId="77777777" w:rsidR="003700C1"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Users will see the value in the app and help bring about a cultural shift toward proactive mental health management, a greater understanding of mental health, and less stigma.</w:t>
      </w:r>
    </w:p>
    <w:p w14:paraId="00000070" w14:textId="77777777" w:rsidR="003700C1" w:rsidRDefault="00000000">
      <w:pPr>
        <w:numPr>
          <w:ilvl w:val="0"/>
          <w:numId w:val="2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ultimate objectives are to reduce stigma, increase access to care, and mainstream discussions of mental health (McGorry et al., 2022).</w:t>
      </w:r>
    </w:p>
    <w:p w14:paraId="00000071" w14:textId="77777777" w:rsidR="003700C1" w:rsidRDefault="00000000">
      <w:pPr>
        <w:pStyle w:val="Heading2"/>
      </w:pPr>
      <w:bookmarkStart w:id="9" w:name="_heading=h.3dy6vkm" w:colFirst="0" w:colLast="0"/>
      <w:bookmarkEnd w:id="9"/>
      <w:r>
        <w:t>Conclusion</w:t>
      </w:r>
    </w:p>
    <w:p w14:paraId="00000072" w14:textId="77777777" w:rsidR="003700C1" w:rsidRDefault="00000000">
      <w:pPr>
        <w:numPr>
          <w:ilvl w:val="0"/>
          <w:numId w:val="9"/>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revolutionary potential of MindMate lies in its foundation in health promotion concepts, behavioural change theory, and a dedication to diversity and inclusiveness.</w:t>
      </w:r>
    </w:p>
    <w:p w14:paraId="00000073" w14:textId="77777777" w:rsidR="003700C1" w:rsidRDefault="00000000">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Since it streamlines access to liberatory, person-centred mental health care that is consistent with health promotion concepts, MindMate is at the forefront of digital health equity initiatives.</w:t>
      </w:r>
    </w:p>
    <w:p w14:paraId="00000074" w14:textId="77777777" w:rsidR="003700C1" w:rsidRDefault="00000000">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MindMate's adoption of the Transtheoretical Model (TTM) accelerates the process of behaviour change by elevating users' levels of self-awareness, introspection, and motivation.</w:t>
      </w:r>
    </w:p>
    <w:p w14:paraId="00000075" w14:textId="77777777" w:rsidR="003700C1" w:rsidRDefault="00000000">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objective is to decrease the treatment gap, and another is to increase individual accountability for one's mental health.</w:t>
      </w:r>
    </w:p>
    <w:p w14:paraId="00000076" w14:textId="77777777" w:rsidR="003700C1" w:rsidRDefault="00000000">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effects of MindMate on mental health policy, teaching, and research go far beyond the experiences of individual users.</w:t>
      </w:r>
    </w:p>
    <w:p w14:paraId="00000077" w14:textId="77777777" w:rsidR="003700C1" w:rsidRDefault="00000000">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this form of online treatment proves effective, it could have far-reaching implications for the use of digital technologies in mental health care and perhaps the law.</w:t>
      </w:r>
    </w:p>
    <w:p w14:paraId="00000078" w14:textId="77777777" w:rsidR="003700C1" w:rsidRDefault="00000000">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MindMate promotes mental wellness and contributes to a paradigm change through the use of digital technology in the classroom.</w:t>
      </w:r>
    </w:p>
    <w:p w14:paraId="00000079" w14:textId="77777777" w:rsidR="003700C1" w:rsidRDefault="00000000">
      <w:pPr>
        <w:numPr>
          <w:ilvl w:val="0"/>
          <w:numId w:val="18"/>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room for study into the long-term effectiveness and societal ramifications of digital therapy.</w:t>
      </w:r>
    </w:p>
    <w:p w14:paraId="0000007A" w14:textId="77777777" w:rsidR="003700C1" w:rsidRDefault="00000000">
      <w:pPr>
        <w:numPr>
          <w:ilvl w:val="0"/>
          <w:numId w:val="2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MindMate is at the vanguard of a technological revolution to enhance mental health, reduce stigma, and give people more control over their lives.</w:t>
      </w:r>
    </w:p>
    <w:p w14:paraId="0000007B" w14:textId="77777777" w:rsidR="003700C1"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app's holistic approach is consistent with health promotion principles, and it heralds a new era in which mental health care is not only freely accessible but actively welcomed, as an essential part of one's full well-being.</w:t>
      </w:r>
    </w:p>
    <w:p w14:paraId="0000007C" w14:textId="77777777" w:rsidR="003700C1" w:rsidRDefault="003700C1">
      <w:pPr>
        <w:spacing w:line="360" w:lineRule="auto"/>
        <w:ind w:left="720"/>
        <w:jc w:val="both"/>
        <w:rPr>
          <w:rFonts w:ascii="Times New Roman" w:eastAsia="Times New Roman" w:hAnsi="Times New Roman" w:cs="Times New Roman"/>
          <w:sz w:val="24"/>
          <w:szCs w:val="24"/>
        </w:rPr>
      </w:pPr>
    </w:p>
    <w:p w14:paraId="0000007D" w14:textId="77777777" w:rsidR="003700C1" w:rsidRDefault="00000000">
      <w:pPr>
        <w:spacing w:line="360" w:lineRule="auto"/>
        <w:jc w:val="both"/>
        <w:rPr>
          <w:rFonts w:ascii="Times New Roman" w:eastAsia="Times New Roman" w:hAnsi="Times New Roman" w:cs="Times New Roman"/>
          <w:b/>
          <w:sz w:val="24"/>
          <w:szCs w:val="24"/>
        </w:rPr>
      </w:pPr>
      <w:r>
        <w:br w:type="page"/>
      </w:r>
    </w:p>
    <w:p w14:paraId="0000007E" w14:textId="77777777" w:rsidR="003700C1" w:rsidRDefault="00000000">
      <w:pPr>
        <w:pStyle w:val="Heading2"/>
      </w:pPr>
      <w:bookmarkStart w:id="10" w:name="_heading=h.11nr5b2ndqhb" w:colFirst="0" w:colLast="0"/>
      <w:bookmarkEnd w:id="10"/>
      <w:r>
        <w:lastRenderedPageBreak/>
        <w:t>Reference</w:t>
      </w:r>
    </w:p>
    <w:p w14:paraId="0000007F"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Anomaly, J., 2023. What is public health? Public goods, publicized goods, and the conversion problem. </w:t>
      </w:r>
      <w:r>
        <w:rPr>
          <w:rFonts w:ascii="Times New Roman" w:eastAsia="Times New Roman" w:hAnsi="Times New Roman" w:cs="Times New Roman"/>
          <w:i/>
          <w:sz w:val="24"/>
          <w:szCs w:val="24"/>
        </w:rPr>
        <w:t>Public Choice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195</w:t>
      </w:r>
      <w:r>
        <w:rPr>
          <w:rFonts w:ascii="Times New Roman" w:eastAsia="Times New Roman" w:hAnsi="Times New Roman" w:cs="Times New Roman"/>
          <w:sz w:val="24"/>
          <w:szCs w:val="24"/>
        </w:rPr>
        <w:t xml:space="preserve">(1-2), pp.43-53. </w:t>
      </w:r>
    </w:p>
    <w:p w14:paraId="00000080" w14:textId="77777777" w:rsidR="003700C1"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Bull, F.C., Al-Ansari, S.S., Biddle, S., Borodulin, K., Buman, M.P., Cardon, G., Carty, C., Chaput, J.P., Chastin, S., Chou, R. and Dempsey, P.C., 2020. World Health Organization 2020 guidelines on physical activity and sedentary behaviour. </w:t>
      </w:r>
      <w:r>
        <w:rPr>
          <w:rFonts w:ascii="Times New Roman" w:eastAsia="Times New Roman" w:hAnsi="Times New Roman" w:cs="Times New Roman"/>
          <w:i/>
          <w:sz w:val="24"/>
          <w:szCs w:val="24"/>
        </w:rPr>
        <w:t>British journal of sports medicine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54</w:t>
      </w:r>
      <w:r>
        <w:rPr>
          <w:rFonts w:ascii="Times New Roman" w:eastAsia="Times New Roman" w:hAnsi="Times New Roman" w:cs="Times New Roman"/>
          <w:sz w:val="24"/>
          <w:szCs w:val="24"/>
        </w:rPr>
        <w:t xml:space="preserve">(24), pp.1451-1462. </w:t>
      </w:r>
    </w:p>
    <w:p w14:paraId="00000081"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Cassetti, V., Powell, K., Barnes, A. and Sanders, T., 2020. A systematic scoping review of asset-based approaches to promote health in communities: development of a framework. </w:t>
      </w:r>
      <w:r>
        <w:rPr>
          <w:rFonts w:ascii="Times New Roman" w:eastAsia="Times New Roman" w:hAnsi="Times New Roman" w:cs="Times New Roman"/>
          <w:i/>
          <w:sz w:val="24"/>
          <w:szCs w:val="24"/>
        </w:rPr>
        <w:t>Global Health Promotion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27</w:t>
      </w:r>
      <w:r>
        <w:rPr>
          <w:rFonts w:ascii="Times New Roman" w:eastAsia="Times New Roman" w:hAnsi="Times New Roman" w:cs="Times New Roman"/>
          <w:sz w:val="24"/>
          <w:szCs w:val="24"/>
        </w:rPr>
        <w:t xml:space="preserve">(3), pp.15-23. </w:t>
      </w:r>
    </w:p>
    <w:p w14:paraId="00000082"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dos Santos, B.S., Steiner, M.T.A., Fenerich, A.T. and Lima, R.H.P., 2019. Data mining and machine learning techniques applied to public health problems: A bibliometric analysis from 2009 to 2018. </w:t>
      </w:r>
      <w:r>
        <w:rPr>
          <w:rFonts w:ascii="Times New Roman" w:eastAsia="Times New Roman" w:hAnsi="Times New Roman" w:cs="Times New Roman"/>
          <w:i/>
          <w:sz w:val="24"/>
          <w:szCs w:val="24"/>
        </w:rPr>
        <w:t>Computers &amp; Industrial Engineering</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138</w:t>
      </w:r>
      <w:r>
        <w:rPr>
          <w:rFonts w:ascii="Times New Roman" w:eastAsia="Times New Roman" w:hAnsi="Times New Roman" w:cs="Times New Roman"/>
          <w:sz w:val="24"/>
          <w:szCs w:val="24"/>
        </w:rPr>
        <w:t xml:space="preserve">, p.106120. </w:t>
      </w:r>
    </w:p>
    <w:p w14:paraId="00000083"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Hale, L., Troxel, W. and Buysse, D.J., 2020. Sleep health: an opportunity for public health to address health equity. </w:t>
      </w:r>
      <w:r>
        <w:rPr>
          <w:rFonts w:ascii="Times New Roman" w:eastAsia="Times New Roman" w:hAnsi="Times New Roman" w:cs="Times New Roman"/>
          <w:i/>
          <w:sz w:val="24"/>
          <w:szCs w:val="24"/>
        </w:rPr>
        <w:t>Annual review of public health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41</w:t>
      </w:r>
      <w:r>
        <w:rPr>
          <w:rFonts w:ascii="Times New Roman" w:eastAsia="Times New Roman" w:hAnsi="Times New Roman" w:cs="Times New Roman"/>
          <w:sz w:val="24"/>
          <w:szCs w:val="24"/>
        </w:rPr>
        <w:t xml:space="preserve">, pp.81-99. </w:t>
      </w:r>
    </w:p>
    <w:p w14:paraId="00000084"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Haleem, A., Javaid, M., Singh, R.P. and Suman, R., 2021. Telemedicine for healthcare: Capabilities, features, barriers, and applications. </w:t>
      </w:r>
      <w:r>
        <w:rPr>
          <w:rFonts w:ascii="Times New Roman" w:eastAsia="Times New Roman" w:hAnsi="Times New Roman" w:cs="Times New Roman"/>
          <w:i/>
          <w:sz w:val="24"/>
          <w:szCs w:val="24"/>
        </w:rPr>
        <w:t>Sensors international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w:t>
      </w:r>
      <w:r>
        <w:rPr>
          <w:rFonts w:ascii="Times New Roman" w:eastAsia="Times New Roman" w:hAnsi="Times New Roman" w:cs="Times New Roman"/>
          <w:sz w:val="24"/>
          <w:szCs w:val="24"/>
        </w:rPr>
        <w:t xml:space="preserve">, p.100117. </w:t>
      </w:r>
    </w:p>
    <w:p w14:paraId="00000085"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Hashemzadeh, M., Rahimi, A., Zare-Farashbandi, F., Alavi-Naeini, A.M. and Daei, A., 2019. Transtheoretical model of health behavioral change: A systematic review. </w:t>
      </w:r>
      <w:r>
        <w:rPr>
          <w:rFonts w:ascii="Times New Roman" w:eastAsia="Times New Roman" w:hAnsi="Times New Roman" w:cs="Times New Roman"/>
          <w:i/>
          <w:sz w:val="24"/>
          <w:szCs w:val="24"/>
        </w:rPr>
        <w:t>Iranian journal of nursing and midwifery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24</w:t>
      </w:r>
      <w:r>
        <w:rPr>
          <w:rFonts w:ascii="Times New Roman" w:eastAsia="Times New Roman" w:hAnsi="Times New Roman" w:cs="Times New Roman"/>
          <w:sz w:val="24"/>
          <w:szCs w:val="24"/>
        </w:rPr>
        <w:t xml:space="preserve">(2), p.83. </w:t>
      </w:r>
    </w:p>
    <w:p w14:paraId="00000086"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Kleis, R.R., Hoch, M.C., Hogg-Graham, R. and Hoch, J.M., 2020. The effectiveness of the transtheoretical model to improve physical activity in healthy adults: a systematic review. </w:t>
      </w:r>
      <w:r>
        <w:rPr>
          <w:rFonts w:ascii="Times New Roman" w:eastAsia="Times New Roman" w:hAnsi="Times New Roman" w:cs="Times New Roman"/>
          <w:i/>
          <w:sz w:val="24"/>
          <w:szCs w:val="24"/>
        </w:rPr>
        <w:t>Journal of Physical Activity and Health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18</w:t>
      </w:r>
      <w:r>
        <w:rPr>
          <w:rFonts w:ascii="Times New Roman" w:eastAsia="Times New Roman" w:hAnsi="Times New Roman" w:cs="Times New Roman"/>
          <w:sz w:val="24"/>
          <w:szCs w:val="24"/>
        </w:rPr>
        <w:t xml:space="preserve">(1), pp.94-108. </w:t>
      </w:r>
    </w:p>
    <w:p w14:paraId="00000087"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McGorry, P.D., Mei, C., Chanen, A., Hodges, C., Alvarez‐Jimenez, M. and Killackey, E., 2022. Designing and scaling up integrated youth mental health care. </w:t>
      </w:r>
      <w:r>
        <w:rPr>
          <w:rFonts w:ascii="Times New Roman" w:eastAsia="Times New Roman" w:hAnsi="Times New Roman" w:cs="Times New Roman"/>
          <w:i/>
          <w:sz w:val="24"/>
          <w:szCs w:val="24"/>
        </w:rPr>
        <w:t>World Psychiatry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21</w:t>
      </w:r>
      <w:r>
        <w:rPr>
          <w:rFonts w:ascii="Times New Roman" w:eastAsia="Times New Roman" w:hAnsi="Times New Roman" w:cs="Times New Roman"/>
          <w:sz w:val="24"/>
          <w:szCs w:val="24"/>
        </w:rPr>
        <w:t xml:space="preserve">(1), pp.61-76. </w:t>
      </w:r>
    </w:p>
    <w:p w14:paraId="00000088"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Paakkari, L. and Okan, O., 2020. COVID-19: health literacy is an underestimated problem. </w:t>
      </w:r>
      <w:r>
        <w:rPr>
          <w:rFonts w:ascii="Times New Roman" w:eastAsia="Times New Roman" w:hAnsi="Times New Roman" w:cs="Times New Roman"/>
          <w:i/>
          <w:sz w:val="24"/>
          <w:szCs w:val="24"/>
        </w:rPr>
        <w:t>The Lancet Public Health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w:t>
      </w:r>
      <w:r>
        <w:rPr>
          <w:rFonts w:ascii="Times New Roman" w:eastAsia="Times New Roman" w:hAnsi="Times New Roman" w:cs="Times New Roman"/>
          <w:sz w:val="24"/>
          <w:szCs w:val="24"/>
        </w:rPr>
        <w:t xml:space="preserve">(5), pp.e249-e250. </w:t>
      </w:r>
    </w:p>
    <w:p w14:paraId="00000089"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Sousa, M.J., Pesqueira, A.M., Lemos, C., Sousa, M. and Rocha, Á., 2019. Decision-making based on big data analytics for people management in healthcare organizations. </w:t>
      </w:r>
      <w:r>
        <w:rPr>
          <w:rFonts w:ascii="Times New Roman" w:eastAsia="Times New Roman" w:hAnsi="Times New Roman" w:cs="Times New Roman"/>
          <w:i/>
          <w:sz w:val="24"/>
          <w:szCs w:val="24"/>
        </w:rPr>
        <w:t>Journal of medical systems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43</w:t>
      </w:r>
      <w:r>
        <w:rPr>
          <w:rFonts w:ascii="Times New Roman" w:eastAsia="Times New Roman" w:hAnsi="Times New Roman" w:cs="Times New Roman"/>
          <w:sz w:val="24"/>
          <w:szCs w:val="24"/>
        </w:rPr>
        <w:t xml:space="preserve">, pp.1-10. </w:t>
      </w:r>
    </w:p>
    <w:p w14:paraId="0000008A"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Teixeira, P.J., Marques, M.M., Silva, M.N., Brunet, J., Duda, J.L., Haerens, L., La Guardia, J., Lindwall, M., Lonsdale, C., Markland, D. and Michie, S., 2020. A classification of motivation and behavior change techniques used in self-determination theory-based interventions in health contexts. </w:t>
      </w:r>
      <w:r>
        <w:rPr>
          <w:rFonts w:ascii="Times New Roman" w:eastAsia="Times New Roman" w:hAnsi="Times New Roman" w:cs="Times New Roman"/>
          <w:i/>
          <w:sz w:val="24"/>
          <w:szCs w:val="24"/>
        </w:rPr>
        <w:t>Motivation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w:t>
      </w:r>
      <w:r>
        <w:rPr>
          <w:rFonts w:ascii="Times New Roman" w:eastAsia="Times New Roman" w:hAnsi="Times New Roman" w:cs="Times New Roman"/>
          <w:sz w:val="24"/>
          <w:szCs w:val="24"/>
        </w:rPr>
        <w:t xml:space="preserve">(4), p.438.  </w:t>
      </w:r>
    </w:p>
    <w:p w14:paraId="0000008B"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Thigpen, C., Fischer, J., Nelson, T., Therrien, S., Fuller, D., Gauvin, L. and Winters, M., 2019. Who is ready to bicycle? Categorizing and mapping bicyclists with behavior change concepts. </w:t>
      </w:r>
      <w:r>
        <w:rPr>
          <w:rFonts w:ascii="Times New Roman" w:eastAsia="Times New Roman" w:hAnsi="Times New Roman" w:cs="Times New Roman"/>
          <w:i/>
          <w:sz w:val="24"/>
          <w:szCs w:val="24"/>
        </w:rPr>
        <w:t>Transport policy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82</w:t>
      </w:r>
      <w:r>
        <w:rPr>
          <w:rFonts w:ascii="Times New Roman" w:eastAsia="Times New Roman" w:hAnsi="Times New Roman" w:cs="Times New Roman"/>
          <w:sz w:val="24"/>
          <w:szCs w:val="24"/>
        </w:rPr>
        <w:t xml:space="preserve">, pp.11-17. </w:t>
      </w:r>
    </w:p>
    <w:p w14:paraId="0000008C"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Tzenios, N., 2020. Clustering Students for Personalized Health Education Based on Learning Styles. </w:t>
      </w:r>
      <w:r>
        <w:rPr>
          <w:rFonts w:ascii="Times New Roman" w:eastAsia="Times New Roman" w:hAnsi="Times New Roman" w:cs="Times New Roman"/>
          <w:i/>
          <w:sz w:val="24"/>
          <w:szCs w:val="24"/>
        </w:rPr>
        <w:t>Sage Science Review of Educational Technology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w:t>
      </w:r>
      <w:r>
        <w:rPr>
          <w:rFonts w:ascii="Times New Roman" w:eastAsia="Times New Roman" w:hAnsi="Times New Roman" w:cs="Times New Roman"/>
          <w:sz w:val="24"/>
          <w:szCs w:val="24"/>
        </w:rPr>
        <w:t xml:space="preserve">(1), pp.22-36. </w:t>
      </w:r>
    </w:p>
    <w:p w14:paraId="0000008D" w14:textId="77777777" w:rsidR="003700C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Tønning, M.L., Faurholt-Jepsen, M., Frost, M., Martiny, K., Tuxen, N., Rosenberg, N., Busk, J., Winther, O., Melbye, S.A., Thaysen-Petersen, D. and Aamund, K.A., 2021. The effect of smartphone-based monitoring and treatment on the rate and duration of psychiatric readmission in patients with unipolar depressive disorder: the RADMIS randomized controlled trial. </w:t>
      </w:r>
      <w:r>
        <w:rPr>
          <w:rFonts w:ascii="Times New Roman" w:eastAsia="Times New Roman" w:hAnsi="Times New Roman" w:cs="Times New Roman"/>
          <w:i/>
          <w:sz w:val="24"/>
          <w:szCs w:val="24"/>
        </w:rPr>
        <w:t>Journal of Affective Disorders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282</w:t>
      </w:r>
      <w:r>
        <w:rPr>
          <w:rFonts w:ascii="Times New Roman" w:eastAsia="Times New Roman" w:hAnsi="Times New Roman" w:cs="Times New Roman"/>
          <w:sz w:val="24"/>
          <w:szCs w:val="24"/>
        </w:rPr>
        <w:t xml:space="preserve">, pp.354-363. </w:t>
      </w:r>
    </w:p>
    <w:p w14:paraId="0000008E" w14:textId="77777777" w:rsidR="003700C1" w:rsidRDefault="003700C1">
      <w:pPr>
        <w:spacing w:line="360" w:lineRule="auto"/>
        <w:jc w:val="both"/>
        <w:rPr>
          <w:rFonts w:ascii="Times New Roman" w:eastAsia="Times New Roman" w:hAnsi="Times New Roman" w:cs="Times New Roman"/>
          <w:sz w:val="24"/>
          <w:szCs w:val="24"/>
        </w:rPr>
      </w:pPr>
    </w:p>
    <w:p w14:paraId="0000008F" w14:textId="77777777" w:rsidR="003700C1" w:rsidRDefault="003700C1">
      <w:pPr>
        <w:spacing w:line="360" w:lineRule="auto"/>
        <w:jc w:val="both"/>
        <w:rPr>
          <w:rFonts w:ascii="Times New Roman" w:eastAsia="Times New Roman" w:hAnsi="Times New Roman" w:cs="Times New Roman"/>
          <w:sz w:val="24"/>
          <w:szCs w:val="24"/>
        </w:rPr>
      </w:pPr>
    </w:p>
    <w:p w14:paraId="00000090" w14:textId="77777777" w:rsidR="003700C1" w:rsidRDefault="003700C1">
      <w:pPr>
        <w:spacing w:line="360" w:lineRule="auto"/>
        <w:jc w:val="both"/>
        <w:rPr>
          <w:rFonts w:ascii="Times New Roman" w:eastAsia="Times New Roman" w:hAnsi="Times New Roman" w:cs="Times New Roman"/>
          <w:sz w:val="24"/>
          <w:szCs w:val="24"/>
        </w:rPr>
      </w:pPr>
    </w:p>
    <w:p w14:paraId="00000091" w14:textId="77777777" w:rsidR="003700C1" w:rsidRDefault="003700C1">
      <w:pPr>
        <w:spacing w:line="360" w:lineRule="auto"/>
        <w:jc w:val="both"/>
        <w:rPr>
          <w:rFonts w:ascii="Times New Roman" w:eastAsia="Times New Roman" w:hAnsi="Times New Roman" w:cs="Times New Roman"/>
          <w:sz w:val="24"/>
          <w:szCs w:val="24"/>
        </w:rPr>
      </w:pPr>
    </w:p>
    <w:p w14:paraId="00000092" w14:textId="77777777" w:rsidR="003700C1" w:rsidRDefault="003700C1">
      <w:pPr>
        <w:spacing w:line="360" w:lineRule="auto"/>
        <w:jc w:val="both"/>
        <w:rPr>
          <w:rFonts w:ascii="Times New Roman" w:eastAsia="Times New Roman" w:hAnsi="Times New Roman" w:cs="Times New Roman"/>
          <w:sz w:val="24"/>
          <w:szCs w:val="24"/>
        </w:rPr>
      </w:pPr>
    </w:p>
    <w:p w14:paraId="00000093" w14:textId="77777777" w:rsidR="003700C1" w:rsidRDefault="003700C1">
      <w:pPr>
        <w:spacing w:line="360" w:lineRule="auto"/>
        <w:jc w:val="both"/>
        <w:rPr>
          <w:rFonts w:ascii="Times New Roman" w:eastAsia="Times New Roman" w:hAnsi="Times New Roman" w:cs="Times New Roman"/>
          <w:sz w:val="24"/>
          <w:szCs w:val="24"/>
        </w:rPr>
      </w:pPr>
    </w:p>
    <w:p w14:paraId="00000094" w14:textId="77777777" w:rsidR="003700C1" w:rsidRDefault="003700C1">
      <w:pPr>
        <w:spacing w:line="360" w:lineRule="auto"/>
        <w:jc w:val="both"/>
        <w:rPr>
          <w:rFonts w:ascii="Times New Roman" w:eastAsia="Times New Roman" w:hAnsi="Times New Roman" w:cs="Times New Roman"/>
          <w:sz w:val="24"/>
          <w:szCs w:val="24"/>
        </w:rPr>
      </w:pPr>
    </w:p>
    <w:p w14:paraId="00000095" w14:textId="77777777" w:rsidR="003700C1" w:rsidRDefault="003700C1">
      <w:pPr>
        <w:spacing w:line="360" w:lineRule="auto"/>
        <w:jc w:val="both"/>
        <w:rPr>
          <w:rFonts w:ascii="Times New Roman" w:eastAsia="Times New Roman" w:hAnsi="Times New Roman" w:cs="Times New Roman"/>
          <w:sz w:val="24"/>
          <w:szCs w:val="24"/>
        </w:rPr>
      </w:pPr>
    </w:p>
    <w:p w14:paraId="00000096" w14:textId="77777777" w:rsidR="003700C1" w:rsidRDefault="003700C1">
      <w:pPr>
        <w:spacing w:line="360" w:lineRule="auto"/>
        <w:jc w:val="both"/>
        <w:rPr>
          <w:rFonts w:ascii="Times New Roman" w:eastAsia="Times New Roman" w:hAnsi="Times New Roman" w:cs="Times New Roman"/>
          <w:sz w:val="24"/>
          <w:szCs w:val="24"/>
        </w:rPr>
      </w:pPr>
    </w:p>
    <w:p w14:paraId="00000097" w14:textId="77777777" w:rsidR="003700C1" w:rsidRDefault="003700C1">
      <w:pPr>
        <w:spacing w:line="360" w:lineRule="auto"/>
        <w:jc w:val="both"/>
        <w:rPr>
          <w:rFonts w:ascii="Times New Roman" w:eastAsia="Times New Roman" w:hAnsi="Times New Roman" w:cs="Times New Roman"/>
          <w:sz w:val="24"/>
          <w:szCs w:val="24"/>
        </w:rPr>
      </w:pPr>
    </w:p>
    <w:p w14:paraId="00000098" w14:textId="77777777" w:rsidR="003700C1" w:rsidRDefault="003700C1">
      <w:pPr>
        <w:spacing w:line="360" w:lineRule="auto"/>
        <w:jc w:val="both"/>
        <w:rPr>
          <w:rFonts w:ascii="Times New Roman" w:eastAsia="Times New Roman" w:hAnsi="Times New Roman" w:cs="Times New Roman"/>
          <w:sz w:val="24"/>
          <w:szCs w:val="24"/>
        </w:rPr>
      </w:pPr>
    </w:p>
    <w:p w14:paraId="00000099" w14:textId="77777777" w:rsidR="003700C1" w:rsidRDefault="003700C1">
      <w:pPr>
        <w:spacing w:line="360" w:lineRule="auto"/>
        <w:jc w:val="both"/>
        <w:rPr>
          <w:rFonts w:ascii="Times New Roman" w:eastAsia="Times New Roman" w:hAnsi="Times New Roman" w:cs="Times New Roman"/>
          <w:sz w:val="24"/>
          <w:szCs w:val="24"/>
        </w:rPr>
      </w:pPr>
    </w:p>
    <w:p w14:paraId="0000009A" w14:textId="77777777" w:rsidR="003700C1" w:rsidRDefault="003700C1">
      <w:pPr>
        <w:spacing w:line="360" w:lineRule="auto"/>
        <w:jc w:val="both"/>
        <w:rPr>
          <w:rFonts w:ascii="Times New Roman" w:eastAsia="Times New Roman" w:hAnsi="Times New Roman" w:cs="Times New Roman"/>
          <w:sz w:val="24"/>
          <w:szCs w:val="24"/>
        </w:rPr>
      </w:pPr>
    </w:p>
    <w:p w14:paraId="0000009B" w14:textId="77777777" w:rsidR="003700C1" w:rsidRDefault="003700C1">
      <w:pPr>
        <w:spacing w:line="360" w:lineRule="auto"/>
        <w:jc w:val="both"/>
        <w:rPr>
          <w:rFonts w:ascii="Times New Roman" w:eastAsia="Times New Roman" w:hAnsi="Times New Roman" w:cs="Times New Roman"/>
          <w:sz w:val="24"/>
          <w:szCs w:val="24"/>
        </w:rPr>
      </w:pPr>
    </w:p>
    <w:p w14:paraId="0000009C" w14:textId="77777777" w:rsidR="003700C1" w:rsidRDefault="003700C1">
      <w:pPr>
        <w:spacing w:line="360" w:lineRule="auto"/>
        <w:jc w:val="both"/>
        <w:rPr>
          <w:rFonts w:ascii="Times New Roman" w:eastAsia="Times New Roman" w:hAnsi="Times New Roman" w:cs="Times New Roman"/>
          <w:sz w:val="24"/>
          <w:szCs w:val="24"/>
        </w:rPr>
      </w:pPr>
    </w:p>
    <w:p w14:paraId="0000009D" w14:textId="77777777" w:rsidR="003700C1" w:rsidRDefault="003700C1">
      <w:pPr>
        <w:spacing w:line="360" w:lineRule="auto"/>
        <w:jc w:val="both"/>
        <w:rPr>
          <w:rFonts w:ascii="Times New Roman" w:eastAsia="Times New Roman" w:hAnsi="Times New Roman" w:cs="Times New Roman"/>
          <w:sz w:val="24"/>
          <w:szCs w:val="24"/>
        </w:rPr>
      </w:pPr>
    </w:p>
    <w:p w14:paraId="0000009E" w14:textId="77777777" w:rsidR="003700C1" w:rsidRDefault="003700C1">
      <w:pPr>
        <w:spacing w:line="360" w:lineRule="auto"/>
        <w:jc w:val="both"/>
        <w:rPr>
          <w:rFonts w:ascii="Times New Roman" w:eastAsia="Times New Roman" w:hAnsi="Times New Roman" w:cs="Times New Roman"/>
          <w:sz w:val="24"/>
          <w:szCs w:val="24"/>
        </w:rPr>
      </w:pPr>
    </w:p>
    <w:p w14:paraId="0000009F" w14:textId="77777777" w:rsidR="003700C1" w:rsidRDefault="003700C1">
      <w:pPr>
        <w:spacing w:line="360" w:lineRule="auto"/>
        <w:jc w:val="both"/>
        <w:rPr>
          <w:rFonts w:ascii="Times New Roman" w:eastAsia="Times New Roman" w:hAnsi="Times New Roman" w:cs="Times New Roman"/>
          <w:sz w:val="24"/>
          <w:szCs w:val="24"/>
        </w:rPr>
      </w:pPr>
    </w:p>
    <w:sectPr w:rsidR="003700C1">
      <w:footerReference w:type="default" r:id="rId8"/>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0F1D3" w14:textId="77777777" w:rsidR="0041452A" w:rsidRDefault="0041452A">
      <w:pPr>
        <w:spacing w:line="240" w:lineRule="auto"/>
      </w:pPr>
      <w:r>
        <w:separator/>
      </w:r>
    </w:p>
  </w:endnote>
  <w:endnote w:type="continuationSeparator" w:id="0">
    <w:p w14:paraId="585D2949" w14:textId="77777777" w:rsidR="0041452A" w:rsidRDefault="004145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0" w14:textId="47D06A20" w:rsidR="003700C1" w:rsidRDefault="00000000">
    <w:pPr>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fldChar w:fldCharType="begin"/>
    </w:r>
    <w:r>
      <w:rPr>
        <w:rFonts w:ascii="Times New Roman" w:eastAsia="Times New Roman" w:hAnsi="Times New Roman" w:cs="Times New Roman"/>
        <w:sz w:val="18"/>
        <w:szCs w:val="18"/>
      </w:rPr>
      <w:instrText>PAGE</w:instrText>
    </w:r>
    <w:r>
      <w:rPr>
        <w:rFonts w:ascii="Times New Roman" w:eastAsia="Times New Roman" w:hAnsi="Times New Roman" w:cs="Times New Roman"/>
        <w:sz w:val="18"/>
        <w:szCs w:val="18"/>
      </w:rPr>
      <w:fldChar w:fldCharType="separate"/>
    </w:r>
    <w:r w:rsidR="00E50CA8">
      <w:rPr>
        <w:rFonts w:ascii="Times New Roman" w:eastAsia="Times New Roman" w:hAnsi="Times New Roman" w:cs="Times New Roman"/>
        <w:noProof/>
        <w:sz w:val="18"/>
        <w:szCs w:val="18"/>
      </w:rPr>
      <w:t>1</w:t>
    </w:r>
    <w:r>
      <w:rPr>
        <w:rFonts w:ascii="Times New Roman" w:eastAsia="Times New Roman" w:hAnsi="Times New Roman" w:cs="Times New Roman"/>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06843" w14:textId="77777777" w:rsidR="0041452A" w:rsidRDefault="0041452A">
      <w:pPr>
        <w:spacing w:line="240" w:lineRule="auto"/>
      </w:pPr>
      <w:r>
        <w:separator/>
      </w:r>
    </w:p>
  </w:footnote>
  <w:footnote w:type="continuationSeparator" w:id="0">
    <w:p w14:paraId="53EA6C6F" w14:textId="77777777" w:rsidR="0041452A" w:rsidRDefault="0041452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17D"/>
    <w:multiLevelType w:val="multilevel"/>
    <w:tmpl w:val="A7A62B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215DC0"/>
    <w:multiLevelType w:val="multilevel"/>
    <w:tmpl w:val="8C74CB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927549F"/>
    <w:multiLevelType w:val="multilevel"/>
    <w:tmpl w:val="529216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AA05C25"/>
    <w:multiLevelType w:val="multilevel"/>
    <w:tmpl w:val="6A361B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19A4984"/>
    <w:multiLevelType w:val="multilevel"/>
    <w:tmpl w:val="1D0218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32D3D6C"/>
    <w:multiLevelType w:val="multilevel"/>
    <w:tmpl w:val="31BA3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E1352CD"/>
    <w:multiLevelType w:val="multilevel"/>
    <w:tmpl w:val="75A002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F76750E"/>
    <w:multiLevelType w:val="multilevel"/>
    <w:tmpl w:val="D8AA8D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1CB69C3"/>
    <w:multiLevelType w:val="multilevel"/>
    <w:tmpl w:val="50C4E4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8AD7299"/>
    <w:multiLevelType w:val="multilevel"/>
    <w:tmpl w:val="6B02A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9F47EA5"/>
    <w:multiLevelType w:val="multilevel"/>
    <w:tmpl w:val="910603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B7F3AB0"/>
    <w:multiLevelType w:val="multilevel"/>
    <w:tmpl w:val="67B893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3431835"/>
    <w:multiLevelType w:val="multilevel"/>
    <w:tmpl w:val="B1FA6C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38C10A8"/>
    <w:multiLevelType w:val="multilevel"/>
    <w:tmpl w:val="57A265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9562FD7"/>
    <w:multiLevelType w:val="multilevel"/>
    <w:tmpl w:val="2CAE5D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9D93D09"/>
    <w:multiLevelType w:val="multilevel"/>
    <w:tmpl w:val="7E225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D587F20"/>
    <w:multiLevelType w:val="multilevel"/>
    <w:tmpl w:val="A1388B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0300145"/>
    <w:multiLevelType w:val="multilevel"/>
    <w:tmpl w:val="E21CCE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0AA5CA1"/>
    <w:multiLevelType w:val="multilevel"/>
    <w:tmpl w:val="99C6F0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8A7499E"/>
    <w:multiLevelType w:val="multilevel"/>
    <w:tmpl w:val="C9D462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CB0044E"/>
    <w:multiLevelType w:val="multilevel"/>
    <w:tmpl w:val="986A8F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F3371E1"/>
    <w:multiLevelType w:val="multilevel"/>
    <w:tmpl w:val="471442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6E8B287A"/>
    <w:multiLevelType w:val="multilevel"/>
    <w:tmpl w:val="27C037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9126AF8"/>
    <w:multiLevelType w:val="multilevel"/>
    <w:tmpl w:val="ECD8A6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A35140D"/>
    <w:multiLevelType w:val="multilevel"/>
    <w:tmpl w:val="F9221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F0715DB"/>
    <w:multiLevelType w:val="multilevel"/>
    <w:tmpl w:val="6D6089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41241551">
    <w:abstractNumId w:val="25"/>
  </w:num>
  <w:num w:numId="2" w16cid:durableId="1482574580">
    <w:abstractNumId w:val="14"/>
  </w:num>
  <w:num w:numId="3" w16cid:durableId="1902017593">
    <w:abstractNumId w:val="20"/>
  </w:num>
  <w:num w:numId="4" w16cid:durableId="1114406289">
    <w:abstractNumId w:val="12"/>
  </w:num>
  <w:num w:numId="5" w16cid:durableId="1432434434">
    <w:abstractNumId w:val="17"/>
  </w:num>
  <w:num w:numId="6" w16cid:durableId="2117165749">
    <w:abstractNumId w:val="4"/>
  </w:num>
  <w:num w:numId="7" w16cid:durableId="1627618018">
    <w:abstractNumId w:val="19"/>
  </w:num>
  <w:num w:numId="8" w16cid:durableId="1044720738">
    <w:abstractNumId w:val="10"/>
  </w:num>
  <w:num w:numId="9" w16cid:durableId="1262642059">
    <w:abstractNumId w:val="24"/>
  </w:num>
  <w:num w:numId="10" w16cid:durableId="1768117012">
    <w:abstractNumId w:val="21"/>
  </w:num>
  <w:num w:numId="11" w16cid:durableId="873269238">
    <w:abstractNumId w:val="11"/>
  </w:num>
  <w:num w:numId="12" w16cid:durableId="1114129205">
    <w:abstractNumId w:val="16"/>
  </w:num>
  <w:num w:numId="13" w16cid:durableId="2003387322">
    <w:abstractNumId w:val="23"/>
  </w:num>
  <w:num w:numId="14" w16cid:durableId="480268916">
    <w:abstractNumId w:val="7"/>
  </w:num>
  <w:num w:numId="15" w16cid:durableId="30805892">
    <w:abstractNumId w:val="22"/>
  </w:num>
  <w:num w:numId="16" w16cid:durableId="1247955217">
    <w:abstractNumId w:val="0"/>
  </w:num>
  <w:num w:numId="17" w16cid:durableId="317852178">
    <w:abstractNumId w:val="13"/>
  </w:num>
  <w:num w:numId="18" w16cid:durableId="1978290305">
    <w:abstractNumId w:val="18"/>
  </w:num>
  <w:num w:numId="19" w16cid:durableId="346250575">
    <w:abstractNumId w:val="8"/>
  </w:num>
  <w:num w:numId="20" w16cid:durableId="1489203304">
    <w:abstractNumId w:val="6"/>
  </w:num>
  <w:num w:numId="21" w16cid:durableId="496000768">
    <w:abstractNumId w:val="5"/>
  </w:num>
  <w:num w:numId="22" w16cid:durableId="279843386">
    <w:abstractNumId w:val="15"/>
  </w:num>
  <w:num w:numId="23" w16cid:durableId="263264563">
    <w:abstractNumId w:val="9"/>
  </w:num>
  <w:num w:numId="24" w16cid:durableId="2070573957">
    <w:abstractNumId w:val="3"/>
  </w:num>
  <w:num w:numId="25" w16cid:durableId="1414399033">
    <w:abstractNumId w:val="1"/>
  </w:num>
  <w:num w:numId="26" w16cid:durableId="1930120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0C1"/>
    <w:rsid w:val="003700C1"/>
    <w:rsid w:val="0041452A"/>
    <w:rsid w:val="00E50C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5C08E"/>
  <w15:docId w15:val="{4908CF6B-335A-4734-B4E3-8158C3499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ZHLR0KRY5kkulxwU7m1aLz8Cjw==">CgMxLjAyDmguajYydzFxcWEwbG0yMghoLmdqZGd4czIJaC4zMGowemxsMg5oLmVoaTZnOWJpMDdqcDIOaC5yMHlicWRyMzc1dXUyCWguMWZvYjl0ZTIJaC4zem55c2g3MgloLjJldDkycDAyCGgudHlqY3d0MgloLjNkeTZ2a20yDmguMTFucjViMm5kcWhiOAByITFhY0dUMVNzcEdCcTBOYXlVbmswQUFjSjFGN2xWRmpRRw==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3403</Words>
  <Characters>19398</Characters>
  <Application>Microsoft Office Word</Application>
  <DocSecurity>0</DocSecurity>
  <Lines>161</Lines>
  <Paragraphs>45</Paragraphs>
  <ScaleCrop>false</ScaleCrop>
  <Company/>
  <LinksUpToDate>false</LinksUpToDate>
  <CharactersWithSpaces>22756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Anil</dc:creator>
  <cp:lastModifiedBy>Sivaanilkumar Lella (2241658)</cp:lastModifiedBy>
  <cp:revision>2</cp:revision>
  <dcterms:created xsi:type="dcterms:W3CDTF">2023-11-20T19:46:00Z</dcterms:created>
  <dcterms:modified xsi:type="dcterms:W3CDTF">2023-11-20T19:46:00Z</dcterms:modified>
</cp:coreProperties>
</file>