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C8A13" w14:textId="77777777" w:rsidR="00DB2571" w:rsidRDefault="00DB2571" w:rsidP="00F6445B">
      <w:pPr>
        <w:rPr>
          <w:b/>
          <w:bCs/>
          <w:sz w:val="28"/>
          <w:szCs w:val="28"/>
          <w:u w:val="single"/>
        </w:rPr>
      </w:pPr>
    </w:p>
    <w:p w14:paraId="648731CD" w14:textId="77777777" w:rsidR="00DB2571" w:rsidRDefault="00DB2571" w:rsidP="00F6445B">
      <w:pPr>
        <w:rPr>
          <w:b/>
          <w:bCs/>
          <w:sz w:val="28"/>
          <w:szCs w:val="28"/>
          <w:u w:val="single"/>
        </w:rPr>
      </w:pPr>
    </w:p>
    <w:p w14:paraId="3E896A9F" w14:textId="77777777" w:rsidR="00DB2571" w:rsidRDefault="00DB2571" w:rsidP="00F6445B">
      <w:pPr>
        <w:rPr>
          <w:b/>
          <w:bCs/>
          <w:sz w:val="28"/>
          <w:szCs w:val="28"/>
          <w:u w:val="single"/>
        </w:rPr>
      </w:pPr>
    </w:p>
    <w:p w14:paraId="53DED4B5" w14:textId="77777777" w:rsidR="00F27D98" w:rsidRDefault="00F27D98" w:rsidP="00F6445B">
      <w:pPr>
        <w:rPr>
          <w:rFonts w:ascii="Arial" w:hAnsi="Arial" w:cs="Arial"/>
          <w:color w:val="EE0000"/>
          <w:sz w:val="56"/>
          <w:szCs w:val="56"/>
        </w:rPr>
      </w:pPr>
    </w:p>
    <w:p w14:paraId="740B545D" w14:textId="77777777" w:rsidR="00F27D98" w:rsidRDefault="00F27D98" w:rsidP="00F6445B">
      <w:pPr>
        <w:rPr>
          <w:rFonts w:ascii="Arial" w:hAnsi="Arial" w:cs="Arial"/>
          <w:color w:val="EE0000"/>
          <w:sz w:val="56"/>
          <w:szCs w:val="56"/>
        </w:rPr>
      </w:pPr>
    </w:p>
    <w:p w14:paraId="0CC0D351" w14:textId="269317F8" w:rsidR="00DB2571" w:rsidRPr="00F27D98" w:rsidRDefault="00A73807" w:rsidP="00F6445B">
      <w:pPr>
        <w:rPr>
          <w:rFonts w:ascii="Arial" w:hAnsi="Arial" w:cs="Arial"/>
          <w:color w:val="EE0000"/>
          <w:sz w:val="56"/>
          <w:szCs w:val="56"/>
        </w:rPr>
      </w:pPr>
      <w:r w:rsidRPr="00F27D98">
        <w:rPr>
          <w:rFonts w:ascii="Arial" w:hAnsi="Arial" w:cs="Arial"/>
          <w:color w:val="EE0000"/>
          <w:sz w:val="56"/>
          <w:szCs w:val="56"/>
        </w:rPr>
        <w:t xml:space="preserve">Name: semira Zeinu </w:t>
      </w:r>
      <w:r w:rsidR="006D77B1" w:rsidRPr="00F27D98">
        <w:rPr>
          <w:rFonts w:ascii="Arial" w:hAnsi="Arial" w:cs="Arial"/>
          <w:color w:val="EE0000"/>
          <w:sz w:val="56"/>
          <w:szCs w:val="56"/>
        </w:rPr>
        <w:t>(</w:t>
      </w:r>
      <w:r w:rsidR="000A7F2F" w:rsidRPr="00F27D98">
        <w:rPr>
          <w:rFonts w:ascii="Arial" w:hAnsi="Arial" w:cs="Arial"/>
          <w:color w:val="EE0000"/>
          <w:sz w:val="56"/>
          <w:szCs w:val="56"/>
        </w:rPr>
        <w:t>2427863)</w:t>
      </w:r>
    </w:p>
    <w:p w14:paraId="44669884" w14:textId="154C15DE" w:rsidR="000A7F2F" w:rsidRPr="00F27D98" w:rsidRDefault="00E01634" w:rsidP="00F6445B">
      <w:pPr>
        <w:rPr>
          <w:rFonts w:ascii="Arial" w:hAnsi="Arial" w:cs="Arial"/>
          <w:color w:val="EE0000"/>
          <w:sz w:val="56"/>
          <w:szCs w:val="56"/>
        </w:rPr>
      </w:pPr>
      <w:r w:rsidRPr="00F27D98">
        <w:rPr>
          <w:rFonts w:ascii="Arial" w:hAnsi="Arial" w:cs="Arial"/>
          <w:color w:val="EE0000"/>
          <w:sz w:val="56"/>
          <w:szCs w:val="56"/>
        </w:rPr>
        <w:t>M</w:t>
      </w:r>
      <w:r w:rsidR="00BD5BAF" w:rsidRPr="00F27D98">
        <w:rPr>
          <w:rFonts w:ascii="Arial" w:hAnsi="Arial" w:cs="Arial"/>
          <w:color w:val="EE0000"/>
          <w:sz w:val="56"/>
          <w:szCs w:val="56"/>
        </w:rPr>
        <w:t xml:space="preserve">odel code: </w:t>
      </w:r>
      <w:r w:rsidR="00043E21" w:rsidRPr="00043E21">
        <w:rPr>
          <w:rFonts w:ascii="Arial" w:hAnsi="Arial" w:cs="Arial"/>
          <w:color w:val="EE0000"/>
          <w:sz w:val="56"/>
          <w:szCs w:val="56"/>
        </w:rPr>
        <w:t>BMHP5023</w:t>
      </w:r>
    </w:p>
    <w:p w14:paraId="4C890035" w14:textId="35AB59B3" w:rsidR="00602821" w:rsidRPr="00F27D98" w:rsidRDefault="00BF7ACE" w:rsidP="00F6445B">
      <w:pPr>
        <w:rPr>
          <w:rFonts w:ascii="Arial" w:hAnsi="Arial" w:cs="Arial"/>
          <w:color w:val="EE0000"/>
          <w:sz w:val="56"/>
          <w:szCs w:val="56"/>
        </w:rPr>
      </w:pPr>
      <w:r w:rsidRPr="00F27D98">
        <w:rPr>
          <w:rFonts w:ascii="Arial" w:hAnsi="Arial" w:cs="Arial"/>
          <w:color w:val="EE0000"/>
          <w:sz w:val="56"/>
          <w:szCs w:val="56"/>
        </w:rPr>
        <w:t>Lecture:</w:t>
      </w:r>
      <w:r w:rsidR="00602821" w:rsidRPr="00F27D98">
        <w:rPr>
          <w:rFonts w:ascii="Arial" w:hAnsi="Arial" w:cs="Arial"/>
          <w:color w:val="EE0000"/>
          <w:sz w:val="56"/>
          <w:szCs w:val="56"/>
        </w:rPr>
        <w:t xml:space="preserve"> </w:t>
      </w:r>
      <w:bookmarkStart w:id="0" w:name="_Hlk222703958"/>
      <w:r w:rsidR="006B20D6" w:rsidRPr="006B20D6">
        <w:rPr>
          <w:rFonts w:ascii="Arial" w:hAnsi="Arial" w:cs="Arial"/>
          <w:color w:val="EE0000"/>
          <w:sz w:val="56"/>
          <w:szCs w:val="56"/>
        </w:rPr>
        <w:t>Parese Ahmed</w:t>
      </w:r>
    </w:p>
    <w:bookmarkEnd w:id="0"/>
    <w:p w14:paraId="728151EB" w14:textId="2482B98E" w:rsidR="00DB2571" w:rsidRPr="00F27D98" w:rsidRDefault="00CD0153" w:rsidP="00F6445B">
      <w:pPr>
        <w:rPr>
          <w:rFonts w:ascii="Arial" w:hAnsi="Arial" w:cs="Arial"/>
          <w:color w:val="EE0000"/>
          <w:sz w:val="56"/>
          <w:szCs w:val="56"/>
          <w:u w:val="single"/>
        </w:rPr>
      </w:pPr>
      <w:r w:rsidRPr="00F27D98">
        <w:rPr>
          <w:rFonts w:ascii="Arial" w:hAnsi="Arial" w:cs="Arial"/>
          <w:color w:val="EE0000"/>
          <w:sz w:val="56"/>
          <w:szCs w:val="56"/>
        </w:rPr>
        <w:t>T</w:t>
      </w:r>
      <w:r w:rsidR="009A54B6" w:rsidRPr="00F27D98">
        <w:rPr>
          <w:rFonts w:ascii="Arial" w:hAnsi="Arial" w:cs="Arial"/>
          <w:color w:val="EE0000"/>
          <w:sz w:val="56"/>
          <w:szCs w:val="56"/>
        </w:rPr>
        <w:t>itel:</w:t>
      </w:r>
      <w:r w:rsidR="007B51E8" w:rsidRPr="007B51E8">
        <w:t xml:space="preserve"> </w:t>
      </w:r>
      <w:bookmarkStart w:id="1" w:name="_Hlk222703996"/>
      <w:r w:rsidR="007B51E8" w:rsidRPr="007B51E8">
        <w:rPr>
          <w:rFonts w:ascii="Arial" w:hAnsi="Arial" w:cs="Arial"/>
          <w:color w:val="EE0000"/>
          <w:sz w:val="56"/>
          <w:szCs w:val="56"/>
        </w:rPr>
        <w:t>Component 1: Written Assignment (Case Study Report</w:t>
      </w:r>
      <w:r w:rsidR="007B51E8">
        <w:rPr>
          <w:rFonts w:ascii="Arial" w:hAnsi="Arial" w:cs="Arial"/>
          <w:color w:val="EE0000"/>
          <w:sz w:val="56"/>
          <w:szCs w:val="56"/>
        </w:rPr>
        <w:t>)</w:t>
      </w:r>
      <w:r w:rsidR="007D568E" w:rsidRPr="00F27D98">
        <w:rPr>
          <w:rFonts w:ascii="Arial" w:hAnsi="Arial" w:cs="Arial"/>
          <w:color w:val="EE0000"/>
          <w:sz w:val="56"/>
          <w:szCs w:val="56"/>
        </w:rPr>
        <w:t xml:space="preserve"> </w:t>
      </w:r>
    </w:p>
    <w:bookmarkEnd w:id="1"/>
    <w:p w14:paraId="7265D5BC" w14:textId="77777777" w:rsidR="00DB2571" w:rsidRDefault="00DB2571" w:rsidP="00F6445B">
      <w:pPr>
        <w:rPr>
          <w:b/>
          <w:bCs/>
          <w:sz w:val="28"/>
          <w:szCs w:val="28"/>
          <w:u w:val="single"/>
        </w:rPr>
      </w:pPr>
    </w:p>
    <w:p w14:paraId="01E34D0A" w14:textId="77777777" w:rsidR="00DB2571" w:rsidRDefault="00DB2571" w:rsidP="00F6445B">
      <w:pPr>
        <w:rPr>
          <w:b/>
          <w:bCs/>
          <w:sz w:val="28"/>
          <w:szCs w:val="28"/>
          <w:u w:val="single"/>
        </w:rPr>
      </w:pPr>
    </w:p>
    <w:p w14:paraId="49F39625" w14:textId="77777777" w:rsidR="00DB2571" w:rsidRDefault="00DB2571" w:rsidP="00F6445B">
      <w:pPr>
        <w:rPr>
          <w:b/>
          <w:bCs/>
          <w:sz w:val="28"/>
          <w:szCs w:val="28"/>
          <w:u w:val="single"/>
        </w:rPr>
      </w:pPr>
    </w:p>
    <w:p w14:paraId="7ED093A3" w14:textId="77777777" w:rsidR="00DB2571" w:rsidRDefault="00DB2571" w:rsidP="00F6445B">
      <w:pPr>
        <w:rPr>
          <w:b/>
          <w:bCs/>
          <w:sz w:val="28"/>
          <w:szCs w:val="28"/>
          <w:u w:val="single"/>
        </w:rPr>
      </w:pPr>
    </w:p>
    <w:p w14:paraId="3F8A3180" w14:textId="77777777" w:rsidR="00DB2571" w:rsidRDefault="00DB2571" w:rsidP="00F6445B">
      <w:pPr>
        <w:rPr>
          <w:b/>
          <w:bCs/>
          <w:sz w:val="28"/>
          <w:szCs w:val="28"/>
          <w:u w:val="single"/>
        </w:rPr>
      </w:pPr>
    </w:p>
    <w:p w14:paraId="2EC2A5FA" w14:textId="77777777" w:rsidR="00DB2571" w:rsidRDefault="00DB2571" w:rsidP="00F6445B">
      <w:pPr>
        <w:rPr>
          <w:b/>
          <w:bCs/>
          <w:sz w:val="28"/>
          <w:szCs w:val="28"/>
          <w:u w:val="single"/>
        </w:rPr>
      </w:pPr>
    </w:p>
    <w:p w14:paraId="7A33DF17" w14:textId="77777777" w:rsidR="00DB2571" w:rsidRDefault="00DB2571" w:rsidP="00F6445B">
      <w:pPr>
        <w:rPr>
          <w:b/>
          <w:bCs/>
          <w:sz w:val="28"/>
          <w:szCs w:val="28"/>
          <w:u w:val="single"/>
        </w:rPr>
      </w:pPr>
    </w:p>
    <w:p w14:paraId="7DA1A082" w14:textId="77777777" w:rsidR="00DB2571" w:rsidRDefault="00DB2571" w:rsidP="00F6445B">
      <w:pPr>
        <w:rPr>
          <w:b/>
          <w:bCs/>
          <w:sz w:val="28"/>
          <w:szCs w:val="28"/>
          <w:u w:val="single"/>
        </w:rPr>
      </w:pPr>
    </w:p>
    <w:p w14:paraId="1CDF9768" w14:textId="77777777" w:rsidR="00DB2571" w:rsidRDefault="00DB2571" w:rsidP="00F6445B">
      <w:pPr>
        <w:rPr>
          <w:b/>
          <w:bCs/>
          <w:sz w:val="28"/>
          <w:szCs w:val="28"/>
          <w:u w:val="single"/>
        </w:rPr>
      </w:pPr>
    </w:p>
    <w:p w14:paraId="0F865AC7" w14:textId="77777777" w:rsidR="00DB2571" w:rsidRDefault="00DB2571" w:rsidP="00F6445B">
      <w:pPr>
        <w:rPr>
          <w:b/>
          <w:bCs/>
          <w:sz w:val="28"/>
          <w:szCs w:val="28"/>
          <w:u w:val="single"/>
        </w:rPr>
      </w:pPr>
    </w:p>
    <w:p w14:paraId="60BDFED0" w14:textId="77777777" w:rsidR="00F27D98" w:rsidRPr="00E005D6" w:rsidRDefault="00F27D98" w:rsidP="00F6445B">
      <w:pPr>
        <w:rPr>
          <w:rFonts w:ascii="Arial" w:hAnsi="Arial" w:cs="Arial"/>
          <w:sz w:val="22"/>
          <w:szCs w:val="22"/>
        </w:rPr>
      </w:pPr>
    </w:p>
    <w:p w14:paraId="1F9B853E" w14:textId="77777777" w:rsidR="00E005D6" w:rsidRPr="00E005D6" w:rsidRDefault="00E005D6" w:rsidP="00E005D6">
      <w:pPr>
        <w:rPr>
          <w:rFonts w:ascii="Arial" w:hAnsi="Arial" w:cs="Arial"/>
          <w:b/>
          <w:bCs/>
          <w:color w:val="EE0000"/>
          <w:sz w:val="40"/>
          <w:szCs w:val="40"/>
          <w:u w:val="single"/>
        </w:rPr>
      </w:pPr>
      <w:r w:rsidRPr="00E005D6">
        <w:rPr>
          <w:rFonts w:ascii="Arial" w:hAnsi="Arial" w:cs="Arial"/>
          <w:b/>
          <w:bCs/>
          <w:color w:val="EE0000"/>
          <w:sz w:val="40"/>
          <w:szCs w:val="40"/>
          <w:u w:val="single"/>
        </w:rPr>
        <w:lastRenderedPageBreak/>
        <w:t>Supporting Patients with Type 2 Diabetes in Primary Care</w:t>
      </w:r>
    </w:p>
    <w:p w14:paraId="15F3032E" w14:textId="1945D0BA" w:rsidR="00E005D6" w:rsidRPr="00E005D6" w:rsidRDefault="00E005D6" w:rsidP="00E005D6">
      <w:pPr>
        <w:rPr>
          <w:rFonts w:ascii="Arial" w:hAnsi="Arial" w:cs="Arial"/>
          <w:b/>
          <w:bCs/>
          <w:color w:val="000000" w:themeColor="text1"/>
          <w:sz w:val="32"/>
          <w:szCs w:val="32"/>
        </w:rPr>
      </w:pPr>
      <w:r w:rsidRPr="00E005D6">
        <w:rPr>
          <w:rFonts w:ascii="Arial" w:hAnsi="Arial" w:cs="Arial"/>
          <w:b/>
          <w:bCs/>
          <w:color w:val="000000" w:themeColor="text1"/>
          <w:sz w:val="32"/>
          <w:szCs w:val="32"/>
        </w:rPr>
        <w:t>Introduction</w:t>
      </w:r>
    </w:p>
    <w:p w14:paraId="3CBAEB1E" w14:textId="6BDBFA02"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Diabetes mellitus is a chronic metabolic condition characterised by persistent hyperglycaemia due to defects in insulin production, insulin action, or both. In the United Kingdom, Type 2 diabetes accounts for around 90% of all diabetes cases and is a major public health concern. According to NHS and Diabetes UK data, the prevalence of Type 2 diabetes continues to increase, largely due to rising levels of obesity, sedentary lifestyles, and an ageing population.</w:t>
      </w:r>
    </w:p>
    <w:p w14:paraId="05F5C8C7" w14:textId="7D1C362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Type 2 diabetes develops when the body becomes resistant to insulin or when the pancreas cannot produce sufficient insulin to maintain normal blood glucose levels. Insulin is a hormone produced by the beta cells of the pancreas and is essential for enabling glucose to enter body cells to be used for energy. When insulin does not function effectively, glucose accumulates in the bloodstream, leading to hyperglycaemia.</w:t>
      </w:r>
    </w:p>
    <w:p w14:paraId="23029B7E" w14:textId="0A0F2F9B"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There are several risk factors associated with the development of Type 2 diabetes. These include being overweight or obese, particularly with central adiposity, physical inactivity, unhealthy diet high in refined carbohydrates and saturated fats, smoking, increasing age, family history of diabetes, and certain ethnic backgrounds, including South Asian, African-Caribbean, and Middle Eastern populations. Additional risk factors include hypertension, dyslipidaemia, and a history of gestational diabetes.</w:t>
      </w:r>
    </w:p>
    <w:p w14:paraId="3613C6CF" w14:textId="5B21065A"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If not managed effectively, Type 2 diabetes can lead to serious long-term complications such as cardiovascular disease, stroke, chronic kidney disease, retinopathy leading to visual impairment, peripheral neuropathy, and foot ulcers that may result in amputation. Therefore, early education and ongoing support in primary care are essential to enable patients to understand their condition and engage in self-management strategies.</w:t>
      </w:r>
    </w:p>
    <w:p w14:paraId="439C4386" w14:textId="338A9790" w:rsidR="00E005D6" w:rsidRDefault="00E005D6" w:rsidP="00E005D6">
      <w:pPr>
        <w:rPr>
          <w:rFonts w:ascii="Arial" w:hAnsi="Arial" w:cs="Arial"/>
          <w:b/>
          <w:bCs/>
          <w:color w:val="EE0000"/>
          <w:sz w:val="28"/>
          <w:szCs w:val="28"/>
        </w:rPr>
      </w:pPr>
      <w:r w:rsidRPr="00043E21">
        <w:rPr>
          <w:rFonts w:ascii="Arial" w:hAnsi="Arial" w:cs="Arial"/>
          <w:b/>
          <w:bCs/>
          <w:color w:val="EE0000"/>
          <w:sz w:val="28"/>
          <w:szCs w:val="28"/>
        </w:rPr>
        <w:t>Maintenance of Safe Blood Glucose Levels</w:t>
      </w:r>
    </w:p>
    <w:p w14:paraId="310CC3E4" w14:textId="77777777" w:rsidR="00043E21" w:rsidRPr="00043E21" w:rsidRDefault="00043E21" w:rsidP="00E005D6">
      <w:pPr>
        <w:rPr>
          <w:rFonts w:ascii="Arial" w:hAnsi="Arial" w:cs="Arial"/>
          <w:b/>
          <w:bCs/>
          <w:color w:val="EE0000"/>
          <w:sz w:val="28"/>
          <w:szCs w:val="28"/>
        </w:rPr>
      </w:pPr>
    </w:p>
    <w:p w14:paraId="4933F541" w14:textId="7D8A466E"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Blood glucose levels are regulated through homeostasis, primarily involving the hormones insulin and glucagon. After a meal, carbohydrates are broken down into glucose, which enters the bloodstream. Rising blood glucose levels stimulate the pancreas to release insulin. Insulin facilitates the uptake of glucose into muscle, liver, and adipose tissue, where it is used for energy or stored as glycogen.</w:t>
      </w:r>
    </w:p>
    <w:p w14:paraId="707A2881" w14:textId="33F09BED"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When blood glucose levels fall, such as between meals or during physical activity, the pancreas releases glucagon. Glucagon stimulates the liver to convert stored glycogen into glucose and release it into the bloodstream, preventing hypoglycaemia.</w:t>
      </w:r>
    </w:p>
    <w:p w14:paraId="1970D01B"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In people with Type 2 diabetes, insulin resistance means that body cells do not respond effectively to insulin. As a result, glucose remains in the bloodstream rather than being taken up by cells. Over time, pancreatic beta cell function declines, leading to reduced insulin secretion. This combination results in chronic hyperglycaemia.</w:t>
      </w:r>
    </w:p>
    <w:p w14:paraId="17EC5D60" w14:textId="77777777" w:rsidR="00E005D6" w:rsidRPr="00E005D6" w:rsidRDefault="00E005D6" w:rsidP="00E005D6">
      <w:pPr>
        <w:rPr>
          <w:rFonts w:ascii="Arial" w:hAnsi="Arial" w:cs="Arial"/>
          <w:color w:val="000000" w:themeColor="text1"/>
          <w:sz w:val="22"/>
          <w:szCs w:val="22"/>
        </w:rPr>
      </w:pPr>
    </w:p>
    <w:p w14:paraId="251475A3" w14:textId="140B2AA5"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According to NICE guidelines, maintaining blood glucose within an individualised target range is essential to reduce the risk of both acute and long-term complications. Glycaemic control is commonly assessed using HbA1c, which reflects average blood glucose levels over the previous two to three months. NICE generally recommends a target HbA1c of 48 mmol/mol (6.5%) for many adults with Type 2 diabetes, although targets should be individualised based on comorbidities and risk of hypoglycaemia.</w:t>
      </w:r>
    </w:p>
    <w:p w14:paraId="7FE591AA" w14:textId="07AF8490"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Effective management involves a combination of medication, healthy diet, regular physical activity, weight management, and self-monitoring of blood glucose where appropriate.</w:t>
      </w:r>
    </w:p>
    <w:p w14:paraId="25121A00" w14:textId="77777777"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Cellular Metabolism: Use of Oxygen and Glucose for Energy</w:t>
      </w:r>
    </w:p>
    <w:p w14:paraId="04B4CF1D" w14:textId="577770BC"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Glucose is the primary source of energy for body cells. Through cellular respiration, glucose is broken down in the presence of oxygen to produce adenosine triphosphate (ATP), which provides energy for cellular processes.</w:t>
      </w:r>
    </w:p>
    <w:p w14:paraId="152126AC" w14:textId="16880D8F" w:rsidR="00E005D6" w:rsidRPr="00966D04" w:rsidRDefault="00E005D6" w:rsidP="00E005D6">
      <w:pPr>
        <w:rPr>
          <w:rFonts w:ascii="Arial" w:hAnsi="Arial" w:cs="Arial"/>
          <w:color w:val="000000" w:themeColor="text1"/>
          <w:sz w:val="22"/>
          <w:szCs w:val="22"/>
        </w:rPr>
      </w:pPr>
      <w:r w:rsidRPr="00966D04">
        <w:rPr>
          <w:rFonts w:ascii="Arial" w:hAnsi="Arial" w:cs="Arial"/>
          <w:color w:val="000000" w:themeColor="text1"/>
          <w:sz w:val="22"/>
          <w:szCs w:val="22"/>
        </w:rPr>
        <w:t>Cellular respiration occurs in three stages:</w:t>
      </w:r>
    </w:p>
    <w:p w14:paraId="1C04EE33" w14:textId="19E3D891" w:rsidR="00E005D6" w:rsidRPr="00966D04" w:rsidRDefault="00E005D6" w:rsidP="00966D04">
      <w:pPr>
        <w:pStyle w:val="ListParagraph"/>
        <w:numPr>
          <w:ilvl w:val="0"/>
          <w:numId w:val="3"/>
        </w:numPr>
        <w:rPr>
          <w:rFonts w:ascii="Arial" w:hAnsi="Arial" w:cs="Arial"/>
          <w:color w:val="000000" w:themeColor="text1"/>
          <w:sz w:val="22"/>
          <w:szCs w:val="22"/>
        </w:rPr>
      </w:pPr>
      <w:r w:rsidRPr="00966D04">
        <w:rPr>
          <w:rFonts w:ascii="Arial" w:hAnsi="Arial" w:cs="Arial"/>
          <w:color w:val="000000" w:themeColor="text1"/>
          <w:sz w:val="22"/>
          <w:szCs w:val="22"/>
        </w:rPr>
        <w:t>Glycolysis – glucose is broken down into pyruvate in the cytoplasm, producing a small amount of ATP.</w:t>
      </w:r>
    </w:p>
    <w:p w14:paraId="0432E3F6" w14:textId="77777777" w:rsidR="00E005D6" w:rsidRPr="00966D04" w:rsidRDefault="00E005D6" w:rsidP="00966D04">
      <w:pPr>
        <w:pStyle w:val="ListParagraph"/>
        <w:numPr>
          <w:ilvl w:val="0"/>
          <w:numId w:val="3"/>
        </w:numPr>
        <w:rPr>
          <w:rFonts w:ascii="Arial" w:hAnsi="Arial" w:cs="Arial"/>
          <w:color w:val="000000" w:themeColor="text1"/>
          <w:sz w:val="22"/>
          <w:szCs w:val="22"/>
        </w:rPr>
      </w:pPr>
      <w:r w:rsidRPr="00966D04">
        <w:rPr>
          <w:rFonts w:ascii="Arial" w:hAnsi="Arial" w:cs="Arial"/>
          <w:color w:val="000000" w:themeColor="text1"/>
          <w:sz w:val="22"/>
          <w:szCs w:val="22"/>
        </w:rPr>
        <w:t>Krebs cycle – takes place in the mitochondria and generates electron carriers.</w:t>
      </w:r>
    </w:p>
    <w:p w14:paraId="2F600825" w14:textId="77777777" w:rsidR="00E005D6" w:rsidRPr="00E005D6" w:rsidRDefault="00E005D6" w:rsidP="00E005D6">
      <w:pPr>
        <w:rPr>
          <w:rFonts w:ascii="Arial" w:hAnsi="Arial" w:cs="Arial"/>
          <w:color w:val="000000" w:themeColor="text1"/>
          <w:sz w:val="22"/>
          <w:szCs w:val="22"/>
        </w:rPr>
      </w:pPr>
    </w:p>
    <w:p w14:paraId="3946D508" w14:textId="4CB55DA4" w:rsidR="00E005D6" w:rsidRPr="00966D04" w:rsidRDefault="00E005D6" w:rsidP="00E005D6">
      <w:pPr>
        <w:pStyle w:val="ListParagraph"/>
        <w:numPr>
          <w:ilvl w:val="0"/>
          <w:numId w:val="3"/>
        </w:numPr>
        <w:rPr>
          <w:rFonts w:ascii="Arial" w:hAnsi="Arial" w:cs="Arial"/>
          <w:color w:val="000000" w:themeColor="text1"/>
          <w:sz w:val="22"/>
          <w:szCs w:val="22"/>
        </w:rPr>
      </w:pPr>
      <w:r w:rsidRPr="00966D04">
        <w:rPr>
          <w:rFonts w:ascii="Arial" w:hAnsi="Arial" w:cs="Arial"/>
          <w:color w:val="000000" w:themeColor="text1"/>
          <w:sz w:val="22"/>
          <w:szCs w:val="22"/>
        </w:rPr>
        <w:t>Electron transport chain – uses oxygen to produce a large amount of ATP.</w:t>
      </w:r>
    </w:p>
    <w:p w14:paraId="3265FB85" w14:textId="64ED12B2"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Oxygen is essential for efficient energy production. In individuals with Type 2 diabetes, insulin resistance prevents glucose from entering cells effectively. Despite high levels of glucose in the bloodstream, cells are unable to access this energy source, which can lead to fatigue. In severe cases, the body may break down fat for energy, producing ketones.</w:t>
      </w:r>
    </w:p>
    <w:p w14:paraId="72212CD3" w14:textId="07DF3B84"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Understanding the link between glucose, oxygen, and energy production helps patients recognise why controlling blood glucose levels is vital for maintaining normal body function and preventing complications.</w:t>
      </w:r>
    </w:p>
    <w:p w14:paraId="06E5DABE" w14:textId="55589DA8"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Importance of Recording and Tracking Blood Glucose Levels</w:t>
      </w:r>
    </w:p>
    <w:p w14:paraId="56357B1F" w14:textId="210CECF3"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Self-monitoring of blood glucose plays an important role in diabetes management for many patients. Recording blood glucose levels allows individuals to understand how their diet, physical activity, medication, and illness affect their glucose control.</w:t>
      </w:r>
    </w:p>
    <w:p w14:paraId="5CC13D16"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Keeping a record of blood glucose readings enables patients and healthcare professionals to identify patterns and trends. For example, consistently high fasting glucose levels may indicate the need for medication adjustment, while low readings may suggest excessive medication or missed meals.</w:t>
      </w:r>
    </w:p>
    <w:p w14:paraId="7C515340" w14:textId="77777777" w:rsidR="00E005D6" w:rsidRPr="00E005D6" w:rsidRDefault="00E005D6" w:rsidP="00E005D6">
      <w:pPr>
        <w:rPr>
          <w:rFonts w:ascii="Arial" w:hAnsi="Arial" w:cs="Arial"/>
          <w:color w:val="000000" w:themeColor="text1"/>
          <w:sz w:val="22"/>
          <w:szCs w:val="22"/>
        </w:rPr>
      </w:pPr>
    </w:p>
    <w:p w14:paraId="56F3AB6B"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Tracking blood glucose also helps to prevent episodes of hypoglycaemia and hyperglycaemia, both of which can be dangerous. Hypoglycaemia can cause symptoms such as dizziness, confusion, sweating, and loss of consciousness, while prolonged hyperglycaemia increases the risk of long-term complications.</w:t>
      </w:r>
    </w:p>
    <w:p w14:paraId="5D041ABC" w14:textId="77777777" w:rsidR="00E005D6" w:rsidRPr="00E005D6" w:rsidRDefault="00E005D6" w:rsidP="00E005D6">
      <w:pPr>
        <w:rPr>
          <w:rFonts w:ascii="Arial" w:hAnsi="Arial" w:cs="Arial"/>
          <w:color w:val="000000" w:themeColor="text1"/>
          <w:sz w:val="22"/>
          <w:szCs w:val="22"/>
        </w:rPr>
      </w:pPr>
    </w:p>
    <w:p w14:paraId="01828999"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In primary care, reviewing patients’ glucose records supports shared decision-making and personalised care planning. It encourages patient engagement and self-management, which are associated with improved glycaemic control and better health outcomes.</w:t>
      </w:r>
    </w:p>
    <w:p w14:paraId="07E56A42" w14:textId="77777777" w:rsidR="00E005D6" w:rsidRPr="00E005D6" w:rsidRDefault="00E005D6" w:rsidP="00E005D6">
      <w:pPr>
        <w:rPr>
          <w:rFonts w:ascii="Arial" w:hAnsi="Arial" w:cs="Arial"/>
          <w:color w:val="000000" w:themeColor="text1"/>
          <w:sz w:val="22"/>
          <w:szCs w:val="22"/>
        </w:rPr>
      </w:pPr>
    </w:p>
    <w:p w14:paraId="072A17E2"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Although not all people with Type 2 diabetes need to monitor their blood glucose daily, NICE recommends that self-monitoring should be considered for those on insulin, those at risk of hypoglycaemia, and when starting new treatments or making lifestyle changes.</w:t>
      </w:r>
    </w:p>
    <w:p w14:paraId="74E2F707" w14:textId="77777777" w:rsidR="00E005D6" w:rsidRPr="00E005D6" w:rsidRDefault="00E005D6" w:rsidP="00E005D6">
      <w:pPr>
        <w:rPr>
          <w:rFonts w:ascii="Arial" w:hAnsi="Arial" w:cs="Arial"/>
          <w:color w:val="000000" w:themeColor="text1"/>
          <w:sz w:val="22"/>
          <w:szCs w:val="22"/>
        </w:rPr>
      </w:pPr>
    </w:p>
    <w:p w14:paraId="67FB174A" w14:textId="2DBC0947" w:rsidR="00043E21" w:rsidRPr="00043E21" w:rsidRDefault="00E005D6" w:rsidP="00E005D6">
      <w:pPr>
        <w:rPr>
          <w:rFonts w:ascii="Arial" w:hAnsi="Arial" w:cs="Arial"/>
          <w:b/>
          <w:bCs/>
          <w:color w:val="000000" w:themeColor="text1"/>
          <w:sz w:val="28"/>
          <w:szCs w:val="28"/>
        </w:rPr>
      </w:pPr>
      <w:r w:rsidRPr="00043E21">
        <w:rPr>
          <w:rFonts w:ascii="Arial" w:hAnsi="Arial" w:cs="Arial"/>
          <w:b/>
          <w:bCs/>
          <w:color w:val="000000" w:themeColor="text1"/>
          <w:sz w:val="28"/>
          <w:szCs w:val="28"/>
        </w:rPr>
        <w:t>Lifestyle Changes to Improve Diabetes Management</w:t>
      </w:r>
    </w:p>
    <w:p w14:paraId="227444DD" w14:textId="77777777" w:rsidR="00E005D6" w:rsidRPr="00966D04" w:rsidRDefault="00E005D6" w:rsidP="00E005D6">
      <w:pPr>
        <w:rPr>
          <w:rFonts w:ascii="Arial" w:hAnsi="Arial" w:cs="Arial"/>
          <w:b/>
          <w:bCs/>
          <w:color w:val="EE0000"/>
        </w:rPr>
      </w:pPr>
      <w:r w:rsidRPr="00966D04">
        <w:rPr>
          <w:rFonts w:ascii="Arial" w:hAnsi="Arial" w:cs="Arial"/>
          <w:b/>
          <w:bCs/>
          <w:color w:val="EE0000"/>
        </w:rPr>
        <w:t>Smoking Cessation</w:t>
      </w:r>
    </w:p>
    <w:p w14:paraId="61829EB6" w14:textId="77777777" w:rsidR="00E005D6" w:rsidRPr="00E005D6" w:rsidRDefault="00E005D6" w:rsidP="00E005D6">
      <w:pPr>
        <w:rPr>
          <w:rFonts w:ascii="Arial" w:hAnsi="Arial" w:cs="Arial"/>
          <w:color w:val="000000" w:themeColor="text1"/>
          <w:sz w:val="22"/>
          <w:szCs w:val="22"/>
        </w:rPr>
      </w:pPr>
    </w:p>
    <w:p w14:paraId="6B0F9072"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Smoking is a significant modifiable risk factor for cardiovascular disease, which is already elevated in people with diabetes. Smoking also increases insulin resistance and impairs circulation, leading to poor wound healing and increased risk of foot complications. NICE and NHS guidance strongly recommend smoking cessation for individuals with diabetes. Practice nurses can provide behavioural support, nicotine replacement therapy, and referrals to local stop-smoking services.</w:t>
      </w:r>
    </w:p>
    <w:p w14:paraId="4F254792" w14:textId="77777777" w:rsidR="00E005D6" w:rsidRPr="00E005D6" w:rsidRDefault="00E005D6" w:rsidP="00E005D6">
      <w:pPr>
        <w:rPr>
          <w:rFonts w:ascii="Arial" w:hAnsi="Arial" w:cs="Arial"/>
          <w:color w:val="000000" w:themeColor="text1"/>
          <w:sz w:val="22"/>
          <w:szCs w:val="22"/>
        </w:rPr>
      </w:pPr>
    </w:p>
    <w:p w14:paraId="64378414" w14:textId="77777777"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Healthy Diet</w:t>
      </w:r>
    </w:p>
    <w:p w14:paraId="40D2DD84" w14:textId="77777777" w:rsidR="00E005D6" w:rsidRPr="00E005D6" w:rsidRDefault="00E005D6" w:rsidP="00E005D6">
      <w:pPr>
        <w:rPr>
          <w:rFonts w:ascii="Arial" w:hAnsi="Arial" w:cs="Arial"/>
          <w:color w:val="000000" w:themeColor="text1"/>
          <w:sz w:val="22"/>
          <w:szCs w:val="22"/>
        </w:rPr>
      </w:pPr>
    </w:p>
    <w:p w14:paraId="41261C21" w14:textId="4FEEEB95"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Dietary management is central to controlling blood glucose levels. Patients should be encouraged to follow a balanced diet that includes:</w:t>
      </w:r>
    </w:p>
    <w:p w14:paraId="416BDC8D" w14:textId="3B8706CF"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High-fibre foods such as whole grains, vegetables, fruits, and legumes</w:t>
      </w:r>
    </w:p>
    <w:p w14:paraId="24DC2174" w14:textId="632756C5"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Lean protein sources such as fish, poultry, and plant-based proteins</w:t>
      </w:r>
    </w:p>
    <w:p w14:paraId="0120C08A" w14:textId="25696DE3"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Reduced intake of refined sugars and processed foods</w:t>
      </w:r>
    </w:p>
    <w:p w14:paraId="3A8BB612" w14:textId="602F44A9"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Limited saturated fat and salt intake</w:t>
      </w:r>
    </w:p>
    <w:p w14:paraId="1CD4A583"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Low glycaemic index foods help to prevent rapid increases in blood glucose. Portion control and regular meal patterns are also important. According to Diabetes UK, weight loss of 5–10% can significantly improve glycaemic control and may reduce the need for medication.</w:t>
      </w:r>
    </w:p>
    <w:p w14:paraId="24DE4551" w14:textId="77777777" w:rsidR="00E005D6" w:rsidRPr="00E005D6" w:rsidRDefault="00E005D6" w:rsidP="00E005D6">
      <w:pPr>
        <w:rPr>
          <w:rFonts w:ascii="Arial" w:hAnsi="Arial" w:cs="Arial"/>
          <w:color w:val="000000" w:themeColor="text1"/>
          <w:sz w:val="22"/>
          <w:szCs w:val="22"/>
        </w:rPr>
      </w:pPr>
    </w:p>
    <w:p w14:paraId="7E160D23" w14:textId="77777777"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Physical Activity</w:t>
      </w:r>
    </w:p>
    <w:p w14:paraId="2F02FA51" w14:textId="77777777" w:rsidR="00E005D6" w:rsidRPr="00E005D6" w:rsidRDefault="00E005D6" w:rsidP="00E005D6">
      <w:pPr>
        <w:rPr>
          <w:rFonts w:ascii="Arial" w:hAnsi="Arial" w:cs="Arial"/>
          <w:color w:val="000000" w:themeColor="text1"/>
          <w:sz w:val="22"/>
          <w:szCs w:val="22"/>
        </w:rPr>
      </w:pPr>
    </w:p>
    <w:p w14:paraId="2049BFFB"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Regular physical activity improves insulin sensitivity and helps lower blood glucose levels. The UK Chief Medical Officers recommend at least 150 minutes of moderate-intensity aerobic activity per week, such as brisk walking, cycling, or swimming, along with muscle-strengthening activities on two or more days per week.</w:t>
      </w:r>
    </w:p>
    <w:p w14:paraId="4856CFC2" w14:textId="77777777" w:rsidR="00E005D6" w:rsidRPr="00E005D6" w:rsidRDefault="00E005D6" w:rsidP="00E005D6">
      <w:pPr>
        <w:rPr>
          <w:rFonts w:ascii="Arial" w:hAnsi="Arial" w:cs="Arial"/>
          <w:color w:val="000000" w:themeColor="text1"/>
          <w:sz w:val="22"/>
          <w:szCs w:val="22"/>
        </w:rPr>
      </w:pPr>
    </w:p>
    <w:p w14:paraId="456D1B92"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Exercise also supports weight management, reduces cardiovascular risk, and improves mental wellbeing. Patients should be advised to increase activity gradually and monitor their blood glucose levels if they are taking medications that may cause hypoglycaemia.</w:t>
      </w:r>
    </w:p>
    <w:p w14:paraId="05C77E91" w14:textId="77777777" w:rsidR="00E005D6" w:rsidRPr="00E005D6" w:rsidRDefault="00E005D6" w:rsidP="00E005D6">
      <w:pPr>
        <w:rPr>
          <w:rFonts w:ascii="Arial" w:hAnsi="Arial" w:cs="Arial"/>
          <w:color w:val="000000" w:themeColor="text1"/>
          <w:sz w:val="22"/>
          <w:szCs w:val="22"/>
        </w:rPr>
      </w:pPr>
    </w:p>
    <w:p w14:paraId="514F41F0" w14:textId="77777777"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Weight Management</w:t>
      </w:r>
    </w:p>
    <w:p w14:paraId="68A1760B" w14:textId="77777777" w:rsidR="00E005D6" w:rsidRPr="00E005D6" w:rsidRDefault="00E005D6" w:rsidP="00E005D6">
      <w:pPr>
        <w:rPr>
          <w:rFonts w:ascii="Arial" w:hAnsi="Arial" w:cs="Arial"/>
          <w:color w:val="000000" w:themeColor="text1"/>
          <w:sz w:val="22"/>
          <w:szCs w:val="22"/>
        </w:rPr>
      </w:pPr>
    </w:p>
    <w:p w14:paraId="153A6661"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Obesity is a major risk factor for Type 2 diabetes. Structured weight management programmes, such as those recommended by NICE, can support sustainable weight loss. Even modest weight reduction improves insulin sensitivity and glycaemic control. In some cases, significant weight loss has been shown to induce remission of Type 2 diabetes.</w:t>
      </w:r>
    </w:p>
    <w:p w14:paraId="7C765DAB" w14:textId="77777777" w:rsidR="00E005D6" w:rsidRPr="00E005D6" w:rsidRDefault="00E005D6" w:rsidP="00E005D6">
      <w:pPr>
        <w:rPr>
          <w:rFonts w:ascii="Arial" w:hAnsi="Arial" w:cs="Arial"/>
          <w:color w:val="000000" w:themeColor="text1"/>
          <w:sz w:val="22"/>
          <w:szCs w:val="22"/>
        </w:rPr>
      </w:pPr>
    </w:p>
    <w:p w14:paraId="63F45F6E" w14:textId="77777777"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Alcohol Consumption</w:t>
      </w:r>
    </w:p>
    <w:p w14:paraId="30FDF7F9" w14:textId="77777777" w:rsidR="00E005D6" w:rsidRPr="00E005D6" w:rsidRDefault="00E005D6" w:rsidP="00E005D6">
      <w:pPr>
        <w:rPr>
          <w:rFonts w:ascii="Arial" w:hAnsi="Arial" w:cs="Arial"/>
          <w:color w:val="000000" w:themeColor="text1"/>
          <w:sz w:val="22"/>
          <w:szCs w:val="22"/>
        </w:rPr>
      </w:pPr>
    </w:p>
    <w:p w14:paraId="1A1ECC59"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Alcohol can affect blood glucose levels and contribute to weight gain. NHS guidance recommends that adults should not exceed 14 units of alcohol per week and should spread consumption over several days. Patients should be advised to avoid drinking alcohol on an empty stomach and to monitor their glucose levels.</w:t>
      </w:r>
    </w:p>
    <w:p w14:paraId="2A923159" w14:textId="77777777" w:rsidR="00E005D6" w:rsidRPr="00E005D6" w:rsidRDefault="00E005D6" w:rsidP="00E005D6">
      <w:pPr>
        <w:rPr>
          <w:rFonts w:ascii="Arial" w:hAnsi="Arial" w:cs="Arial"/>
          <w:color w:val="000000" w:themeColor="text1"/>
          <w:sz w:val="22"/>
          <w:szCs w:val="22"/>
        </w:rPr>
      </w:pPr>
    </w:p>
    <w:p w14:paraId="457BF3F4" w14:textId="77777777"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The Role of Patient Education in Primary Care</w:t>
      </w:r>
    </w:p>
    <w:p w14:paraId="3F4AC290" w14:textId="77777777" w:rsidR="00E005D6" w:rsidRPr="00E005D6" w:rsidRDefault="00E005D6" w:rsidP="00E005D6">
      <w:pPr>
        <w:rPr>
          <w:rFonts w:ascii="Arial" w:hAnsi="Arial" w:cs="Arial"/>
          <w:color w:val="000000" w:themeColor="text1"/>
          <w:sz w:val="22"/>
          <w:szCs w:val="22"/>
        </w:rPr>
      </w:pPr>
    </w:p>
    <w:p w14:paraId="3216EFDF"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Patient education is a key component of diabetes management. Structured education programmes, such as DESMOND (Diabetes Education and Self-Management for Ongoing and Newly Diagnosed), are recommended by NICE for people with Type 2 diabetes. These programmes provide information on diet, physical activity, medication, and self-monitoring, and have been shown to improve glycaemic control and quality of life.</w:t>
      </w:r>
    </w:p>
    <w:p w14:paraId="34FD0485" w14:textId="77777777" w:rsidR="00E005D6" w:rsidRPr="00E005D6" w:rsidRDefault="00E005D6" w:rsidP="00E005D6">
      <w:pPr>
        <w:rPr>
          <w:rFonts w:ascii="Arial" w:hAnsi="Arial" w:cs="Arial"/>
          <w:color w:val="000000" w:themeColor="text1"/>
          <w:sz w:val="22"/>
          <w:szCs w:val="22"/>
        </w:rPr>
      </w:pPr>
    </w:p>
    <w:p w14:paraId="69A3393B"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Practice nurses play an essential role in delivering education, supporting behaviour change, and reviewing care plans. Using clear communication, culturally appropriate advice, and goal-setting techniques can improve patient engagement and adherence to treatment.</w:t>
      </w:r>
    </w:p>
    <w:p w14:paraId="35D7813F" w14:textId="77777777" w:rsidR="00E005D6" w:rsidRDefault="00E005D6" w:rsidP="00E005D6">
      <w:pPr>
        <w:rPr>
          <w:rFonts w:ascii="Arial" w:hAnsi="Arial" w:cs="Arial"/>
          <w:color w:val="000000" w:themeColor="text1"/>
          <w:sz w:val="22"/>
          <w:szCs w:val="22"/>
        </w:rPr>
      </w:pPr>
    </w:p>
    <w:p w14:paraId="49150AEB" w14:textId="77777777" w:rsidR="00043E21" w:rsidRDefault="00043E21" w:rsidP="00E005D6">
      <w:pPr>
        <w:rPr>
          <w:rFonts w:ascii="Arial" w:hAnsi="Arial" w:cs="Arial"/>
          <w:color w:val="000000" w:themeColor="text1"/>
          <w:sz w:val="22"/>
          <w:szCs w:val="22"/>
        </w:rPr>
      </w:pPr>
    </w:p>
    <w:p w14:paraId="7C3D4434" w14:textId="77777777" w:rsidR="00043E21" w:rsidRPr="00E005D6" w:rsidRDefault="00043E21" w:rsidP="00E005D6">
      <w:pPr>
        <w:rPr>
          <w:rFonts w:ascii="Arial" w:hAnsi="Arial" w:cs="Arial"/>
          <w:color w:val="000000" w:themeColor="text1"/>
          <w:sz w:val="22"/>
          <w:szCs w:val="22"/>
        </w:rPr>
      </w:pPr>
    </w:p>
    <w:p w14:paraId="27862E8C" w14:textId="77777777" w:rsidR="00E005D6" w:rsidRPr="00966D04" w:rsidRDefault="00E005D6" w:rsidP="00E005D6">
      <w:pPr>
        <w:rPr>
          <w:rFonts w:ascii="Arial" w:hAnsi="Arial" w:cs="Arial"/>
          <w:b/>
          <w:bCs/>
          <w:color w:val="EE0000"/>
          <w:sz w:val="28"/>
          <w:szCs w:val="28"/>
        </w:rPr>
      </w:pPr>
      <w:r w:rsidRPr="00966D04">
        <w:rPr>
          <w:rFonts w:ascii="Arial" w:hAnsi="Arial" w:cs="Arial"/>
          <w:b/>
          <w:bCs/>
          <w:color w:val="EE0000"/>
          <w:sz w:val="28"/>
          <w:szCs w:val="28"/>
        </w:rPr>
        <w:t>Conclusion</w:t>
      </w:r>
    </w:p>
    <w:p w14:paraId="61B47079" w14:textId="77777777" w:rsidR="00E005D6" w:rsidRPr="00E005D6" w:rsidRDefault="00E005D6" w:rsidP="00E005D6">
      <w:pPr>
        <w:rPr>
          <w:rFonts w:ascii="Arial" w:hAnsi="Arial" w:cs="Arial"/>
          <w:color w:val="000000" w:themeColor="text1"/>
          <w:sz w:val="22"/>
          <w:szCs w:val="22"/>
        </w:rPr>
      </w:pPr>
    </w:p>
    <w:p w14:paraId="624BB3F6"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Type 2 diabetes is a chronic condition that requires effective self-management to prevent complications. Blood glucose regulation depends on the balance between insulin and glucagon, and disruption of this balance leads to hyperglycaemia. Glucose and oxygen are essential for cellular energy production, highlighting the importance of maintaining normal glucose levels.</w:t>
      </w:r>
    </w:p>
    <w:p w14:paraId="0D43D4B0" w14:textId="77777777" w:rsidR="00E005D6" w:rsidRPr="00E005D6" w:rsidRDefault="00E005D6" w:rsidP="00E005D6">
      <w:pPr>
        <w:rPr>
          <w:rFonts w:ascii="Arial" w:hAnsi="Arial" w:cs="Arial"/>
          <w:color w:val="000000" w:themeColor="text1"/>
          <w:sz w:val="22"/>
          <w:szCs w:val="22"/>
        </w:rPr>
      </w:pPr>
    </w:p>
    <w:p w14:paraId="7E432220"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Recording and tracking blood glucose levels enables patients to understand their condition, identify patterns, and make informed decisions about their care. Lifestyle modifications, including smoking cessation, healthy diet, regular physical activity, weight management, and responsible alcohol consumption, are evidence-based strategies recommended by NICE and the NHS to improve glycaemic control.</w:t>
      </w:r>
    </w:p>
    <w:p w14:paraId="70811CAF" w14:textId="77777777" w:rsidR="00E005D6" w:rsidRPr="00E005D6" w:rsidRDefault="00E005D6" w:rsidP="00E005D6">
      <w:pPr>
        <w:rPr>
          <w:rFonts w:ascii="Arial" w:hAnsi="Arial" w:cs="Arial"/>
          <w:color w:val="000000" w:themeColor="text1"/>
          <w:sz w:val="22"/>
          <w:szCs w:val="22"/>
        </w:rPr>
      </w:pPr>
    </w:p>
    <w:p w14:paraId="2436578B" w14:textId="77777777" w:rsidR="00E005D6" w:rsidRPr="00E005D6" w:rsidRDefault="00E005D6" w:rsidP="00E005D6">
      <w:pPr>
        <w:rPr>
          <w:rFonts w:ascii="Arial" w:hAnsi="Arial" w:cs="Arial"/>
          <w:color w:val="000000" w:themeColor="text1"/>
          <w:sz w:val="22"/>
          <w:szCs w:val="22"/>
        </w:rPr>
      </w:pPr>
      <w:r w:rsidRPr="00E005D6">
        <w:rPr>
          <w:rFonts w:ascii="Arial" w:hAnsi="Arial" w:cs="Arial"/>
          <w:color w:val="000000" w:themeColor="text1"/>
          <w:sz w:val="22"/>
          <w:szCs w:val="22"/>
        </w:rPr>
        <w:t>Practice nurses in primary care play a vital role in educating and supporting patients, promoting self-management, and improving long-term health outcomes. By providing tailored information and ongoing support, patients can be empowered to manage their diabetes safely and effectively.</w:t>
      </w:r>
    </w:p>
    <w:p w14:paraId="53C92D9C" w14:textId="77777777" w:rsidR="00E005D6" w:rsidRDefault="00E005D6" w:rsidP="00E005D6">
      <w:pPr>
        <w:rPr>
          <w:rFonts w:ascii="Arial" w:hAnsi="Arial" w:cs="Arial"/>
          <w:color w:val="000000" w:themeColor="text1"/>
          <w:sz w:val="22"/>
          <w:szCs w:val="22"/>
          <w:u w:val="single"/>
        </w:rPr>
      </w:pPr>
    </w:p>
    <w:p w14:paraId="5B316A6F" w14:textId="77777777" w:rsidR="00966D04" w:rsidRDefault="00966D04" w:rsidP="00E005D6">
      <w:pPr>
        <w:rPr>
          <w:rFonts w:ascii="Arial" w:hAnsi="Arial" w:cs="Arial"/>
          <w:color w:val="000000" w:themeColor="text1"/>
          <w:sz w:val="22"/>
          <w:szCs w:val="22"/>
          <w:u w:val="single"/>
        </w:rPr>
      </w:pPr>
    </w:p>
    <w:p w14:paraId="02F703A3" w14:textId="77777777" w:rsidR="00966D04" w:rsidRDefault="00966D04" w:rsidP="00E005D6">
      <w:pPr>
        <w:rPr>
          <w:rFonts w:ascii="Arial" w:hAnsi="Arial" w:cs="Arial"/>
          <w:color w:val="000000" w:themeColor="text1"/>
          <w:sz w:val="22"/>
          <w:szCs w:val="22"/>
          <w:u w:val="single"/>
        </w:rPr>
      </w:pPr>
    </w:p>
    <w:p w14:paraId="6880D37D" w14:textId="77777777" w:rsidR="00966D04" w:rsidRDefault="00966D04" w:rsidP="00E005D6">
      <w:pPr>
        <w:rPr>
          <w:rFonts w:ascii="Arial" w:hAnsi="Arial" w:cs="Arial"/>
          <w:color w:val="000000" w:themeColor="text1"/>
          <w:sz w:val="22"/>
          <w:szCs w:val="22"/>
          <w:u w:val="single"/>
        </w:rPr>
      </w:pPr>
    </w:p>
    <w:p w14:paraId="4173D18B" w14:textId="77777777" w:rsidR="00966D04" w:rsidRDefault="00966D04" w:rsidP="00E005D6">
      <w:pPr>
        <w:rPr>
          <w:rFonts w:ascii="Arial" w:hAnsi="Arial" w:cs="Arial"/>
          <w:color w:val="000000" w:themeColor="text1"/>
          <w:sz w:val="22"/>
          <w:szCs w:val="22"/>
          <w:u w:val="single"/>
        </w:rPr>
      </w:pPr>
    </w:p>
    <w:p w14:paraId="4A85A27E" w14:textId="77777777" w:rsidR="00966D04" w:rsidRDefault="00966D04" w:rsidP="00E005D6">
      <w:pPr>
        <w:rPr>
          <w:rFonts w:ascii="Arial" w:hAnsi="Arial" w:cs="Arial"/>
          <w:color w:val="000000" w:themeColor="text1"/>
          <w:sz w:val="22"/>
          <w:szCs w:val="22"/>
          <w:u w:val="single"/>
        </w:rPr>
      </w:pPr>
    </w:p>
    <w:p w14:paraId="33D6E683" w14:textId="77777777" w:rsidR="00966D04" w:rsidRDefault="00966D04" w:rsidP="00E005D6">
      <w:pPr>
        <w:rPr>
          <w:rFonts w:ascii="Arial" w:hAnsi="Arial" w:cs="Arial"/>
          <w:color w:val="000000" w:themeColor="text1"/>
          <w:sz w:val="22"/>
          <w:szCs w:val="22"/>
          <w:u w:val="single"/>
        </w:rPr>
      </w:pPr>
    </w:p>
    <w:p w14:paraId="3B89CB98" w14:textId="77777777" w:rsidR="00966D04" w:rsidRDefault="00966D04" w:rsidP="00E005D6">
      <w:pPr>
        <w:rPr>
          <w:rFonts w:ascii="Arial" w:hAnsi="Arial" w:cs="Arial"/>
          <w:color w:val="000000" w:themeColor="text1"/>
          <w:sz w:val="22"/>
          <w:szCs w:val="22"/>
          <w:u w:val="single"/>
        </w:rPr>
      </w:pPr>
    </w:p>
    <w:p w14:paraId="2E5AE39E" w14:textId="77777777" w:rsidR="00966D04" w:rsidRDefault="00966D04" w:rsidP="00E005D6">
      <w:pPr>
        <w:rPr>
          <w:rFonts w:ascii="Arial" w:hAnsi="Arial" w:cs="Arial"/>
          <w:color w:val="000000" w:themeColor="text1"/>
          <w:sz w:val="22"/>
          <w:szCs w:val="22"/>
          <w:u w:val="single"/>
        </w:rPr>
      </w:pPr>
    </w:p>
    <w:p w14:paraId="3B9B06E6" w14:textId="77777777" w:rsidR="00966D04" w:rsidRDefault="00966D04" w:rsidP="00E005D6">
      <w:pPr>
        <w:rPr>
          <w:rFonts w:ascii="Arial" w:hAnsi="Arial" w:cs="Arial"/>
          <w:color w:val="000000" w:themeColor="text1"/>
          <w:sz w:val="22"/>
          <w:szCs w:val="22"/>
          <w:u w:val="single"/>
        </w:rPr>
      </w:pPr>
    </w:p>
    <w:p w14:paraId="3A196724" w14:textId="77777777" w:rsidR="00966D04" w:rsidRDefault="00966D04" w:rsidP="00E005D6">
      <w:pPr>
        <w:rPr>
          <w:rFonts w:ascii="Arial" w:hAnsi="Arial" w:cs="Arial"/>
          <w:color w:val="000000" w:themeColor="text1"/>
          <w:sz w:val="22"/>
          <w:szCs w:val="22"/>
          <w:u w:val="single"/>
        </w:rPr>
      </w:pPr>
    </w:p>
    <w:p w14:paraId="5E8B67D5" w14:textId="77777777" w:rsidR="00966D04" w:rsidRDefault="00966D04" w:rsidP="00E005D6">
      <w:pPr>
        <w:rPr>
          <w:rFonts w:ascii="Arial" w:hAnsi="Arial" w:cs="Arial"/>
          <w:color w:val="000000" w:themeColor="text1"/>
          <w:sz w:val="22"/>
          <w:szCs w:val="22"/>
          <w:u w:val="single"/>
        </w:rPr>
      </w:pPr>
    </w:p>
    <w:p w14:paraId="23E3EEAB" w14:textId="77777777" w:rsidR="00966D04" w:rsidRDefault="00966D04" w:rsidP="00E005D6">
      <w:pPr>
        <w:rPr>
          <w:rFonts w:ascii="Arial" w:hAnsi="Arial" w:cs="Arial"/>
          <w:color w:val="000000" w:themeColor="text1"/>
          <w:sz w:val="22"/>
          <w:szCs w:val="22"/>
          <w:u w:val="single"/>
        </w:rPr>
      </w:pPr>
    </w:p>
    <w:p w14:paraId="2F1F037B" w14:textId="77777777" w:rsidR="00966D04" w:rsidRDefault="00966D04" w:rsidP="00E005D6">
      <w:pPr>
        <w:rPr>
          <w:rFonts w:ascii="Arial" w:hAnsi="Arial" w:cs="Arial"/>
          <w:color w:val="000000" w:themeColor="text1"/>
          <w:sz w:val="22"/>
          <w:szCs w:val="22"/>
          <w:u w:val="single"/>
        </w:rPr>
      </w:pPr>
    </w:p>
    <w:p w14:paraId="37F894CE" w14:textId="77777777" w:rsidR="00966D04" w:rsidRDefault="00966D04" w:rsidP="00E005D6">
      <w:pPr>
        <w:rPr>
          <w:rFonts w:ascii="Arial" w:hAnsi="Arial" w:cs="Arial"/>
          <w:color w:val="000000" w:themeColor="text1"/>
          <w:sz w:val="22"/>
          <w:szCs w:val="22"/>
          <w:u w:val="single"/>
        </w:rPr>
      </w:pPr>
    </w:p>
    <w:p w14:paraId="5B418516" w14:textId="77777777" w:rsidR="00966D04" w:rsidRDefault="00966D04" w:rsidP="00E005D6">
      <w:pPr>
        <w:rPr>
          <w:rFonts w:ascii="Arial" w:hAnsi="Arial" w:cs="Arial"/>
          <w:color w:val="000000" w:themeColor="text1"/>
          <w:sz w:val="22"/>
          <w:szCs w:val="22"/>
          <w:u w:val="single"/>
        </w:rPr>
      </w:pPr>
    </w:p>
    <w:p w14:paraId="18E7FB7F" w14:textId="77777777" w:rsidR="00966D04" w:rsidRPr="00E005D6" w:rsidRDefault="00966D04" w:rsidP="00E005D6">
      <w:pPr>
        <w:rPr>
          <w:rFonts w:ascii="Arial" w:hAnsi="Arial" w:cs="Arial"/>
          <w:color w:val="000000" w:themeColor="text1"/>
          <w:sz w:val="22"/>
          <w:szCs w:val="22"/>
          <w:u w:val="single"/>
        </w:rPr>
      </w:pPr>
    </w:p>
    <w:p w14:paraId="67E7A9C3" w14:textId="291056D3" w:rsidR="00E005D6" w:rsidRPr="00043E21" w:rsidRDefault="00E005D6" w:rsidP="00E005D6">
      <w:pPr>
        <w:rPr>
          <w:rFonts w:ascii="Arial" w:hAnsi="Arial" w:cs="Arial"/>
          <w:b/>
          <w:bCs/>
          <w:color w:val="EE0000"/>
          <w:sz w:val="32"/>
          <w:szCs w:val="32"/>
          <w:u w:val="single"/>
        </w:rPr>
      </w:pPr>
      <w:r w:rsidRPr="00043E21">
        <w:rPr>
          <w:rFonts w:ascii="Arial" w:hAnsi="Arial" w:cs="Arial"/>
          <w:b/>
          <w:bCs/>
          <w:color w:val="EE0000"/>
          <w:sz w:val="32"/>
          <w:szCs w:val="32"/>
          <w:u w:val="single"/>
        </w:rPr>
        <w:t xml:space="preserve">Reference List </w:t>
      </w:r>
      <w:r w:rsidR="00043E21" w:rsidRPr="00043E21">
        <w:rPr>
          <w:rFonts w:ascii="Arial" w:hAnsi="Arial" w:cs="Arial"/>
          <w:b/>
          <w:bCs/>
          <w:color w:val="EE0000"/>
          <w:sz w:val="32"/>
          <w:szCs w:val="32"/>
          <w:u w:val="single"/>
        </w:rPr>
        <w:t>(Harvard</w:t>
      </w:r>
      <w:r w:rsidRPr="00043E21">
        <w:rPr>
          <w:rFonts w:ascii="Arial" w:hAnsi="Arial" w:cs="Arial"/>
          <w:b/>
          <w:bCs/>
          <w:color w:val="EE0000"/>
          <w:sz w:val="32"/>
          <w:szCs w:val="32"/>
          <w:u w:val="single"/>
        </w:rPr>
        <w:t xml:space="preserve"> Style)</w:t>
      </w:r>
    </w:p>
    <w:p w14:paraId="3D6893DA" w14:textId="77777777" w:rsidR="00E005D6" w:rsidRPr="00E005D6" w:rsidRDefault="00E005D6" w:rsidP="00E005D6">
      <w:pPr>
        <w:rPr>
          <w:rFonts w:ascii="Arial" w:hAnsi="Arial" w:cs="Arial"/>
          <w:color w:val="000000" w:themeColor="text1"/>
          <w:sz w:val="22"/>
          <w:szCs w:val="22"/>
          <w:u w:val="single"/>
        </w:rPr>
      </w:pPr>
    </w:p>
    <w:p w14:paraId="6FFCEF41" w14:textId="77777777" w:rsidR="00E005D6" w:rsidRPr="00043E21" w:rsidRDefault="00E005D6" w:rsidP="00E005D6">
      <w:pPr>
        <w:rPr>
          <w:rFonts w:ascii="Arial" w:hAnsi="Arial" w:cs="Arial"/>
          <w:color w:val="000000" w:themeColor="text1"/>
          <w:sz w:val="22"/>
          <w:szCs w:val="22"/>
        </w:rPr>
      </w:pPr>
      <w:r w:rsidRPr="00043E21">
        <w:rPr>
          <w:rFonts w:ascii="Arial" w:hAnsi="Arial" w:cs="Arial"/>
          <w:color w:val="000000" w:themeColor="text1"/>
          <w:sz w:val="22"/>
          <w:szCs w:val="22"/>
        </w:rPr>
        <w:t>Diabetes UK (2023) Type 2 diabetes. Available at: https://www.diabetes.org.uk</w:t>
      </w:r>
    </w:p>
    <w:p w14:paraId="18E58090" w14:textId="699CB2F9" w:rsidR="00043E21" w:rsidRPr="00043E21" w:rsidRDefault="00043E21" w:rsidP="00043E21">
      <w:pPr>
        <w:rPr>
          <w:rFonts w:ascii="Arial" w:hAnsi="Arial" w:cs="Arial"/>
          <w:color w:val="000000" w:themeColor="text1"/>
          <w:sz w:val="22"/>
          <w:szCs w:val="22"/>
        </w:rPr>
      </w:pPr>
      <w:r w:rsidRPr="00043E21">
        <w:rPr>
          <w:rFonts w:ascii="Arial" w:hAnsi="Arial" w:cs="Arial"/>
          <w:color w:val="000000" w:themeColor="text1"/>
          <w:sz w:val="22"/>
          <w:szCs w:val="22"/>
        </w:rPr>
        <w:t>National Institute for Health and Care Excellence (2022) Type 2 diabetes in adults: management (NG28). London: NICE.</w:t>
      </w:r>
    </w:p>
    <w:p w14:paraId="0D412F5D" w14:textId="027677E4" w:rsidR="00043E21" w:rsidRPr="00043E21" w:rsidRDefault="00043E21" w:rsidP="00043E21">
      <w:pPr>
        <w:rPr>
          <w:rFonts w:ascii="Arial" w:hAnsi="Arial" w:cs="Arial"/>
          <w:color w:val="000000" w:themeColor="text1"/>
          <w:sz w:val="22"/>
          <w:szCs w:val="22"/>
        </w:rPr>
      </w:pPr>
      <w:r w:rsidRPr="00043E21">
        <w:rPr>
          <w:rFonts w:ascii="Arial" w:hAnsi="Arial" w:cs="Arial"/>
          <w:color w:val="000000" w:themeColor="text1"/>
          <w:sz w:val="22"/>
          <w:szCs w:val="22"/>
        </w:rPr>
        <w:t>National Institute for Health and Care Excellence (2015, updated 2023) Diabetes in adults: quality standard (QS6). London: NICE.</w:t>
      </w:r>
    </w:p>
    <w:p w14:paraId="0024C209" w14:textId="2F133FB6" w:rsidR="00043E21" w:rsidRPr="00043E21" w:rsidRDefault="00043E21" w:rsidP="00043E21">
      <w:pPr>
        <w:rPr>
          <w:rFonts w:ascii="Arial" w:hAnsi="Arial" w:cs="Arial"/>
          <w:color w:val="000000" w:themeColor="text1"/>
          <w:sz w:val="22"/>
          <w:szCs w:val="22"/>
        </w:rPr>
      </w:pPr>
      <w:r w:rsidRPr="00043E21">
        <w:rPr>
          <w:rFonts w:ascii="Arial" w:hAnsi="Arial" w:cs="Arial"/>
          <w:color w:val="000000" w:themeColor="text1"/>
          <w:sz w:val="22"/>
          <w:szCs w:val="22"/>
        </w:rPr>
        <w:t>NHS (2023) Type 2 diabetes – Overview. Available at: https://www.nhs.uk</w:t>
      </w:r>
    </w:p>
    <w:p w14:paraId="011CB658" w14:textId="25732462" w:rsidR="00043E21" w:rsidRPr="00043E21" w:rsidRDefault="00043E21" w:rsidP="00043E21">
      <w:pPr>
        <w:rPr>
          <w:rFonts w:ascii="Arial" w:hAnsi="Arial" w:cs="Arial"/>
          <w:color w:val="000000" w:themeColor="text1"/>
          <w:sz w:val="22"/>
          <w:szCs w:val="22"/>
        </w:rPr>
      </w:pPr>
      <w:r w:rsidRPr="00043E21">
        <w:rPr>
          <w:rFonts w:ascii="Arial" w:hAnsi="Arial" w:cs="Arial"/>
          <w:color w:val="000000" w:themeColor="text1"/>
          <w:sz w:val="22"/>
          <w:szCs w:val="22"/>
        </w:rPr>
        <w:t>NHS England (2019) The NHS Long Term Plan. London: NHS England.</w:t>
      </w:r>
    </w:p>
    <w:p w14:paraId="25659801" w14:textId="381FC754" w:rsidR="00043E21" w:rsidRPr="00043E21" w:rsidRDefault="00043E21" w:rsidP="00043E21">
      <w:pPr>
        <w:rPr>
          <w:rFonts w:ascii="Arial" w:hAnsi="Arial" w:cs="Arial"/>
          <w:color w:val="000000" w:themeColor="text1"/>
          <w:sz w:val="22"/>
          <w:szCs w:val="22"/>
        </w:rPr>
      </w:pPr>
      <w:r w:rsidRPr="00043E21">
        <w:rPr>
          <w:rFonts w:ascii="Arial" w:hAnsi="Arial" w:cs="Arial"/>
          <w:color w:val="000000" w:themeColor="text1"/>
          <w:sz w:val="22"/>
          <w:szCs w:val="22"/>
        </w:rPr>
        <w:t>NHS England (2023) National Diabetes Audit Report. London: NHS England.</w:t>
      </w:r>
    </w:p>
    <w:p w14:paraId="55738161" w14:textId="458531AF" w:rsidR="00E005D6" w:rsidRPr="00043E21" w:rsidRDefault="00043E21" w:rsidP="00043E21">
      <w:pPr>
        <w:rPr>
          <w:rFonts w:ascii="Arial" w:hAnsi="Arial" w:cs="Arial"/>
          <w:color w:val="000000" w:themeColor="text1"/>
          <w:sz w:val="22"/>
          <w:szCs w:val="22"/>
        </w:rPr>
      </w:pPr>
      <w:r w:rsidRPr="00043E21">
        <w:rPr>
          <w:rFonts w:ascii="Arial" w:hAnsi="Arial" w:cs="Arial"/>
          <w:color w:val="000000" w:themeColor="text1"/>
          <w:sz w:val="22"/>
          <w:szCs w:val="22"/>
        </w:rPr>
        <w:t>Diabetes UK (2023) Type 2 diabetes statistics in the UK. London: Diabetes UK.</w:t>
      </w:r>
    </w:p>
    <w:p w14:paraId="23C4385E" w14:textId="08886FF3" w:rsidR="00E005D6" w:rsidRPr="00043E21" w:rsidRDefault="00E005D6" w:rsidP="00E005D6">
      <w:pPr>
        <w:rPr>
          <w:rFonts w:ascii="Arial" w:hAnsi="Arial" w:cs="Arial"/>
          <w:color w:val="000000" w:themeColor="text1"/>
          <w:sz w:val="22"/>
          <w:szCs w:val="22"/>
        </w:rPr>
      </w:pPr>
      <w:r w:rsidRPr="00043E21">
        <w:rPr>
          <w:rFonts w:ascii="Arial" w:hAnsi="Arial" w:cs="Arial"/>
          <w:color w:val="000000" w:themeColor="text1"/>
          <w:sz w:val="22"/>
          <w:szCs w:val="22"/>
        </w:rPr>
        <w:t>NHS (2023) Type 2 diabetes – Overview. Available at: https://www.nhs.uk</w:t>
      </w:r>
    </w:p>
    <w:p w14:paraId="2B70A285" w14:textId="67E93C8F" w:rsidR="00E005D6" w:rsidRPr="00043E21" w:rsidRDefault="00E005D6" w:rsidP="00E005D6">
      <w:pPr>
        <w:rPr>
          <w:rFonts w:ascii="Arial" w:hAnsi="Arial" w:cs="Arial"/>
          <w:color w:val="000000" w:themeColor="text1"/>
          <w:sz w:val="22"/>
          <w:szCs w:val="22"/>
        </w:rPr>
      </w:pPr>
      <w:r w:rsidRPr="00043E21">
        <w:rPr>
          <w:rFonts w:ascii="Arial" w:hAnsi="Arial" w:cs="Arial"/>
          <w:color w:val="000000" w:themeColor="text1"/>
          <w:sz w:val="22"/>
          <w:szCs w:val="22"/>
        </w:rPr>
        <w:t>NICE (2022) Type 2 diabetes in adults: management (NG28). London: National Institute for Health and Care Excellence.</w:t>
      </w:r>
    </w:p>
    <w:p w14:paraId="700E9FBE" w14:textId="772AB5AF" w:rsidR="00E005D6" w:rsidRPr="00043E21" w:rsidRDefault="00E005D6" w:rsidP="00E005D6">
      <w:pPr>
        <w:rPr>
          <w:rFonts w:ascii="Arial" w:hAnsi="Arial" w:cs="Arial"/>
          <w:color w:val="000000" w:themeColor="text1"/>
          <w:sz w:val="22"/>
          <w:szCs w:val="22"/>
        </w:rPr>
      </w:pPr>
      <w:r w:rsidRPr="00043E21">
        <w:rPr>
          <w:rFonts w:ascii="Arial" w:hAnsi="Arial" w:cs="Arial"/>
          <w:color w:val="000000" w:themeColor="text1"/>
          <w:sz w:val="22"/>
          <w:szCs w:val="22"/>
        </w:rPr>
        <w:t>Public Health England (2020) Health matters: preventing Type 2 diabetes.</w:t>
      </w:r>
    </w:p>
    <w:p w14:paraId="05E0F284" w14:textId="7FAE0923" w:rsidR="00E005D6" w:rsidRPr="00043E21" w:rsidRDefault="00E005D6" w:rsidP="00E005D6">
      <w:pPr>
        <w:rPr>
          <w:rFonts w:ascii="Arial" w:hAnsi="Arial" w:cs="Arial"/>
          <w:color w:val="000000" w:themeColor="text1"/>
          <w:sz w:val="22"/>
          <w:szCs w:val="22"/>
        </w:rPr>
      </w:pPr>
      <w:r w:rsidRPr="00043E21">
        <w:rPr>
          <w:rFonts w:ascii="Arial" w:hAnsi="Arial" w:cs="Arial"/>
          <w:color w:val="000000" w:themeColor="text1"/>
          <w:sz w:val="22"/>
          <w:szCs w:val="22"/>
        </w:rPr>
        <w:t>NHS England (2019) The NHS Long Term Plan.</w:t>
      </w:r>
    </w:p>
    <w:p w14:paraId="48F788E9" w14:textId="21C45E8A" w:rsidR="00E005D6" w:rsidRPr="00043E21" w:rsidRDefault="00E005D6" w:rsidP="00E005D6">
      <w:pPr>
        <w:rPr>
          <w:rFonts w:ascii="Arial" w:hAnsi="Arial" w:cs="Arial"/>
          <w:color w:val="000000" w:themeColor="text1"/>
          <w:sz w:val="22"/>
          <w:szCs w:val="22"/>
        </w:rPr>
      </w:pPr>
      <w:r w:rsidRPr="00043E21">
        <w:rPr>
          <w:rFonts w:ascii="Arial" w:hAnsi="Arial" w:cs="Arial"/>
          <w:color w:val="000000" w:themeColor="text1"/>
          <w:sz w:val="22"/>
          <w:szCs w:val="22"/>
        </w:rPr>
        <w:t>Diabetes UK (2022) DESMOND programme information.</w:t>
      </w:r>
    </w:p>
    <w:p w14:paraId="0A85BBAA" w14:textId="77777777" w:rsidR="00043E21" w:rsidRPr="00043E21" w:rsidRDefault="00043E21" w:rsidP="00E005D6">
      <w:pPr>
        <w:rPr>
          <w:rFonts w:ascii="Arial" w:hAnsi="Arial" w:cs="Arial"/>
          <w:color w:val="000000" w:themeColor="text1"/>
          <w:sz w:val="22"/>
          <w:szCs w:val="22"/>
        </w:rPr>
      </w:pPr>
    </w:p>
    <w:sectPr w:rsidR="00043E21" w:rsidRPr="00043E21" w:rsidSect="00D149F2">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CF4BE" w14:textId="77777777" w:rsidR="00105140" w:rsidRDefault="00105140" w:rsidP="00D149F2">
      <w:pPr>
        <w:spacing w:after="0" w:line="240" w:lineRule="auto"/>
      </w:pPr>
      <w:r>
        <w:separator/>
      </w:r>
    </w:p>
  </w:endnote>
  <w:endnote w:type="continuationSeparator" w:id="0">
    <w:p w14:paraId="3EA7619D" w14:textId="77777777" w:rsidR="00105140" w:rsidRDefault="00105140" w:rsidP="00D1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8344683"/>
      <w:docPartObj>
        <w:docPartGallery w:val="Page Numbers (Bottom of Page)"/>
        <w:docPartUnique/>
      </w:docPartObj>
    </w:sdtPr>
    <w:sdtContent>
      <w:p w14:paraId="0FAABACD" w14:textId="0337F378" w:rsidR="00FD7D40" w:rsidRDefault="00FD7D40">
        <w:pPr>
          <w:pStyle w:val="Footer"/>
          <w:jc w:val="center"/>
        </w:pPr>
        <w:r>
          <w:fldChar w:fldCharType="begin"/>
        </w:r>
        <w:r>
          <w:instrText>PAGE   \* MERGEFORMAT</w:instrText>
        </w:r>
        <w:r>
          <w:fldChar w:fldCharType="separate"/>
        </w:r>
        <w:r>
          <w:t>2</w:t>
        </w:r>
        <w:r>
          <w:fldChar w:fldCharType="end"/>
        </w:r>
      </w:p>
    </w:sdtContent>
  </w:sdt>
  <w:p w14:paraId="3E7B82E0" w14:textId="77777777" w:rsidR="00FD7D40" w:rsidRDefault="00FD7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2F9D6" w14:textId="77777777" w:rsidR="00105140" w:rsidRDefault="00105140" w:rsidP="00D149F2">
      <w:pPr>
        <w:spacing w:after="0" w:line="240" w:lineRule="auto"/>
      </w:pPr>
      <w:r>
        <w:separator/>
      </w:r>
    </w:p>
  </w:footnote>
  <w:footnote w:type="continuationSeparator" w:id="0">
    <w:p w14:paraId="4BD06850" w14:textId="77777777" w:rsidR="00105140" w:rsidRDefault="00105140" w:rsidP="00D14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3CD7"/>
    <w:multiLevelType w:val="hybridMultilevel"/>
    <w:tmpl w:val="82C41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B45DDA"/>
    <w:multiLevelType w:val="hybridMultilevel"/>
    <w:tmpl w:val="7B0E390E"/>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706060E2"/>
    <w:multiLevelType w:val="hybridMultilevel"/>
    <w:tmpl w:val="B69AB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5753734">
    <w:abstractNumId w:val="1"/>
  </w:num>
  <w:num w:numId="2" w16cid:durableId="1784305460">
    <w:abstractNumId w:val="0"/>
  </w:num>
  <w:num w:numId="3" w16cid:durableId="726033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54F"/>
    <w:rsid w:val="00043E21"/>
    <w:rsid w:val="000A7F2F"/>
    <w:rsid w:val="00105140"/>
    <w:rsid w:val="0011033C"/>
    <w:rsid w:val="001A1F00"/>
    <w:rsid w:val="001C25EA"/>
    <w:rsid w:val="0020267C"/>
    <w:rsid w:val="002574AA"/>
    <w:rsid w:val="002A1B79"/>
    <w:rsid w:val="0032777E"/>
    <w:rsid w:val="00374A2B"/>
    <w:rsid w:val="00393E80"/>
    <w:rsid w:val="003E1A5D"/>
    <w:rsid w:val="00467B99"/>
    <w:rsid w:val="004704E3"/>
    <w:rsid w:val="00495E23"/>
    <w:rsid w:val="004C16A1"/>
    <w:rsid w:val="004D3800"/>
    <w:rsid w:val="0050584C"/>
    <w:rsid w:val="00551605"/>
    <w:rsid w:val="00574DB2"/>
    <w:rsid w:val="005917E9"/>
    <w:rsid w:val="005A5F55"/>
    <w:rsid w:val="00602821"/>
    <w:rsid w:val="006B20D6"/>
    <w:rsid w:val="006D77B1"/>
    <w:rsid w:val="006E0C39"/>
    <w:rsid w:val="006F1274"/>
    <w:rsid w:val="00707D2D"/>
    <w:rsid w:val="00732E35"/>
    <w:rsid w:val="00781746"/>
    <w:rsid w:val="007B51E8"/>
    <w:rsid w:val="007D446B"/>
    <w:rsid w:val="007D568E"/>
    <w:rsid w:val="008464A3"/>
    <w:rsid w:val="008766D5"/>
    <w:rsid w:val="00894832"/>
    <w:rsid w:val="00966D04"/>
    <w:rsid w:val="009A54B6"/>
    <w:rsid w:val="00A279A5"/>
    <w:rsid w:val="00A53892"/>
    <w:rsid w:val="00A57962"/>
    <w:rsid w:val="00A620AF"/>
    <w:rsid w:val="00A73807"/>
    <w:rsid w:val="00B14BCA"/>
    <w:rsid w:val="00B30418"/>
    <w:rsid w:val="00B428E6"/>
    <w:rsid w:val="00BD5BAF"/>
    <w:rsid w:val="00BF7ACE"/>
    <w:rsid w:val="00C0591B"/>
    <w:rsid w:val="00C25899"/>
    <w:rsid w:val="00C83F5A"/>
    <w:rsid w:val="00C8562E"/>
    <w:rsid w:val="00CA1B00"/>
    <w:rsid w:val="00CD0153"/>
    <w:rsid w:val="00D01E6A"/>
    <w:rsid w:val="00D149F2"/>
    <w:rsid w:val="00D95D78"/>
    <w:rsid w:val="00DB2571"/>
    <w:rsid w:val="00DC154F"/>
    <w:rsid w:val="00E005D6"/>
    <w:rsid w:val="00E01634"/>
    <w:rsid w:val="00E1473F"/>
    <w:rsid w:val="00EB5B20"/>
    <w:rsid w:val="00EB7B05"/>
    <w:rsid w:val="00F27D98"/>
    <w:rsid w:val="00F615E4"/>
    <w:rsid w:val="00F6445B"/>
    <w:rsid w:val="00FD7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BB9C3"/>
  <w15:chartTrackingRefBased/>
  <w15:docId w15:val="{EF2B1013-EA60-4C72-9BA3-240A32D5B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54F"/>
    <w:rPr>
      <w:rFonts w:eastAsiaTheme="majorEastAsia" w:cstheme="majorBidi"/>
      <w:color w:val="272727" w:themeColor="text1" w:themeTint="D8"/>
    </w:rPr>
  </w:style>
  <w:style w:type="paragraph" w:styleId="Title">
    <w:name w:val="Title"/>
    <w:basedOn w:val="Normal"/>
    <w:next w:val="Normal"/>
    <w:link w:val="TitleChar"/>
    <w:uiPriority w:val="10"/>
    <w:qFormat/>
    <w:rsid w:val="00DC1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54F"/>
    <w:pPr>
      <w:spacing w:before="160"/>
      <w:jc w:val="center"/>
    </w:pPr>
    <w:rPr>
      <w:i/>
      <w:iCs/>
      <w:color w:val="404040" w:themeColor="text1" w:themeTint="BF"/>
    </w:rPr>
  </w:style>
  <w:style w:type="character" w:customStyle="1" w:styleId="QuoteChar">
    <w:name w:val="Quote Char"/>
    <w:basedOn w:val="DefaultParagraphFont"/>
    <w:link w:val="Quote"/>
    <w:uiPriority w:val="29"/>
    <w:rsid w:val="00DC154F"/>
    <w:rPr>
      <w:i/>
      <w:iCs/>
      <w:color w:val="404040" w:themeColor="text1" w:themeTint="BF"/>
    </w:rPr>
  </w:style>
  <w:style w:type="paragraph" w:styleId="ListParagraph">
    <w:name w:val="List Paragraph"/>
    <w:basedOn w:val="Normal"/>
    <w:uiPriority w:val="34"/>
    <w:qFormat/>
    <w:rsid w:val="00DC154F"/>
    <w:pPr>
      <w:ind w:left="720"/>
      <w:contextualSpacing/>
    </w:pPr>
  </w:style>
  <w:style w:type="character" w:styleId="IntenseEmphasis">
    <w:name w:val="Intense Emphasis"/>
    <w:basedOn w:val="DefaultParagraphFont"/>
    <w:uiPriority w:val="21"/>
    <w:qFormat/>
    <w:rsid w:val="00DC154F"/>
    <w:rPr>
      <w:i/>
      <w:iCs/>
      <w:color w:val="0F4761" w:themeColor="accent1" w:themeShade="BF"/>
    </w:rPr>
  </w:style>
  <w:style w:type="paragraph" w:styleId="IntenseQuote">
    <w:name w:val="Intense Quote"/>
    <w:basedOn w:val="Normal"/>
    <w:next w:val="Normal"/>
    <w:link w:val="IntenseQuoteChar"/>
    <w:uiPriority w:val="30"/>
    <w:qFormat/>
    <w:rsid w:val="00DC1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54F"/>
    <w:rPr>
      <w:i/>
      <w:iCs/>
      <w:color w:val="0F4761" w:themeColor="accent1" w:themeShade="BF"/>
    </w:rPr>
  </w:style>
  <w:style w:type="character" w:styleId="IntenseReference">
    <w:name w:val="Intense Reference"/>
    <w:basedOn w:val="DefaultParagraphFont"/>
    <w:uiPriority w:val="32"/>
    <w:qFormat/>
    <w:rsid w:val="00DC154F"/>
    <w:rPr>
      <w:b/>
      <w:bCs/>
      <w:smallCaps/>
      <w:color w:val="0F4761" w:themeColor="accent1" w:themeShade="BF"/>
      <w:spacing w:val="5"/>
    </w:rPr>
  </w:style>
  <w:style w:type="paragraph" w:styleId="Header">
    <w:name w:val="header"/>
    <w:basedOn w:val="Normal"/>
    <w:link w:val="HeaderChar"/>
    <w:uiPriority w:val="99"/>
    <w:unhideWhenUsed/>
    <w:rsid w:val="00D14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9F2"/>
  </w:style>
  <w:style w:type="paragraph" w:styleId="Footer">
    <w:name w:val="footer"/>
    <w:basedOn w:val="Normal"/>
    <w:link w:val="FooterChar"/>
    <w:uiPriority w:val="99"/>
    <w:unhideWhenUsed/>
    <w:rsid w:val="00D14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2c6ec7bcf178d6979f80ef34d109d63f">
  <xsd:schema xmlns:xsd="http://www.w3.org/2001/XMLSchema" xmlns:xs="http://www.w3.org/2001/XMLSchema" xmlns:p="http://schemas.microsoft.com/office/2006/metadata/properties" xmlns:ns3="ccfc14db-0f45-423b-b2f5-752f8f8a0ada" targetNamespace="http://schemas.microsoft.com/office/2006/metadata/properties" ma:root="true" ma:fieldsID="0d37723a57e944ca21dce9caee551a2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1CAB2F05-2003-455C-887A-7DBFD1C6DCCD}">
  <ds:schemaRefs>
    <ds:schemaRef ds:uri="http://schemas.microsoft.com/sharepoint/v3/contenttype/forms"/>
  </ds:schemaRefs>
</ds:datastoreItem>
</file>

<file path=customXml/itemProps2.xml><?xml version="1.0" encoding="utf-8"?>
<ds:datastoreItem xmlns:ds="http://schemas.openxmlformats.org/officeDocument/2006/customXml" ds:itemID="{45562D63-7BCF-428D-87DF-723F53EF5D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EB22D4-CCD5-408E-85FC-B5BC0DDCF16E}">
  <ds:schemaRefs>
    <ds:schemaRef ds:uri="http://schemas.openxmlformats.org/officeDocument/2006/bibliography"/>
  </ds:schemaRefs>
</ds:datastoreItem>
</file>

<file path=customXml/itemProps4.xml><?xml version="1.0" encoding="utf-8"?>
<ds:datastoreItem xmlns:ds="http://schemas.openxmlformats.org/officeDocument/2006/customXml" ds:itemID="{3A0032AC-D863-4590-949D-6FA498BDF82A}">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15943</TotalTime>
  <Pages>7</Pages>
  <Words>1638</Words>
  <Characters>9929</Characters>
  <Application>Microsoft Office Word</Application>
  <DocSecurity>0</DocSecurity>
  <Lines>221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Semira Abdelkerim Zeinu (2427863)</dc:creator>
  <cp:keywords/>
  <dc:description/>
  <cp:lastModifiedBy>Semira Abdelkerim Zeinu (2427863)</cp:lastModifiedBy>
  <cp:revision>62</cp:revision>
  <dcterms:created xsi:type="dcterms:W3CDTF">2025-11-12T09:53:00Z</dcterms:created>
  <dcterms:modified xsi:type="dcterms:W3CDTF">2026-02-23T03:27:00Z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