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E510272" w14:textId="52B02EBE" w:rsidR="00910D35" w:rsidRPr="00D103C1" w:rsidRDefault="00910D35" w:rsidP="00910D35">
      <w:pPr>
        <w:jc w:val="right"/>
        <w:rPr>
          <w:sz w:val="20"/>
          <w:szCs w:val="20"/>
        </w:rPr>
      </w:pPr>
      <w:r w:rsidRPr="00D103C1">
        <w:rPr>
          <w:sz w:val="20"/>
          <w:szCs w:val="20"/>
        </w:rPr>
        <w:t>HPAH7022</w:t>
      </w:r>
    </w:p>
    <w:p w14:paraId="5B59B8F3" w14:textId="45B57B89" w:rsidR="00F00878" w:rsidRPr="00D103C1" w:rsidRDefault="00910D35" w:rsidP="00910D35">
      <w:pPr>
        <w:jc w:val="right"/>
        <w:rPr>
          <w:sz w:val="20"/>
          <w:szCs w:val="20"/>
        </w:rPr>
      </w:pPr>
      <w:r w:rsidRPr="00D103C1">
        <w:rPr>
          <w:sz w:val="20"/>
          <w:szCs w:val="20"/>
        </w:rPr>
        <w:t>Assessment 2 Heritage Aspect</w:t>
      </w:r>
    </w:p>
    <w:p w14:paraId="62E07B1E" w14:textId="44F2838F" w:rsidR="00910D35" w:rsidRDefault="00910D35" w:rsidP="00910D35">
      <w:pPr>
        <w:jc w:val="right"/>
      </w:pPr>
      <w:r w:rsidRPr="00D103C1">
        <w:rPr>
          <w:sz w:val="20"/>
          <w:szCs w:val="20"/>
        </w:rPr>
        <w:t>Alison Hands</w:t>
      </w:r>
    </w:p>
    <w:p w14:paraId="6E643866" w14:textId="77777777" w:rsidR="00910D35" w:rsidRDefault="00910D35" w:rsidP="00910D35">
      <w:pPr>
        <w:jc w:val="right"/>
      </w:pPr>
    </w:p>
    <w:p w14:paraId="4E179FA6" w14:textId="0BF51EBB" w:rsidR="00B9644B" w:rsidRDefault="00910D35" w:rsidP="007E38C1">
      <w:pPr>
        <w:jc w:val="center"/>
        <w:rPr>
          <w:b/>
          <w:bCs/>
        </w:rPr>
      </w:pPr>
      <w:r w:rsidRPr="00910D35">
        <w:rPr>
          <w:b/>
          <w:bCs/>
        </w:rPr>
        <w:t xml:space="preserve">The Restitution Fight Between Germany and Egypt </w:t>
      </w:r>
      <w:proofErr w:type="gramStart"/>
      <w:r w:rsidRPr="00910D35">
        <w:rPr>
          <w:b/>
          <w:bCs/>
        </w:rPr>
        <w:t>For</w:t>
      </w:r>
      <w:proofErr w:type="gramEnd"/>
      <w:r w:rsidRPr="00910D35">
        <w:rPr>
          <w:b/>
          <w:bCs/>
        </w:rPr>
        <w:t xml:space="preserve"> The Nefertiti Bust</w:t>
      </w:r>
    </w:p>
    <w:p w14:paraId="428D9E95" w14:textId="77777777" w:rsidR="007E38C1" w:rsidRPr="007E38C1" w:rsidRDefault="007E38C1" w:rsidP="007E38C1">
      <w:pPr>
        <w:jc w:val="center"/>
        <w:rPr>
          <w:b/>
          <w:bCs/>
        </w:rPr>
      </w:pPr>
    </w:p>
    <w:p w14:paraId="14958333" w14:textId="2F7F7C50" w:rsidR="00236C36" w:rsidRDefault="00B50F66" w:rsidP="003A589D">
      <w:pPr>
        <w:spacing w:line="480" w:lineRule="auto"/>
        <w:jc w:val="both"/>
      </w:pPr>
      <w:r>
        <w:t>I</w:t>
      </w:r>
      <w:r w:rsidR="009A3907">
        <w:t>n a</w:t>
      </w:r>
      <w:r w:rsidR="00A57723">
        <w:t xml:space="preserve"> </w:t>
      </w:r>
      <w:r w:rsidR="00371262">
        <w:t>bullet-proof</w:t>
      </w:r>
      <w:r w:rsidR="00D50AA0">
        <w:t xml:space="preserve"> box</w:t>
      </w:r>
      <w:r w:rsidR="00CE2512">
        <w:t xml:space="preserve"> (Fig.1)</w:t>
      </w:r>
      <w:r w:rsidR="00CF15F1">
        <w:t>,</w:t>
      </w:r>
      <w:r w:rsidR="00D50AA0">
        <w:t xml:space="preserve"> in </w:t>
      </w:r>
      <w:r w:rsidR="00B9644B">
        <w:t xml:space="preserve">the </w:t>
      </w:r>
      <w:r w:rsidR="00733A66">
        <w:t xml:space="preserve">dark </w:t>
      </w:r>
      <w:r w:rsidR="0097126C">
        <w:t>R</w:t>
      </w:r>
      <w:r w:rsidR="00733A66">
        <w:t xml:space="preserve">oom </w:t>
      </w:r>
      <w:r w:rsidR="009A3907">
        <w:t>21</w:t>
      </w:r>
      <w:r w:rsidR="00B9644B">
        <w:t>.</w:t>
      </w:r>
      <w:r w:rsidR="009A3907">
        <w:t xml:space="preserve">0 </w:t>
      </w:r>
      <w:r w:rsidR="00733A66">
        <w:t xml:space="preserve">of </w:t>
      </w:r>
      <w:r w:rsidR="00D50AA0">
        <w:t xml:space="preserve">the </w:t>
      </w:r>
      <w:r w:rsidR="00BF4BE7">
        <w:t>Neues</w:t>
      </w:r>
      <w:r w:rsidR="00D50AA0">
        <w:t xml:space="preserve"> Museum </w:t>
      </w:r>
      <w:sdt>
        <w:sdtPr>
          <w:id w:val="2124797742"/>
          <w:citation/>
        </w:sdtPr>
        <w:sdtContent>
          <w:r w:rsidR="00CF15F1">
            <w:fldChar w:fldCharType="begin"/>
          </w:r>
          <w:r w:rsidR="00CF15F1">
            <w:instrText xml:space="preserve"> CITATION Rex24 \l 2057 </w:instrText>
          </w:r>
          <w:r w:rsidR="00CF15F1">
            <w:fldChar w:fldCharType="separate"/>
          </w:r>
          <w:r w:rsidR="00E21D5D" w:rsidRPr="00E21D5D">
            <w:rPr>
              <w:noProof/>
            </w:rPr>
            <w:t>(RexPublica, 2024)</w:t>
          </w:r>
          <w:r w:rsidR="00CF15F1">
            <w:fldChar w:fldCharType="end"/>
          </w:r>
        </w:sdtContent>
      </w:sdt>
      <w:r w:rsidR="00CF15F1">
        <w:t xml:space="preserve"> </w:t>
      </w:r>
      <w:r w:rsidR="00CE2512">
        <w:t>(Fig.2)</w:t>
      </w:r>
      <w:r w:rsidR="00B9644B">
        <w:t>,</w:t>
      </w:r>
      <w:r w:rsidR="00CE2512">
        <w:t xml:space="preserve"> </w:t>
      </w:r>
      <w:r w:rsidR="00D50AA0">
        <w:t xml:space="preserve">sits </w:t>
      </w:r>
      <w:r w:rsidR="00CF15F1">
        <w:t>find number</w:t>
      </w:r>
      <w:r w:rsidR="00CF15F1" w:rsidRPr="00CF15F1">
        <w:t xml:space="preserve"> ÄM 21300</w:t>
      </w:r>
      <w:r w:rsidR="00F00878">
        <w:t>.</w:t>
      </w:r>
      <w:r w:rsidR="00CF15F1">
        <w:rPr>
          <w:i/>
          <w:iCs/>
        </w:rPr>
        <w:t xml:space="preserve"> </w:t>
      </w:r>
      <w:r w:rsidR="00F00878">
        <w:t>A</w:t>
      </w:r>
      <w:r w:rsidR="00D50AA0">
        <w:t xml:space="preserve"> painted bust 49cm high, 24.5cm wide and 35cm deep, made of limestone, stucco, </w:t>
      </w:r>
      <w:r w:rsidR="00CE2512">
        <w:t>quartz,</w:t>
      </w:r>
      <w:r w:rsidR="00D50AA0">
        <w:t xml:space="preserve"> and wax</w:t>
      </w:r>
      <w:r w:rsidR="00CE2512">
        <w:t>. It was</w:t>
      </w:r>
      <w:r w:rsidR="00D50AA0">
        <w:t xml:space="preserve"> found</w:t>
      </w:r>
      <w:r w:rsidR="00B9644B">
        <w:t xml:space="preserve"> </w:t>
      </w:r>
      <w:r w:rsidR="00D50AA0">
        <w:t>6</w:t>
      </w:r>
      <w:r w:rsidR="00D50AA0" w:rsidRPr="00D50AA0">
        <w:rPr>
          <w:vertAlign w:val="superscript"/>
        </w:rPr>
        <w:t>th</w:t>
      </w:r>
      <w:r w:rsidR="00D50AA0">
        <w:t xml:space="preserve"> December </w:t>
      </w:r>
      <w:r w:rsidR="00733A66">
        <w:t xml:space="preserve">1912 </w:t>
      </w:r>
      <w:r w:rsidR="00D50AA0">
        <w:t>in</w:t>
      </w:r>
      <w:r w:rsidR="0060135D">
        <w:t xml:space="preserve"> the</w:t>
      </w:r>
      <w:r w:rsidR="002B6519">
        <w:t xml:space="preserve"> </w:t>
      </w:r>
      <w:r w:rsidR="0060135D">
        <w:t xml:space="preserve">remains of </w:t>
      </w:r>
      <w:r w:rsidR="00D50AA0">
        <w:t>house P 47</w:t>
      </w:r>
      <w:r w:rsidR="0083674F">
        <w:t xml:space="preserve"> - </w:t>
      </w:r>
      <w:r w:rsidR="00D50AA0">
        <w:t>2, room 19</w:t>
      </w:r>
      <w:r w:rsidR="0083674F" w:rsidRPr="0083674F">
        <w:t xml:space="preserve"> </w:t>
      </w:r>
      <w:sdt>
        <w:sdtPr>
          <w:id w:val="-173114284"/>
          <w:citation/>
        </w:sdtPr>
        <w:sdtContent>
          <w:r w:rsidR="0083674F">
            <w:fldChar w:fldCharType="begin"/>
          </w:r>
          <w:r w:rsidR="0083674F">
            <w:instrText xml:space="preserve">CITATION Jun13 \p 421 \l 2057 </w:instrText>
          </w:r>
          <w:r w:rsidR="0083674F">
            <w:fldChar w:fldCharType="separate"/>
          </w:r>
          <w:r w:rsidR="00E21D5D" w:rsidRPr="00E21D5D">
            <w:rPr>
              <w:noProof/>
            </w:rPr>
            <w:t>(Jung, 2013, p. 421)</w:t>
          </w:r>
          <w:r w:rsidR="0083674F">
            <w:fldChar w:fldCharType="end"/>
          </w:r>
        </w:sdtContent>
      </w:sdt>
      <w:r w:rsidR="0060135D">
        <w:t>,</w:t>
      </w:r>
      <w:r w:rsidR="00CF15F1">
        <w:t xml:space="preserve"> </w:t>
      </w:r>
      <w:r w:rsidR="002B6519">
        <w:t>in</w:t>
      </w:r>
      <w:r w:rsidR="0060135D">
        <w:t xml:space="preserve"> Amarna</w:t>
      </w:r>
      <w:r w:rsidR="00A57723">
        <w:t>, central Egyp</w:t>
      </w:r>
      <w:r w:rsidR="001B7F8A">
        <w:t>t</w:t>
      </w:r>
      <w:r w:rsidR="007E38C1">
        <w:t xml:space="preserve">. Found </w:t>
      </w:r>
      <w:r>
        <w:t>by a</w:t>
      </w:r>
      <w:r w:rsidR="001B7F8A">
        <w:t xml:space="preserve"> German </w:t>
      </w:r>
      <w:r w:rsidR="00E576C1">
        <w:t>team</w:t>
      </w:r>
      <w:r>
        <w:t xml:space="preserve">, </w:t>
      </w:r>
      <w:r w:rsidR="001B7F8A">
        <w:t xml:space="preserve">funded by James Simon </w:t>
      </w:r>
      <w:r w:rsidR="0083674F">
        <w:t xml:space="preserve">(1851-1932), </w:t>
      </w:r>
      <w:r w:rsidR="001B7F8A">
        <w:t xml:space="preserve">led by </w:t>
      </w:r>
      <w:r w:rsidR="00CF15F1">
        <w:t>Ludwig Borchardt</w:t>
      </w:r>
      <w:r w:rsidR="0056167A">
        <w:t xml:space="preserve"> (1863-1938)</w:t>
      </w:r>
      <w:r w:rsidR="00CF15F1">
        <w:t xml:space="preserve"> </w:t>
      </w:r>
      <w:r w:rsidR="00A57723">
        <w:t>approv</w:t>
      </w:r>
      <w:r w:rsidR="002B6519">
        <w:t>ed by</w:t>
      </w:r>
      <w:r w:rsidR="00A57723">
        <w:t xml:space="preserve"> the French led Egyptian Antiquities Department</w:t>
      </w:r>
      <w:r w:rsidR="001B7F8A">
        <w:t>.</w:t>
      </w:r>
      <w:r w:rsidR="00A57723">
        <w:t xml:space="preserve"> </w:t>
      </w:r>
      <w:r w:rsidR="00CF15F1">
        <w:t>A</w:t>
      </w:r>
      <w:r w:rsidR="00D50AA0">
        <w:t>ttributed to sculptor Thutmos</w:t>
      </w:r>
      <w:r w:rsidR="00152B0D">
        <w:t>e</w:t>
      </w:r>
      <w:r>
        <w:t xml:space="preserve">, </w:t>
      </w:r>
      <w:r w:rsidR="00733A66">
        <w:t xml:space="preserve">ca. 1351-1334 </w:t>
      </w:r>
      <w:r w:rsidR="00733A66" w:rsidRPr="00733A66">
        <w:rPr>
          <w:sz w:val="20"/>
          <w:szCs w:val="20"/>
        </w:rPr>
        <w:t>BC</w:t>
      </w:r>
      <w:r w:rsidR="00733A66">
        <w:t>.</w:t>
      </w:r>
      <w:sdt>
        <w:sdtPr>
          <w:id w:val="-1273085759"/>
          <w:citation/>
        </w:sdtPr>
        <w:sdtContent>
          <w:r w:rsidR="00D67B0F">
            <w:fldChar w:fldCharType="begin"/>
          </w:r>
          <w:r w:rsidR="00D67B0F">
            <w:instrText xml:space="preserve"> CITATION Ber13 \l 2057 </w:instrText>
          </w:r>
          <w:r w:rsidR="00D67B0F">
            <w:fldChar w:fldCharType="separate"/>
          </w:r>
          <w:r w:rsidR="00E21D5D">
            <w:rPr>
              <w:noProof/>
            </w:rPr>
            <w:t xml:space="preserve"> </w:t>
          </w:r>
          <w:r w:rsidR="00E21D5D" w:rsidRPr="00E21D5D">
            <w:rPr>
              <w:noProof/>
            </w:rPr>
            <w:t>(Berlin, 2013)</w:t>
          </w:r>
          <w:r w:rsidR="00D67B0F">
            <w:fldChar w:fldCharType="end"/>
          </w:r>
        </w:sdtContent>
      </w:sdt>
      <w:r w:rsidR="00733A66">
        <w:t xml:space="preserve"> </w:t>
      </w:r>
      <w:r w:rsidR="00CF15F1">
        <w:t>i</w:t>
      </w:r>
      <w:r w:rsidR="0084093C">
        <w:t xml:space="preserve">t is generally </w:t>
      </w:r>
      <w:r w:rsidR="00943DF9">
        <w:t xml:space="preserve">acknowledged </w:t>
      </w:r>
      <w:r w:rsidR="000D1B05">
        <w:t>to</w:t>
      </w:r>
      <w:r w:rsidR="0084093C">
        <w:t xml:space="preserve"> represent</w:t>
      </w:r>
      <w:r w:rsidR="005466D4">
        <w:t xml:space="preserve"> </w:t>
      </w:r>
      <w:r w:rsidR="00D50AA0">
        <w:t>the Great Wife of the Pharaoh Akhenaten, Neferneferuaten-Nefertiti</w:t>
      </w:r>
      <w:r w:rsidR="0084093C">
        <w:t>;</w:t>
      </w:r>
      <w:r w:rsidR="00CF15F1">
        <w:t xml:space="preserve"> </w:t>
      </w:r>
      <w:r w:rsidR="00733A66">
        <w:t>reign</w:t>
      </w:r>
      <w:r w:rsidR="00CF15F1">
        <w:t>ing</w:t>
      </w:r>
      <w:r w:rsidR="00733A66">
        <w:t xml:space="preserve"> with her husband in</w:t>
      </w:r>
      <w:r w:rsidR="00D67B0F">
        <w:t xml:space="preserve"> the Amarna Period</w:t>
      </w:r>
      <w:r w:rsidR="00733A66">
        <w:t>.</w:t>
      </w:r>
      <w:r w:rsidR="0060135D">
        <w:t xml:space="preserve"> Her</w:t>
      </w:r>
      <w:r w:rsidR="002B6519">
        <w:t xml:space="preserve"> </w:t>
      </w:r>
      <w:r w:rsidR="0060135D">
        <w:t>dark home</w:t>
      </w:r>
      <w:r w:rsidR="00BE4DBC">
        <w:t>,</w:t>
      </w:r>
      <w:r w:rsidR="0060135D">
        <w:t xml:space="preserve"> the antithesis of </w:t>
      </w:r>
      <w:r w:rsidR="00D67B0F">
        <w:t>the Great Wife’s</w:t>
      </w:r>
      <w:r w:rsidR="0060135D">
        <w:t xml:space="preserve"> life as </w:t>
      </w:r>
      <w:r w:rsidR="0097126C">
        <w:t>icon</w:t>
      </w:r>
      <w:r w:rsidR="00BE4DBC">
        <w:t xml:space="preserve"> </w:t>
      </w:r>
      <w:r w:rsidR="00E576C1">
        <w:t xml:space="preserve">of the </w:t>
      </w:r>
      <w:r w:rsidR="0060135D">
        <w:t>Atenist religion of the sun</w:t>
      </w:r>
      <w:r w:rsidR="004466F1">
        <w:t xml:space="preserve"> disc’s </w:t>
      </w:r>
      <w:r w:rsidR="0060135D">
        <w:t>rays</w:t>
      </w:r>
      <w:r w:rsidR="00CE2512">
        <w:t>,</w:t>
      </w:r>
      <w:r w:rsidR="0060135D">
        <w:t xml:space="preserve"> and </w:t>
      </w:r>
      <w:r w:rsidR="00F00878">
        <w:t>it</w:t>
      </w:r>
      <w:r w:rsidR="002B6519">
        <w:t>s</w:t>
      </w:r>
      <w:r w:rsidR="007B1ED0">
        <w:t xml:space="preserve"> </w:t>
      </w:r>
      <w:r w:rsidR="0060135D">
        <w:t>life</w:t>
      </w:r>
      <w:r w:rsidR="0084093C">
        <w:t>-</w:t>
      </w:r>
      <w:r w:rsidR="0060135D">
        <w:t xml:space="preserve">giving light. </w:t>
      </w:r>
    </w:p>
    <w:p w14:paraId="6E43DE8B" w14:textId="77777777" w:rsidR="00D67B0F" w:rsidRDefault="00D67B0F" w:rsidP="00D50AA0">
      <w:pPr>
        <w:jc w:val="both"/>
      </w:pPr>
    </w:p>
    <w:p w14:paraId="41DA85A9" w14:textId="65C453FB" w:rsidR="00236C36" w:rsidRDefault="00236C36" w:rsidP="00236C36">
      <w:pPr>
        <w:jc w:val="center"/>
      </w:pPr>
      <w:r w:rsidRPr="00236C36">
        <w:rPr>
          <w:noProof/>
        </w:rPr>
        <w:drawing>
          <wp:inline distT="0" distB="0" distL="0" distR="0" wp14:anchorId="654CB876" wp14:editId="26DF1FD4">
            <wp:extent cx="1840767" cy="2767030"/>
            <wp:effectExtent l="0" t="0" r="1270" b="1905"/>
            <wp:docPr id="115230146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2301460" name="Picture 1" descr="A screenshot of a computer&#10;&#10;Description automatically generated"/>
                    <pic:cNvPicPr/>
                  </pic:nvPicPr>
                  <pic:blipFill rotWithShape="1">
                    <a:blip r:embed="rId5"/>
                    <a:srcRect l="25719" t="20689" r="46634" b="12813"/>
                    <a:stretch/>
                  </pic:blipFill>
                  <pic:spPr bwMode="auto">
                    <a:xfrm>
                      <a:off x="0" y="0"/>
                      <a:ext cx="1884970" cy="28334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236C36">
        <w:t xml:space="preserve"> </w:t>
      </w:r>
      <w:r>
        <w:fldChar w:fldCharType="begin"/>
      </w:r>
      <w:r>
        <w:instrText xml:space="preserve"> INCLUDEPICTURE "/Users/alisonhands/Library/Group Containers/UBF8T346G9.ms/WebArchiveCopyPasteTempFiles/com.microsoft.Word/g_n_nofretete_02.jpg"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5F9D1064" wp14:editId="5116EC75">
            <wp:extent cx="1977609" cy="2767470"/>
            <wp:effectExtent l="0" t="0" r="3810" b="1270"/>
            <wp:docPr id="553609892" name="Picture 1" descr="A bust of a person with a large blue and yellow 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3609892" name="Picture 1" descr="A bust of a person with a large blue and yellow ha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5032" cy="28478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74137E7A" w14:textId="77777777" w:rsidR="003C4F16" w:rsidRDefault="003C4F16" w:rsidP="00E9694C">
      <w:pPr>
        <w:jc w:val="center"/>
        <w:rPr>
          <w:sz w:val="18"/>
          <w:szCs w:val="18"/>
        </w:rPr>
      </w:pPr>
    </w:p>
    <w:p w14:paraId="4014E239" w14:textId="024033E5" w:rsidR="00733A66" w:rsidRDefault="00236C36" w:rsidP="00E9694C">
      <w:pPr>
        <w:jc w:val="center"/>
        <w:rPr>
          <w:sz w:val="18"/>
          <w:szCs w:val="18"/>
        </w:rPr>
      </w:pPr>
      <w:r w:rsidRPr="00236C36">
        <w:rPr>
          <w:sz w:val="18"/>
          <w:szCs w:val="18"/>
        </w:rPr>
        <w:t>Figure 1</w:t>
      </w:r>
      <w:r w:rsidR="00BF4BE7">
        <w:rPr>
          <w:sz w:val="18"/>
          <w:szCs w:val="18"/>
        </w:rPr>
        <w:t>.</w:t>
      </w:r>
      <w:r w:rsidRPr="00236C36">
        <w:rPr>
          <w:sz w:val="18"/>
          <w:szCs w:val="18"/>
        </w:rPr>
        <w:t xml:space="preserve"> (left) The bust in situ in the </w:t>
      </w:r>
      <w:r w:rsidR="00BF4BE7">
        <w:rPr>
          <w:sz w:val="18"/>
          <w:szCs w:val="18"/>
        </w:rPr>
        <w:t xml:space="preserve">Neues </w:t>
      </w:r>
      <w:r w:rsidRPr="00236C36">
        <w:rPr>
          <w:sz w:val="18"/>
          <w:szCs w:val="18"/>
        </w:rPr>
        <w:t>Museum</w:t>
      </w:r>
      <w:r w:rsidR="00B50F66">
        <w:rPr>
          <w:sz w:val="18"/>
          <w:szCs w:val="18"/>
        </w:rPr>
        <w:t>,</w:t>
      </w:r>
      <w:r w:rsidRPr="00236C36">
        <w:rPr>
          <w:sz w:val="18"/>
          <w:szCs w:val="18"/>
        </w:rPr>
        <w:t xml:space="preserve"> (right) the bust</w:t>
      </w:r>
      <w:r w:rsidR="009059D3">
        <w:rPr>
          <w:sz w:val="18"/>
          <w:szCs w:val="18"/>
        </w:rPr>
        <w:t>.</w:t>
      </w:r>
      <w:sdt>
        <w:sdtPr>
          <w:rPr>
            <w:sz w:val="18"/>
            <w:szCs w:val="18"/>
          </w:rPr>
          <w:id w:val="411126765"/>
          <w:citation/>
        </w:sdtPr>
        <w:sdtContent>
          <w:r w:rsidR="009059D3">
            <w:rPr>
              <w:sz w:val="18"/>
              <w:szCs w:val="18"/>
            </w:rPr>
            <w:fldChar w:fldCharType="begin"/>
          </w:r>
          <w:r w:rsidR="009059D3">
            <w:rPr>
              <w:sz w:val="18"/>
              <w:szCs w:val="18"/>
            </w:rPr>
            <w:instrText xml:space="preserve"> CITATION Rex24 \l 2057 </w:instrText>
          </w:r>
          <w:r w:rsidR="009059D3">
            <w:rPr>
              <w:sz w:val="18"/>
              <w:szCs w:val="18"/>
            </w:rPr>
            <w:fldChar w:fldCharType="separate"/>
          </w:r>
          <w:r w:rsidR="00E21D5D">
            <w:rPr>
              <w:noProof/>
              <w:sz w:val="18"/>
              <w:szCs w:val="18"/>
            </w:rPr>
            <w:t xml:space="preserve"> </w:t>
          </w:r>
          <w:r w:rsidR="00E21D5D" w:rsidRPr="00E21D5D">
            <w:rPr>
              <w:noProof/>
              <w:sz w:val="18"/>
              <w:szCs w:val="18"/>
            </w:rPr>
            <w:t>(RexPublica, 2024)</w:t>
          </w:r>
          <w:r w:rsidR="009059D3">
            <w:rPr>
              <w:sz w:val="18"/>
              <w:szCs w:val="18"/>
            </w:rPr>
            <w:fldChar w:fldCharType="end"/>
          </w:r>
        </w:sdtContent>
      </w:sdt>
    </w:p>
    <w:p w14:paraId="551A1109" w14:textId="77777777" w:rsidR="00BF4BE7" w:rsidRDefault="00BF4BE7" w:rsidP="00236C36">
      <w:pPr>
        <w:jc w:val="center"/>
        <w:rPr>
          <w:sz w:val="18"/>
          <w:szCs w:val="18"/>
        </w:rPr>
      </w:pPr>
    </w:p>
    <w:p w14:paraId="3BA39F90" w14:textId="44C1975D" w:rsidR="008B74AF" w:rsidRDefault="00B50F66" w:rsidP="003A589D">
      <w:pPr>
        <w:spacing w:line="480" w:lineRule="auto"/>
        <w:jc w:val="both"/>
      </w:pPr>
      <w:r>
        <w:t>I</w:t>
      </w:r>
      <w:r w:rsidR="00E576C1">
        <w:t xml:space="preserve">ts German </w:t>
      </w:r>
      <w:r w:rsidR="001B3379">
        <w:t xml:space="preserve">excavators </w:t>
      </w:r>
      <w:r w:rsidR="002B6519">
        <w:t xml:space="preserve">were granted </w:t>
      </w:r>
      <w:r w:rsidR="001B3379">
        <w:t xml:space="preserve">half of the artifacts found at </w:t>
      </w:r>
      <w:r w:rsidR="00E576C1">
        <w:t>the site</w:t>
      </w:r>
      <w:r w:rsidR="00816B65">
        <w:t>,</w:t>
      </w:r>
      <w:r w:rsidR="001B3379">
        <w:t xml:space="preserve"> </w:t>
      </w:r>
      <w:r w:rsidR="0083674F">
        <w:t>however</w:t>
      </w:r>
      <w:r w:rsidR="00E576C1">
        <w:t>,</w:t>
      </w:r>
      <w:r w:rsidR="0083674F">
        <w:t xml:space="preserve"> License Articles 4 and 5</w:t>
      </w:r>
      <w:r w:rsidR="0056167A">
        <w:t xml:space="preserve"> (1891-1912) </w:t>
      </w:r>
      <w:r w:rsidR="0083674F">
        <w:t>gave Egyptian Museums the right to retain objects</w:t>
      </w:r>
      <w:r>
        <w:t xml:space="preserve"> </w:t>
      </w:r>
      <w:r w:rsidR="0083674F">
        <w:t xml:space="preserve">of significant </w:t>
      </w:r>
      <w:r w:rsidR="0083674F">
        <w:lastRenderedPageBreak/>
        <w:t>value</w:t>
      </w:r>
      <w:r w:rsidR="007E38C1">
        <w:t>,</w:t>
      </w:r>
      <w:r w:rsidR="0083674F">
        <w:t xml:space="preserve"> despite such </w:t>
      </w:r>
      <w:r w:rsidR="009619B3">
        <w:t>‘</w:t>
      </w:r>
      <w:r w:rsidR="0083674F">
        <w:t>portage</w:t>
      </w:r>
      <w:r w:rsidR="009619B3">
        <w:t>’</w:t>
      </w:r>
      <w:r w:rsidR="0083674F">
        <w:t xml:space="preserve"> agreements </w:t>
      </w:r>
      <w:sdt>
        <w:sdtPr>
          <w:id w:val="-1221894876"/>
          <w:citation/>
        </w:sdtPr>
        <w:sdtContent>
          <w:r w:rsidR="0083674F">
            <w:fldChar w:fldCharType="begin"/>
          </w:r>
          <w:r w:rsidR="0083674F">
            <w:instrText xml:space="preserve">CITATION Han233 \p 2 \l 2057 </w:instrText>
          </w:r>
          <w:r w:rsidR="0083674F">
            <w:fldChar w:fldCharType="separate"/>
          </w:r>
          <w:r w:rsidR="00E21D5D" w:rsidRPr="00E21D5D">
            <w:rPr>
              <w:noProof/>
            </w:rPr>
            <w:t>(Hanna, 2023, p. 2)</w:t>
          </w:r>
          <w:r w:rsidR="0083674F">
            <w:fldChar w:fldCharType="end"/>
          </w:r>
        </w:sdtContent>
      </w:sdt>
      <w:r w:rsidR="0056167A">
        <w:t>. D</w:t>
      </w:r>
      <w:r w:rsidR="001B3379">
        <w:t>uring the</w:t>
      </w:r>
      <w:r w:rsidR="001B3379" w:rsidRPr="001B3379">
        <w:t xml:space="preserve"> </w:t>
      </w:r>
      <w:r w:rsidR="001B3379">
        <w:t>d</w:t>
      </w:r>
      <w:r w:rsidR="001B3379" w:rsidRPr="001B3379">
        <w:t>ivision of finds</w:t>
      </w:r>
      <w:r w:rsidR="00816B65">
        <w:t xml:space="preserve"> in 1913</w:t>
      </w:r>
      <w:r w:rsidR="00AD5F84">
        <w:t xml:space="preserve">, </w:t>
      </w:r>
      <w:r w:rsidR="001B3379" w:rsidRPr="001B3379">
        <w:t xml:space="preserve">overseen by </w:t>
      </w:r>
      <w:r w:rsidR="00816B65">
        <w:t>the</w:t>
      </w:r>
      <w:r w:rsidR="00E576C1">
        <w:t xml:space="preserve"> </w:t>
      </w:r>
      <w:r w:rsidR="001B3379" w:rsidRPr="001B3379">
        <w:t>Antiquities Service</w:t>
      </w:r>
      <w:r w:rsidR="001B3379">
        <w:t>,</w:t>
      </w:r>
      <w:r w:rsidR="001B3379" w:rsidRPr="001B3379">
        <w:t xml:space="preserve"> the bust</w:t>
      </w:r>
      <w:r w:rsidR="00E576C1">
        <w:t xml:space="preserve">, </w:t>
      </w:r>
      <w:r w:rsidR="00D9146F" w:rsidRPr="001B3379">
        <w:t xml:space="preserve">unremarkably described </w:t>
      </w:r>
      <w:r w:rsidR="00AD5F84">
        <w:t xml:space="preserve">as </w:t>
      </w:r>
      <w:r w:rsidR="007E38C1">
        <w:t xml:space="preserve">a </w:t>
      </w:r>
      <w:r w:rsidR="009619B3">
        <w:t>‘</w:t>
      </w:r>
      <w:r w:rsidR="00D9146F" w:rsidRPr="001B3379">
        <w:t>painted royal princess</w:t>
      </w:r>
      <w:r w:rsidR="009619B3">
        <w:t>’</w:t>
      </w:r>
      <w:r w:rsidR="007E38C1">
        <w:t xml:space="preserve">, </w:t>
      </w:r>
      <w:r w:rsidR="00D9146F">
        <w:t xml:space="preserve">was </w:t>
      </w:r>
      <w:r w:rsidR="001B3379" w:rsidRPr="001B3379">
        <w:t xml:space="preserve">retained by Borchardt, </w:t>
      </w:r>
      <w:r w:rsidR="00943DF9">
        <w:t xml:space="preserve">ostensibly </w:t>
      </w:r>
      <w:r w:rsidR="00D9146F">
        <w:t xml:space="preserve">with the </w:t>
      </w:r>
      <w:r w:rsidR="001B3379" w:rsidRPr="001B3379">
        <w:t>approv</w:t>
      </w:r>
      <w:r w:rsidR="00D9146F">
        <w:t>al</w:t>
      </w:r>
      <w:r w:rsidR="001B3379" w:rsidRPr="001B3379">
        <w:t xml:space="preserve"> </w:t>
      </w:r>
      <w:r w:rsidR="00D9146F">
        <w:t>of</w:t>
      </w:r>
      <w:r w:rsidR="001B3379" w:rsidRPr="001B3379">
        <w:t xml:space="preserve"> Lefebvre</w:t>
      </w:r>
      <w:r w:rsidR="00D9146F">
        <w:t xml:space="preserve">, the French </w:t>
      </w:r>
      <w:r w:rsidR="00D9146F" w:rsidRPr="00D9146F">
        <w:t>Chief Antiquities Inspector</w:t>
      </w:r>
      <w:r w:rsidR="00AD5F84">
        <w:t xml:space="preserve"> and </w:t>
      </w:r>
      <w:r w:rsidR="001B3379" w:rsidRPr="001B3379">
        <w:t>ratified by</w:t>
      </w:r>
      <w:r w:rsidR="00D9146F" w:rsidRPr="00D9146F">
        <w:t xml:space="preserve"> Maspero, </w:t>
      </w:r>
      <w:r w:rsidR="00D9146F">
        <w:t xml:space="preserve">the </w:t>
      </w:r>
      <w:r w:rsidR="00D9146F" w:rsidRPr="00D9146F">
        <w:t>French Director of the Antiquities Service in Egypt</w:t>
      </w:r>
      <w:r w:rsidR="001B3379" w:rsidRPr="001B3379">
        <w:t xml:space="preserve">. </w:t>
      </w:r>
      <w:r w:rsidR="00E576C1">
        <w:t>The excavation’s sponsor</w:t>
      </w:r>
      <w:r w:rsidR="00D9146F">
        <w:t xml:space="preserve"> loan</w:t>
      </w:r>
      <w:r w:rsidR="00AD5F84">
        <w:t>ed</w:t>
      </w:r>
      <w:r w:rsidR="00D9146F">
        <w:t xml:space="preserve"> and ultimately </w:t>
      </w:r>
      <w:r w:rsidR="001B3379" w:rsidRPr="001B3379">
        <w:t>gift</w:t>
      </w:r>
      <w:r w:rsidR="00AD5F84">
        <w:t>ed</w:t>
      </w:r>
      <w:r w:rsidR="001B3379" w:rsidRPr="001B3379">
        <w:t xml:space="preserve"> it to the </w:t>
      </w:r>
      <w:r w:rsidR="00D103C1">
        <w:t xml:space="preserve">Berlin </w:t>
      </w:r>
      <w:r w:rsidR="00D103C1" w:rsidRPr="001B3379">
        <w:t>Museum</w:t>
      </w:r>
      <w:r w:rsidR="001B3379" w:rsidRPr="001B3379">
        <w:t xml:space="preserve"> on condition if Egypt wanted it returned</w:t>
      </w:r>
      <w:r w:rsidR="00AD5F84">
        <w:t xml:space="preserve">, </w:t>
      </w:r>
      <w:r w:rsidR="001B3379" w:rsidRPr="001B3379">
        <w:t>it would be</w:t>
      </w:r>
      <w:r w:rsidR="0056167A">
        <w:t xml:space="preserve"> </w:t>
      </w:r>
      <w:sdt>
        <w:sdtPr>
          <w:id w:val="677008739"/>
          <w:citation/>
        </w:sdtPr>
        <w:sdtContent>
          <w:r w:rsidR="0056167A">
            <w:fldChar w:fldCharType="begin"/>
          </w:r>
          <w:r w:rsidR="0056167A">
            <w:instrText xml:space="preserve">CITATION Han233 \p 4 \l 2057 </w:instrText>
          </w:r>
          <w:r w:rsidR="0056167A">
            <w:fldChar w:fldCharType="separate"/>
          </w:r>
          <w:r w:rsidR="00E21D5D" w:rsidRPr="00E21D5D">
            <w:rPr>
              <w:noProof/>
            </w:rPr>
            <w:t>(Hanna, 2023, p. 4)</w:t>
          </w:r>
          <w:r w:rsidR="0056167A">
            <w:fldChar w:fldCharType="end"/>
          </w:r>
        </w:sdtContent>
      </w:sdt>
      <w:r w:rsidR="00D9146F">
        <w:t xml:space="preserve">. Since </w:t>
      </w:r>
      <w:r w:rsidR="00AD5F84">
        <w:t xml:space="preserve">the </w:t>
      </w:r>
      <w:r w:rsidR="00D9146F">
        <w:t>public exhibition</w:t>
      </w:r>
      <w:r w:rsidR="00816B65">
        <w:t xml:space="preserve"> 12 years after it</w:t>
      </w:r>
      <w:r w:rsidR="00943DF9">
        <w:t>s discovery</w:t>
      </w:r>
      <w:r w:rsidR="00D9146F">
        <w:t xml:space="preserve"> </w:t>
      </w:r>
      <w:sdt>
        <w:sdtPr>
          <w:id w:val="-336387357"/>
          <w:citation/>
        </w:sdtPr>
        <w:sdtContent>
          <w:r w:rsidR="00D9146F" w:rsidRPr="001B3379">
            <w:fldChar w:fldCharType="begin"/>
          </w:r>
          <w:r w:rsidR="00D9146F" w:rsidRPr="001B3379">
            <w:instrText xml:space="preserve">CITATION Jun13 \p 421 \l 2057 </w:instrText>
          </w:r>
          <w:r w:rsidR="00D9146F" w:rsidRPr="001B3379">
            <w:fldChar w:fldCharType="separate"/>
          </w:r>
          <w:r w:rsidR="00E21D5D" w:rsidRPr="00E21D5D">
            <w:rPr>
              <w:noProof/>
            </w:rPr>
            <w:t>(Jung, 2013, p. 421)</w:t>
          </w:r>
          <w:r w:rsidR="00D9146F" w:rsidRPr="001B3379">
            <w:fldChar w:fldCharType="end"/>
          </w:r>
        </w:sdtContent>
      </w:sdt>
      <w:r w:rsidR="00943DF9">
        <w:t>,</w:t>
      </w:r>
      <w:r w:rsidR="00D9146F">
        <w:t xml:space="preserve"> </w:t>
      </w:r>
      <w:r w:rsidR="0084093C">
        <w:t>the bust has been</w:t>
      </w:r>
      <w:r w:rsidR="00816B65">
        <w:t xml:space="preserve"> acknowledged as one of the </w:t>
      </w:r>
      <w:r w:rsidR="009619B3">
        <w:t>‘</w:t>
      </w:r>
      <w:r w:rsidR="00816B65">
        <w:t xml:space="preserve">most exquisite </w:t>
      </w:r>
      <w:r w:rsidR="00562AE9">
        <w:t xml:space="preserve">captivating examples of naturalistic </w:t>
      </w:r>
      <w:r w:rsidR="007E38C1">
        <w:t>a</w:t>
      </w:r>
      <w:r w:rsidR="00816B65">
        <w:t>ncient Egypt</w:t>
      </w:r>
      <w:r w:rsidR="00562AE9">
        <w:t>ian art</w:t>
      </w:r>
      <w:r w:rsidR="009619B3">
        <w:t>’</w:t>
      </w:r>
      <w:sdt>
        <w:sdtPr>
          <w:id w:val="1281916437"/>
          <w:citation/>
        </w:sdtPr>
        <w:sdtContent>
          <w:r w:rsidR="00562AE9">
            <w:fldChar w:fldCharType="begin"/>
          </w:r>
          <w:r w:rsidR="00562AE9">
            <w:instrText xml:space="preserve"> CITATION Fra24 \l 2057 </w:instrText>
          </w:r>
          <w:r w:rsidR="00562AE9">
            <w:fldChar w:fldCharType="separate"/>
          </w:r>
          <w:r w:rsidR="00E21D5D">
            <w:rPr>
              <w:noProof/>
            </w:rPr>
            <w:t xml:space="preserve"> </w:t>
          </w:r>
          <w:r w:rsidR="00E21D5D" w:rsidRPr="00E21D5D">
            <w:rPr>
              <w:noProof/>
            </w:rPr>
            <w:t>(Francis, 2024)</w:t>
          </w:r>
          <w:r w:rsidR="00562AE9">
            <w:fldChar w:fldCharType="end"/>
          </w:r>
        </w:sdtContent>
      </w:sdt>
      <w:r w:rsidR="00943DF9">
        <w:t xml:space="preserve">, and, its removal </w:t>
      </w:r>
      <w:r w:rsidR="00AD5F84">
        <w:t xml:space="preserve">from Egypt has created </w:t>
      </w:r>
      <w:r w:rsidR="00D9146F">
        <w:t xml:space="preserve">a </w:t>
      </w:r>
      <w:r w:rsidR="00816B65">
        <w:t xml:space="preserve">fierce </w:t>
      </w:r>
      <w:r w:rsidR="0084093C">
        <w:t xml:space="preserve">repatriation </w:t>
      </w:r>
      <w:r w:rsidR="001B3379">
        <w:t>debat</w:t>
      </w:r>
      <w:r w:rsidR="00D9146F">
        <w:t>e</w:t>
      </w:r>
      <w:r w:rsidR="007E38C1">
        <w:t xml:space="preserve"> for a century</w:t>
      </w:r>
      <w:r w:rsidR="00AD5F84">
        <w:t>.</w:t>
      </w:r>
    </w:p>
    <w:p w14:paraId="003E93A5" w14:textId="77777777" w:rsidR="003A589D" w:rsidRDefault="003A589D" w:rsidP="003A589D">
      <w:pPr>
        <w:spacing w:line="480" w:lineRule="auto"/>
        <w:jc w:val="both"/>
      </w:pPr>
    </w:p>
    <w:p w14:paraId="0CF150A9" w14:textId="1AD8AAE0" w:rsidR="00A00F6E" w:rsidRDefault="000F0BE4" w:rsidP="003A589D">
      <w:pPr>
        <w:spacing w:line="480" w:lineRule="auto"/>
        <w:jc w:val="both"/>
      </w:pPr>
      <w:r>
        <w:t>Historically the</w:t>
      </w:r>
      <w:r w:rsidR="00D103C1">
        <w:t xml:space="preserve"> debate </w:t>
      </w:r>
      <w:r w:rsidR="00332A8B">
        <w:t xml:space="preserve">has </w:t>
      </w:r>
      <w:r w:rsidR="00D103C1">
        <w:t>pivot</w:t>
      </w:r>
      <w:r w:rsidR="00332A8B">
        <w:t>ed</w:t>
      </w:r>
      <w:r w:rsidR="00D103C1">
        <w:t xml:space="preserve"> on the legality of its exportation</w:t>
      </w:r>
      <w:r w:rsidR="00AD5F84">
        <w:t>,</w:t>
      </w:r>
      <w:r w:rsidR="00E9694C">
        <w:t xml:space="preserve"> </w:t>
      </w:r>
      <w:r w:rsidR="009619B3">
        <w:t xml:space="preserve">shaped </w:t>
      </w:r>
      <w:r w:rsidR="00AD5F84">
        <w:t>by</w:t>
      </w:r>
      <w:r w:rsidR="00152B0D">
        <w:t xml:space="preserve"> two World Wars</w:t>
      </w:r>
      <w:r w:rsidR="00267296">
        <w:t>,</w:t>
      </w:r>
      <w:r w:rsidR="00AD5F84">
        <w:t xml:space="preserve"> </w:t>
      </w:r>
      <w:r w:rsidR="00267296">
        <w:t>poor Franco-German relations</w:t>
      </w:r>
      <w:r w:rsidR="00152B0D">
        <w:t xml:space="preserve">, </w:t>
      </w:r>
      <w:r w:rsidR="00267296">
        <w:t>British occupation</w:t>
      </w:r>
      <w:r w:rsidR="00A00F6E">
        <w:t xml:space="preserve"> of Egypt</w:t>
      </w:r>
      <w:r w:rsidR="00267296">
        <w:t xml:space="preserve">, </w:t>
      </w:r>
      <w:r w:rsidR="00E9694C">
        <w:t xml:space="preserve">an </w:t>
      </w:r>
      <w:r w:rsidR="00152B0D">
        <w:t>Egyptian Nationalist struggle for independence</w:t>
      </w:r>
      <w:r w:rsidR="00E21D5D">
        <w:t xml:space="preserve"> and military rule</w:t>
      </w:r>
      <w:r w:rsidR="00152B0D">
        <w:t>. T</w:t>
      </w:r>
      <w:r w:rsidR="00332A8B">
        <w:t xml:space="preserve">he last </w:t>
      </w:r>
      <w:r w:rsidR="00267296">
        <w:t>3</w:t>
      </w:r>
      <w:r w:rsidR="00332A8B">
        <w:t xml:space="preserve">0 years </w:t>
      </w:r>
      <w:r w:rsidR="00AD5F84">
        <w:t>has included other elements</w:t>
      </w:r>
      <w:r w:rsidR="00E9694C">
        <w:t xml:space="preserve"> </w:t>
      </w:r>
      <w:r w:rsidR="007E38C1">
        <w:t xml:space="preserve">such as </w:t>
      </w:r>
      <w:r w:rsidR="00332A8B">
        <w:t xml:space="preserve">Egypt’s </w:t>
      </w:r>
      <w:r>
        <w:t>colonisation and its implications for artifacts</w:t>
      </w:r>
      <w:r w:rsidR="00FC0B70">
        <w:t xml:space="preserve"> in museum</w:t>
      </w:r>
      <w:r w:rsidR="00AD5F84">
        <w:t xml:space="preserve"> </w:t>
      </w:r>
      <w:r w:rsidR="00FC0B70">
        <w:t>collecti</w:t>
      </w:r>
      <w:r w:rsidR="00AD5F84">
        <w:t xml:space="preserve">ons </w:t>
      </w:r>
      <w:r w:rsidR="00FC0B70">
        <w:t xml:space="preserve">and what many consider to be the West’s appropriation </w:t>
      </w:r>
      <w:r w:rsidR="00AD5F84">
        <w:t>(</w:t>
      </w:r>
      <w:r w:rsidR="00FC0B70">
        <w:t xml:space="preserve">physically and culturally) of Egyptian heritage. </w:t>
      </w:r>
      <w:r w:rsidR="00FC0B70">
        <w:t>An added complication for</w:t>
      </w:r>
      <w:r w:rsidR="00AD5F84">
        <w:t xml:space="preserve"> </w:t>
      </w:r>
      <w:r w:rsidR="00FC0B70">
        <w:t>the Nefertiti bust is where the</w:t>
      </w:r>
      <w:r w:rsidR="007E38C1">
        <w:t xml:space="preserve"> object</w:t>
      </w:r>
      <w:r w:rsidR="00FC0B70">
        <w:t xml:space="preserve"> ha</w:t>
      </w:r>
      <w:r w:rsidR="007E38C1">
        <w:t>s</w:t>
      </w:r>
      <w:r w:rsidR="00FC0B70">
        <w:t xml:space="preserve"> </w:t>
      </w:r>
      <w:r w:rsidR="00332A8B">
        <w:t xml:space="preserve">become entrenched in the psyche of </w:t>
      </w:r>
      <w:r w:rsidR="00FC0B70">
        <w:t xml:space="preserve">the population of </w:t>
      </w:r>
      <w:r w:rsidR="007E38C1">
        <w:t xml:space="preserve">both </w:t>
      </w:r>
      <w:r w:rsidR="00332A8B">
        <w:t xml:space="preserve">host nation and </w:t>
      </w:r>
      <w:r w:rsidR="00FC0B70">
        <w:t xml:space="preserve">their </w:t>
      </w:r>
      <w:r w:rsidR="00332A8B">
        <w:t xml:space="preserve">original </w:t>
      </w:r>
      <w:r w:rsidR="00FC0B70">
        <w:t>home, resulting in</w:t>
      </w:r>
      <w:r>
        <w:t xml:space="preserve"> ‘the entanglement of cultural property with heritage politics’ </w:t>
      </w:r>
      <w:sdt>
        <w:sdtPr>
          <w:id w:val="-1433895796"/>
          <w:citation/>
        </w:sdtPr>
        <w:sdtContent>
          <w:r>
            <w:fldChar w:fldCharType="begin"/>
          </w:r>
          <w:r>
            <w:instrText xml:space="preserve">CITATION Han233 \p 1 \l 2057 </w:instrText>
          </w:r>
          <w:r>
            <w:fldChar w:fldCharType="separate"/>
          </w:r>
          <w:r w:rsidR="00E21D5D" w:rsidRPr="00E21D5D">
            <w:rPr>
              <w:noProof/>
            </w:rPr>
            <w:t>(Hanna, 2023, p. 1)</w:t>
          </w:r>
          <w:r>
            <w:fldChar w:fldCharType="end"/>
          </w:r>
        </w:sdtContent>
      </w:sdt>
      <w:r w:rsidR="00FC0B70">
        <w:t xml:space="preserve">. </w:t>
      </w:r>
    </w:p>
    <w:p w14:paraId="0C40CDB8" w14:textId="77777777" w:rsidR="00E9694C" w:rsidRDefault="00E9694C" w:rsidP="003A589D">
      <w:pPr>
        <w:spacing w:line="480" w:lineRule="auto"/>
        <w:jc w:val="both"/>
      </w:pPr>
    </w:p>
    <w:p w14:paraId="70FC1D9B" w14:textId="4FC23C64" w:rsidR="00E21D5D" w:rsidRPr="00E21D5D" w:rsidRDefault="00AD5F84" w:rsidP="003A589D">
      <w:pPr>
        <w:spacing w:line="480" w:lineRule="auto"/>
        <w:jc w:val="both"/>
      </w:pPr>
      <w:r>
        <w:t xml:space="preserve">Regarding the </w:t>
      </w:r>
      <w:r w:rsidR="00FC0B70">
        <w:t xml:space="preserve">original debate </w:t>
      </w:r>
      <w:r>
        <w:t xml:space="preserve">on </w:t>
      </w:r>
      <w:r w:rsidR="00FC0B70">
        <w:t xml:space="preserve">the legality of its export, </w:t>
      </w:r>
      <w:r w:rsidR="00E9694C">
        <w:t>L</w:t>
      </w:r>
      <w:r w:rsidR="00267296">
        <w:t>acau</w:t>
      </w:r>
      <w:r w:rsidR="00E9694C">
        <w:t>,</w:t>
      </w:r>
      <w:r w:rsidR="00267296">
        <w:t xml:space="preserve"> </w:t>
      </w:r>
      <w:r w:rsidR="00E9694C">
        <w:t>the successor to Maspero as Director of the Antiquities Service</w:t>
      </w:r>
      <w:r w:rsidR="00E9694C">
        <w:t xml:space="preserve">, </w:t>
      </w:r>
      <w:r w:rsidR="00267296">
        <w:t>as early as 1924</w:t>
      </w:r>
      <w:r w:rsidR="0079680A">
        <w:t>,</w:t>
      </w:r>
      <w:r w:rsidR="00267296">
        <w:t xml:space="preserve"> privately recogni</w:t>
      </w:r>
      <w:r w:rsidR="0079680A">
        <w:t>sed</w:t>
      </w:r>
      <w:r w:rsidR="00267296">
        <w:t xml:space="preserve"> the division of finds allowing Borchardt to retain the bust was ‘an error made by Lefebvre’ </w:t>
      </w:r>
      <w:sdt>
        <w:sdtPr>
          <w:id w:val="1010029035"/>
          <w:citation/>
        </w:sdtPr>
        <w:sdtContent>
          <w:r w:rsidR="00267296" w:rsidRPr="00267296">
            <w:fldChar w:fldCharType="begin"/>
          </w:r>
          <w:r w:rsidR="00267296" w:rsidRPr="00267296">
            <w:instrText xml:space="preserve">CITATION Vos13 \p 464 \l 2057 </w:instrText>
          </w:r>
          <w:r w:rsidR="00267296" w:rsidRPr="00267296">
            <w:fldChar w:fldCharType="separate"/>
          </w:r>
          <w:r w:rsidR="00E21D5D" w:rsidRPr="00E21D5D">
            <w:rPr>
              <w:noProof/>
            </w:rPr>
            <w:t>(Voss, 2013, p. 464)</w:t>
          </w:r>
          <w:r w:rsidR="00267296" w:rsidRPr="00267296">
            <w:fldChar w:fldCharType="end"/>
          </w:r>
        </w:sdtContent>
      </w:sdt>
      <w:r w:rsidR="007E38C1">
        <w:t>;</w:t>
      </w:r>
      <w:r w:rsidR="00267296" w:rsidRPr="00267296">
        <w:t xml:space="preserve"> legal but </w:t>
      </w:r>
      <w:r w:rsidR="00267296">
        <w:t>‘</w:t>
      </w:r>
      <w:r w:rsidR="00267296" w:rsidRPr="00267296">
        <w:t>an egregious breach of trust</w:t>
      </w:r>
      <w:r w:rsidR="00267296">
        <w:t>’</w:t>
      </w:r>
      <w:r w:rsidR="00267296" w:rsidRPr="00267296">
        <w:t xml:space="preserve"> </w:t>
      </w:r>
      <w:sdt>
        <w:sdtPr>
          <w:id w:val="349537837"/>
          <w:citation/>
        </w:sdtPr>
        <w:sdtContent>
          <w:r w:rsidR="00267296" w:rsidRPr="00267296">
            <w:fldChar w:fldCharType="begin"/>
          </w:r>
          <w:r w:rsidR="00267296" w:rsidRPr="00267296">
            <w:instrText xml:space="preserve">CITATION Vos13 \p 465 \l 2057 </w:instrText>
          </w:r>
          <w:r w:rsidR="00267296" w:rsidRPr="00267296">
            <w:fldChar w:fldCharType="separate"/>
          </w:r>
          <w:r w:rsidR="00E21D5D" w:rsidRPr="00E21D5D">
            <w:rPr>
              <w:noProof/>
            </w:rPr>
            <w:t>(Voss, 2013, p. 465)</w:t>
          </w:r>
          <w:r w:rsidR="00267296" w:rsidRPr="00267296">
            <w:fldChar w:fldCharType="end"/>
          </w:r>
        </w:sdtContent>
      </w:sdt>
      <w:r w:rsidR="0079680A">
        <w:t xml:space="preserve"> with </w:t>
      </w:r>
      <w:r w:rsidR="00267296" w:rsidRPr="00267296">
        <w:t>Lacau</w:t>
      </w:r>
      <w:r w:rsidR="00E9694C">
        <w:t xml:space="preserve"> </w:t>
      </w:r>
      <w:r w:rsidR="00267296" w:rsidRPr="00267296">
        <w:t>accus</w:t>
      </w:r>
      <w:r w:rsidR="00267296">
        <w:t>ing</w:t>
      </w:r>
      <w:r w:rsidR="00267296" w:rsidRPr="00267296">
        <w:t xml:space="preserve"> Borchardt of </w:t>
      </w:r>
      <w:r w:rsidR="00267296" w:rsidRPr="00267296">
        <w:lastRenderedPageBreak/>
        <w:t xml:space="preserve">a </w:t>
      </w:r>
      <w:r w:rsidR="00267296">
        <w:t>‘</w:t>
      </w:r>
      <w:r w:rsidR="00267296" w:rsidRPr="00267296">
        <w:t>dirty trick</w:t>
      </w:r>
      <w:r w:rsidR="00267296">
        <w:t>’</w:t>
      </w:r>
      <w:r w:rsidR="00267296" w:rsidRPr="00267296">
        <w:t xml:space="preserve"> </w:t>
      </w:r>
      <w:sdt>
        <w:sdtPr>
          <w:id w:val="1698193340"/>
          <w:citation/>
        </w:sdtPr>
        <w:sdtContent>
          <w:r w:rsidR="00267296" w:rsidRPr="00267296">
            <w:fldChar w:fldCharType="begin"/>
          </w:r>
          <w:r w:rsidR="00267296" w:rsidRPr="00267296">
            <w:instrText xml:space="preserve">CITATION Vos13 \p 464 \l 2057 </w:instrText>
          </w:r>
          <w:r w:rsidR="00267296" w:rsidRPr="00267296">
            <w:fldChar w:fldCharType="separate"/>
          </w:r>
          <w:r w:rsidR="00E21D5D" w:rsidRPr="00E21D5D">
            <w:rPr>
              <w:noProof/>
            </w:rPr>
            <w:t>(Voss, 2013, p. 464)</w:t>
          </w:r>
          <w:r w:rsidR="00267296" w:rsidRPr="00267296">
            <w:fldChar w:fldCharType="end"/>
          </w:r>
        </w:sdtContent>
      </w:sdt>
      <w:r w:rsidR="007E38C1">
        <w:t xml:space="preserve"> </w:t>
      </w:r>
      <w:r w:rsidR="00267296">
        <w:t xml:space="preserve">hiding </w:t>
      </w:r>
      <w:r w:rsidR="0079680A">
        <w:t>a</w:t>
      </w:r>
      <w:r w:rsidR="00267296">
        <w:t xml:space="preserve"> find </w:t>
      </w:r>
      <w:r w:rsidR="0079680A">
        <w:t xml:space="preserve">that </w:t>
      </w:r>
      <w:r w:rsidR="00267296">
        <w:t xml:space="preserve">would have immediately triggered retention in Egypt. </w:t>
      </w:r>
      <w:r w:rsidR="00E21D5D">
        <w:t xml:space="preserve">Indeed, Egypt’s Royal Legation in Berlin agreed to its repatriation in 1933, </w:t>
      </w:r>
      <w:r w:rsidR="002965C7">
        <w:t>with</w:t>
      </w:r>
      <w:r w:rsidR="00E21D5D">
        <w:t xml:space="preserve"> Hitler refusing to h</w:t>
      </w:r>
      <w:r w:rsidR="0079680A">
        <w:t>onour it</w:t>
      </w:r>
      <w:r w:rsidR="00E21D5D">
        <w:t xml:space="preserve">. </w:t>
      </w:r>
      <w:r w:rsidR="009C57D3">
        <w:t xml:space="preserve">In 2012, </w:t>
      </w:r>
      <w:r w:rsidR="00E21D5D">
        <w:t>Germany</w:t>
      </w:r>
      <w:r w:rsidR="00A00F6E">
        <w:t xml:space="preserve">’s </w:t>
      </w:r>
      <w:r w:rsidR="00E21D5D" w:rsidRPr="00E21D5D">
        <w:t xml:space="preserve">Minister of State for Culture and the Media </w:t>
      </w:r>
      <w:r w:rsidR="0079680A">
        <w:t xml:space="preserve">continued to </w:t>
      </w:r>
      <w:proofErr w:type="spellStart"/>
      <w:r w:rsidR="00A00F6E">
        <w:t>g</w:t>
      </w:r>
      <w:r w:rsidR="0079680A">
        <w:t>i</w:t>
      </w:r>
      <w:r w:rsidR="00E9694C">
        <w:t>ve</w:t>
      </w:r>
      <w:proofErr w:type="spellEnd"/>
      <w:r w:rsidR="00A00F6E">
        <w:t xml:space="preserve"> supremacy to</w:t>
      </w:r>
      <w:r w:rsidR="00E21D5D">
        <w:t xml:space="preserve"> this legal right to</w:t>
      </w:r>
      <w:r w:rsidR="0079680A">
        <w:t xml:space="preserve"> possession</w:t>
      </w:r>
      <w:r w:rsidR="002965C7">
        <w:t>,</w:t>
      </w:r>
      <w:r w:rsidR="00E21D5D" w:rsidRPr="00E21D5D">
        <w:t xml:space="preserve"> confirming </w:t>
      </w:r>
      <w:r w:rsidR="00E21D5D">
        <w:t xml:space="preserve">the bust </w:t>
      </w:r>
      <w:r w:rsidR="00E21D5D" w:rsidRPr="00E21D5D">
        <w:t xml:space="preserve">is </w:t>
      </w:r>
      <w:r w:rsidR="00E21D5D">
        <w:t>‘</w:t>
      </w:r>
      <w:r w:rsidR="00E21D5D" w:rsidRPr="00E21D5D">
        <w:t>beyond a doubt the rightful possession of the Prussian Cultural Heritage Foundation…with comprehensive documentation to support this point</w:t>
      </w:r>
      <w:r w:rsidR="00E21D5D">
        <w:t>’</w:t>
      </w:r>
      <w:r w:rsidR="00E21D5D" w:rsidRPr="00E21D5D">
        <w:t xml:space="preserve"> </w:t>
      </w:r>
      <w:sdt>
        <w:sdtPr>
          <w:id w:val="-79991034"/>
          <w:citation/>
        </w:sdtPr>
        <w:sdtContent>
          <w:r w:rsidR="00E21D5D" w:rsidRPr="00E21D5D">
            <w:fldChar w:fldCharType="begin"/>
          </w:r>
          <w:r w:rsidR="00E21D5D" w:rsidRPr="00E21D5D">
            <w:instrText xml:space="preserve"> CITATION Neu12 \l 2057 </w:instrText>
          </w:r>
          <w:r w:rsidR="00E21D5D" w:rsidRPr="00E21D5D">
            <w:fldChar w:fldCharType="separate"/>
          </w:r>
          <w:r w:rsidR="00E21D5D" w:rsidRPr="00E21D5D">
            <w:t>(Neues, 2012)</w:t>
          </w:r>
          <w:r w:rsidR="00E21D5D" w:rsidRPr="00E21D5D">
            <w:fldChar w:fldCharType="end"/>
          </w:r>
        </w:sdtContent>
      </w:sdt>
      <w:r w:rsidR="00E21D5D" w:rsidRPr="00E21D5D">
        <w:t xml:space="preserve">. </w:t>
      </w:r>
    </w:p>
    <w:p w14:paraId="4804E822" w14:textId="77777777" w:rsidR="009C57D3" w:rsidRDefault="009C57D3" w:rsidP="001B3379">
      <w:pPr>
        <w:jc w:val="both"/>
      </w:pPr>
    </w:p>
    <w:p w14:paraId="53A759E9" w14:textId="12E59EE2" w:rsidR="009C57D3" w:rsidRDefault="009C57D3" w:rsidP="00E9694C">
      <w:pPr>
        <w:jc w:val="center"/>
      </w:pPr>
      <w:r w:rsidRPr="00BF4BE7">
        <w:rPr>
          <w:noProof/>
          <w:sz w:val="18"/>
          <w:szCs w:val="18"/>
        </w:rPr>
        <w:drawing>
          <wp:inline distT="0" distB="0" distL="0" distR="0" wp14:anchorId="0DC3DAA0" wp14:editId="63536F67">
            <wp:extent cx="3446544" cy="1930400"/>
            <wp:effectExtent l="0" t="0" r="0" b="0"/>
            <wp:docPr id="195230472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2304727" name="Picture 1" descr="A screenshot of a computer&#10;&#10;Description automatically generated"/>
                    <pic:cNvPicPr/>
                  </pic:nvPicPr>
                  <pic:blipFill rotWithShape="1">
                    <a:blip r:embed="rId7"/>
                    <a:srcRect l="5776" t="27730" r="26682" b="11739"/>
                    <a:stretch/>
                  </pic:blipFill>
                  <pic:spPr bwMode="auto">
                    <a:xfrm>
                      <a:off x="0" y="0"/>
                      <a:ext cx="3456333" cy="19358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EA2455" w14:textId="77777777" w:rsidR="0079680A" w:rsidRDefault="0079680A" w:rsidP="009C57D3">
      <w:pPr>
        <w:jc w:val="center"/>
        <w:rPr>
          <w:sz w:val="18"/>
          <w:szCs w:val="18"/>
        </w:rPr>
      </w:pPr>
    </w:p>
    <w:p w14:paraId="44FAB56F" w14:textId="0484B396" w:rsidR="009C57D3" w:rsidRDefault="009C57D3" w:rsidP="009C57D3">
      <w:pPr>
        <w:jc w:val="center"/>
        <w:rPr>
          <w:sz w:val="18"/>
          <w:szCs w:val="18"/>
        </w:rPr>
      </w:pPr>
      <w:r>
        <w:rPr>
          <w:sz w:val="18"/>
          <w:szCs w:val="18"/>
        </w:rPr>
        <w:t xml:space="preserve">Figure 2. </w:t>
      </w:r>
      <w:r w:rsidR="0079680A">
        <w:rPr>
          <w:sz w:val="18"/>
          <w:szCs w:val="18"/>
        </w:rPr>
        <w:t xml:space="preserve">The bust at </w:t>
      </w:r>
      <w:r>
        <w:rPr>
          <w:sz w:val="18"/>
          <w:szCs w:val="18"/>
        </w:rPr>
        <w:t>the Neues Museum</w:t>
      </w:r>
      <w:sdt>
        <w:sdtPr>
          <w:rPr>
            <w:sz w:val="18"/>
            <w:szCs w:val="18"/>
          </w:rPr>
          <w:id w:val="2076470298"/>
          <w:citation/>
        </w:sdtPr>
        <w:sdtContent>
          <w:r>
            <w:rPr>
              <w:sz w:val="18"/>
              <w:szCs w:val="18"/>
            </w:rPr>
            <w:fldChar w:fldCharType="begin"/>
          </w:r>
          <w:r>
            <w:rPr>
              <w:sz w:val="18"/>
              <w:szCs w:val="18"/>
            </w:rPr>
            <w:instrText xml:space="preserve"> CITATION Dow24 \l 2057 </w:instrText>
          </w:r>
          <w:r>
            <w:rPr>
              <w:sz w:val="18"/>
              <w:szCs w:val="18"/>
            </w:rPr>
            <w:fldChar w:fldCharType="separate"/>
          </w:r>
          <w:r>
            <w:rPr>
              <w:noProof/>
              <w:sz w:val="18"/>
              <w:szCs w:val="18"/>
            </w:rPr>
            <w:t xml:space="preserve"> </w:t>
          </w:r>
          <w:r w:rsidRPr="00E21D5D">
            <w:rPr>
              <w:noProof/>
              <w:sz w:val="18"/>
              <w:szCs w:val="18"/>
            </w:rPr>
            <w:t>(Dowson, 2024)</w:t>
          </w:r>
          <w:r>
            <w:rPr>
              <w:sz w:val="18"/>
              <w:szCs w:val="18"/>
            </w:rPr>
            <w:fldChar w:fldCharType="end"/>
          </w:r>
        </w:sdtContent>
      </w:sdt>
      <w:r w:rsidR="00B50F66">
        <w:rPr>
          <w:sz w:val="18"/>
          <w:szCs w:val="18"/>
        </w:rPr>
        <w:t>.</w:t>
      </w:r>
    </w:p>
    <w:p w14:paraId="022C5806" w14:textId="77777777" w:rsidR="009C57D3" w:rsidRDefault="009C57D3" w:rsidP="001B3379">
      <w:pPr>
        <w:jc w:val="both"/>
      </w:pPr>
    </w:p>
    <w:p w14:paraId="7C39315F" w14:textId="0A5C770F" w:rsidR="002B6519" w:rsidRDefault="009619B3" w:rsidP="003A589D">
      <w:pPr>
        <w:spacing w:line="480" w:lineRule="auto"/>
        <w:jc w:val="both"/>
      </w:pPr>
      <w:r>
        <w:t xml:space="preserve">Hanna contends </w:t>
      </w:r>
      <w:r w:rsidR="002B6519">
        <w:t>t</w:t>
      </w:r>
      <w:r w:rsidR="002B6519">
        <w:t xml:space="preserve">here are </w:t>
      </w:r>
      <w:r w:rsidR="002965C7">
        <w:t>significant</w:t>
      </w:r>
      <w:r w:rsidR="002B6519">
        <w:t xml:space="preserve"> cultural argument</w:t>
      </w:r>
      <w:r w:rsidR="00E9694C">
        <w:t>s</w:t>
      </w:r>
      <w:r w:rsidR="002B6519">
        <w:t xml:space="preserve"> </w:t>
      </w:r>
      <w:sdt>
        <w:sdtPr>
          <w:id w:val="-1106575040"/>
          <w:citation/>
        </w:sdtPr>
        <w:sdtContent>
          <w:r w:rsidR="002B6519">
            <w:fldChar w:fldCharType="begin"/>
          </w:r>
          <w:r w:rsidR="002B6519">
            <w:instrText xml:space="preserve"> CITATION Han233 \l 2057 </w:instrText>
          </w:r>
          <w:r w:rsidR="002B6519">
            <w:fldChar w:fldCharType="separate"/>
          </w:r>
          <w:r w:rsidR="002B6519" w:rsidRPr="009619B3">
            <w:rPr>
              <w:noProof/>
            </w:rPr>
            <w:t>(Hanna, 2023)</w:t>
          </w:r>
          <w:r w:rsidR="002B6519">
            <w:fldChar w:fldCharType="end"/>
          </w:r>
        </w:sdtContent>
      </w:sdt>
      <w:r w:rsidR="002B6519">
        <w:t xml:space="preserve"> </w:t>
      </w:r>
      <w:r w:rsidR="0079680A">
        <w:t>to</w:t>
      </w:r>
      <w:r w:rsidR="002B6519">
        <w:t xml:space="preserve"> repatriat</w:t>
      </w:r>
      <w:r w:rsidR="0079680A">
        <w:t>e</w:t>
      </w:r>
      <w:r w:rsidR="002B6519">
        <w:t xml:space="preserve"> the bust</w:t>
      </w:r>
      <w:r w:rsidR="002B6519">
        <w:t xml:space="preserve"> and </w:t>
      </w:r>
      <w:r>
        <w:t>even the legal basis for export is unfounded</w:t>
      </w:r>
      <w:r w:rsidR="002965C7">
        <w:t>,</w:t>
      </w:r>
      <w:r>
        <w:t xml:space="preserve"> re</w:t>
      </w:r>
      <w:r w:rsidR="0079680A">
        <w:t>lying</w:t>
      </w:r>
      <w:r>
        <w:t xml:space="preserve"> on fraudulent representation of the </w:t>
      </w:r>
      <w:r w:rsidR="00A00F6E">
        <w:t xml:space="preserve">find as </w:t>
      </w:r>
      <w:r>
        <w:t>insignifica</w:t>
      </w:r>
      <w:r w:rsidR="00A00F6E">
        <w:t>nt</w:t>
      </w:r>
      <w:r>
        <w:t xml:space="preserve">. </w:t>
      </w:r>
      <w:r w:rsidR="0079680A">
        <w:t>The legality argument,</w:t>
      </w:r>
      <w:r>
        <w:t xml:space="preserve"> </w:t>
      </w:r>
      <w:r w:rsidR="0079680A">
        <w:t>driven by the contemporary socio-political milieu</w:t>
      </w:r>
      <w:r w:rsidR="0079680A">
        <w:t xml:space="preserve">, </w:t>
      </w:r>
      <w:r>
        <w:t xml:space="preserve">seems hollow a century </w:t>
      </w:r>
      <w:r w:rsidR="0079680A">
        <w:t>later</w:t>
      </w:r>
      <w:r w:rsidR="007C14AB">
        <w:t xml:space="preserve">, and </w:t>
      </w:r>
      <w:r w:rsidR="002965C7">
        <w:t>a more ethical approach would</w:t>
      </w:r>
      <w:r w:rsidR="00A00F6E">
        <w:t xml:space="preserve"> recognise the injustices of the past to shape Museum policy</w:t>
      </w:r>
      <w:r w:rsidR="007C14AB">
        <w:t xml:space="preserve">, </w:t>
      </w:r>
      <w:r w:rsidR="00A00F6E">
        <w:t>driven by what seems ultimately ‘right’. Yes</w:t>
      </w:r>
      <w:r w:rsidR="0013209E">
        <w:t>,</w:t>
      </w:r>
      <w:r w:rsidR="00A00F6E">
        <w:t xml:space="preserve"> Germany may be</w:t>
      </w:r>
      <w:r w:rsidR="00BF1C96">
        <w:t>,</w:t>
      </w:r>
      <w:r w:rsidR="00A00F6E">
        <w:t xml:space="preserve"> in the stricte</w:t>
      </w:r>
      <w:r w:rsidR="0013209E">
        <w:t>st</w:t>
      </w:r>
      <w:r w:rsidR="00A00F6E">
        <w:t xml:space="preserve"> sense</w:t>
      </w:r>
      <w:r w:rsidR="0079680A">
        <w:t>,</w:t>
      </w:r>
      <w:r w:rsidR="00A00F6E">
        <w:t xml:space="preserve"> its legal owner</w:t>
      </w:r>
      <w:r w:rsidR="00BF1C96">
        <w:t>,</w:t>
      </w:r>
      <w:r w:rsidR="00A00F6E">
        <w:t xml:space="preserve"> however </w:t>
      </w:r>
      <w:r w:rsidR="00BF1C96">
        <w:t xml:space="preserve">the </w:t>
      </w:r>
      <w:r w:rsidR="0013209E">
        <w:t>bust is more than an artifact. It is</w:t>
      </w:r>
      <w:r w:rsidR="007C14AB">
        <w:t xml:space="preserve"> </w:t>
      </w:r>
      <w:r w:rsidR="0013209E">
        <w:t xml:space="preserve">the cultural heritage of </w:t>
      </w:r>
      <w:r w:rsidR="007C14AB">
        <w:t xml:space="preserve">Egypt and </w:t>
      </w:r>
      <w:r w:rsidR="0079680A">
        <w:t xml:space="preserve">Egyptians, and </w:t>
      </w:r>
      <w:r w:rsidR="00BF1C96">
        <w:t xml:space="preserve">its continued captivity </w:t>
      </w:r>
      <w:r w:rsidR="0079680A">
        <w:t>c</w:t>
      </w:r>
      <w:r w:rsidR="002965C7">
        <w:t>an</w:t>
      </w:r>
      <w:r w:rsidR="0079680A">
        <w:t xml:space="preserve"> be seen as</w:t>
      </w:r>
      <w:r w:rsidR="001A0464">
        <w:t xml:space="preserve"> </w:t>
      </w:r>
      <w:r w:rsidR="0079680A">
        <w:t>a</w:t>
      </w:r>
      <w:r w:rsidR="001A0464">
        <w:t xml:space="preserve"> </w:t>
      </w:r>
      <w:r w:rsidR="0079680A">
        <w:t>‘</w:t>
      </w:r>
      <w:r w:rsidR="001A0464">
        <w:t xml:space="preserve">living ‘token of neocolonialism’ </w:t>
      </w:r>
      <w:sdt>
        <w:sdtPr>
          <w:id w:val="490152592"/>
          <w:citation/>
        </w:sdtPr>
        <w:sdtContent>
          <w:r w:rsidR="001A0464">
            <w:fldChar w:fldCharType="begin"/>
          </w:r>
          <w:r w:rsidR="001A0464">
            <w:instrText xml:space="preserve">CITATION Han233 \p 15 \l 2057 </w:instrText>
          </w:r>
          <w:r w:rsidR="001A0464">
            <w:fldChar w:fldCharType="separate"/>
          </w:r>
          <w:r w:rsidR="001A0464" w:rsidRPr="001A0464">
            <w:rPr>
              <w:noProof/>
            </w:rPr>
            <w:t>(Hanna, 2023, p. 15)</w:t>
          </w:r>
          <w:r w:rsidR="001A0464">
            <w:fldChar w:fldCharType="end"/>
          </w:r>
        </w:sdtContent>
      </w:sdt>
      <w:r w:rsidR="001A0464">
        <w:t xml:space="preserve">. </w:t>
      </w:r>
    </w:p>
    <w:p w14:paraId="51FACCC7" w14:textId="77777777" w:rsidR="002B6519" w:rsidRDefault="002B6519" w:rsidP="003A589D">
      <w:pPr>
        <w:spacing w:line="480" w:lineRule="auto"/>
        <w:jc w:val="both"/>
      </w:pPr>
    </w:p>
    <w:p w14:paraId="0F817A5D" w14:textId="31B6240D" w:rsidR="00CF15F1" w:rsidRDefault="0013209E" w:rsidP="003A589D">
      <w:pPr>
        <w:spacing w:line="480" w:lineRule="auto"/>
        <w:jc w:val="both"/>
      </w:pPr>
      <w:r>
        <w:t>T</w:t>
      </w:r>
      <w:r w:rsidR="00E576C1">
        <w:t>here is a s</w:t>
      </w:r>
      <w:r w:rsidR="008B74AF">
        <w:t xml:space="preserve">ad irony in Borchardt’s famous </w:t>
      </w:r>
      <w:r w:rsidR="00FD03C4">
        <w:t xml:space="preserve">phrase </w:t>
      </w:r>
      <w:r w:rsidR="009C57D3">
        <w:t>‘</w:t>
      </w:r>
      <w:r w:rsidR="00E9694C">
        <w:t>d</w:t>
      </w:r>
      <w:r w:rsidR="008B74AF">
        <w:t>escription is useless, must be seen</w:t>
      </w:r>
      <w:r w:rsidR="009C57D3">
        <w:t>’</w:t>
      </w:r>
      <w:r w:rsidR="00D103C1">
        <w:t xml:space="preserve"> </w:t>
      </w:r>
      <w:sdt>
        <w:sdtPr>
          <w:id w:val="-360981607"/>
          <w:citation/>
        </w:sdtPr>
        <w:sdtContent>
          <w:r w:rsidR="00D103C1">
            <w:fldChar w:fldCharType="begin"/>
          </w:r>
          <w:r w:rsidR="00D103C1">
            <w:instrText xml:space="preserve"> CITATION Ber13 \l 2057 </w:instrText>
          </w:r>
          <w:r w:rsidR="00D103C1">
            <w:fldChar w:fldCharType="separate"/>
          </w:r>
          <w:r w:rsidR="00E21D5D" w:rsidRPr="00E21D5D">
            <w:rPr>
              <w:noProof/>
            </w:rPr>
            <w:t>(Berlin, 2013)</w:t>
          </w:r>
          <w:r w:rsidR="00D103C1">
            <w:fldChar w:fldCharType="end"/>
          </w:r>
        </w:sdtContent>
      </w:sdt>
      <w:r w:rsidR="00FD03C4">
        <w:t>, acknowledg</w:t>
      </w:r>
      <w:r w:rsidR="00D103C1">
        <w:t>ing</w:t>
      </w:r>
      <w:r w:rsidR="00FD03C4">
        <w:t xml:space="preserve"> the immense power of the bust </w:t>
      </w:r>
      <w:r>
        <w:t>‘</w:t>
      </w:r>
      <w:r w:rsidR="00FD03C4">
        <w:t>in person</w:t>
      </w:r>
      <w:r>
        <w:t>’</w:t>
      </w:r>
      <w:r w:rsidR="00FD03C4">
        <w:t xml:space="preserve"> and yet</w:t>
      </w:r>
      <w:r w:rsidR="00D103C1">
        <w:t>,</w:t>
      </w:r>
      <w:r w:rsidR="00FD03C4">
        <w:t xml:space="preserve"> </w:t>
      </w:r>
      <w:r w:rsidR="006C7523">
        <w:t xml:space="preserve">in her current </w:t>
      </w:r>
      <w:r w:rsidR="006C7523">
        <w:lastRenderedPageBreak/>
        <w:t>location</w:t>
      </w:r>
      <w:r w:rsidR="00D103C1">
        <w:t xml:space="preserve">, </w:t>
      </w:r>
      <w:r>
        <w:t xml:space="preserve">this </w:t>
      </w:r>
      <w:r w:rsidR="006C7523">
        <w:t>will never be seen</w:t>
      </w:r>
      <w:r w:rsidR="00D103C1">
        <w:t xml:space="preserve"> first-hand</w:t>
      </w:r>
      <w:r w:rsidR="006C7523">
        <w:t xml:space="preserve"> </w:t>
      </w:r>
      <w:r w:rsidR="00FD03C4">
        <w:t xml:space="preserve">by </w:t>
      </w:r>
      <w:r w:rsidR="00051400">
        <w:t>most of</w:t>
      </w:r>
      <w:r w:rsidR="00FD03C4">
        <w:t xml:space="preserve"> her </w:t>
      </w:r>
      <w:r w:rsidR="00051400">
        <w:t xml:space="preserve">home </w:t>
      </w:r>
      <w:r w:rsidR="00FD03C4">
        <w:t>natio</w:t>
      </w:r>
      <w:r w:rsidR="00A00F6E">
        <w:t xml:space="preserve">n </w:t>
      </w:r>
      <w:r>
        <w:t xml:space="preserve">and </w:t>
      </w:r>
      <w:r w:rsidR="00A00F6E">
        <w:t xml:space="preserve">forever emblematic of a time when treasures were taken from an Egypt vulnerable to Western occupation and manipulation. </w:t>
      </w:r>
      <w:r>
        <w:t>To Egyptians the bust is not simply an artifact, it</w:t>
      </w:r>
      <w:r w:rsidR="007C14AB">
        <w:t>,</w:t>
      </w:r>
      <w:r w:rsidR="00E9694C">
        <w:t xml:space="preserve"> and its continued</w:t>
      </w:r>
      <w:r w:rsidR="001A0464">
        <w:t xml:space="preserve"> removal</w:t>
      </w:r>
      <w:r w:rsidR="007C14AB">
        <w:t>,</w:t>
      </w:r>
      <w:r>
        <w:t xml:space="preserve"> interacts with the present and defines the future</w:t>
      </w:r>
      <w:r w:rsidR="001A0464">
        <w:t xml:space="preserve">. </w:t>
      </w:r>
      <w:r w:rsidR="00E9694C">
        <w:t>I</w:t>
      </w:r>
      <w:r>
        <w:t>n its current heterotopia it is placed and viewed through a cultural lens of Western ideals</w:t>
      </w:r>
      <w:r w:rsidR="007C14AB">
        <w:t xml:space="preserve">, </w:t>
      </w:r>
      <w:r>
        <w:t>a ‘</w:t>
      </w:r>
      <w:r w:rsidR="009C57D3">
        <w:t>decontextualised</w:t>
      </w:r>
      <w:r>
        <w:t xml:space="preserve"> thing’</w:t>
      </w:r>
      <w:sdt>
        <w:sdtPr>
          <w:id w:val="1684708259"/>
          <w:citation/>
        </w:sdtPr>
        <w:sdtContent>
          <w:r w:rsidR="001A0464">
            <w:fldChar w:fldCharType="begin"/>
          </w:r>
          <w:r w:rsidR="001A0464">
            <w:instrText xml:space="preserve">CITATION Han233 \p 8 \l 2057 </w:instrText>
          </w:r>
          <w:r w:rsidR="001A0464">
            <w:fldChar w:fldCharType="separate"/>
          </w:r>
          <w:r w:rsidR="001A0464">
            <w:rPr>
              <w:noProof/>
            </w:rPr>
            <w:t xml:space="preserve"> </w:t>
          </w:r>
          <w:r w:rsidR="001A0464" w:rsidRPr="001A0464">
            <w:rPr>
              <w:noProof/>
            </w:rPr>
            <w:t>(Hanna, 2023, p. 8)</w:t>
          </w:r>
          <w:r w:rsidR="001A0464">
            <w:fldChar w:fldCharType="end"/>
          </w:r>
        </w:sdtContent>
      </w:sdt>
      <w:r w:rsidR="009C57D3">
        <w:t>. Aside from its</w:t>
      </w:r>
      <w:r w:rsidR="007C14AB">
        <w:t xml:space="preserve"> </w:t>
      </w:r>
      <w:r w:rsidR="009C57D3">
        <w:t xml:space="preserve">cultural properties, </w:t>
      </w:r>
      <w:r>
        <w:t xml:space="preserve">even its </w:t>
      </w:r>
      <w:r w:rsidR="009C57D3">
        <w:t>p</w:t>
      </w:r>
      <w:r w:rsidR="007C14AB">
        <w:t xml:space="preserve">igments </w:t>
      </w:r>
      <w:r w:rsidR="009C57D3">
        <w:t xml:space="preserve">may have a </w:t>
      </w:r>
      <w:r w:rsidR="002965C7">
        <w:t>significance</w:t>
      </w:r>
      <w:r w:rsidR="009C57D3">
        <w:t xml:space="preserve"> not immediately apparent to a Western eye</w:t>
      </w:r>
      <w:r w:rsidR="002965C7">
        <w:t>.</w:t>
      </w:r>
      <w:r w:rsidR="00E9694C">
        <w:t xml:space="preserve"> </w:t>
      </w:r>
      <w:r w:rsidR="002965C7">
        <w:t>I</w:t>
      </w:r>
      <w:r w:rsidR="007B1ED0">
        <w:t>t</w:t>
      </w:r>
      <w:r w:rsidR="002965C7">
        <w:t xml:space="preserve"> </w:t>
      </w:r>
      <w:r w:rsidR="007C14AB">
        <w:t xml:space="preserve">contains </w:t>
      </w:r>
      <w:r w:rsidR="00051400">
        <w:t>yellow orpiment</w:t>
      </w:r>
      <w:r w:rsidR="002965C7">
        <w:t xml:space="preserve"> which interacts </w:t>
      </w:r>
      <w:r w:rsidR="007C14AB">
        <w:t>with</w:t>
      </w:r>
      <w:r w:rsidR="002965C7">
        <w:t xml:space="preserve"> the atmosphere and UV</w:t>
      </w:r>
      <w:r w:rsidR="00562AE9">
        <w:t xml:space="preserve"> l</w:t>
      </w:r>
      <w:r w:rsidR="007B1ED0">
        <w:t>ight</w:t>
      </w:r>
      <w:r w:rsidR="002965C7">
        <w:t xml:space="preserve"> </w:t>
      </w:r>
      <w:sdt>
        <w:sdtPr>
          <w:id w:val="-698942858"/>
          <w:citation/>
        </w:sdtPr>
        <w:sdtContent>
          <w:r w:rsidR="007C14AB">
            <w:fldChar w:fldCharType="begin"/>
          </w:r>
          <w:r w:rsidR="007C14AB">
            <w:instrText xml:space="preserve">CITATION Str18 \p 173-184 \l 2057 </w:instrText>
          </w:r>
          <w:r w:rsidR="007C14AB">
            <w:fldChar w:fldCharType="separate"/>
          </w:r>
          <w:r w:rsidR="007C14AB" w:rsidRPr="00E21D5D">
            <w:rPr>
              <w:noProof/>
            </w:rPr>
            <w:t>(Strong, 2018, pp. 173-184)</w:t>
          </w:r>
          <w:r w:rsidR="007C14AB">
            <w:fldChar w:fldCharType="end"/>
          </w:r>
        </w:sdtContent>
      </w:sdt>
      <w:r w:rsidR="00961BFE">
        <w:t xml:space="preserve"> and t</w:t>
      </w:r>
      <w:r w:rsidR="002965C7">
        <w:t xml:space="preserve">he </w:t>
      </w:r>
      <w:r w:rsidR="00562AE9">
        <w:t>eye-physiology</w:t>
      </w:r>
      <w:r w:rsidR="002965C7">
        <w:t xml:space="preserve"> of </w:t>
      </w:r>
      <w:r w:rsidR="001A0464">
        <w:t xml:space="preserve">people </w:t>
      </w:r>
      <w:r w:rsidR="002965C7">
        <w:t>exposed to high UV light,</w:t>
      </w:r>
      <w:r w:rsidR="00EC670C">
        <w:t xml:space="preserve"> </w:t>
      </w:r>
      <w:r w:rsidR="00EA19E7">
        <w:t>over generations</w:t>
      </w:r>
      <w:r w:rsidR="002965C7">
        <w:t>, such as the Egyptians,</w:t>
      </w:r>
      <w:r w:rsidR="00EC670C">
        <w:t xml:space="preserve"> may alter </w:t>
      </w:r>
      <w:r w:rsidR="002965C7">
        <w:t xml:space="preserve">the </w:t>
      </w:r>
      <w:r w:rsidR="00EC670C">
        <w:t xml:space="preserve">perception of </w:t>
      </w:r>
      <w:r w:rsidR="00E9694C">
        <w:t xml:space="preserve">the </w:t>
      </w:r>
      <w:r w:rsidR="00EC670C">
        <w:t xml:space="preserve">colour itself </w:t>
      </w:r>
      <w:sdt>
        <w:sdtPr>
          <w:id w:val="1409430690"/>
          <w:citation/>
        </w:sdtPr>
        <w:sdtContent>
          <w:r w:rsidR="00EC670C">
            <w:fldChar w:fldCharType="begin"/>
          </w:r>
          <w:r w:rsidR="00EA19E7">
            <w:instrText xml:space="preserve">CITATION Jos21 \p 1 \l 2057 </w:instrText>
          </w:r>
          <w:r w:rsidR="00EC670C">
            <w:fldChar w:fldCharType="separate"/>
          </w:r>
          <w:r w:rsidR="00E21D5D" w:rsidRPr="00E21D5D">
            <w:rPr>
              <w:noProof/>
            </w:rPr>
            <w:t>(Josserand, et al., 2021, p. 1)</w:t>
          </w:r>
          <w:r w:rsidR="00EC670C">
            <w:fldChar w:fldCharType="end"/>
          </w:r>
        </w:sdtContent>
      </w:sdt>
      <w:r w:rsidR="00E9694C">
        <w:t xml:space="preserve">. </w:t>
      </w:r>
      <w:r w:rsidR="002965C7">
        <w:t>This is j</w:t>
      </w:r>
      <w:r w:rsidR="001A0464">
        <w:t xml:space="preserve">ust one </w:t>
      </w:r>
      <w:r w:rsidR="002B6519">
        <w:t xml:space="preserve">small tangible </w:t>
      </w:r>
      <w:r w:rsidR="001A0464">
        <w:t>example of a specific lived experience that may be had in Egypt, likely not applicable to a Western viewer.</w:t>
      </w:r>
      <w:r>
        <w:t xml:space="preserve"> </w:t>
      </w:r>
      <w:r w:rsidR="007C14AB">
        <w:t xml:space="preserve">However, </w:t>
      </w:r>
      <w:r>
        <w:t xml:space="preserve">I agree with </w:t>
      </w:r>
      <w:r w:rsidR="00BF1C96">
        <w:t xml:space="preserve">Hanna, </w:t>
      </w:r>
      <w:r w:rsidR="002B6519">
        <w:t xml:space="preserve">the intangible </w:t>
      </w:r>
      <w:r w:rsidR="00E9694C">
        <w:t>effects</w:t>
      </w:r>
      <w:r w:rsidR="002B6519">
        <w:t xml:space="preserve"> of its isolation far outweigh these physical elements</w:t>
      </w:r>
      <w:r w:rsidR="007C14AB">
        <w:t>. T</w:t>
      </w:r>
      <w:r w:rsidR="00BF1C96">
        <w:t xml:space="preserve">he Nefertiti bust </w:t>
      </w:r>
      <w:r w:rsidR="007C14AB">
        <w:t>i</w:t>
      </w:r>
      <w:r w:rsidR="00E9694C">
        <w:t>s</w:t>
      </w:r>
      <w:r w:rsidR="00BF1C96">
        <w:t xml:space="preserve"> </w:t>
      </w:r>
      <w:r w:rsidR="007C14AB">
        <w:t xml:space="preserve">a </w:t>
      </w:r>
      <w:r w:rsidR="00BF1C96">
        <w:t xml:space="preserve">‘social agent’ </w:t>
      </w:r>
      <w:sdt>
        <w:sdtPr>
          <w:id w:val="1415668058"/>
          <w:citation/>
        </w:sdtPr>
        <w:sdtContent>
          <w:r w:rsidR="00BF1C96">
            <w:fldChar w:fldCharType="begin"/>
          </w:r>
          <w:r w:rsidR="00BF1C96">
            <w:instrText xml:space="preserve">CITATION Han233 \p 8 \l 2057 </w:instrText>
          </w:r>
          <w:r w:rsidR="00BF1C96">
            <w:fldChar w:fldCharType="separate"/>
          </w:r>
          <w:r w:rsidR="00BF1C96" w:rsidRPr="00BF1C96">
            <w:rPr>
              <w:noProof/>
            </w:rPr>
            <w:t>(Hanna, 2023, p. 8)</w:t>
          </w:r>
          <w:r w:rsidR="00BF1C96">
            <w:fldChar w:fldCharType="end"/>
          </w:r>
        </w:sdtContent>
      </w:sdt>
      <w:r w:rsidR="00BF1C96">
        <w:t xml:space="preserve">, not </w:t>
      </w:r>
      <w:r w:rsidR="007C14AB">
        <w:t xml:space="preserve">an </w:t>
      </w:r>
      <w:r w:rsidR="00BF1C96">
        <w:t>inert entit</w:t>
      </w:r>
      <w:r w:rsidR="00E9694C">
        <w:t>y</w:t>
      </w:r>
      <w:r w:rsidR="002B6519">
        <w:t xml:space="preserve">. </w:t>
      </w:r>
      <w:r w:rsidR="00BF1C96">
        <w:t xml:space="preserve"> </w:t>
      </w:r>
      <w:r w:rsidR="002B6519">
        <w:t>A</w:t>
      </w:r>
      <w:r w:rsidR="00BF1C96">
        <w:t xml:space="preserve">lthough undoubtedly important to the psyche of the German nation after 100 years, the importance of this bust to </w:t>
      </w:r>
      <w:r w:rsidR="00E9694C">
        <w:t xml:space="preserve">the </w:t>
      </w:r>
      <w:r w:rsidR="00BF1C96">
        <w:t>Egyptian people, particularly modern Egyptian wom</w:t>
      </w:r>
      <w:r w:rsidR="00AB242D">
        <w:t>e</w:t>
      </w:r>
      <w:r w:rsidR="00BF1C96">
        <w:t>n, with its innate power, cannot be overstated</w:t>
      </w:r>
      <w:r w:rsidR="00AB242D">
        <w:t>.</w:t>
      </w:r>
      <w:r w:rsidR="00BF1C96">
        <w:t xml:space="preserve"> </w:t>
      </w:r>
      <w:r w:rsidR="00AB242D">
        <w:t>D</w:t>
      </w:r>
      <w:r w:rsidR="00BF1C96">
        <w:t>espite the practical concerns regarding potential damage raised about its return</w:t>
      </w:r>
      <w:r w:rsidR="00AB242D">
        <w:t>,</w:t>
      </w:r>
      <w:r w:rsidR="00BF1C96">
        <w:t xml:space="preserve"> </w:t>
      </w:r>
      <w:r w:rsidR="001A0464">
        <w:t xml:space="preserve">I agree with the argument that </w:t>
      </w:r>
      <w:r w:rsidR="00BF1C96">
        <w:t>all efforts should be made to release it from captivity to be seen and experienced in its home</w:t>
      </w:r>
      <w:r w:rsidR="00AB242D">
        <w:t>land.</w:t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 w:bidi="ar-SA"/>
          <w14:ligatures w14:val="standardContextual"/>
        </w:rPr>
        <w:id w:val="2095117297"/>
        <w:docPartObj>
          <w:docPartGallery w:val="Bibliographies"/>
          <w:docPartUnique/>
        </w:docPartObj>
      </w:sdtPr>
      <w:sdtEndPr>
        <w:rPr>
          <w:sz w:val="20"/>
          <w:szCs w:val="20"/>
        </w:rPr>
      </w:sdtEndPr>
      <w:sdtContent>
        <w:p w14:paraId="260CCEA2" w14:textId="321A8516" w:rsidR="009059D3" w:rsidRPr="001A0464" w:rsidRDefault="009059D3">
          <w:pPr>
            <w:pStyle w:val="Heading1"/>
            <w:rPr>
              <w:sz w:val="20"/>
              <w:szCs w:val="20"/>
            </w:rPr>
          </w:pPr>
          <w:r w:rsidRPr="001A0464">
            <w:rPr>
              <w:sz w:val="20"/>
              <w:szCs w:val="20"/>
            </w:rPr>
            <w:t>Bibliography</w:t>
          </w:r>
        </w:p>
        <w:sdt>
          <w:sdtPr>
            <w:rPr>
              <w:sz w:val="20"/>
              <w:szCs w:val="20"/>
            </w:rPr>
            <w:id w:val="111145805"/>
            <w:bibliography/>
          </w:sdtPr>
          <w:sdtContent>
            <w:p w14:paraId="477DF6F0" w14:textId="77777777" w:rsidR="00E21D5D" w:rsidRPr="001A0464" w:rsidRDefault="009059D3" w:rsidP="00E21D5D">
              <w:pPr>
                <w:pStyle w:val="Bibliography"/>
                <w:rPr>
                  <w:noProof/>
                  <w:kern w:val="0"/>
                  <w:sz w:val="20"/>
                  <w:szCs w:val="20"/>
                  <w:lang w:val="en-US"/>
                  <w14:ligatures w14:val="none"/>
                </w:rPr>
              </w:pPr>
              <w:r w:rsidRPr="001A0464">
                <w:rPr>
                  <w:sz w:val="20"/>
                  <w:szCs w:val="20"/>
                </w:rPr>
                <w:fldChar w:fldCharType="begin"/>
              </w:r>
              <w:r w:rsidRPr="001A0464">
                <w:rPr>
                  <w:sz w:val="20"/>
                  <w:szCs w:val="20"/>
                </w:rPr>
                <w:instrText xml:space="preserve"> BIBLIOGRAPHY </w:instrText>
              </w:r>
              <w:r w:rsidRPr="001A0464">
                <w:rPr>
                  <w:sz w:val="20"/>
                  <w:szCs w:val="20"/>
                </w:rPr>
                <w:fldChar w:fldCharType="separate"/>
              </w:r>
              <w:r w:rsidR="00E21D5D" w:rsidRPr="001A0464">
                <w:rPr>
                  <w:noProof/>
                  <w:sz w:val="20"/>
                  <w:szCs w:val="20"/>
                  <w:lang w:val="en-US"/>
                </w:rPr>
                <w:t xml:space="preserve">Berlin, M., 2013. </w:t>
              </w:r>
              <w:r w:rsidR="00E21D5D" w:rsidRPr="001A0464">
                <w:rPr>
                  <w:i/>
                  <w:iCs/>
                  <w:noProof/>
                  <w:sz w:val="20"/>
                  <w:szCs w:val="20"/>
                  <w:lang w:val="en-US"/>
                </w:rPr>
                <w:t xml:space="preserve">Agyptisches Museum und Papyrussammlung. </w:t>
              </w:r>
              <w:r w:rsidR="00E21D5D" w:rsidRPr="001A0464">
                <w:rPr>
                  <w:noProof/>
                  <w:sz w:val="20"/>
                  <w:szCs w:val="20"/>
                  <w:lang w:val="en-US"/>
                </w:rPr>
                <w:t xml:space="preserve">[Online] </w:t>
              </w:r>
              <w:r w:rsidR="00E21D5D" w:rsidRPr="001A0464">
                <w:rPr>
                  <w:noProof/>
                  <w:sz w:val="20"/>
                  <w:szCs w:val="20"/>
                  <w:lang w:val="en-US"/>
                </w:rPr>
                <w:br/>
                <w:t xml:space="preserve">Available at: </w:t>
              </w:r>
              <w:r w:rsidR="00E21D5D" w:rsidRPr="001A0464">
                <w:rPr>
                  <w:noProof/>
                  <w:sz w:val="20"/>
                  <w:szCs w:val="20"/>
                  <w:u w:val="single"/>
                  <w:lang w:val="en-US"/>
                </w:rPr>
                <w:t>https://www.smb.museum/en/museums-institutions/aegyptisches-museum-und-papyrussammlung/collection-research/bust-of-nefertiti/the-bust/</w:t>
              </w:r>
              <w:r w:rsidR="00E21D5D" w:rsidRPr="001A0464">
                <w:rPr>
                  <w:noProof/>
                  <w:sz w:val="20"/>
                  <w:szCs w:val="20"/>
                  <w:lang w:val="en-US"/>
                </w:rPr>
                <w:br/>
                <w:t>[Accessed 30 March 2024].</w:t>
              </w:r>
            </w:p>
            <w:p w14:paraId="46773000" w14:textId="77777777" w:rsidR="00E21D5D" w:rsidRPr="001A0464" w:rsidRDefault="00E21D5D" w:rsidP="00E21D5D">
              <w:pPr>
                <w:pStyle w:val="Bibliography"/>
                <w:rPr>
                  <w:noProof/>
                  <w:sz w:val="20"/>
                  <w:szCs w:val="20"/>
                  <w:lang w:val="en-US"/>
                </w:rPr>
              </w:pP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Berlin, M., 2020. </w:t>
              </w:r>
              <w:r w:rsidRPr="001A0464">
                <w:rPr>
                  <w:i/>
                  <w:iCs/>
                  <w:noProof/>
                  <w:sz w:val="20"/>
                  <w:szCs w:val="20"/>
                  <w:lang w:val="en-US"/>
                </w:rPr>
                <w:t xml:space="preserve">"The Staatliche Museen zu Berlin Welcome More than 4 Million Visitors in 2019".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[Online]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br/>
                <w:t xml:space="preserve">Available at: </w:t>
              </w:r>
              <w:r w:rsidRPr="001A0464">
                <w:rPr>
                  <w:noProof/>
                  <w:sz w:val="20"/>
                  <w:szCs w:val="20"/>
                  <w:u w:val="single"/>
                  <w:lang w:val="en-US"/>
                </w:rPr>
                <w:t>https://www.smb.museum/en/whats-new/detail/the-staatliche-museen-zu-berlin-welcome-more-than-4-million-visitors-in-2019/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br/>
                <w:t>[Accessed 30 March 2024].</w:t>
              </w:r>
            </w:p>
            <w:p w14:paraId="65794F88" w14:textId="77777777" w:rsidR="00E21D5D" w:rsidRPr="001A0464" w:rsidRDefault="00E21D5D" w:rsidP="00E21D5D">
              <w:pPr>
                <w:pStyle w:val="Bibliography"/>
                <w:rPr>
                  <w:noProof/>
                  <w:sz w:val="20"/>
                  <w:szCs w:val="20"/>
                  <w:lang w:val="en-US"/>
                </w:rPr>
              </w:pPr>
              <w:r w:rsidRPr="001A0464">
                <w:rPr>
                  <w:noProof/>
                  <w:sz w:val="20"/>
                  <w:szCs w:val="20"/>
                  <w:lang w:val="en-US"/>
                </w:rPr>
                <w:lastRenderedPageBreak/>
                <w:t xml:space="preserve">Dowson, T., 2024. </w:t>
              </w:r>
              <w:r w:rsidRPr="001A0464">
                <w:rPr>
                  <w:i/>
                  <w:iCs/>
                  <w:noProof/>
                  <w:sz w:val="20"/>
                  <w:szCs w:val="20"/>
                  <w:lang w:val="en-US"/>
                </w:rPr>
                <w:t xml:space="preserve">"The Bust of Nefertiti in the Neues Museum, Berlin".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[Online]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br/>
                <w:t xml:space="preserve">Available at: </w:t>
              </w:r>
              <w:r w:rsidRPr="001A0464">
                <w:rPr>
                  <w:noProof/>
                  <w:sz w:val="20"/>
                  <w:szCs w:val="20"/>
                  <w:u w:val="single"/>
                  <w:lang w:val="en-US"/>
                </w:rPr>
                <w:t>https://archaeology-travel.com/artefacts/bust-of-nefertiti/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br/>
                <w:t>[Accessed 30 March 2024].</w:t>
              </w:r>
            </w:p>
            <w:p w14:paraId="79ED04F2" w14:textId="77777777" w:rsidR="00E21D5D" w:rsidRPr="001A0464" w:rsidRDefault="00E21D5D" w:rsidP="00E21D5D">
              <w:pPr>
                <w:pStyle w:val="Bibliography"/>
                <w:rPr>
                  <w:noProof/>
                  <w:sz w:val="20"/>
                  <w:szCs w:val="20"/>
                  <w:lang w:val="en-US"/>
                </w:rPr>
              </w:pP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Francis, D. E., 2024. </w:t>
              </w:r>
              <w:r w:rsidRPr="001A0464">
                <w:rPr>
                  <w:i/>
                  <w:iCs/>
                  <w:noProof/>
                  <w:sz w:val="20"/>
                  <w:szCs w:val="20"/>
                  <w:lang w:val="en-US"/>
                </w:rPr>
                <w:t xml:space="preserve">April Fakes Day 2024: Bust of Queen Nefertiti.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[Online]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br/>
                <w:t xml:space="preserve">Available at: </w:t>
              </w:r>
              <w:r w:rsidRPr="001A0464">
                <w:rPr>
                  <w:noProof/>
                  <w:sz w:val="20"/>
                  <w:szCs w:val="20"/>
                  <w:u w:val="single"/>
                  <w:lang w:val="en-US"/>
                </w:rPr>
                <w:t>https://www.torch.ox.ac.uk/article/april-fakes-day-2024-bust-of-queen-nefertiti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br/>
                <w:t>[Accessed 1st April 2024].</w:t>
              </w:r>
            </w:p>
            <w:p w14:paraId="14E3B160" w14:textId="77777777" w:rsidR="00E21D5D" w:rsidRPr="001A0464" w:rsidRDefault="00E21D5D" w:rsidP="00E21D5D">
              <w:pPr>
                <w:pStyle w:val="Bibliography"/>
                <w:rPr>
                  <w:noProof/>
                  <w:sz w:val="20"/>
                  <w:szCs w:val="20"/>
                  <w:lang w:val="en-US"/>
                </w:rPr>
              </w:pP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Hanna, M., 2023. "Contesting the Lonely Queen". </w:t>
              </w:r>
              <w:r w:rsidRPr="001A0464">
                <w:rPr>
                  <w:i/>
                  <w:iCs/>
                  <w:noProof/>
                  <w:sz w:val="20"/>
                  <w:szCs w:val="20"/>
                  <w:lang w:val="en-US"/>
                </w:rPr>
                <w:t xml:space="preserve">International Journal of Cultural Property,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t>4 December.pp. 1-19.</w:t>
              </w:r>
            </w:p>
            <w:p w14:paraId="7E187448" w14:textId="77777777" w:rsidR="00E21D5D" w:rsidRPr="001A0464" w:rsidRDefault="00E21D5D" w:rsidP="00E21D5D">
              <w:pPr>
                <w:pStyle w:val="Bibliography"/>
                <w:rPr>
                  <w:noProof/>
                  <w:sz w:val="20"/>
                  <w:szCs w:val="20"/>
                  <w:lang w:val="en-US"/>
                </w:rPr>
              </w:pP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Josserand, M., Meeussen, E., Majid, A. &amp; Dediu, D., 2021. "Environment and Culture Shape both the Colour Lexicon and the Genetics of Colour Perception". </w:t>
              </w:r>
              <w:r w:rsidRPr="001A0464">
                <w:rPr>
                  <w:i/>
                  <w:iCs/>
                  <w:noProof/>
                  <w:sz w:val="20"/>
                  <w:szCs w:val="20"/>
                  <w:lang w:val="en-US"/>
                </w:rPr>
                <w:t xml:space="preserve">Scientific Reports: Nature,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t>27 September, 11(19095), pp. 1-11.</w:t>
              </w:r>
            </w:p>
            <w:p w14:paraId="0B31E825" w14:textId="77777777" w:rsidR="00E21D5D" w:rsidRPr="001A0464" w:rsidRDefault="00E21D5D" w:rsidP="00E21D5D">
              <w:pPr>
                <w:pStyle w:val="Bibliography"/>
                <w:rPr>
                  <w:noProof/>
                  <w:sz w:val="20"/>
                  <w:szCs w:val="20"/>
                  <w:lang w:val="en-US"/>
                </w:rPr>
              </w:pP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Jung, M., 2013. "100 Years of the Discovery of Nefertiti". In: F. Seyfried, ed. </w:t>
              </w:r>
              <w:r w:rsidRPr="001A0464">
                <w:rPr>
                  <w:i/>
                  <w:iCs/>
                  <w:noProof/>
                  <w:sz w:val="20"/>
                  <w:szCs w:val="20"/>
                  <w:lang w:val="en-US"/>
                </w:rPr>
                <w:t xml:space="preserve">"In the light of Amarna: 100 Years of the Nefertiti Discovery".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t>Berlin: Michael Imhof Verlag, pp. 421-426.</w:t>
              </w:r>
            </w:p>
            <w:p w14:paraId="14A37BD5" w14:textId="77777777" w:rsidR="00E21D5D" w:rsidRPr="001A0464" w:rsidRDefault="00E21D5D" w:rsidP="00E21D5D">
              <w:pPr>
                <w:pStyle w:val="Bibliography"/>
                <w:rPr>
                  <w:noProof/>
                  <w:sz w:val="20"/>
                  <w:szCs w:val="20"/>
                  <w:lang w:val="en-US"/>
                </w:rPr>
              </w:pP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NAM, 2024. </w:t>
              </w:r>
              <w:r w:rsidRPr="001A0464">
                <w:rPr>
                  <w:i/>
                  <w:iCs/>
                  <w:noProof/>
                  <w:sz w:val="20"/>
                  <w:szCs w:val="20"/>
                  <w:lang w:val="en-US"/>
                </w:rPr>
                <w:t xml:space="preserve">First World War.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[Online]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br/>
                <w:t xml:space="preserve">Available at: </w:t>
              </w:r>
              <w:r w:rsidRPr="001A0464">
                <w:rPr>
                  <w:noProof/>
                  <w:sz w:val="20"/>
                  <w:szCs w:val="20"/>
                  <w:u w:val="single"/>
                  <w:lang w:val="en-US"/>
                </w:rPr>
                <w:t>https://www.nam.ac.uk/explore/first-world-war#:~:text=The%20First%20World%20War%20saw,after%20the%20revolution%20in%201917.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br/>
                <w:t>[Accessed 30 March 2024].</w:t>
              </w:r>
            </w:p>
            <w:p w14:paraId="5ED24A2E" w14:textId="77777777" w:rsidR="00E21D5D" w:rsidRPr="001A0464" w:rsidRDefault="00E21D5D" w:rsidP="00E21D5D">
              <w:pPr>
                <w:pStyle w:val="Bibliography"/>
                <w:rPr>
                  <w:noProof/>
                  <w:sz w:val="20"/>
                  <w:szCs w:val="20"/>
                  <w:lang w:val="en-US"/>
                </w:rPr>
              </w:pP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Neues, M., 2012. </w:t>
              </w:r>
              <w:r w:rsidRPr="001A0464">
                <w:rPr>
                  <w:i/>
                  <w:iCs/>
                  <w:noProof/>
                  <w:sz w:val="20"/>
                  <w:szCs w:val="20"/>
                  <w:lang w:val="en-US"/>
                </w:rPr>
                <w:t xml:space="preserve">"In the Light of Amarna" Official Opening.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[Online]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br/>
                <w:t xml:space="preserve">Available at: </w:t>
              </w:r>
              <w:r w:rsidRPr="001A0464">
                <w:rPr>
                  <w:noProof/>
                  <w:sz w:val="20"/>
                  <w:szCs w:val="20"/>
                  <w:u w:val="single"/>
                  <w:lang w:val="en-US"/>
                </w:rPr>
                <w:t>https://www.smb.museum/en/whats-new/detail/in-the-light-of-amarna-official-opening/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br/>
                <w:t>[Accessed 30 March 2024].</w:t>
              </w:r>
            </w:p>
            <w:p w14:paraId="4474C291" w14:textId="77777777" w:rsidR="00E21D5D" w:rsidRPr="001A0464" w:rsidRDefault="00E21D5D" w:rsidP="00E21D5D">
              <w:pPr>
                <w:pStyle w:val="Bibliography"/>
                <w:rPr>
                  <w:noProof/>
                  <w:sz w:val="20"/>
                  <w:szCs w:val="20"/>
                  <w:lang w:val="en-US"/>
                </w:rPr>
              </w:pP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RexPublica, 2024. </w:t>
              </w:r>
              <w:r w:rsidRPr="001A0464">
                <w:rPr>
                  <w:i/>
                  <w:iCs/>
                  <w:noProof/>
                  <w:sz w:val="20"/>
                  <w:szCs w:val="20"/>
                  <w:lang w:val="en-US"/>
                </w:rPr>
                <w:t xml:space="preserve">Society for the Promotion of the Egyptian Museum Berlin.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[Online]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br/>
                <w:t xml:space="preserve">Available at: </w:t>
              </w:r>
              <w:r w:rsidRPr="001A0464">
                <w:rPr>
                  <w:noProof/>
                  <w:sz w:val="20"/>
                  <w:szCs w:val="20"/>
                  <w:u w:val="single"/>
                  <w:lang w:val="en-US"/>
                </w:rPr>
                <w:t>https://www.egyptian-museum-berlin.com/c53.php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br/>
                <w:t>[Accessed 30 March 2024].</w:t>
              </w:r>
            </w:p>
            <w:p w14:paraId="4E59182E" w14:textId="77777777" w:rsidR="00E21D5D" w:rsidRPr="001A0464" w:rsidRDefault="00E21D5D" w:rsidP="00E21D5D">
              <w:pPr>
                <w:pStyle w:val="Bibliography"/>
                <w:rPr>
                  <w:noProof/>
                  <w:sz w:val="20"/>
                  <w:szCs w:val="20"/>
                  <w:lang w:val="en-US"/>
                </w:rPr>
              </w:pP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Stevens, A., 2014. </w:t>
              </w:r>
              <w:r w:rsidRPr="001A0464">
                <w:rPr>
                  <w:i/>
                  <w:iCs/>
                  <w:noProof/>
                  <w:sz w:val="20"/>
                  <w:szCs w:val="20"/>
                  <w:lang w:val="en-US"/>
                </w:rPr>
                <w:t xml:space="preserve">'The Archaeology of Amarna'.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[Online]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br/>
                <w:t xml:space="preserve">Available at: </w:t>
              </w:r>
              <w:r w:rsidRPr="001A0464">
                <w:rPr>
                  <w:noProof/>
                  <w:sz w:val="20"/>
                  <w:szCs w:val="20"/>
                  <w:u w:val="single"/>
                  <w:lang w:val="en-US"/>
                </w:rPr>
                <w:t>https://doi.org/10.1093/oxfordhb/9780199935413.013.31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br/>
                <w:t>[Accessed February 2024].</w:t>
              </w:r>
            </w:p>
            <w:p w14:paraId="4B017EF1" w14:textId="77777777" w:rsidR="00E21D5D" w:rsidRPr="001A0464" w:rsidRDefault="00E21D5D" w:rsidP="00E21D5D">
              <w:pPr>
                <w:pStyle w:val="Bibliography"/>
                <w:rPr>
                  <w:noProof/>
                  <w:sz w:val="20"/>
                  <w:szCs w:val="20"/>
                  <w:lang w:val="en-US"/>
                </w:rPr>
              </w:pP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Stevens, A., 2016. Tell el-Amarna. </w:t>
              </w:r>
              <w:r w:rsidRPr="001A0464">
                <w:rPr>
                  <w:i/>
                  <w:iCs/>
                  <w:noProof/>
                  <w:sz w:val="20"/>
                  <w:szCs w:val="20"/>
                  <w:lang w:val="en-US"/>
                </w:rPr>
                <w:t xml:space="preserve">UCLA Encyclopedia of Egyptology,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t>April, 1(1), pp. 1-37.</w:t>
              </w:r>
            </w:p>
            <w:p w14:paraId="136FC26A" w14:textId="77777777" w:rsidR="00E21D5D" w:rsidRPr="001A0464" w:rsidRDefault="00E21D5D" w:rsidP="00E21D5D">
              <w:pPr>
                <w:pStyle w:val="Bibliography"/>
                <w:rPr>
                  <w:noProof/>
                  <w:sz w:val="20"/>
                  <w:szCs w:val="20"/>
                  <w:lang w:val="en-US"/>
                </w:rPr>
              </w:pP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Strong, M. E., 2018. "Do You See What I See? Aspects of Colour Chopice and Perception in Ancient Egyptian Painting". </w:t>
              </w:r>
              <w:r w:rsidRPr="001A0464">
                <w:rPr>
                  <w:i/>
                  <w:iCs/>
                  <w:noProof/>
                  <w:sz w:val="20"/>
                  <w:szCs w:val="20"/>
                  <w:lang w:val="en-US"/>
                </w:rPr>
                <w:t xml:space="preserve">Open Archaeology,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t>Volume 4, pp. 173-184.</w:t>
              </w:r>
            </w:p>
            <w:p w14:paraId="41820E56" w14:textId="77777777" w:rsidR="00E21D5D" w:rsidRPr="001A0464" w:rsidRDefault="00E21D5D" w:rsidP="00E21D5D">
              <w:pPr>
                <w:pStyle w:val="Bibliography"/>
                <w:rPr>
                  <w:noProof/>
                  <w:sz w:val="20"/>
                  <w:szCs w:val="20"/>
                  <w:lang w:val="en-US"/>
                </w:rPr>
              </w:pPr>
              <w:r w:rsidRPr="001A0464">
                <w:rPr>
                  <w:noProof/>
                  <w:sz w:val="20"/>
                  <w:szCs w:val="20"/>
                  <w:lang w:val="en-US"/>
                </w:rPr>
                <w:t xml:space="preserve">Voss, S., 2013. "The 1925 demand for the return of the Nefertiti bust, a German perspective" . In: F. Seyfried, ed. </w:t>
              </w:r>
              <w:r w:rsidRPr="001A0464">
                <w:rPr>
                  <w:i/>
                  <w:iCs/>
                  <w:noProof/>
                  <w:sz w:val="20"/>
                  <w:szCs w:val="20"/>
                  <w:lang w:val="en-US"/>
                </w:rPr>
                <w:t xml:space="preserve">"In The Light of Amarna: 100 Years of the Nefertiti Discovery". </w:t>
              </w:r>
              <w:r w:rsidRPr="001A0464">
                <w:rPr>
                  <w:noProof/>
                  <w:sz w:val="20"/>
                  <w:szCs w:val="20"/>
                  <w:lang w:val="en-US"/>
                </w:rPr>
                <w:t>Berlin: Micheal Imhof Verlag, pp. 460-467.</w:t>
              </w:r>
            </w:p>
            <w:p w14:paraId="3A1FF3FE" w14:textId="04BA1620" w:rsidR="00D50AA0" w:rsidRPr="001A0464" w:rsidRDefault="009059D3" w:rsidP="007E38C1">
              <w:pPr>
                <w:rPr>
                  <w:sz w:val="20"/>
                  <w:szCs w:val="20"/>
                </w:rPr>
              </w:pPr>
              <w:r w:rsidRPr="001A0464">
                <w:rPr>
                  <w:b/>
                  <w:bCs/>
                  <w:noProof/>
                  <w:sz w:val="20"/>
                  <w:szCs w:val="20"/>
                </w:rPr>
                <w:fldChar w:fldCharType="end"/>
              </w:r>
            </w:p>
          </w:sdtContent>
        </w:sdt>
      </w:sdtContent>
    </w:sdt>
    <w:sectPr w:rsidR="00D50AA0" w:rsidRPr="001A0464" w:rsidSect="00332A8B">
      <w:pgSz w:w="11906" w:h="16838"/>
      <w:pgMar w:top="1440" w:right="1440" w:bottom="1440" w:left="1440" w:header="708" w:footer="708" w:gutter="0"/>
      <w:pgNumType w:fmt="numberInDash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4BE0"/>
    <w:rsid w:val="000372DA"/>
    <w:rsid w:val="00051400"/>
    <w:rsid w:val="00072609"/>
    <w:rsid w:val="000C2E30"/>
    <w:rsid w:val="000D1B05"/>
    <w:rsid w:val="000F0BE4"/>
    <w:rsid w:val="000F54A6"/>
    <w:rsid w:val="0013209E"/>
    <w:rsid w:val="00146225"/>
    <w:rsid w:val="00152B0D"/>
    <w:rsid w:val="00175E7B"/>
    <w:rsid w:val="00182904"/>
    <w:rsid w:val="001A0464"/>
    <w:rsid w:val="001B3379"/>
    <w:rsid w:val="001B7F8A"/>
    <w:rsid w:val="002335EF"/>
    <w:rsid w:val="00236C36"/>
    <w:rsid w:val="00244AB5"/>
    <w:rsid w:val="002502A8"/>
    <w:rsid w:val="00267296"/>
    <w:rsid w:val="002825B0"/>
    <w:rsid w:val="002965C7"/>
    <w:rsid w:val="002B6519"/>
    <w:rsid w:val="00332A8B"/>
    <w:rsid w:val="00371262"/>
    <w:rsid w:val="003A589D"/>
    <w:rsid w:val="003C4F16"/>
    <w:rsid w:val="004466F1"/>
    <w:rsid w:val="00473709"/>
    <w:rsid w:val="004D09C6"/>
    <w:rsid w:val="005466D4"/>
    <w:rsid w:val="0056167A"/>
    <w:rsid w:val="00562AE9"/>
    <w:rsid w:val="0057068E"/>
    <w:rsid w:val="0060135D"/>
    <w:rsid w:val="0063437D"/>
    <w:rsid w:val="00670B06"/>
    <w:rsid w:val="006B371E"/>
    <w:rsid w:val="006C7523"/>
    <w:rsid w:val="006D556A"/>
    <w:rsid w:val="00733A66"/>
    <w:rsid w:val="0079680A"/>
    <w:rsid w:val="007B1ED0"/>
    <w:rsid w:val="007C14AB"/>
    <w:rsid w:val="007E38C1"/>
    <w:rsid w:val="00816B65"/>
    <w:rsid w:val="0083674F"/>
    <w:rsid w:val="0084093C"/>
    <w:rsid w:val="008830AC"/>
    <w:rsid w:val="008B04E3"/>
    <w:rsid w:val="008B74AF"/>
    <w:rsid w:val="008C4604"/>
    <w:rsid w:val="00900A77"/>
    <w:rsid w:val="009059D3"/>
    <w:rsid w:val="00910D35"/>
    <w:rsid w:val="00943DF9"/>
    <w:rsid w:val="009619B3"/>
    <w:rsid w:val="00961BFE"/>
    <w:rsid w:val="0097126C"/>
    <w:rsid w:val="009A3907"/>
    <w:rsid w:val="009C57D3"/>
    <w:rsid w:val="009F5430"/>
    <w:rsid w:val="009F7579"/>
    <w:rsid w:val="00A00F6E"/>
    <w:rsid w:val="00A41E95"/>
    <w:rsid w:val="00A5531B"/>
    <w:rsid w:val="00A57723"/>
    <w:rsid w:val="00AB242D"/>
    <w:rsid w:val="00AD5F84"/>
    <w:rsid w:val="00B14070"/>
    <w:rsid w:val="00B50F66"/>
    <w:rsid w:val="00B9644B"/>
    <w:rsid w:val="00BE4DBC"/>
    <w:rsid w:val="00BF1C96"/>
    <w:rsid w:val="00BF4BE7"/>
    <w:rsid w:val="00C65E97"/>
    <w:rsid w:val="00C71517"/>
    <w:rsid w:val="00C921BE"/>
    <w:rsid w:val="00CA3582"/>
    <w:rsid w:val="00CA77B6"/>
    <w:rsid w:val="00CE2512"/>
    <w:rsid w:val="00CF15F1"/>
    <w:rsid w:val="00D103C1"/>
    <w:rsid w:val="00D50AA0"/>
    <w:rsid w:val="00D51821"/>
    <w:rsid w:val="00D67B0F"/>
    <w:rsid w:val="00D9146F"/>
    <w:rsid w:val="00E21D5D"/>
    <w:rsid w:val="00E576C1"/>
    <w:rsid w:val="00E849CD"/>
    <w:rsid w:val="00E910F2"/>
    <w:rsid w:val="00E9694C"/>
    <w:rsid w:val="00EA19E7"/>
    <w:rsid w:val="00EA2C52"/>
    <w:rsid w:val="00EC670C"/>
    <w:rsid w:val="00EF7D7C"/>
    <w:rsid w:val="00F0021A"/>
    <w:rsid w:val="00F00878"/>
    <w:rsid w:val="00F2562D"/>
    <w:rsid w:val="00F44BE0"/>
    <w:rsid w:val="00F86D02"/>
    <w:rsid w:val="00FB335B"/>
    <w:rsid w:val="00FC0B70"/>
    <w:rsid w:val="00FD03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2A8562A"/>
  <w15:docId w15:val="{4F8261A4-3E2B-884D-BA46-A80841C017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59D3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kern w:val="0"/>
      <w:sz w:val="28"/>
      <w:szCs w:val="28"/>
      <w:lang w:val="en-US" w:bidi="en-US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contributors">
    <w:name w:val="contributors"/>
    <w:basedOn w:val="DefaultParagraphFont"/>
    <w:rsid w:val="002335EF"/>
  </w:style>
  <w:style w:type="character" w:customStyle="1" w:styleId="apple-converted-space">
    <w:name w:val="apple-converted-space"/>
    <w:basedOn w:val="DefaultParagraphFont"/>
    <w:rsid w:val="002335EF"/>
  </w:style>
  <w:style w:type="character" w:customStyle="1" w:styleId="maintitle">
    <w:name w:val="maintitle"/>
    <w:basedOn w:val="DefaultParagraphFont"/>
    <w:rsid w:val="002335EF"/>
  </w:style>
  <w:style w:type="character" w:styleId="Emphasis">
    <w:name w:val="Emphasis"/>
    <w:basedOn w:val="DefaultParagraphFont"/>
    <w:uiPriority w:val="20"/>
    <w:qFormat/>
    <w:rsid w:val="002335EF"/>
    <w:rPr>
      <w:i/>
      <w:iCs/>
    </w:rPr>
  </w:style>
  <w:style w:type="character" w:customStyle="1" w:styleId="online-edition">
    <w:name w:val="online-edition"/>
    <w:basedOn w:val="DefaultParagraphFont"/>
    <w:rsid w:val="002335EF"/>
  </w:style>
  <w:style w:type="character" w:customStyle="1" w:styleId="containing-site">
    <w:name w:val="containing-site"/>
    <w:basedOn w:val="DefaultParagraphFont"/>
    <w:rsid w:val="002335EF"/>
  </w:style>
  <w:style w:type="character" w:customStyle="1" w:styleId="online-publication-date">
    <w:name w:val="online-publication-date"/>
    <w:basedOn w:val="DefaultParagraphFont"/>
    <w:rsid w:val="002335EF"/>
  </w:style>
  <w:style w:type="character" w:styleId="Hyperlink">
    <w:name w:val="Hyperlink"/>
    <w:basedOn w:val="DefaultParagraphFont"/>
    <w:uiPriority w:val="99"/>
    <w:semiHidden/>
    <w:unhideWhenUsed/>
    <w:rsid w:val="002335EF"/>
    <w:rPr>
      <w:color w:val="0000FF"/>
      <w:u w:val="single"/>
    </w:rPr>
  </w:style>
  <w:style w:type="character" w:customStyle="1" w:styleId="accessed-date">
    <w:name w:val="accessed-date"/>
    <w:basedOn w:val="DefaultParagraphFont"/>
    <w:rsid w:val="002335EF"/>
  </w:style>
  <w:style w:type="paragraph" w:styleId="ListParagraph">
    <w:name w:val="List Paragraph"/>
    <w:basedOn w:val="Normal"/>
    <w:uiPriority w:val="34"/>
    <w:qFormat/>
    <w:rsid w:val="0047370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059D3"/>
    <w:rPr>
      <w:rFonts w:asciiTheme="majorHAnsi" w:eastAsiaTheme="majorEastAsia" w:hAnsiTheme="majorHAnsi" w:cstheme="majorBidi"/>
      <w:b/>
      <w:bCs/>
      <w:color w:val="2F5496" w:themeColor="accent1" w:themeShade="BF"/>
      <w:kern w:val="0"/>
      <w:sz w:val="28"/>
      <w:szCs w:val="28"/>
      <w:lang w:val="en-US" w:bidi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9059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70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5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6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5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3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5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1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1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4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5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8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08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3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3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0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1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8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1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6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1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2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8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8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9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13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20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11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44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22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8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91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42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23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9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1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02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2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70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7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79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3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69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01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925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64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04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02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65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87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1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0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05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51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95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29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43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4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24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32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82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84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23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736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4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40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8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75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34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30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27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30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32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52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25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54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97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970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3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2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17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8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84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0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30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9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6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15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15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93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82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03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1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05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13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3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4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37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56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30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49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2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80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90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05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13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68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53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19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22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69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8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64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103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43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0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61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52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16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27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63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67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84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64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38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16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75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94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121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52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70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13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8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7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03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2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37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70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781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0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88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17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1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92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45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63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43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8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31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17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55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98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34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09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71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43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47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95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49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85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4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96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17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9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84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4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3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2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25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57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90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93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51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17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13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52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9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5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17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95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54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32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63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57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25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42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34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0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0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14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92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33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68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48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72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99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13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820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82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26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2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07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2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82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74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90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9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22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89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52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46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11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47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13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21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87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2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7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7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02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4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6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90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2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6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7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56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34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75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40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70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15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85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13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44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95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99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8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02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43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36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2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88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50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8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39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65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52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12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28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36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56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22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1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92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74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24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8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54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99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60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26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8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34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16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30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9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87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26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76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Ste14</b:Tag>
    <b:SourceType>DocumentFromInternetSite</b:SourceType>
    <b:Guid>{BB2E2050-5582-264B-986D-75A4692E8E90}</b:Guid>
    <b:Title>'The Archaeology of Amarna'</b:Title>
    <b:Publisher>Oxford Academic</b:Publisher>
    <b:Year>2014</b:Year>
    <b:Author>
      <b:Author>
        <b:NameList>
          <b:Person>
            <b:Last>Stevens</b:Last>
            <b:First>Anna</b:First>
          </b:Person>
        </b:NameList>
      </b:Author>
      <b:ProducerName>
        <b:NameList>
          <b:Person>
            <b:Last>Academic</b:Last>
            <b:First>Oxford</b:First>
          </b:Person>
        </b:NameList>
      </b:ProducerName>
    </b:Author>
    <b:BookTitle>The Oxford Handbook of Topics in Archaeology</b:BookTitle>
    <b:PublicationTitle>The Oxford Handbook of Topics In Archaeology</b:PublicationTitle>
    <b:Month>October</b:Month>
    <b:Day>2</b:Day>
    <b:InternetSiteTitle>https://academic.oup.com</b:InternetSiteTitle>
    <b:URL>https://doi.org/10.1093/oxfordhb/9780199935413.013.31</b:URL>
    <b:YearAccessed>2024</b:YearAccessed>
    <b:MonthAccessed>February</b:MonthAccessed>
    <b:RefOrder>12</b:RefOrder>
  </b:Source>
  <b:Source>
    <b:Tag>Ste16</b:Tag>
    <b:SourceType>JournalArticle</b:SourceType>
    <b:Guid>{75B35ACD-4F72-2646-B8B2-45FEBFFE809C}</b:Guid>
    <b:Title>Tell el-Amarna</b:Title>
    <b:Year>2016</b:Year>
    <b:Month>April</b:Month>
    <b:City>Los Angeles</b:City>
    <b:Publisher>UCLA</b:Publisher>
    <b:PublicationTitle>UCLA Encyclopedia of Egyptology</b:PublicationTitle>
    <b:Volume>1</b:Volume>
    <b:Author>
      <b:Author>
        <b:NameList>
          <b:Person>
            <b:Last>Stevens</b:Last>
            <b:First>Anna</b:First>
          </b:Person>
        </b:NameList>
      </b:Author>
    </b:Author>
    <b:JournalName>UCLA Encyclopedia of Egyptology</b:JournalName>
    <b:Issue>1</b:Issue>
    <b:Pages>1-37</b:Pages>
    <b:RefOrder>13</b:RefOrder>
  </b:Source>
  <b:Source>
    <b:Tag>Fra24</b:Tag>
    <b:SourceType>InternetSite</b:SourceType>
    <b:Guid>{A0B042C3-D580-2948-86A6-D1CB0D11CA99}</b:Guid>
    <b:Title>April Fakes Day 2024: Bust of Queen Nefertiti</b:Title>
    <b:Year>2024</b:Year>
    <b:URL>https://www.torch.ox.ac.uk/article/april-fakes-day-2024-bust-of-queen-nefertiti</b:URL>
    <b:YearAccessed>2024</b:YearAccessed>
    <b:MonthAccessed>April</b:MonthAccessed>
    <b:DayAccessed>1st</b:DayAccessed>
    <b:Author>
      <b:Author>
        <b:NameList>
          <b:Person>
            <b:Last>Francis</b:Last>
            <b:First>Dr. Errol</b:First>
          </b:Person>
        </b:NameList>
      </b:Author>
    </b:Author>
    <b:RefOrder>7</b:RefOrder>
  </b:Source>
  <b:Source>
    <b:Tag>Rex24</b:Tag>
    <b:SourceType>InternetSite</b:SourceType>
    <b:Guid>{7262CA22-4371-E841-8394-C0022F0E84E4}</b:Guid>
    <b:Author>
      <b:Author>
        <b:NameList>
          <b:Person>
            <b:Last>RexPublica</b:Last>
          </b:Person>
        </b:NameList>
      </b:Author>
    </b:Author>
    <b:Title>Society for the Promotion of the Egyptian Museum Berlin</b:Title>
    <b:URL>https://www.egyptian-museum-berlin.com/c53.php</b:URL>
    <b:Year>2024</b:Year>
    <b:YearAccessed>2024</b:YearAccessed>
    <b:MonthAccessed>March</b:MonthAccessed>
    <b:DayAccessed>30</b:DayAccessed>
    <b:RefOrder>3</b:RefOrder>
  </b:Source>
  <b:Source>
    <b:Tag>Han233</b:Tag>
    <b:SourceType>JournalArticle</b:SourceType>
    <b:Guid>{651CBB34-1719-FD4F-8773-3038783C31BB}</b:Guid>
    <b:Title>"Contesting the Lonely Queen"</b:Title>
    <b:Year>2023</b:Year>
    <b:JournalName>International Journal of Cultural Property</b:JournalName>
    <b:Pages>1-19</b:Pages>
    <b:Author>
      <b:Author>
        <b:NameList>
          <b:Person>
            <b:Last>Hanna</b:Last>
            <b:First>Monica</b:First>
          </b:Person>
        </b:NameList>
      </b:Author>
    </b:Author>
    <b:Publisher>Cambridge University Press </b:Publisher>
    <b:City>Cambridge</b:City>
    <b:Month>December</b:Month>
    <b:Day>4</b:Day>
    <b:RefOrder>6</b:RefOrder>
  </b:Source>
  <b:Source>
    <b:Tag>Nat24</b:Tag>
    <b:SourceType>InternetSite</b:SourceType>
    <b:Guid>{6AC5D5E5-15D2-7740-9C95-CE68D0F33E7F}</b:Guid>
    <b:Title>First World War</b:Title>
    <b:Year>2024</b:Year>
    <b:Author>
      <b:Author>
        <b:NameList>
          <b:Person>
            <b:Last>NAM</b:Last>
          </b:Person>
        </b:NameList>
      </b:Author>
    </b:Author>
    <b:URL>https://www.nam.ac.uk/explore/first-world-war#:~:text=The%20First%20World%20War%20saw,after%20the%20revolution%20in%201917.</b:URL>
    <b:YearAccessed>2024</b:YearAccessed>
    <b:MonthAccessed>March</b:MonthAccessed>
    <b:DayAccessed>30</b:DayAccessed>
    <b:RefOrder>14</b:RefOrder>
  </b:Source>
  <b:Source>
    <b:Tag>Dow24</b:Tag>
    <b:SourceType>InternetSite</b:SourceType>
    <b:Guid>{2CB0ACCB-3157-2F46-8DF0-F9A9DE29CFC8}</b:Guid>
    <b:Title>"The Bust of Nefertiti in the Neues Museum, Berlin"</b:Title>
    <b:URL>https://archaeology-travel.com/artefacts/bust-of-nefertiti/</b:URL>
    <b:Year>2024</b:Year>
    <b:YearAccessed>2024</b:YearAccessed>
    <b:MonthAccessed>March</b:MonthAccessed>
    <b:DayAccessed>30</b:DayAccessed>
    <b:Author>
      <b:Author>
        <b:NameList>
          <b:Person>
            <b:Last>Dowson</b:Last>
            <b:First>Thomas</b:First>
          </b:Person>
        </b:NameList>
      </b:Author>
    </b:Author>
    <b:RefOrder>5</b:RefOrder>
  </b:Source>
  <b:Source>
    <b:Tag>Vos13</b:Tag>
    <b:SourceType>BookSection</b:SourceType>
    <b:Guid>{74A6D72D-92FB-F849-BDFF-E0581F201215}</b:Guid>
    <b:Title>"The 1925 demand for the return of the Nefertiti bust, a German perspective" </b:Title>
    <b:Year>2013</b:Year>
    <b:Author>
      <b:Author>
        <b:NameList>
          <b:Person>
            <b:Last>Voss</b:Last>
            <b:First>Suzanne</b:First>
          </b:Person>
        </b:NameList>
      </b:Author>
      <b:Editor>
        <b:NameList>
          <b:Person>
            <b:Last>Seyfried</b:Last>
            <b:First>Friederike</b:First>
          </b:Person>
        </b:NameList>
      </b:Editor>
    </b:Author>
    <b:BookTitle>"In The Light of Amarna: 100 Years of the Nefertiti Discovery"</b:BookTitle>
    <b:City>Berlin</b:City>
    <b:Publisher>Micheal Imhof Verlag</b:Publisher>
    <b:Pages>460-467</b:Pages>
    <b:RefOrder>8</b:RefOrder>
  </b:Source>
  <b:Source>
    <b:Tag>Jun13</b:Tag>
    <b:SourceType>BookSection</b:SourceType>
    <b:Guid>{7988481F-6DA5-1344-B0E8-81C8A8191E67}</b:Guid>
    <b:Title>"100 Years of the Discovery of Nefertiti"</b:Title>
    <b:BookTitle>"In the light of Amarna: 100 Years of the Nefertiti Discovery"</b:BookTitle>
    <b:City>Berlin</b:City>
    <b:Publisher>Michael Imhof Verlag</b:Publisher>
    <b:Year>2013</b:Year>
    <b:Pages>421-426</b:Pages>
    <b:Author>
      <b:Author>
        <b:NameList>
          <b:Person>
            <b:Last>Jung</b:Last>
            <b:First>Mariane</b:First>
          </b:Person>
        </b:NameList>
      </b:Author>
      <b:Editor>
        <b:NameList>
          <b:Person>
            <b:Last>Seyfried</b:Last>
            <b:First>Friederike</b:First>
          </b:Person>
        </b:NameList>
      </b:Editor>
    </b:Author>
    <b:RefOrder>4</b:RefOrder>
  </b:Source>
  <b:Source>
    <b:Tag>Neu12</b:Tag>
    <b:SourceType>InternetSite</b:SourceType>
    <b:Guid>{8F883C64-FF43-2D42-9A8F-0CBD684940E9}</b:Guid>
    <b:Title>"In the Light of Amarna" Official Opening</b:Title>
    <b:Year>2012</b:Year>
    <b:URL>https://www.smb.museum/en/whats-new/detail/in-the-light-of-amarna-official-opening/</b:URL>
    <b:YearAccessed>2024</b:YearAccessed>
    <b:MonthAccessed>March</b:MonthAccessed>
    <b:DayAccessed>30</b:DayAccessed>
    <b:Author>
      <b:Author>
        <b:NameList>
          <b:Person>
            <b:Last>Neues</b:Last>
            <b:First>Museum</b:First>
          </b:Person>
        </b:NameList>
      </b:Author>
    </b:Author>
    <b:InternetSiteTitle>Staatliche Museen zu Berlin</b:InternetSiteTitle>
    <b:Month>December</b:Month>
    <b:Day>7</b:Day>
    <b:RefOrder>9</b:RefOrder>
  </b:Source>
  <b:Source>
    <b:Tag>The20</b:Tag>
    <b:SourceType>InternetSite</b:SourceType>
    <b:Guid>{31D88AFC-7EE7-7E48-9C6E-DD6CC5F05BEB}</b:Guid>
    <b:Title>"The Staatliche Museen zu Berlin Welcome More than 4 Million Visitors in 2019"</b:Title>
    <b:URL>https://www.smb.museum/en/whats-new/detail/the-staatliche-museen-zu-berlin-welcome-more-than-4-million-visitors-in-2019/</b:URL>
    <b:Year>2020</b:Year>
    <b:YearAccessed>2024</b:YearAccessed>
    <b:MonthAccessed>March</b:MonthAccessed>
    <b:DayAccessed>30</b:DayAccessed>
    <b:InternetSiteTitle>Staatliche Museen zu Berlin</b:InternetSiteTitle>
    <b:Month>January</b:Month>
    <b:Day>31</b:Day>
    <b:Author>
      <b:Author>
        <b:NameList>
          <b:Person>
            <b:Last>Berlin</b:Last>
            <b:First>Museum</b:First>
          </b:Person>
        </b:NameList>
      </b:Author>
    </b:Author>
    <b:RefOrder>2</b:RefOrder>
  </b:Source>
  <b:Source>
    <b:Tag>Ber13</b:Tag>
    <b:SourceType>InternetSite</b:SourceType>
    <b:Guid>{56CA6C44-BB15-F849-B7C8-289C75CEDE80}</b:Guid>
    <b:Title>Agyptisches Museum und Papyrussammlung</b:Title>
    <b:URL>https://www.smb.museum/en/museums-institutions/aegyptisches-museum-und-papyrussammlung/collection-research/bust-of-nefertiti/the-bust/</b:URL>
    <b:Year>2013</b:Year>
    <b:YearAccessed>2024</b:YearAccessed>
    <b:MonthAccessed>March</b:MonthAccessed>
    <b:DayAccessed>30</b:DayAccessed>
    <b:Author>
      <b:Author>
        <b:NameList>
          <b:Person>
            <b:Last>Berlin</b:Last>
            <b:First>Museum</b:First>
          </b:Person>
        </b:NameList>
      </b:Author>
    </b:Author>
    <b:RefOrder>1</b:RefOrder>
  </b:Source>
  <b:Source>
    <b:Tag>Str18</b:Tag>
    <b:SourceType>JournalArticle</b:SourceType>
    <b:Guid>{BBDD9FDF-2AC1-8746-850D-53ACE6E07781}</b:Guid>
    <b:Title>"Do You See What I See? Aspects of Colour Chopice and Perception in Ancient Egyptian Painting"</b:Title>
    <b:Year>2018</b:Year>
    <b:Author>
      <b:Author>
        <b:NameList>
          <b:Person>
            <b:Last>Strong</b:Last>
            <b:Middle>E.</b:Middle>
            <b:First>Meghan</b:First>
          </b:Person>
        </b:NameList>
      </b:Author>
    </b:Author>
    <b:JournalName>Open Archaeology</b:JournalName>
    <b:Volume>4</b:Volume>
    <b:Pages>173-184</b:Pages>
    <b:Publisher>De Gruyter</b:Publisher>
    <b:RefOrder>10</b:RefOrder>
  </b:Source>
  <b:Source>
    <b:Tag>Jos21</b:Tag>
    <b:SourceType>JournalArticle</b:SourceType>
    <b:Guid>{D198A61B-7579-A147-932C-769E27CDED05}</b:Guid>
    <b:Title>"Environment and Culture Shape both the Colour Lexicon and the Genetics of Colour Perception"</b:Title>
    <b:JournalName>Scientific Reports: Nature</b:JournalName>
    <b:Year>2021</b:Year>
    <b:Volume>11</b:Volume>
    <b:Issue>19095</b:Issue>
    <b:Pages>1-11</b:Pages>
    <b:Author>
      <b:Author>
        <b:NameList>
          <b:Person>
            <b:Last>Josserand</b:Last>
            <b:First>Mathilde</b:First>
          </b:Person>
          <b:Person>
            <b:Last>Meeussen</b:Last>
            <b:First>Emma</b:First>
          </b:Person>
          <b:Person>
            <b:Last>Majid</b:Last>
            <b:First>Asifa</b:First>
          </b:Person>
          <b:Person>
            <b:Last>Dediu</b:Last>
            <b:First>Dan</b:First>
          </b:Person>
        </b:NameList>
      </b:Author>
    </b:Author>
    <b:Month>September</b:Month>
    <b:Day>27</b:Day>
    <b:Publisher>Nature</b:Publisher>
    <b:RefOrder>11</b:RefOrder>
  </b:Source>
</b:Sources>
</file>

<file path=customXml/itemProps1.xml><?xml version="1.0" encoding="utf-8"?>
<ds:datastoreItem xmlns:ds="http://schemas.openxmlformats.org/officeDocument/2006/customXml" ds:itemID="{68E6F32B-6CD4-E04E-903E-B3A6319D37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712</TotalTime>
  <Pages>5</Pages>
  <Words>1466</Words>
  <Characters>8362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Hands (2235136)</dc:creator>
  <cp:keywords/>
  <dc:description/>
  <cp:lastModifiedBy>Alison Hands (2235136)</cp:lastModifiedBy>
  <cp:revision>24</cp:revision>
  <dcterms:created xsi:type="dcterms:W3CDTF">2024-04-01T12:49:00Z</dcterms:created>
  <dcterms:modified xsi:type="dcterms:W3CDTF">2024-07-26T15:48:00Z</dcterms:modified>
</cp:coreProperties>
</file>