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5BE87DE2"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5102BE">
              <w:rPr>
                <w:rFonts w:ascii="Arial" w:hAnsi="Arial" w:cs="Arial"/>
                <w:b/>
                <w:sz w:val="22"/>
                <w:szCs w:val="22"/>
              </w:rPr>
              <w:t>Jordan Webber</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55003A29" w:rsidR="003B3F9D" w:rsidRPr="009601B8" w:rsidRDefault="005102BE" w:rsidP="001E57C1">
            <w:pPr>
              <w:spacing w:before="120" w:after="120"/>
              <w:jc w:val="both"/>
              <w:rPr>
                <w:rFonts w:ascii="Arial" w:hAnsi="Arial" w:cs="Arial"/>
                <w:b/>
                <w:sz w:val="22"/>
                <w:szCs w:val="22"/>
              </w:rPr>
            </w:pPr>
            <w:r>
              <w:rPr>
                <w:rFonts w:ascii="Arial" w:hAnsi="Arial" w:cs="Arial"/>
                <w:b/>
                <w:sz w:val="22"/>
                <w:szCs w:val="22"/>
              </w:rPr>
              <w:t>2016449</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DD1E93F" w:rsidR="00474229" w:rsidRPr="009601B8" w:rsidRDefault="00920212" w:rsidP="00474229">
            <w:pPr>
              <w:spacing w:before="120" w:after="120"/>
              <w:jc w:val="both"/>
              <w:rPr>
                <w:rFonts w:ascii="Arial" w:eastAsia="Calibri" w:hAnsi="Arial" w:cs="Arial"/>
                <w:b/>
                <w:bCs/>
                <w:sz w:val="22"/>
                <w:szCs w:val="22"/>
              </w:rPr>
            </w:pPr>
            <w:r>
              <w:rPr>
                <w:rFonts w:ascii="Arial" w:hAnsi="Arial" w:cs="Arial"/>
                <w:b/>
                <w:sz w:val="22"/>
                <w:szCs w:val="22"/>
              </w:rPr>
              <w:t xml:space="preserve">Alison Cooke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6A7EFE14" w:rsidR="00474229" w:rsidRPr="009601B8" w:rsidRDefault="00920212" w:rsidP="259E24E2">
            <w:pPr>
              <w:spacing w:before="120" w:after="120"/>
              <w:jc w:val="both"/>
              <w:rPr>
                <w:rFonts w:ascii="Arial" w:eastAsia="Calibri" w:hAnsi="Arial" w:cs="Arial"/>
                <w:b/>
                <w:bCs/>
                <w:sz w:val="22"/>
                <w:szCs w:val="22"/>
              </w:rPr>
            </w:pPr>
            <w:r>
              <w:rPr>
                <w:rFonts w:ascii="Arial" w:eastAsia="Calibri" w:hAnsi="Arial" w:cs="Arial"/>
                <w:b/>
                <w:bCs/>
                <w:sz w:val="22"/>
                <w:szCs w:val="22"/>
              </w:rPr>
              <w:t>30</w:t>
            </w:r>
            <w:r w:rsidRPr="00920212">
              <w:rPr>
                <w:rFonts w:ascii="Arial" w:eastAsia="Calibri" w:hAnsi="Arial" w:cs="Arial"/>
                <w:b/>
                <w:bCs/>
                <w:sz w:val="22"/>
                <w:szCs w:val="22"/>
                <w:vertAlign w:val="superscript"/>
              </w:rPr>
              <w:t>th</w:t>
            </w:r>
            <w:r>
              <w:rPr>
                <w:rFonts w:ascii="Arial" w:eastAsia="Calibri" w:hAnsi="Arial" w:cs="Arial"/>
                <w:b/>
                <w:bCs/>
                <w:sz w:val="22"/>
                <w:szCs w:val="22"/>
              </w:rPr>
              <w:t xml:space="preserve"> May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04C40EDD"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707AF133" w14:textId="443ADDA2" w:rsidR="005102BE" w:rsidRDefault="005102BE" w:rsidP="00454735">
      <w:pPr>
        <w:spacing w:line="257" w:lineRule="auto"/>
        <w:rPr>
          <w:rFonts w:ascii="Calibri" w:eastAsia="Calibri" w:hAnsi="Calibri" w:cs="Calibri"/>
          <w:sz w:val="22"/>
          <w:szCs w:val="22"/>
        </w:rPr>
      </w:pPr>
    </w:p>
    <w:p w14:paraId="5DDB1D55" w14:textId="77777777" w:rsidR="005102BE" w:rsidRPr="005102BE" w:rsidRDefault="005102BE" w:rsidP="005102BE">
      <w:pPr>
        <w:rPr>
          <w:rFonts w:asciiTheme="majorHAnsi" w:hAnsiTheme="majorHAnsi" w:cstheme="majorHAnsi"/>
          <w:b/>
          <w:bCs/>
          <w:sz w:val="24"/>
          <w:szCs w:val="24"/>
        </w:rPr>
      </w:pPr>
      <w:r w:rsidRPr="005102BE">
        <w:rPr>
          <w:rFonts w:asciiTheme="majorHAnsi" w:hAnsiTheme="majorHAnsi" w:cstheme="majorHAnsi"/>
          <w:b/>
          <w:bCs/>
          <w:sz w:val="24"/>
          <w:szCs w:val="24"/>
        </w:rPr>
        <w:lastRenderedPageBreak/>
        <w:t xml:space="preserve">Task 1 1000 words – understanding the role of a constable/maintaining professional standards </w:t>
      </w:r>
    </w:p>
    <w:p w14:paraId="3A011FF2"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Critically evaluate the concept of the ‘professionalisation of the police service’ considering how ‘maintaining professional standards’ ‘ethical and inclusive’ and ‘coaching and mentoring’ approaches contribute to this </w:t>
      </w:r>
    </w:p>
    <w:p w14:paraId="58334720" w14:textId="77777777" w:rsidR="005102BE" w:rsidRPr="005102BE" w:rsidRDefault="005102BE" w:rsidP="005102BE">
      <w:pPr>
        <w:rPr>
          <w:rFonts w:asciiTheme="majorHAnsi" w:hAnsiTheme="majorHAnsi" w:cstheme="majorHAnsi"/>
          <w:sz w:val="24"/>
          <w:szCs w:val="24"/>
        </w:rPr>
      </w:pPr>
    </w:p>
    <w:p w14:paraId="423C8A04"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To critically evaluate the concept of ‘professionalisation of the police service’ we must first evaluate what defines a profession and how policing fits into that definition. There is a general consensus in academia that for an occupation to be considered a profession, certain criteria should be met, these are; there is to be an accepted knowledge and theory which underpins the practice of the profession; entry requirements, typically in the form of qualifications; a degree of discretion and self-regulation and a code of ethics. It is easy to identify that, policing in the UK meets many of these criteria. However, throughout the history of UK policing, many of these criteria were not met and it is only in recent history that the College of Policing and the NPIA before them, were committed to the professionalisation of policing. Additionally, in order to provide the best response, we must also define what the role of a constable is. The College of Policing definition is “</w:t>
      </w:r>
      <w:proofErr w:type="gramStart"/>
      <w:r w:rsidRPr="005102BE">
        <w:rPr>
          <w:rFonts w:asciiTheme="majorHAnsi" w:hAnsiTheme="majorHAnsi" w:cstheme="majorHAnsi"/>
          <w:sz w:val="24"/>
          <w:szCs w:val="24"/>
        </w:rPr>
        <w:t>Constables</w:t>
      </w:r>
      <w:proofErr w:type="gramEnd"/>
      <w:r w:rsidRPr="005102BE">
        <w:rPr>
          <w:rFonts w:asciiTheme="majorHAnsi" w:hAnsiTheme="majorHAnsi" w:cstheme="majorHAnsi"/>
          <w:sz w:val="24"/>
          <w:szCs w:val="24"/>
        </w:rPr>
        <w:t xml:space="preserve"> work in partnership on a day-to-day basis with local communities, stakeholders and colleagues in order to promote law and order, reduce the fear of crime and to provide reassurance and build confidence to improve the quality of life for citizens”</w:t>
      </w:r>
    </w:p>
    <w:p w14:paraId="27878ACE"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One such way is to focus on ‘What Works’ – a more scientific approach to policing based on research and evidence. (COP, 2012). In the 1990s, intelligence-leg policing was a new model of policing introduced in the UK. This model was likened to ‘a business model and managerial philosophy were data analysis and crime intelligence are pivotal to an objective, decision-making framework that facilitates crime and problem reduction (Ratcliffe, 2008). </w:t>
      </w:r>
    </w:p>
    <w:p w14:paraId="15E4C207" w14:textId="77777777" w:rsidR="005102BE" w:rsidRPr="005102BE" w:rsidRDefault="005102BE" w:rsidP="005102BE">
      <w:pPr>
        <w:rPr>
          <w:rFonts w:asciiTheme="majorHAnsi" w:hAnsiTheme="majorHAnsi" w:cstheme="majorHAnsi"/>
          <w:sz w:val="24"/>
          <w:szCs w:val="24"/>
        </w:rPr>
      </w:pPr>
    </w:p>
    <w:p w14:paraId="03F43B12"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The National Police Chiefs’ Council (NPCC) published The Policing Vision 2025 which set out their vision for how policing will look by 2025. One of the missions set out by the NPCC is to embed a consistent, professional practice.  </w:t>
      </w:r>
    </w:p>
    <w:p w14:paraId="4B8AE1AD" w14:textId="77777777" w:rsidR="005102BE" w:rsidRPr="005102BE" w:rsidRDefault="005102BE" w:rsidP="005102BE">
      <w:pPr>
        <w:rPr>
          <w:rFonts w:asciiTheme="majorHAnsi" w:hAnsiTheme="majorHAnsi" w:cstheme="majorHAnsi"/>
          <w:sz w:val="24"/>
          <w:szCs w:val="24"/>
        </w:rPr>
      </w:pPr>
    </w:p>
    <w:p w14:paraId="2A009645"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In order to fully evaluate the concept of ‘professionalisation of the police service’ we must first revisit the history of policing and evaluate the changes that have been made throughout time, making particular references to maintaining professional standards, ethical and inclusive and coaching and mentoring approaches. A lot has changed since 1829, when Sir Robert Peel introduced a parliamentary bill for the establishment of the Metropolitan Police force – the ‘modern day’ police force as we know it today. Historically, Peel’s model of policing was to prevent crime and disorder and this was measured by the lack of crime and disorder. However, these principles are almost 200 years old and therefore we must ask ourselves, is this a good metric to measure crime and disorder, when the very thing being measured has changed so much? It could be argued that, we have now moved to a dynamic ‘New professional model’ of policing (</w:t>
      </w:r>
      <w:proofErr w:type="spellStart"/>
      <w:r w:rsidRPr="005102BE">
        <w:rPr>
          <w:rFonts w:asciiTheme="majorHAnsi" w:hAnsiTheme="majorHAnsi" w:cstheme="majorHAnsi"/>
          <w:sz w:val="24"/>
          <w:szCs w:val="24"/>
        </w:rPr>
        <w:t>Neyroud</w:t>
      </w:r>
      <w:proofErr w:type="spellEnd"/>
      <w:r w:rsidRPr="005102BE">
        <w:rPr>
          <w:rFonts w:asciiTheme="majorHAnsi" w:hAnsiTheme="majorHAnsi" w:cstheme="majorHAnsi"/>
          <w:sz w:val="24"/>
          <w:szCs w:val="24"/>
        </w:rPr>
        <w:t xml:space="preserve">, 2010) which is focused on reducing ‘harms’ as opposed to specifically crimes in order to best serve an ever changing cultural, political and </w:t>
      </w:r>
      <w:proofErr w:type="spellStart"/>
      <w:r w:rsidRPr="005102BE">
        <w:rPr>
          <w:rFonts w:asciiTheme="majorHAnsi" w:hAnsiTheme="majorHAnsi" w:cstheme="majorHAnsi"/>
          <w:sz w:val="24"/>
          <w:szCs w:val="24"/>
        </w:rPr>
        <w:t>economical</w:t>
      </w:r>
      <w:proofErr w:type="spellEnd"/>
      <w:r w:rsidRPr="005102BE">
        <w:rPr>
          <w:rFonts w:asciiTheme="majorHAnsi" w:hAnsiTheme="majorHAnsi" w:cstheme="majorHAnsi"/>
          <w:sz w:val="24"/>
          <w:szCs w:val="24"/>
        </w:rPr>
        <w:t xml:space="preserve"> society (Savage, 2007)</w:t>
      </w:r>
    </w:p>
    <w:p w14:paraId="7391A889" w14:textId="77777777" w:rsidR="005102BE" w:rsidRPr="005102BE" w:rsidRDefault="005102BE" w:rsidP="005102BE">
      <w:pPr>
        <w:rPr>
          <w:rFonts w:asciiTheme="majorHAnsi" w:hAnsiTheme="majorHAnsi" w:cstheme="majorHAnsi"/>
          <w:sz w:val="24"/>
          <w:szCs w:val="24"/>
        </w:rPr>
      </w:pPr>
    </w:p>
    <w:p w14:paraId="35FB76F2" w14:textId="77777777" w:rsidR="005102BE" w:rsidRPr="005102BE" w:rsidRDefault="005102BE" w:rsidP="005102BE">
      <w:pPr>
        <w:rPr>
          <w:rFonts w:asciiTheme="majorHAnsi" w:hAnsiTheme="majorHAnsi" w:cstheme="majorHAnsi"/>
          <w:sz w:val="24"/>
          <w:szCs w:val="24"/>
        </w:rPr>
      </w:pPr>
    </w:p>
    <w:p w14:paraId="0B0F0067" w14:textId="77777777" w:rsidR="005102BE" w:rsidRPr="005102BE" w:rsidRDefault="005102BE" w:rsidP="005102BE">
      <w:pPr>
        <w:rPr>
          <w:rFonts w:asciiTheme="majorHAnsi" w:hAnsiTheme="majorHAnsi" w:cstheme="majorHAnsi"/>
          <w:sz w:val="24"/>
          <w:szCs w:val="24"/>
        </w:rPr>
      </w:pPr>
    </w:p>
    <w:p w14:paraId="598F24C4" w14:textId="77777777" w:rsidR="005102BE" w:rsidRPr="005102BE" w:rsidRDefault="005102BE" w:rsidP="005102BE">
      <w:pPr>
        <w:rPr>
          <w:rFonts w:asciiTheme="majorHAnsi" w:hAnsiTheme="majorHAnsi" w:cstheme="majorHAnsi"/>
          <w:sz w:val="24"/>
          <w:szCs w:val="24"/>
        </w:rPr>
      </w:pPr>
    </w:p>
    <w:p w14:paraId="638259A1"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In the 1980s, the police force was tarnished due to having a lack of cultural understanding and mis-using their powers, in particular their use of indiscriminate stop and search. This led to serious unrest in many areas of the UK, notably Brixton in London – which led to the Scarman Report, which labelled the police as ‘institutionally racist’, pioneering reform in the police. This led to the creation of The Police and Criminal Evidence Act (PACE) in England and Wales in 1984 which established fairer treatment of suspects, by making police officers more accountable for their actions, particularly in relation to stop and search powers. This is crucial, as at the fundamental core of policing in the UK is the notion of ‘policing by consent’, therefore we must ask ourselves, what happens when the police do wrong and what is the impact? A fundamental aspect of the role of a constable is to provide reassurance and build confidence to improve the life of citizens. However, how can that be achieved when the very public that are being </w:t>
      </w:r>
      <w:r w:rsidRPr="005102BE">
        <w:rPr>
          <w:rFonts w:asciiTheme="majorHAnsi" w:hAnsiTheme="majorHAnsi" w:cstheme="majorHAnsi"/>
          <w:sz w:val="24"/>
          <w:szCs w:val="24"/>
        </w:rPr>
        <w:lastRenderedPageBreak/>
        <w:t>policed lose confidence and trust in those policing them. More importantly, what can be done to re-gain that trust. It is of no surprise that it is widely publicised when the police do wrong, for example the Birmingham 6 or the Hillsborough disaster. These events led to massive distrust in the police and as a result more attention needed to be put on re-establishing that trust between the police and the public. This has led to the creation of the Independent Office for Police Conduct (IOPC) and Professional Standards Department (PSD) whose roles are to oversee, record and investigate police complaints. They can play an important role in maintaining trust and confidence by holding police staff accountable and ensuring that professional standards are maintained because ultimately, the role of a constable cannot be undertaken without the trust of the public.</w:t>
      </w:r>
    </w:p>
    <w:p w14:paraId="1AB55AF2" w14:textId="77777777" w:rsidR="005102BE" w:rsidRPr="005102BE" w:rsidRDefault="005102BE" w:rsidP="005102BE">
      <w:pPr>
        <w:rPr>
          <w:rFonts w:asciiTheme="majorHAnsi" w:hAnsiTheme="majorHAnsi" w:cstheme="majorHAnsi"/>
          <w:sz w:val="24"/>
          <w:szCs w:val="24"/>
        </w:rPr>
      </w:pPr>
    </w:p>
    <w:p w14:paraId="3A6EA725"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Coaching and mentoring approaches have contributed to the concept of professionalisation of the police service, elements of the approach also go hand in hand with ethical and inclusive approaches as coaching and mentoring in the workplace enables new methods of learning which includes learning from various communities (Brennan, 2005). This is advantageous to the police force as if we are able to understand our communities more, we are more able to satisfy their needs and concerns and thus, increasing public trust and confidence. That being said, it is apparent that in a policing context, methods of learning </w:t>
      </w:r>
      <w:proofErr w:type="gramStart"/>
      <w:r w:rsidRPr="005102BE">
        <w:rPr>
          <w:rFonts w:asciiTheme="majorHAnsi" w:hAnsiTheme="majorHAnsi" w:cstheme="majorHAnsi"/>
          <w:sz w:val="24"/>
          <w:szCs w:val="24"/>
        </w:rPr>
        <w:t>is</w:t>
      </w:r>
      <w:proofErr w:type="gramEnd"/>
      <w:r w:rsidRPr="005102BE">
        <w:rPr>
          <w:rFonts w:asciiTheme="majorHAnsi" w:hAnsiTheme="majorHAnsi" w:cstheme="majorHAnsi"/>
          <w:sz w:val="24"/>
          <w:szCs w:val="24"/>
        </w:rPr>
        <w:t xml:space="preserve"> largely based on reflection as opposed to what is taught in a classroom setting. This point has clearly been noted, as student police officers are now required to undertake secondments to specialist areas, whereby students are able to be mentored in special areas of the police to gain invaluable ‘on the job’ experience (</w:t>
      </w:r>
      <w:proofErr w:type="spellStart"/>
      <w:r w:rsidRPr="005102BE">
        <w:rPr>
          <w:rFonts w:asciiTheme="majorHAnsi" w:hAnsiTheme="majorHAnsi" w:cstheme="majorHAnsi"/>
          <w:sz w:val="24"/>
          <w:szCs w:val="24"/>
        </w:rPr>
        <w:t>Caverner</w:t>
      </w:r>
      <w:proofErr w:type="spellEnd"/>
      <w:r w:rsidRPr="005102BE">
        <w:rPr>
          <w:rFonts w:asciiTheme="majorHAnsi" w:hAnsiTheme="majorHAnsi" w:cstheme="majorHAnsi"/>
          <w:sz w:val="24"/>
          <w:szCs w:val="24"/>
        </w:rPr>
        <w:t xml:space="preserve"> et al 2020). A coaching and mentoring approach allows the organisation to judge performance against set standards and gives the student officer the opportunity to improve and seek feedback (National Research Council, 2001). </w:t>
      </w:r>
    </w:p>
    <w:p w14:paraId="420EF6E1" w14:textId="77777777" w:rsidR="005102BE" w:rsidRPr="005102BE" w:rsidRDefault="005102BE" w:rsidP="005102BE">
      <w:pPr>
        <w:rPr>
          <w:rFonts w:asciiTheme="majorHAnsi" w:hAnsiTheme="majorHAnsi" w:cstheme="majorHAnsi"/>
          <w:sz w:val="24"/>
          <w:szCs w:val="24"/>
        </w:rPr>
      </w:pPr>
    </w:p>
    <w:p w14:paraId="5321F7AB"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To conclude, it is evident that clear steps have been taken to professionalise police practice. Throughout history there has been many critical events that has been driving force for this change – which has been evidenced by the NPCC’s Policing Vision. That being said, the changes proposed have not been without issues. Policing is a tough role and those within are under constant scrutiny from by the media and the public. Issues involving the police around the world can have an impact on policing in the UK – sometimes impacting public confidence, which is out of police control. </w:t>
      </w:r>
    </w:p>
    <w:p w14:paraId="59274478" w14:textId="77777777" w:rsidR="005102BE" w:rsidRPr="005102BE" w:rsidRDefault="005102BE" w:rsidP="005102BE">
      <w:pPr>
        <w:rPr>
          <w:rFonts w:asciiTheme="majorHAnsi" w:hAnsiTheme="majorHAnsi" w:cstheme="majorHAnsi"/>
          <w:sz w:val="24"/>
          <w:szCs w:val="24"/>
        </w:rPr>
      </w:pPr>
    </w:p>
    <w:p w14:paraId="527A9845" w14:textId="77777777" w:rsidR="005102BE" w:rsidRPr="005102BE" w:rsidRDefault="005102BE" w:rsidP="005102BE">
      <w:pPr>
        <w:rPr>
          <w:rFonts w:asciiTheme="majorHAnsi" w:hAnsiTheme="majorHAnsi" w:cstheme="majorHAnsi"/>
          <w:sz w:val="24"/>
          <w:szCs w:val="24"/>
        </w:rPr>
      </w:pPr>
    </w:p>
    <w:p w14:paraId="44305F64" w14:textId="77777777" w:rsidR="005102BE" w:rsidRPr="005102BE" w:rsidRDefault="005102BE" w:rsidP="005102BE">
      <w:pPr>
        <w:rPr>
          <w:rFonts w:asciiTheme="majorHAnsi" w:hAnsiTheme="majorHAnsi" w:cstheme="majorHAnsi"/>
          <w:sz w:val="24"/>
          <w:szCs w:val="24"/>
        </w:rPr>
      </w:pPr>
    </w:p>
    <w:p w14:paraId="0EC84E61" w14:textId="77777777" w:rsidR="005102BE" w:rsidRPr="005102BE" w:rsidRDefault="005102BE" w:rsidP="005102BE">
      <w:pPr>
        <w:rPr>
          <w:rFonts w:asciiTheme="majorHAnsi" w:hAnsiTheme="majorHAnsi" w:cstheme="majorHAnsi"/>
          <w:sz w:val="24"/>
          <w:szCs w:val="24"/>
        </w:rPr>
      </w:pPr>
    </w:p>
    <w:p w14:paraId="3573AAEB" w14:textId="77777777" w:rsidR="005102BE" w:rsidRPr="005102BE" w:rsidRDefault="005102BE" w:rsidP="005102BE">
      <w:pPr>
        <w:rPr>
          <w:rFonts w:asciiTheme="majorHAnsi" w:hAnsiTheme="majorHAnsi" w:cstheme="majorHAnsi"/>
          <w:sz w:val="24"/>
          <w:szCs w:val="24"/>
        </w:rPr>
      </w:pPr>
    </w:p>
    <w:p w14:paraId="3170BE62" w14:textId="77777777" w:rsidR="005102BE" w:rsidRPr="005102BE" w:rsidRDefault="005102BE" w:rsidP="005102BE">
      <w:pPr>
        <w:rPr>
          <w:rFonts w:asciiTheme="majorHAnsi" w:hAnsiTheme="majorHAnsi" w:cstheme="majorHAnsi"/>
          <w:sz w:val="24"/>
          <w:szCs w:val="24"/>
        </w:rPr>
      </w:pPr>
    </w:p>
    <w:p w14:paraId="4D44743E"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References </w:t>
      </w:r>
    </w:p>
    <w:p w14:paraId="562C42AB" w14:textId="77777777" w:rsidR="005102BE" w:rsidRPr="005102BE" w:rsidRDefault="005102BE" w:rsidP="005102BE">
      <w:pPr>
        <w:rPr>
          <w:rFonts w:asciiTheme="majorHAnsi" w:hAnsiTheme="majorHAnsi" w:cstheme="majorHAnsi"/>
          <w:sz w:val="24"/>
          <w:szCs w:val="24"/>
        </w:rPr>
      </w:pPr>
      <w:proofErr w:type="spellStart"/>
      <w:r w:rsidRPr="005102BE">
        <w:rPr>
          <w:rFonts w:asciiTheme="majorHAnsi" w:hAnsiTheme="majorHAnsi" w:cstheme="majorHAnsi"/>
          <w:sz w:val="24"/>
          <w:szCs w:val="24"/>
        </w:rPr>
        <w:t>Neyroud</w:t>
      </w:r>
      <w:proofErr w:type="spellEnd"/>
      <w:r w:rsidRPr="005102BE">
        <w:rPr>
          <w:rFonts w:asciiTheme="majorHAnsi" w:hAnsiTheme="majorHAnsi" w:cstheme="majorHAnsi"/>
          <w:sz w:val="24"/>
          <w:szCs w:val="24"/>
        </w:rPr>
        <w:t>, P. 2010 ‘</w:t>
      </w:r>
      <w:r w:rsidRPr="005102BE">
        <w:rPr>
          <w:rFonts w:asciiTheme="majorHAnsi" w:hAnsiTheme="majorHAnsi" w:cstheme="majorHAnsi"/>
          <w:i/>
          <w:iCs/>
          <w:sz w:val="24"/>
          <w:szCs w:val="24"/>
        </w:rPr>
        <w:t>Keynote Speech’</w:t>
      </w:r>
      <w:r w:rsidRPr="005102BE">
        <w:rPr>
          <w:rFonts w:asciiTheme="majorHAnsi" w:hAnsiTheme="majorHAnsi" w:cstheme="majorHAnsi"/>
          <w:sz w:val="24"/>
          <w:szCs w:val="24"/>
        </w:rPr>
        <w:t xml:space="preserve"> in Workshop on Ethical Policing available at: </w:t>
      </w:r>
      <w:hyperlink r:id="rId12" w:history="1">
        <w:r w:rsidRPr="005102BE">
          <w:rPr>
            <w:rStyle w:val="Hyperlink"/>
            <w:rFonts w:asciiTheme="majorHAnsi" w:hAnsiTheme="majorHAnsi" w:cstheme="majorHAnsi"/>
            <w:sz w:val="24"/>
            <w:szCs w:val="24"/>
          </w:rPr>
          <w:t>http://sites.google.come/site/ethpol2010/</w:t>
        </w:r>
      </w:hyperlink>
      <w:r w:rsidRPr="005102BE">
        <w:rPr>
          <w:rFonts w:asciiTheme="majorHAnsi" w:hAnsiTheme="majorHAnsi" w:cstheme="majorHAnsi"/>
          <w:sz w:val="24"/>
          <w:szCs w:val="24"/>
        </w:rPr>
        <w:t xml:space="preserve"> </w:t>
      </w:r>
    </w:p>
    <w:p w14:paraId="7B067348"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Savage, S. Charman, S. &amp; Cope, S 2000 ‘</w:t>
      </w:r>
      <w:r w:rsidRPr="005102BE">
        <w:rPr>
          <w:rFonts w:asciiTheme="majorHAnsi" w:hAnsiTheme="majorHAnsi" w:cstheme="majorHAnsi"/>
          <w:i/>
          <w:iCs/>
          <w:sz w:val="24"/>
          <w:szCs w:val="24"/>
        </w:rPr>
        <w:t>Policing &amp; the Power of Persuasion’</w:t>
      </w:r>
      <w:r w:rsidRPr="005102BE">
        <w:rPr>
          <w:rFonts w:asciiTheme="majorHAnsi" w:hAnsiTheme="majorHAnsi" w:cstheme="majorHAnsi"/>
          <w:sz w:val="24"/>
          <w:szCs w:val="24"/>
        </w:rPr>
        <w:t xml:space="preserve"> London: Blackstone</w:t>
      </w:r>
    </w:p>
    <w:p w14:paraId="41819734"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Brenned L. (2005) Integrating Work Based Learning into HE. Report. Bolton. University of </w:t>
      </w:r>
      <w:proofErr w:type="spellStart"/>
      <w:r w:rsidRPr="005102BE">
        <w:rPr>
          <w:rFonts w:asciiTheme="majorHAnsi" w:hAnsiTheme="majorHAnsi" w:cstheme="majorHAnsi"/>
          <w:sz w:val="24"/>
          <w:szCs w:val="24"/>
        </w:rPr>
        <w:t>Bocational</w:t>
      </w:r>
      <w:proofErr w:type="spellEnd"/>
      <w:r w:rsidRPr="005102BE">
        <w:rPr>
          <w:rFonts w:asciiTheme="majorHAnsi" w:hAnsiTheme="majorHAnsi" w:cstheme="majorHAnsi"/>
          <w:sz w:val="24"/>
          <w:szCs w:val="24"/>
        </w:rPr>
        <w:t xml:space="preserve"> Awards Council. </w:t>
      </w:r>
    </w:p>
    <w:p w14:paraId="23927E15" w14:textId="77777777" w:rsidR="005102BE" w:rsidRPr="005102BE" w:rsidRDefault="005102BE" w:rsidP="005102BE">
      <w:pPr>
        <w:rPr>
          <w:rFonts w:asciiTheme="majorHAnsi" w:hAnsiTheme="majorHAnsi" w:cstheme="majorHAnsi"/>
          <w:sz w:val="24"/>
          <w:szCs w:val="24"/>
        </w:rPr>
      </w:pPr>
      <w:proofErr w:type="spellStart"/>
      <w:r w:rsidRPr="005102BE">
        <w:rPr>
          <w:rFonts w:asciiTheme="majorHAnsi" w:hAnsiTheme="majorHAnsi" w:cstheme="majorHAnsi"/>
          <w:sz w:val="24"/>
          <w:szCs w:val="24"/>
        </w:rPr>
        <w:t>Caverner</w:t>
      </w:r>
      <w:proofErr w:type="spellEnd"/>
      <w:r w:rsidRPr="005102BE">
        <w:rPr>
          <w:rFonts w:asciiTheme="majorHAnsi" w:hAnsiTheme="majorHAnsi" w:cstheme="majorHAnsi"/>
          <w:sz w:val="24"/>
          <w:szCs w:val="24"/>
        </w:rPr>
        <w:t xml:space="preserve"> J. Phillips C. Shenton F. (2020) Enhancing Practitioner Led Education in Social Work: Developing a Secondment Project, Social Work Education 2020. Vol. 39(3). P350-362. </w:t>
      </w:r>
    </w:p>
    <w:p w14:paraId="45FBBD73"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CoP/NPCC (2018) </w:t>
      </w:r>
      <w:r w:rsidRPr="005102BE">
        <w:rPr>
          <w:rStyle w:val="selectable"/>
          <w:rFonts w:asciiTheme="majorHAnsi" w:hAnsiTheme="majorHAnsi" w:cstheme="majorHAnsi"/>
          <w:i/>
          <w:iCs/>
          <w:color w:val="000000"/>
          <w:sz w:val="24"/>
          <w:szCs w:val="24"/>
        </w:rPr>
        <w:t xml:space="preserve">Workforce Transformation in the Police Service </w:t>
      </w:r>
      <w:r w:rsidRPr="005102BE">
        <w:rPr>
          <w:rStyle w:val="selectable"/>
          <w:rFonts w:asciiTheme="majorHAnsi" w:hAnsiTheme="majorHAnsi" w:cstheme="majorHAnsi"/>
          <w:color w:val="000000"/>
          <w:sz w:val="24"/>
          <w:szCs w:val="24"/>
        </w:rPr>
        <w:t xml:space="preserve">available at </w:t>
      </w:r>
      <w:hyperlink r:id="rId13" w:history="1">
        <w:r w:rsidRPr="005102BE">
          <w:rPr>
            <w:rStyle w:val="Hyperlink"/>
            <w:rFonts w:asciiTheme="majorHAnsi" w:hAnsiTheme="majorHAnsi" w:cstheme="majorHAnsi"/>
            <w:sz w:val="24"/>
            <w:szCs w:val="24"/>
          </w:rPr>
          <w:t>https://www.npcc.police.uk/Publication/Workforce%20Transformation%20Baseline.pdf</w:t>
        </w:r>
      </w:hyperlink>
      <w:r w:rsidRPr="005102BE">
        <w:rPr>
          <w:rStyle w:val="selectable"/>
          <w:rFonts w:asciiTheme="majorHAnsi" w:hAnsiTheme="majorHAnsi" w:cstheme="majorHAnsi"/>
          <w:color w:val="000000"/>
          <w:sz w:val="24"/>
          <w:szCs w:val="24"/>
        </w:rPr>
        <w:t xml:space="preserve"> (accessed 02/11/21)</w:t>
      </w:r>
    </w:p>
    <w:p w14:paraId="659FCC1A" w14:textId="77777777" w:rsidR="005102BE" w:rsidRPr="005102BE" w:rsidRDefault="005102BE" w:rsidP="005102BE">
      <w:pPr>
        <w:rPr>
          <w:rFonts w:asciiTheme="majorHAnsi" w:hAnsiTheme="majorHAnsi" w:cstheme="majorHAnsi"/>
          <w:sz w:val="24"/>
          <w:szCs w:val="24"/>
        </w:rPr>
      </w:pPr>
      <w:r w:rsidRPr="005102BE">
        <w:rPr>
          <w:rStyle w:val="selectable"/>
          <w:rFonts w:asciiTheme="majorHAnsi" w:hAnsiTheme="majorHAnsi" w:cstheme="majorHAnsi"/>
          <w:color w:val="000000"/>
          <w:sz w:val="24"/>
          <w:szCs w:val="24"/>
        </w:rPr>
        <w:t xml:space="preserve">Ratcliffe, J. (2008). Intelligence-Led Policing. Portland, OR: Willan, 280pp. </w:t>
      </w:r>
      <w:r w:rsidRPr="005102BE">
        <w:rPr>
          <w:rStyle w:val="selectable"/>
          <w:rFonts w:asciiTheme="majorHAnsi" w:hAnsiTheme="majorHAnsi" w:cstheme="majorHAnsi"/>
          <w:i/>
          <w:iCs/>
          <w:color w:val="000000"/>
          <w:sz w:val="24"/>
          <w:szCs w:val="24"/>
        </w:rPr>
        <w:t>International Criminal Justice Review</w:t>
      </w:r>
      <w:r w:rsidRPr="005102BE">
        <w:rPr>
          <w:rStyle w:val="selectable"/>
          <w:rFonts w:asciiTheme="majorHAnsi" w:hAnsiTheme="majorHAnsi" w:cstheme="majorHAnsi"/>
          <w:color w:val="000000"/>
          <w:sz w:val="24"/>
          <w:szCs w:val="24"/>
        </w:rPr>
        <w:t>, 19(2), pp.234-236.</w:t>
      </w:r>
    </w:p>
    <w:p w14:paraId="3E65EDCB" w14:textId="77777777" w:rsidR="005102BE" w:rsidRPr="005102BE" w:rsidRDefault="005102BE" w:rsidP="005102BE">
      <w:pPr>
        <w:rPr>
          <w:rFonts w:asciiTheme="majorHAnsi" w:hAnsiTheme="majorHAnsi" w:cstheme="majorHAnsi"/>
          <w:sz w:val="24"/>
          <w:szCs w:val="24"/>
        </w:rPr>
      </w:pPr>
    </w:p>
    <w:p w14:paraId="6760513F" w14:textId="77777777" w:rsidR="005102BE" w:rsidRPr="005102BE" w:rsidRDefault="005102BE" w:rsidP="005102BE">
      <w:pPr>
        <w:rPr>
          <w:rFonts w:asciiTheme="majorHAnsi" w:hAnsiTheme="majorHAnsi" w:cstheme="majorHAnsi"/>
          <w:sz w:val="24"/>
          <w:szCs w:val="24"/>
        </w:rPr>
      </w:pPr>
    </w:p>
    <w:p w14:paraId="7519C92E" w14:textId="77777777" w:rsidR="005102BE" w:rsidRPr="005102BE" w:rsidRDefault="005102BE" w:rsidP="005102BE">
      <w:pPr>
        <w:rPr>
          <w:rFonts w:asciiTheme="majorHAnsi" w:hAnsiTheme="majorHAnsi" w:cstheme="majorHAnsi"/>
          <w:sz w:val="24"/>
          <w:szCs w:val="24"/>
        </w:rPr>
      </w:pPr>
    </w:p>
    <w:p w14:paraId="7947EE1B" w14:textId="77777777" w:rsidR="005102BE" w:rsidRPr="005102BE" w:rsidRDefault="005102BE" w:rsidP="005102BE">
      <w:pPr>
        <w:rPr>
          <w:rFonts w:asciiTheme="majorHAnsi" w:hAnsiTheme="majorHAnsi" w:cstheme="majorHAnsi"/>
          <w:sz w:val="24"/>
          <w:szCs w:val="24"/>
        </w:rPr>
      </w:pPr>
    </w:p>
    <w:p w14:paraId="57868083" w14:textId="77777777" w:rsidR="005102BE" w:rsidRPr="005102BE" w:rsidRDefault="005102BE" w:rsidP="005102BE">
      <w:pPr>
        <w:rPr>
          <w:rFonts w:asciiTheme="majorHAnsi" w:hAnsiTheme="majorHAnsi" w:cstheme="majorHAnsi"/>
          <w:sz w:val="24"/>
          <w:szCs w:val="24"/>
        </w:rPr>
      </w:pPr>
    </w:p>
    <w:p w14:paraId="5DFD016C" w14:textId="77777777" w:rsidR="005102BE" w:rsidRPr="005102BE" w:rsidRDefault="005102BE" w:rsidP="005102BE">
      <w:pPr>
        <w:rPr>
          <w:rFonts w:asciiTheme="majorHAnsi" w:hAnsiTheme="majorHAnsi" w:cstheme="majorHAnsi"/>
          <w:sz w:val="24"/>
          <w:szCs w:val="24"/>
        </w:rPr>
      </w:pPr>
    </w:p>
    <w:p w14:paraId="4E2C7249" w14:textId="77777777" w:rsidR="005102BE" w:rsidRPr="005102BE" w:rsidRDefault="005102BE" w:rsidP="005102BE">
      <w:pPr>
        <w:rPr>
          <w:rFonts w:asciiTheme="majorHAnsi" w:hAnsiTheme="majorHAnsi" w:cstheme="majorHAnsi"/>
          <w:sz w:val="24"/>
          <w:szCs w:val="24"/>
        </w:rPr>
      </w:pPr>
    </w:p>
    <w:p w14:paraId="1A29437F" w14:textId="77777777" w:rsidR="005102BE" w:rsidRPr="005102BE" w:rsidRDefault="005102BE" w:rsidP="005102BE">
      <w:pPr>
        <w:rPr>
          <w:rFonts w:asciiTheme="majorHAnsi" w:hAnsiTheme="majorHAnsi" w:cstheme="majorHAnsi"/>
          <w:sz w:val="24"/>
          <w:szCs w:val="24"/>
        </w:rPr>
      </w:pPr>
    </w:p>
    <w:p w14:paraId="3C0F24F8" w14:textId="77777777" w:rsidR="005102BE" w:rsidRPr="005102BE" w:rsidRDefault="005102BE" w:rsidP="005102BE">
      <w:pPr>
        <w:rPr>
          <w:rFonts w:asciiTheme="majorHAnsi" w:hAnsiTheme="majorHAnsi" w:cstheme="majorHAnsi"/>
          <w:sz w:val="24"/>
          <w:szCs w:val="24"/>
        </w:rPr>
      </w:pPr>
    </w:p>
    <w:p w14:paraId="2C0A2306" w14:textId="77777777" w:rsidR="005102BE" w:rsidRPr="005102BE" w:rsidRDefault="005102BE" w:rsidP="005102BE">
      <w:pPr>
        <w:rPr>
          <w:rFonts w:asciiTheme="majorHAnsi" w:hAnsiTheme="majorHAnsi" w:cstheme="majorHAnsi"/>
          <w:sz w:val="24"/>
          <w:szCs w:val="24"/>
        </w:rPr>
      </w:pPr>
    </w:p>
    <w:p w14:paraId="1BEE6A5C" w14:textId="77777777" w:rsidR="005102BE" w:rsidRPr="005102BE" w:rsidRDefault="005102BE" w:rsidP="005102BE">
      <w:pPr>
        <w:rPr>
          <w:rFonts w:asciiTheme="majorHAnsi" w:hAnsiTheme="majorHAnsi" w:cstheme="majorHAnsi"/>
          <w:sz w:val="24"/>
          <w:szCs w:val="24"/>
        </w:rPr>
      </w:pPr>
    </w:p>
    <w:p w14:paraId="24730259" w14:textId="77777777" w:rsidR="005102BE" w:rsidRPr="005102BE" w:rsidRDefault="005102BE" w:rsidP="005102BE">
      <w:pPr>
        <w:rPr>
          <w:rFonts w:asciiTheme="majorHAnsi" w:hAnsiTheme="majorHAnsi" w:cstheme="majorHAnsi"/>
          <w:sz w:val="24"/>
          <w:szCs w:val="24"/>
        </w:rPr>
      </w:pPr>
    </w:p>
    <w:p w14:paraId="6B2DC946" w14:textId="77777777" w:rsidR="005102BE" w:rsidRPr="005102BE" w:rsidRDefault="005102BE" w:rsidP="005102BE">
      <w:pPr>
        <w:rPr>
          <w:rFonts w:asciiTheme="majorHAnsi" w:hAnsiTheme="majorHAnsi" w:cstheme="majorHAnsi"/>
          <w:sz w:val="24"/>
          <w:szCs w:val="24"/>
        </w:rPr>
      </w:pPr>
    </w:p>
    <w:p w14:paraId="568F846E" w14:textId="77777777" w:rsidR="005102BE" w:rsidRPr="005102BE" w:rsidRDefault="005102BE" w:rsidP="005102BE">
      <w:pPr>
        <w:rPr>
          <w:rFonts w:asciiTheme="majorHAnsi" w:hAnsiTheme="majorHAnsi" w:cstheme="majorHAnsi"/>
          <w:sz w:val="24"/>
          <w:szCs w:val="24"/>
        </w:rPr>
      </w:pPr>
    </w:p>
    <w:p w14:paraId="5AD84F7E" w14:textId="77777777" w:rsidR="005102BE" w:rsidRPr="005102BE" w:rsidRDefault="005102BE" w:rsidP="005102BE">
      <w:pPr>
        <w:rPr>
          <w:rFonts w:asciiTheme="majorHAnsi" w:hAnsiTheme="majorHAnsi" w:cstheme="majorHAnsi"/>
          <w:sz w:val="24"/>
          <w:szCs w:val="24"/>
        </w:rPr>
      </w:pPr>
    </w:p>
    <w:p w14:paraId="376E8551" w14:textId="77777777" w:rsidR="005102BE" w:rsidRPr="005102BE" w:rsidRDefault="005102BE" w:rsidP="005102BE">
      <w:pPr>
        <w:rPr>
          <w:rFonts w:asciiTheme="majorHAnsi" w:hAnsiTheme="majorHAnsi" w:cstheme="majorHAnsi"/>
          <w:sz w:val="24"/>
          <w:szCs w:val="24"/>
        </w:rPr>
      </w:pPr>
    </w:p>
    <w:p w14:paraId="25FD4786" w14:textId="77777777" w:rsidR="005102BE" w:rsidRPr="005102BE" w:rsidRDefault="005102BE" w:rsidP="005102BE">
      <w:pPr>
        <w:rPr>
          <w:rFonts w:asciiTheme="majorHAnsi" w:hAnsiTheme="majorHAnsi" w:cstheme="majorHAnsi"/>
          <w:b/>
          <w:bCs/>
          <w:sz w:val="24"/>
          <w:szCs w:val="24"/>
        </w:rPr>
      </w:pPr>
      <w:r w:rsidRPr="005102BE">
        <w:rPr>
          <w:rFonts w:asciiTheme="majorHAnsi" w:hAnsiTheme="majorHAnsi" w:cstheme="majorHAnsi"/>
          <w:b/>
          <w:bCs/>
          <w:sz w:val="24"/>
          <w:szCs w:val="24"/>
        </w:rPr>
        <w:t>Task 2 – 1000 words – Critically evaluate the role of police in response policing (public perception and critical/major incidents)</w:t>
      </w:r>
    </w:p>
    <w:p w14:paraId="00ADA405" w14:textId="77777777" w:rsidR="005102BE" w:rsidRPr="005102BE" w:rsidRDefault="005102BE" w:rsidP="005102BE">
      <w:pPr>
        <w:rPr>
          <w:rFonts w:asciiTheme="majorHAnsi" w:hAnsiTheme="majorHAnsi" w:cstheme="majorHAnsi"/>
          <w:sz w:val="24"/>
          <w:szCs w:val="24"/>
        </w:rPr>
      </w:pPr>
    </w:p>
    <w:p w14:paraId="2079FA1B"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In this response, I will be critically evaluating the role of the police in response policing. I will be making references to public perceptions of the police response to critical and major incidents. </w:t>
      </w:r>
    </w:p>
    <w:p w14:paraId="027CB0AF" w14:textId="77777777" w:rsidR="005102BE" w:rsidRPr="005102BE" w:rsidRDefault="005102BE" w:rsidP="005102BE">
      <w:pPr>
        <w:rPr>
          <w:rFonts w:asciiTheme="majorHAnsi" w:hAnsiTheme="majorHAnsi" w:cstheme="majorHAnsi"/>
          <w:sz w:val="24"/>
          <w:szCs w:val="24"/>
        </w:rPr>
      </w:pPr>
    </w:p>
    <w:p w14:paraId="0492E482" w14:textId="77777777" w:rsidR="005102BE" w:rsidRPr="005102BE" w:rsidRDefault="005102BE" w:rsidP="005102BE">
      <w:pPr>
        <w:rPr>
          <w:rFonts w:asciiTheme="majorHAnsi" w:hAnsiTheme="majorHAnsi" w:cstheme="majorHAnsi"/>
          <w:sz w:val="24"/>
          <w:szCs w:val="24"/>
        </w:rPr>
      </w:pPr>
    </w:p>
    <w:p w14:paraId="12551088"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The police respond the 100,000s emergencies every year, each incident can vary massively. An emergency is defined under the Civil Contingencies Act 2004 as ‘an event or situation which threatens serious damage to human welfare’. The college of policing has since expanded on this definition, adding ‘rapid onset emergencies’ and ‘rising tide emergencies.’ One thing that is consistent throughout response policing is that how police officers deal with the incident can have a long-standing impact on the individuals/communities involved. Therefore, it is imperative that officers deliver a consistently high level of service. Arguably, how police respond to critical and major incidents has the biggest impact on public perception, as these are the incidents which involve the most serious matters and they are the incidents that are likely to receive media attention should things go badly.</w:t>
      </w:r>
    </w:p>
    <w:p w14:paraId="6467F432" w14:textId="77777777" w:rsidR="005102BE" w:rsidRPr="005102BE" w:rsidRDefault="005102BE" w:rsidP="005102BE">
      <w:pPr>
        <w:rPr>
          <w:rFonts w:asciiTheme="majorHAnsi" w:hAnsiTheme="majorHAnsi" w:cstheme="majorHAnsi"/>
          <w:sz w:val="24"/>
          <w:szCs w:val="24"/>
        </w:rPr>
      </w:pPr>
    </w:p>
    <w:p w14:paraId="030FFD5B"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A major incident is an emergency that requires special arrangements to be made by one or more of the emergency services or local authority. A major incident is likely to involve serious harm/damage, disruption or risk or human life or welfare, for example the 7/7 bombings.</w:t>
      </w:r>
    </w:p>
    <w:p w14:paraId="177741B6"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At major incidents, there is an expectation for the police to warn the public, co-ordinate evacuations and to protect life and limb. However, major incidents require a multi-agency approach and findings from a number of reviews of major incidents has found that there were challenges regarding the initial command and control of activities on arrival at scene as well as the identification of those in charge.</w:t>
      </w:r>
    </w:p>
    <w:p w14:paraId="552098B1"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JESIP was established to address the issues and challenges that presented themselves during a multi-agency response to incidents. They developed the M/ETHANE mnemonic (JESPIC, 2017b) which can be used as a guide for in the early stages of managing a major incident and is as follows:</w:t>
      </w:r>
    </w:p>
    <w:p w14:paraId="5E8EAA45"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Major incident declared; exact location; type of incident; hazards present or suspected; access routes; number, type, severity of casualties and emergency services required. By utilising the M/ETHANE mnemonic, all emergency services are able to respond to incidents in a consistently similar manner. That being said, the primary focus of each emergency service differs. For example, preserving life will always be at the forefront of importance to the police in any incident, following </w:t>
      </w:r>
      <w:proofErr w:type="gramStart"/>
      <w:r w:rsidRPr="005102BE">
        <w:rPr>
          <w:rFonts w:asciiTheme="majorHAnsi" w:hAnsiTheme="majorHAnsi" w:cstheme="majorHAnsi"/>
          <w:sz w:val="24"/>
          <w:szCs w:val="24"/>
        </w:rPr>
        <w:t>that the police’s</w:t>
      </w:r>
      <w:proofErr w:type="gramEnd"/>
      <w:r w:rsidRPr="005102BE">
        <w:rPr>
          <w:rFonts w:asciiTheme="majorHAnsi" w:hAnsiTheme="majorHAnsi" w:cstheme="majorHAnsi"/>
          <w:sz w:val="24"/>
          <w:szCs w:val="24"/>
        </w:rPr>
        <w:t xml:space="preserve"> main aim would be to preserve the scene for evidential opportunities to determine the cause of the incident and to assist in any criminal investigation should there be one. That being said, the ambulance service will give little thought to preserving the scene as it is not their remit to do so. </w:t>
      </w:r>
    </w:p>
    <w:p w14:paraId="22270F75"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It is important to note that once a major incident it dealt with, it is not then forgotten about. Much of the public’s perception is impacted on how we respond after the incident. Considerations will be made regarding the impact of the incident on the wider community, such as how it has impacted their fear of further crime and disorder or whereby the publics expectations of the police have not been met. Public confidence in the police can be restored by liaison with victims, families and the wider community to </w:t>
      </w:r>
      <w:r w:rsidRPr="005102BE">
        <w:rPr>
          <w:rFonts w:asciiTheme="majorHAnsi" w:hAnsiTheme="majorHAnsi" w:cstheme="majorHAnsi"/>
          <w:sz w:val="24"/>
          <w:szCs w:val="24"/>
        </w:rPr>
        <w:lastRenderedPageBreak/>
        <w:t xml:space="preserve">provide reassurance. However, there have been times whereby these considerations have not been made which has had a massive impact on public confidence in the police. For example, the Hillsborough disaster in 1989 demonstrates how a poor response from the police after a major incident can have an adverse effect on public perceptions of the police – additionally, these perceptions can last a lifetime. Over 30 years has passed since the Hillsborough disaster yet it is still widely publicised today. This demonstrates the adverse effect a poor response to a major incident can have. </w:t>
      </w:r>
    </w:p>
    <w:p w14:paraId="4F88AEAE" w14:textId="77777777" w:rsidR="005102BE" w:rsidRPr="005102BE" w:rsidRDefault="005102BE" w:rsidP="005102BE">
      <w:pPr>
        <w:rPr>
          <w:rFonts w:asciiTheme="majorHAnsi" w:hAnsiTheme="majorHAnsi" w:cstheme="majorHAnsi"/>
          <w:sz w:val="24"/>
          <w:szCs w:val="24"/>
        </w:rPr>
      </w:pPr>
    </w:p>
    <w:p w14:paraId="49A2255F"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A critical incident is defined as ‘any incident where the effectiveness of the police response is likely to have a significant impact on the confidence of the victim, their family and/or the community (NPIA, 2011), such as a murder. That being said, any incident can escalate to being critical. An example of a critical incident would be following the murder of Stephen Lawrence and the Macpherson enquiry (1999). Early recognition of a critical incident is vital to ensure an appropriate response. </w:t>
      </w:r>
    </w:p>
    <w:p w14:paraId="6C809762" w14:textId="77777777" w:rsidR="005102BE" w:rsidRPr="005102BE" w:rsidRDefault="005102BE" w:rsidP="005102BE">
      <w:pPr>
        <w:rPr>
          <w:rFonts w:asciiTheme="majorHAnsi" w:hAnsiTheme="majorHAnsi" w:cstheme="majorHAnsi"/>
          <w:sz w:val="24"/>
          <w:szCs w:val="24"/>
        </w:rPr>
      </w:pPr>
    </w:p>
    <w:p w14:paraId="1C3C7DB2"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It could be argued that critical incidents have the greatest impact on public perception on the police. A recent example of this would be the death of George Floyd in 2020. George Floyd’s killing by the Minneapolis police is evidence that, amongst many other things, there is lack of mutual trust between local communities and the police (</w:t>
      </w:r>
      <w:proofErr w:type="spellStart"/>
      <w:r w:rsidRPr="005102BE">
        <w:rPr>
          <w:rFonts w:asciiTheme="majorHAnsi" w:hAnsiTheme="majorHAnsi" w:cstheme="majorHAnsi"/>
          <w:sz w:val="24"/>
          <w:szCs w:val="24"/>
        </w:rPr>
        <w:t>Weine</w:t>
      </w:r>
      <w:proofErr w:type="spellEnd"/>
      <w:r w:rsidRPr="005102BE">
        <w:rPr>
          <w:rFonts w:asciiTheme="majorHAnsi" w:hAnsiTheme="majorHAnsi" w:cstheme="majorHAnsi"/>
          <w:sz w:val="24"/>
          <w:szCs w:val="24"/>
        </w:rPr>
        <w:t xml:space="preserve"> et al., 2020). The way in which police in America responded to this incident, coupled with how it was reported in the mass media had a massive impact not only on policing in America, but also around the world as his death sparked global protests in support of Black Lives Matter. This has led to more research being conducted and published highlighting the tensions between policing and the community. A recent study in the UK found that black people outside of London are 43 times more likely to be stopped and searched than white people (Liberty, 2020). Coupled with the impact of George Floyd’s death, it is easy to see how a critical incident can impact public perceptions of the police and how it can be argued that little has changed since the Macpherson enquiry in 1999. </w:t>
      </w:r>
    </w:p>
    <w:p w14:paraId="57AEC924" w14:textId="77777777" w:rsidR="005102BE" w:rsidRPr="005102BE" w:rsidRDefault="005102BE" w:rsidP="005102BE">
      <w:pPr>
        <w:rPr>
          <w:rFonts w:asciiTheme="majorHAnsi" w:hAnsiTheme="majorHAnsi" w:cstheme="majorHAnsi"/>
          <w:sz w:val="24"/>
          <w:szCs w:val="24"/>
        </w:rPr>
      </w:pPr>
    </w:p>
    <w:p w14:paraId="67673BBF"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To conclude, it is clear that how police respond to incidents impacts the public perception of the police. The police respond to thousands of incidents each year, some of which are major and some of which are critical. It has been demonstrated the importance of acting within the code of ethics when responding to such incidents as when things go badly, and it is reported in the mass media, it can impact relations with the community not just in the originating country, but across the world.</w:t>
      </w:r>
    </w:p>
    <w:p w14:paraId="7E6C0E23" w14:textId="77777777" w:rsidR="005102BE" w:rsidRPr="005102BE" w:rsidRDefault="005102BE" w:rsidP="005102BE">
      <w:pPr>
        <w:rPr>
          <w:rFonts w:asciiTheme="majorHAnsi" w:hAnsiTheme="majorHAnsi" w:cstheme="majorHAnsi"/>
          <w:sz w:val="24"/>
          <w:szCs w:val="24"/>
        </w:rPr>
      </w:pPr>
    </w:p>
    <w:p w14:paraId="1267494E" w14:textId="77777777" w:rsidR="005102BE" w:rsidRPr="005102BE" w:rsidRDefault="005102BE" w:rsidP="005102BE">
      <w:pPr>
        <w:rPr>
          <w:rFonts w:asciiTheme="majorHAnsi" w:hAnsiTheme="majorHAnsi" w:cstheme="majorHAnsi"/>
          <w:sz w:val="24"/>
          <w:szCs w:val="24"/>
        </w:rPr>
      </w:pPr>
    </w:p>
    <w:p w14:paraId="1F740117" w14:textId="77777777" w:rsidR="005102BE" w:rsidRPr="005102BE" w:rsidRDefault="005102BE" w:rsidP="005102BE">
      <w:pPr>
        <w:rPr>
          <w:rFonts w:asciiTheme="majorHAnsi" w:hAnsiTheme="majorHAnsi" w:cstheme="majorHAnsi"/>
          <w:sz w:val="24"/>
          <w:szCs w:val="24"/>
        </w:rPr>
      </w:pPr>
    </w:p>
    <w:p w14:paraId="405A9B55" w14:textId="77777777" w:rsidR="005102BE" w:rsidRPr="005102BE" w:rsidRDefault="005102BE" w:rsidP="005102BE">
      <w:pPr>
        <w:rPr>
          <w:rFonts w:asciiTheme="majorHAnsi" w:hAnsiTheme="majorHAnsi" w:cstheme="majorHAnsi"/>
          <w:sz w:val="24"/>
          <w:szCs w:val="24"/>
        </w:rPr>
      </w:pPr>
    </w:p>
    <w:p w14:paraId="6F05ECC2" w14:textId="77777777" w:rsidR="005102BE" w:rsidRPr="005102BE" w:rsidRDefault="005102BE" w:rsidP="005102BE">
      <w:pPr>
        <w:rPr>
          <w:rFonts w:asciiTheme="majorHAnsi" w:hAnsiTheme="majorHAnsi" w:cstheme="majorHAnsi"/>
          <w:sz w:val="24"/>
          <w:szCs w:val="24"/>
        </w:rPr>
      </w:pPr>
    </w:p>
    <w:p w14:paraId="5158C95C" w14:textId="77777777" w:rsidR="005102BE" w:rsidRPr="005102BE" w:rsidRDefault="005102BE" w:rsidP="005102BE">
      <w:pPr>
        <w:rPr>
          <w:rFonts w:asciiTheme="majorHAnsi" w:hAnsiTheme="majorHAnsi" w:cstheme="majorHAnsi"/>
          <w:sz w:val="24"/>
          <w:szCs w:val="24"/>
        </w:rPr>
      </w:pPr>
    </w:p>
    <w:p w14:paraId="5631A410" w14:textId="77777777" w:rsidR="005102BE" w:rsidRPr="005102BE" w:rsidRDefault="005102BE" w:rsidP="005102BE">
      <w:pPr>
        <w:rPr>
          <w:rFonts w:asciiTheme="majorHAnsi" w:hAnsiTheme="majorHAnsi" w:cstheme="majorHAnsi"/>
          <w:sz w:val="24"/>
          <w:szCs w:val="24"/>
        </w:rPr>
      </w:pPr>
    </w:p>
    <w:p w14:paraId="496FEB41"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References </w:t>
      </w:r>
    </w:p>
    <w:p w14:paraId="65A0F69A" w14:textId="77777777" w:rsidR="005102BE" w:rsidRPr="005102BE" w:rsidRDefault="005102BE" w:rsidP="005102BE">
      <w:pPr>
        <w:rPr>
          <w:rFonts w:asciiTheme="majorHAnsi" w:hAnsiTheme="majorHAnsi" w:cstheme="majorHAnsi"/>
          <w:sz w:val="24"/>
          <w:szCs w:val="24"/>
        </w:rPr>
      </w:pPr>
    </w:p>
    <w:p w14:paraId="6B21518D" w14:textId="77777777" w:rsidR="005102BE" w:rsidRPr="005102BE" w:rsidRDefault="005102BE" w:rsidP="005102BE">
      <w:pPr>
        <w:rPr>
          <w:rStyle w:val="selectable"/>
          <w:rFonts w:asciiTheme="majorHAnsi" w:hAnsiTheme="majorHAnsi" w:cstheme="majorHAnsi"/>
          <w:color w:val="000000"/>
          <w:sz w:val="24"/>
          <w:szCs w:val="24"/>
        </w:rPr>
      </w:pPr>
      <w:proofErr w:type="spellStart"/>
      <w:r w:rsidRPr="005102BE">
        <w:rPr>
          <w:rStyle w:val="selectable"/>
          <w:rFonts w:asciiTheme="majorHAnsi" w:hAnsiTheme="majorHAnsi" w:cstheme="majorHAnsi"/>
          <w:color w:val="000000"/>
          <w:sz w:val="24"/>
          <w:szCs w:val="24"/>
        </w:rPr>
        <w:t>Weine</w:t>
      </w:r>
      <w:proofErr w:type="spellEnd"/>
      <w:r w:rsidRPr="005102BE">
        <w:rPr>
          <w:rStyle w:val="selectable"/>
          <w:rFonts w:asciiTheme="majorHAnsi" w:hAnsiTheme="majorHAnsi" w:cstheme="majorHAnsi"/>
          <w:color w:val="000000"/>
          <w:sz w:val="24"/>
          <w:szCs w:val="24"/>
        </w:rPr>
        <w:t xml:space="preserve">, S., </w:t>
      </w:r>
      <w:proofErr w:type="spellStart"/>
      <w:r w:rsidRPr="005102BE">
        <w:rPr>
          <w:rStyle w:val="selectable"/>
          <w:rFonts w:asciiTheme="majorHAnsi" w:hAnsiTheme="majorHAnsi" w:cstheme="majorHAnsi"/>
          <w:color w:val="000000"/>
          <w:sz w:val="24"/>
          <w:szCs w:val="24"/>
        </w:rPr>
        <w:t>Kohrt</w:t>
      </w:r>
      <w:proofErr w:type="spellEnd"/>
      <w:r w:rsidRPr="005102BE">
        <w:rPr>
          <w:rStyle w:val="selectable"/>
          <w:rFonts w:asciiTheme="majorHAnsi" w:hAnsiTheme="majorHAnsi" w:cstheme="majorHAnsi"/>
          <w:color w:val="000000"/>
          <w:sz w:val="24"/>
          <w:szCs w:val="24"/>
        </w:rPr>
        <w:t xml:space="preserve">, B., Collins, P., Cooper, J., Lewis-Fernandez, R., </w:t>
      </w:r>
      <w:proofErr w:type="spellStart"/>
      <w:r w:rsidRPr="005102BE">
        <w:rPr>
          <w:rStyle w:val="selectable"/>
          <w:rFonts w:asciiTheme="majorHAnsi" w:hAnsiTheme="majorHAnsi" w:cstheme="majorHAnsi"/>
          <w:color w:val="000000"/>
          <w:sz w:val="24"/>
          <w:szCs w:val="24"/>
        </w:rPr>
        <w:t>Okpaku</w:t>
      </w:r>
      <w:proofErr w:type="spellEnd"/>
      <w:r w:rsidRPr="005102BE">
        <w:rPr>
          <w:rStyle w:val="selectable"/>
          <w:rFonts w:asciiTheme="majorHAnsi" w:hAnsiTheme="majorHAnsi" w:cstheme="majorHAnsi"/>
          <w:color w:val="000000"/>
          <w:sz w:val="24"/>
          <w:szCs w:val="24"/>
        </w:rPr>
        <w:t xml:space="preserve">, S. and </w:t>
      </w:r>
      <w:proofErr w:type="spellStart"/>
      <w:r w:rsidRPr="005102BE">
        <w:rPr>
          <w:rStyle w:val="selectable"/>
          <w:rFonts w:asciiTheme="majorHAnsi" w:hAnsiTheme="majorHAnsi" w:cstheme="majorHAnsi"/>
          <w:color w:val="000000"/>
          <w:sz w:val="24"/>
          <w:szCs w:val="24"/>
        </w:rPr>
        <w:t>Wainberg</w:t>
      </w:r>
      <w:proofErr w:type="spellEnd"/>
      <w:r w:rsidRPr="005102BE">
        <w:rPr>
          <w:rStyle w:val="selectable"/>
          <w:rFonts w:asciiTheme="majorHAnsi" w:hAnsiTheme="majorHAnsi" w:cstheme="majorHAnsi"/>
          <w:color w:val="000000"/>
          <w:sz w:val="24"/>
          <w:szCs w:val="24"/>
        </w:rPr>
        <w:t xml:space="preserve">, M., 2020. Justice for George Floyd and a reckoning for global mental health. </w:t>
      </w:r>
      <w:r w:rsidRPr="005102BE">
        <w:rPr>
          <w:rStyle w:val="selectable"/>
          <w:rFonts w:asciiTheme="majorHAnsi" w:hAnsiTheme="majorHAnsi" w:cstheme="majorHAnsi"/>
          <w:i/>
          <w:iCs/>
          <w:color w:val="000000"/>
          <w:sz w:val="24"/>
          <w:szCs w:val="24"/>
        </w:rPr>
        <w:t>Global Mental Health</w:t>
      </w:r>
      <w:r w:rsidRPr="005102BE">
        <w:rPr>
          <w:rStyle w:val="selectable"/>
          <w:rFonts w:asciiTheme="majorHAnsi" w:hAnsiTheme="majorHAnsi" w:cstheme="majorHAnsi"/>
          <w:color w:val="000000"/>
          <w:sz w:val="24"/>
          <w:szCs w:val="24"/>
        </w:rPr>
        <w:t>, 7.</w:t>
      </w:r>
    </w:p>
    <w:p w14:paraId="784285BB" w14:textId="77777777" w:rsidR="005102BE" w:rsidRPr="005102BE" w:rsidRDefault="005102BE" w:rsidP="005102BE">
      <w:pPr>
        <w:rPr>
          <w:rStyle w:val="markedcontent"/>
          <w:rFonts w:asciiTheme="majorHAnsi" w:hAnsiTheme="majorHAnsi" w:cstheme="majorHAnsi"/>
          <w:sz w:val="24"/>
          <w:szCs w:val="24"/>
        </w:rPr>
      </w:pPr>
      <w:r w:rsidRPr="005102BE">
        <w:rPr>
          <w:rStyle w:val="markedcontent"/>
          <w:rFonts w:asciiTheme="majorHAnsi" w:hAnsiTheme="majorHAnsi" w:cstheme="majorHAnsi"/>
          <w:sz w:val="24"/>
          <w:szCs w:val="24"/>
        </w:rPr>
        <w:t>Liberty (2020), Stop and search, available: https://www.libertyhumanrights.org.uk/fundamental/stop-</w:t>
      </w:r>
      <w:r w:rsidRPr="005102BE">
        <w:rPr>
          <w:rFonts w:asciiTheme="majorHAnsi" w:hAnsiTheme="majorHAnsi" w:cstheme="majorHAnsi"/>
          <w:sz w:val="24"/>
          <w:szCs w:val="24"/>
        </w:rPr>
        <w:br/>
      </w:r>
      <w:r w:rsidRPr="005102BE">
        <w:rPr>
          <w:rStyle w:val="markedcontent"/>
          <w:rFonts w:asciiTheme="majorHAnsi" w:hAnsiTheme="majorHAnsi" w:cstheme="majorHAnsi"/>
          <w:sz w:val="24"/>
          <w:szCs w:val="24"/>
        </w:rPr>
        <w:t>and-search/</w:t>
      </w:r>
    </w:p>
    <w:p w14:paraId="2B114C59" w14:textId="77777777" w:rsidR="005102BE" w:rsidRPr="005102BE" w:rsidRDefault="005102BE" w:rsidP="005102BE">
      <w:pPr>
        <w:rPr>
          <w:rStyle w:val="markedcontent"/>
          <w:rFonts w:asciiTheme="majorHAnsi" w:hAnsiTheme="majorHAnsi" w:cstheme="majorHAnsi"/>
          <w:sz w:val="24"/>
          <w:szCs w:val="24"/>
        </w:rPr>
      </w:pPr>
      <w:r w:rsidRPr="005102BE">
        <w:rPr>
          <w:rStyle w:val="markedcontent"/>
          <w:rFonts w:asciiTheme="majorHAnsi" w:hAnsiTheme="majorHAnsi" w:cstheme="majorHAnsi"/>
          <w:sz w:val="24"/>
          <w:szCs w:val="24"/>
        </w:rPr>
        <w:t xml:space="preserve">NPIA (2011), </w:t>
      </w:r>
      <w:r w:rsidRPr="005102BE">
        <w:rPr>
          <w:rStyle w:val="markedcontent"/>
          <w:rFonts w:asciiTheme="majorHAnsi" w:hAnsiTheme="majorHAnsi" w:cstheme="majorHAnsi"/>
          <w:i/>
          <w:iCs/>
          <w:sz w:val="24"/>
          <w:szCs w:val="24"/>
        </w:rPr>
        <w:t>Practice Advice on Critical Incident Management,</w:t>
      </w:r>
      <w:r w:rsidRPr="005102BE">
        <w:rPr>
          <w:rStyle w:val="markedcontent"/>
          <w:rFonts w:asciiTheme="majorHAnsi" w:hAnsiTheme="majorHAnsi" w:cstheme="majorHAnsi"/>
          <w:sz w:val="24"/>
          <w:szCs w:val="24"/>
        </w:rPr>
        <w:t xml:space="preserve"> 2</w:t>
      </w:r>
      <w:r w:rsidRPr="005102BE">
        <w:rPr>
          <w:rStyle w:val="markedcontent"/>
          <w:rFonts w:asciiTheme="majorHAnsi" w:hAnsiTheme="majorHAnsi" w:cstheme="majorHAnsi"/>
          <w:sz w:val="24"/>
          <w:szCs w:val="24"/>
          <w:vertAlign w:val="superscript"/>
        </w:rPr>
        <w:t>nd</w:t>
      </w:r>
      <w:r w:rsidRPr="005102BE">
        <w:rPr>
          <w:rStyle w:val="markedcontent"/>
          <w:rFonts w:asciiTheme="majorHAnsi" w:hAnsiTheme="majorHAnsi" w:cstheme="majorHAnsi"/>
          <w:sz w:val="24"/>
          <w:szCs w:val="24"/>
        </w:rPr>
        <w:t xml:space="preserve"> </w:t>
      </w:r>
      <w:proofErr w:type="spellStart"/>
      <w:r w:rsidRPr="005102BE">
        <w:rPr>
          <w:rStyle w:val="markedcontent"/>
          <w:rFonts w:asciiTheme="majorHAnsi" w:hAnsiTheme="majorHAnsi" w:cstheme="majorHAnsi"/>
          <w:sz w:val="24"/>
          <w:szCs w:val="24"/>
        </w:rPr>
        <w:t>edn</w:t>
      </w:r>
      <w:proofErr w:type="spellEnd"/>
      <w:r w:rsidRPr="005102BE">
        <w:rPr>
          <w:rStyle w:val="markedcontent"/>
          <w:rFonts w:asciiTheme="majorHAnsi" w:hAnsiTheme="majorHAnsi" w:cstheme="majorHAnsi"/>
          <w:sz w:val="24"/>
          <w:szCs w:val="24"/>
        </w:rPr>
        <w:t xml:space="preserve">, available at </w:t>
      </w:r>
      <w:hyperlink r:id="rId14" w:history="1">
        <w:r w:rsidRPr="005102BE">
          <w:rPr>
            <w:rStyle w:val="Hyperlink"/>
            <w:rFonts w:asciiTheme="majorHAnsi" w:hAnsiTheme="majorHAnsi" w:cstheme="majorHAnsi"/>
            <w:sz w:val="24"/>
            <w:szCs w:val="24"/>
          </w:rPr>
          <w:t>https://library.collegage.police.uk/docs/NPIA/Practice-Advice-on-CIM-Jul2100.pdf</w:t>
        </w:r>
      </w:hyperlink>
      <w:r w:rsidRPr="005102BE">
        <w:rPr>
          <w:rStyle w:val="markedcontent"/>
          <w:rFonts w:asciiTheme="majorHAnsi" w:hAnsiTheme="majorHAnsi" w:cstheme="majorHAnsi"/>
          <w:sz w:val="24"/>
          <w:szCs w:val="24"/>
        </w:rPr>
        <w:t xml:space="preserve"> </w:t>
      </w:r>
      <w:proofErr w:type="gramStart"/>
      <w:r w:rsidRPr="005102BE">
        <w:rPr>
          <w:rStyle w:val="markedcontent"/>
          <w:rFonts w:asciiTheme="majorHAnsi" w:hAnsiTheme="majorHAnsi" w:cstheme="majorHAnsi"/>
          <w:sz w:val="24"/>
          <w:szCs w:val="24"/>
        </w:rPr>
        <w:t>( accessed</w:t>
      </w:r>
      <w:proofErr w:type="gramEnd"/>
      <w:r w:rsidRPr="005102BE">
        <w:rPr>
          <w:rStyle w:val="markedcontent"/>
          <w:rFonts w:asciiTheme="majorHAnsi" w:hAnsiTheme="majorHAnsi" w:cstheme="majorHAnsi"/>
          <w:sz w:val="24"/>
          <w:szCs w:val="24"/>
        </w:rPr>
        <w:t xml:space="preserve"> 24 November 2021) </w:t>
      </w:r>
    </w:p>
    <w:p w14:paraId="51AABE15" w14:textId="77777777" w:rsidR="005102BE" w:rsidRPr="005102BE" w:rsidRDefault="005102BE" w:rsidP="005102BE">
      <w:pPr>
        <w:rPr>
          <w:rStyle w:val="markedcontent"/>
          <w:rFonts w:asciiTheme="majorHAnsi" w:hAnsiTheme="majorHAnsi" w:cstheme="majorHAnsi"/>
          <w:sz w:val="24"/>
          <w:szCs w:val="24"/>
        </w:rPr>
      </w:pPr>
      <w:r w:rsidRPr="005102BE">
        <w:rPr>
          <w:rStyle w:val="markedcontent"/>
          <w:rFonts w:asciiTheme="majorHAnsi" w:hAnsiTheme="majorHAnsi" w:cstheme="majorHAnsi"/>
          <w:sz w:val="24"/>
          <w:szCs w:val="24"/>
        </w:rPr>
        <w:t xml:space="preserve">Macpherson, Sir W (1999), </w:t>
      </w:r>
      <w:r w:rsidRPr="005102BE">
        <w:rPr>
          <w:rStyle w:val="markedcontent"/>
          <w:rFonts w:asciiTheme="majorHAnsi" w:hAnsiTheme="majorHAnsi" w:cstheme="majorHAnsi"/>
          <w:i/>
          <w:iCs/>
          <w:sz w:val="24"/>
          <w:szCs w:val="24"/>
        </w:rPr>
        <w:t>The Stephen Lawrence Inquiry</w:t>
      </w:r>
      <w:r w:rsidRPr="005102BE">
        <w:rPr>
          <w:rStyle w:val="markedcontent"/>
          <w:rFonts w:asciiTheme="majorHAnsi" w:hAnsiTheme="majorHAnsi" w:cstheme="majorHAnsi"/>
          <w:sz w:val="24"/>
          <w:szCs w:val="24"/>
        </w:rPr>
        <w:t xml:space="preserve"> available at </w:t>
      </w:r>
      <w:hyperlink r:id="rId15" w:history="1">
        <w:r w:rsidRPr="005102BE">
          <w:rPr>
            <w:rStyle w:val="Hyperlink"/>
            <w:rFonts w:asciiTheme="majorHAnsi" w:hAnsiTheme="majorHAnsi" w:cstheme="majorHAnsi"/>
            <w:sz w:val="24"/>
            <w:szCs w:val="24"/>
          </w:rPr>
          <w:t>https://www.gov.uk/government/publications/the-stephen-lawrence-inquiry</w:t>
        </w:r>
      </w:hyperlink>
      <w:r w:rsidRPr="005102BE">
        <w:rPr>
          <w:rStyle w:val="markedcontent"/>
          <w:rFonts w:asciiTheme="majorHAnsi" w:hAnsiTheme="majorHAnsi" w:cstheme="majorHAnsi"/>
          <w:sz w:val="24"/>
          <w:szCs w:val="24"/>
        </w:rPr>
        <w:t xml:space="preserve"> (accessed 24 November 2021)</w:t>
      </w:r>
    </w:p>
    <w:p w14:paraId="1E4B1DF9" w14:textId="77777777" w:rsidR="005102BE" w:rsidRPr="005102BE" w:rsidRDefault="005102BE" w:rsidP="005102BE">
      <w:pPr>
        <w:rPr>
          <w:rFonts w:asciiTheme="majorHAnsi" w:hAnsiTheme="majorHAnsi" w:cstheme="majorHAnsi"/>
          <w:sz w:val="24"/>
          <w:szCs w:val="24"/>
        </w:rPr>
      </w:pPr>
      <w:r w:rsidRPr="005102BE">
        <w:rPr>
          <w:rStyle w:val="markedcontent"/>
          <w:rFonts w:asciiTheme="majorHAnsi" w:hAnsiTheme="majorHAnsi" w:cstheme="majorHAnsi"/>
          <w:sz w:val="24"/>
          <w:szCs w:val="24"/>
        </w:rPr>
        <w:t xml:space="preserve">JESIP (2017b), M/ETHANE available at </w:t>
      </w:r>
      <w:hyperlink r:id="rId16" w:history="1">
        <w:r w:rsidRPr="005102BE">
          <w:rPr>
            <w:rStyle w:val="Hyperlink"/>
            <w:rFonts w:asciiTheme="majorHAnsi" w:hAnsiTheme="majorHAnsi" w:cstheme="majorHAnsi"/>
            <w:sz w:val="24"/>
            <w:szCs w:val="24"/>
          </w:rPr>
          <w:t>https://www.jesip.org.uk/methane</w:t>
        </w:r>
      </w:hyperlink>
      <w:r w:rsidRPr="005102BE">
        <w:rPr>
          <w:rStyle w:val="markedcontent"/>
          <w:rFonts w:asciiTheme="majorHAnsi" w:hAnsiTheme="majorHAnsi" w:cstheme="majorHAnsi"/>
          <w:sz w:val="24"/>
          <w:szCs w:val="24"/>
        </w:rPr>
        <w:t xml:space="preserve"> (accessed 24</w:t>
      </w:r>
      <w:r w:rsidRPr="005102BE">
        <w:rPr>
          <w:rStyle w:val="markedcontent"/>
          <w:rFonts w:asciiTheme="majorHAnsi" w:hAnsiTheme="majorHAnsi" w:cstheme="majorHAnsi"/>
          <w:sz w:val="24"/>
          <w:szCs w:val="24"/>
          <w:vertAlign w:val="superscript"/>
        </w:rPr>
        <w:t xml:space="preserve"> </w:t>
      </w:r>
      <w:r w:rsidRPr="005102BE">
        <w:rPr>
          <w:rFonts w:asciiTheme="majorHAnsi" w:hAnsiTheme="majorHAnsi" w:cstheme="majorHAnsi"/>
          <w:sz w:val="24"/>
          <w:szCs w:val="24"/>
        </w:rPr>
        <w:t>November 2021)</w:t>
      </w:r>
    </w:p>
    <w:p w14:paraId="42C993FA" w14:textId="77777777" w:rsidR="005102BE" w:rsidRPr="005102BE" w:rsidRDefault="005102BE" w:rsidP="005102BE">
      <w:pPr>
        <w:rPr>
          <w:rFonts w:asciiTheme="majorHAnsi" w:hAnsiTheme="majorHAnsi" w:cstheme="majorHAnsi"/>
          <w:sz w:val="24"/>
          <w:szCs w:val="24"/>
        </w:rPr>
      </w:pPr>
    </w:p>
    <w:p w14:paraId="4A3EB257" w14:textId="77777777" w:rsidR="005102BE" w:rsidRPr="005102BE" w:rsidRDefault="005102BE" w:rsidP="005102BE">
      <w:pPr>
        <w:rPr>
          <w:rFonts w:asciiTheme="majorHAnsi" w:hAnsiTheme="majorHAnsi" w:cstheme="majorHAnsi"/>
          <w:sz w:val="24"/>
          <w:szCs w:val="24"/>
        </w:rPr>
      </w:pPr>
    </w:p>
    <w:p w14:paraId="624C893F" w14:textId="77777777" w:rsidR="005102BE" w:rsidRPr="005102BE" w:rsidRDefault="005102BE" w:rsidP="005102BE">
      <w:pPr>
        <w:rPr>
          <w:rFonts w:asciiTheme="majorHAnsi" w:hAnsiTheme="majorHAnsi" w:cstheme="majorHAnsi"/>
          <w:sz w:val="24"/>
          <w:szCs w:val="24"/>
        </w:rPr>
      </w:pPr>
    </w:p>
    <w:p w14:paraId="2D3A2754" w14:textId="77777777" w:rsidR="005102BE" w:rsidRPr="005102BE" w:rsidRDefault="005102BE" w:rsidP="005102BE">
      <w:pPr>
        <w:rPr>
          <w:rFonts w:asciiTheme="majorHAnsi" w:hAnsiTheme="majorHAnsi" w:cstheme="majorHAnsi"/>
          <w:sz w:val="24"/>
          <w:szCs w:val="24"/>
        </w:rPr>
      </w:pPr>
    </w:p>
    <w:p w14:paraId="2B039B82" w14:textId="77777777" w:rsidR="005102BE" w:rsidRPr="005102BE" w:rsidRDefault="005102BE" w:rsidP="005102BE">
      <w:pPr>
        <w:rPr>
          <w:rFonts w:asciiTheme="majorHAnsi" w:hAnsiTheme="majorHAnsi" w:cstheme="majorHAnsi"/>
          <w:sz w:val="24"/>
          <w:szCs w:val="24"/>
        </w:rPr>
      </w:pPr>
    </w:p>
    <w:p w14:paraId="44718379" w14:textId="77777777" w:rsidR="005102BE" w:rsidRPr="005102BE" w:rsidRDefault="005102BE" w:rsidP="005102BE">
      <w:pPr>
        <w:rPr>
          <w:rFonts w:asciiTheme="majorHAnsi" w:hAnsiTheme="majorHAnsi" w:cstheme="majorHAnsi"/>
          <w:sz w:val="24"/>
          <w:szCs w:val="24"/>
        </w:rPr>
      </w:pPr>
    </w:p>
    <w:p w14:paraId="51CD8A1B" w14:textId="77777777" w:rsidR="005102BE" w:rsidRPr="005102BE" w:rsidRDefault="005102BE" w:rsidP="005102BE">
      <w:pPr>
        <w:rPr>
          <w:rFonts w:asciiTheme="majorHAnsi" w:hAnsiTheme="majorHAnsi" w:cstheme="majorHAnsi"/>
          <w:sz w:val="24"/>
          <w:szCs w:val="24"/>
        </w:rPr>
      </w:pPr>
    </w:p>
    <w:p w14:paraId="5537FCC8" w14:textId="77777777" w:rsidR="005102BE" w:rsidRPr="005102BE" w:rsidRDefault="005102BE" w:rsidP="005102BE">
      <w:pPr>
        <w:rPr>
          <w:rFonts w:asciiTheme="majorHAnsi" w:hAnsiTheme="majorHAnsi" w:cstheme="majorHAnsi"/>
          <w:sz w:val="24"/>
          <w:szCs w:val="24"/>
        </w:rPr>
      </w:pPr>
    </w:p>
    <w:p w14:paraId="5FE96FBA" w14:textId="77777777" w:rsidR="005102BE" w:rsidRPr="005102BE" w:rsidRDefault="005102BE" w:rsidP="005102BE">
      <w:pPr>
        <w:rPr>
          <w:rFonts w:asciiTheme="majorHAnsi" w:hAnsiTheme="majorHAnsi" w:cstheme="majorHAnsi"/>
          <w:sz w:val="24"/>
          <w:szCs w:val="24"/>
        </w:rPr>
      </w:pPr>
    </w:p>
    <w:p w14:paraId="19702211" w14:textId="77777777" w:rsidR="005102BE" w:rsidRPr="005102BE" w:rsidRDefault="005102BE" w:rsidP="005102BE">
      <w:pPr>
        <w:rPr>
          <w:rFonts w:asciiTheme="majorHAnsi" w:hAnsiTheme="majorHAnsi" w:cstheme="majorHAnsi"/>
          <w:sz w:val="24"/>
          <w:szCs w:val="24"/>
        </w:rPr>
      </w:pPr>
    </w:p>
    <w:p w14:paraId="7DD7A470" w14:textId="77777777" w:rsidR="005102BE" w:rsidRPr="005102BE" w:rsidRDefault="005102BE" w:rsidP="005102BE">
      <w:pPr>
        <w:rPr>
          <w:rFonts w:asciiTheme="majorHAnsi" w:hAnsiTheme="majorHAnsi" w:cstheme="majorHAnsi"/>
          <w:sz w:val="24"/>
          <w:szCs w:val="24"/>
        </w:rPr>
      </w:pPr>
    </w:p>
    <w:p w14:paraId="54CC5AB7" w14:textId="77777777" w:rsidR="005102BE" w:rsidRPr="005102BE" w:rsidRDefault="005102BE" w:rsidP="005102BE">
      <w:pPr>
        <w:rPr>
          <w:rFonts w:asciiTheme="majorHAnsi" w:hAnsiTheme="majorHAnsi" w:cstheme="majorHAnsi"/>
          <w:sz w:val="24"/>
          <w:szCs w:val="24"/>
        </w:rPr>
      </w:pPr>
    </w:p>
    <w:p w14:paraId="3EC10C67" w14:textId="77777777" w:rsidR="005102BE" w:rsidRPr="005102BE" w:rsidRDefault="005102BE" w:rsidP="005102BE">
      <w:pPr>
        <w:rPr>
          <w:rFonts w:asciiTheme="majorHAnsi" w:hAnsiTheme="majorHAnsi" w:cstheme="majorHAnsi"/>
          <w:sz w:val="24"/>
          <w:szCs w:val="24"/>
        </w:rPr>
      </w:pPr>
    </w:p>
    <w:p w14:paraId="0F0590CE" w14:textId="77777777" w:rsidR="005102BE" w:rsidRPr="005102BE" w:rsidRDefault="005102BE" w:rsidP="005102BE">
      <w:pPr>
        <w:rPr>
          <w:rFonts w:asciiTheme="majorHAnsi" w:hAnsiTheme="majorHAnsi" w:cstheme="majorHAnsi"/>
          <w:sz w:val="24"/>
          <w:szCs w:val="24"/>
        </w:rPr>
      </w:pPr>
    </w:p>
    <w:p w14:paraId="6390E9F4" w14:textId="77777777" w:rsidR="005102BE" w:rsidRPr="005102BE" w:rsidRDefault="005102BE" w:rsidP="005102BE">
      <w:pPr>
        <w:rPr>
          <w:rFonts w:asciiTheme="majorHAnsi" w:hAnsiTheme="majorHAnsi" w:cstheme="majorHAnsi"/>
          <w:sz w:val="24"/>
          <w:szCs w:val="24"/>
        </w:rPr>
      </w:pPr>
    </w:p>
    <w:p w14:paraId="496C1B8B" w14:textId="77777777" w:rsidR="005102BE" w:rsidRPr="005102BE" w:rsidRDefault="005102BE" w:rsidP="005102BE">
      <w:pPr>
        <w:rPr>
          <w:rFonts w:asciiTheme="majorHAnsi" w:hAnsiTheme="majorHAnsi" w:cstheme="majorHAnsi"/>
          <w:sz w:val="24"/>
          <w:szCs w:val="24"/>
        </w:rPr>
      </w:pPr>
    </w:p>
    <w:p w14:paraId="53697E88"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b/>
          <w:bCs/>
          <w:sz w:val="24"/>
          <w:szCs w:val="24"/>
        </w:rPr>
        <w:t>Task 3</w:t>
      </w:r>
      <w:r w:rsidRPr="005102BE">
        <w:rPr>
          <w:rFonts w:asciiTheme="majorHAnsi" w:hAnsiTheme="majorHAnsi" w:cstheme="majorHAnsi"/>
          <w:sz w:val="24"/>
          <w:szCs w:val="24"/>
        </w:rPr>
        <w:t xml:space="preserve"> –Public protection– 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w:t>
      </w:r>
    </w:p>
    <w:p w14:paraId="11281BD9" w14:textId="77777777" w:rsidR="005102BE" w:rsidRPr="005102BE" w:rsidRDefault="005102BE" w:rsidP="005102BE">
      <w:pPr>
        <w:rPr>
          <w:rFonts w:asciiTheme="majorHAnsi" w:hAnsiTheme="majorHAnsi" w:cstheme="majorHAnsi"/>
          <w:sz w:val="24"/>
          <w:szCs w:val="24"/>
        </w:rPr>
      </w:pPr>
    </w:p>
    <w:p w14:paraId="4AC111A6"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There is an expectation from the public to keep everybody safe – there is a clear requirement for police to engage with the communities they serve, not only to uphold the law, but to provide a service – this would include providing long term support to victims of crime. So, what is a victim? - The UN refers to </w:t>
      </w:r>
      <w:proofErr w:type="gramStart"/>
      <w:r w:rsidRPr="005102BE">
        <w:rPr>
          <w:rFonts w:asciiTheme="majorHAnsi" w:hAnsiTheme="majorHAnsi" w:cstheme="majorHAnsi"/>
          <w:sz w:val="24"/>
          <w:szCs w:val="24"/>
        </w:rPr>
        <w:t>victim’s</w:t>
      </w:r>
      <w:proofErr w:type="gramEnd"/>
      <w:r w:rsidRPr="005102BE">
        <w:rPr>
          <w:rFonts w:asciiTheme="majorHAnsi" w:hAnsiTheme="majorHAnsi" w:cstheme="majorHAnsi"/>
          <w:sz w:val="24"/>
          <w:szCs w:val="24"/>
        </w:rPr>
        <w:t xml:space="preserve"> as those who have suffered harm as a result of the commission of any crime. This definition is </w:t>
      </w:r>
      <w:proofErr w:type="gramStart"/>
      <w:r w:rsidRPr="005102BE">
        <w:rPr>
          <w:rFonts w:asciiTheme="majorHAnsi" w:hAnsiTheme="majorHAnsi" w:cstheme="majorHAnsi"/>
          <w:sz w:val="24"/>
          <w:szCs w:val="24"/>
        </w:rPr>
        <w:t>more broad</w:t>
      </w:r>
      <w:proofErr w:type="gramEnd"/>
      <w:r w:rsidRPr="005102BE">
        <w:rPr>
          <w:rFonts w:asciiTheme="majorHAnsi" w:hAnsiTheme="majorHAnsi" w:cstheme="majorHAnsi"/>
          <w:sz w:val="24"/>
          <w:szCs w:val="24"/>
        </w:rPr>
        <w:t xml:space="preserve"> and extends to members of the public who may have not been a direct victim of a crime. In order to fully cover this topic, it is important to know what a public protection incident is. In terms of policing, ‘public protection’ has a broad meaning. It is associated, but not limited to the management of violent and sexual offenders. A strategy used by the police for dealing with such serious incidents is the use of ‘MAPPA’ or ‘Multi-agency public protection </w:t>
      </w:r>
      <w:proofErr w:type="gramStart"/>
      <w:r w:rsidRPr="005102BE">
        <w:rPr>
          <w:rFonts w:asciiTheme="majorHAnsi" w:hAnsiTheme="majorHAnsi" w:cstheme="majorHAnsi"/>
          <w:sz w:val="24"/>
          <w:szCs w:val="24"/>
        </w:rPr>
        <w:t>arrangements’</w:t>
      </w:r>
      <w:proofErr w:type="gramEnd"/>
      <w:r w:rsidRPr="005102BE">
        <w:rPr>
          <w:rFonts w:asciiTheme="majorHAnsi" w:hAnsiTheme="majorHAnsi" w:cstheme="majorHAnsi"/>
          <w:sz w:val="24"/>
          <w:szCs w:val="24"/>
        </w:rPr>
        <w:t xml:space="preserve">. The police work together with other agencies such as the prison service, social services, housing authorities and electronic monitoring providers to form joint responsibility for the management of serious offenders and ensuring that relevant information is shared and that risk is assessed and shared by the appropriate agencies and therefore it is imperative that these agencies are in constant communication with one another. In 2017, there were 77,000 offenders under the umbrella of MAPPA and it is important that their work is communicated to the public consistently (Ministry of Justice. 2017b), a major reason for this is due to the impact such incidents have on victims. It would be impossible to state exactly how an incident would impact on any particular victim, as we are all different and respond in different ways. However, it is safe to say that there are </w:t>
      </w:r>
      <w:proofErr w:type="gramStart"/>
      <w:r w:rsidRPr="005102BE">
        <w:rPr>
          <w:rFonts w:asciiTheme="majorHAnsi" w:hAnsiTheme="majorHAnsi" w:cstheme="majorHAnsi"/>
          <w:sz w:val="24"/>
          <w:szCs w:val="24"/>
        </w:rPr>
        <w:t>short and long term</w:t>
      </w:r>
      <w:proofErr w:type="gramEnd"/>
      <w:r w:rsidRPr="005102BE">
        <w:rPr>
          <w:rFonts w:asciiTheme="majorHAnsi" w:hAnsiTheme="majorHAnsi" w:cstheme="majorHAnsi"/>
          <w:sz w:val="24"/>
          <w:szCs w:val="24"/>
        </w:rPr>
        <w:t xml:space="preserve"> impacts of abuse on victims. Some </w:t>
      </w:r>
      <w:proofErr w:type="gramStart"/>
      <w:r w:rsidRPr="005102BE">
        <w:rPr>
          <w:rFonts w:asciiTheme="majorHAnsi" w:hAnsiTheme="majorHAnsi" w:cstheme="majorHAnsi"/>
          <w:sz w:val="24"/>
          <w:szCs w:val="24"/>
        </w:rPr>
        <w:t>short term</w:t>
      </w:r>
      <w:proofErr w:type="gramEnd"/>
      <w:r w:rsidRPr="005102BE">
        <w:rPr>
          <w:rFonts w:asciiTheme="majorHAnsi" w:hAnsiTheme="majorHAnsi" w:cstheme="majorHAnsi"/>
          <w:sz w:val="24"/>
          <w:szCs w:val="24"/>
        </w:rPr>
        <w:t xml:space="preserve"> impacts could be shock, denial, guilt, fear or self-blame. Whereas some </w:t>
      </w:r>
      <w:proofErr w:type="gramStart"/>
      <w:r w:rsidRPr="005102BE">
        <w:rPr>
          <w:rFonts w:asciiTheme="majorHAnsi" w:hAnsiTheme="majorHAnsi" w:cstheme="majorHAnsi"/>
          <w:sz w:val="24"/>
          <w:szCs w:val="24"/>
        </w:rPr>
        <w:t>victim’s</w:t>
      </w:r>
      <w:proofErr w:type="gramEnd"/>
      <w:r w:rsidRPr="005102BE">
        <w:rPr>
          <w:rFonts w:asciiTheme="majorHAnsi" w:hAnsiTheme="majorHAnsi" w:cstheme="majorHAnsi"/>
          <w:sz w:val="24"/>
          <w:szCs w:val="24"/>
        </w:rPr>
        <w:t xml:space="preserve"> may develop long term problems such as anxiety issues or </w:t>
      </w:r>
      <w:proofErr w:type="spellStart"/>
      <w:r w:rsidRPr="005102BE">
        <w:rPr>
          <w:rFonts w:asciiTheme="majorHAnsi" w:hAnsiTheme="majorHAnsi" w:cstheme="majorHAnsi"/>
          <w:sz w:val="24"/>
          <w:szCs w:val="24"/>
        </w:rPr>
        <w:t>post traumatic</w:t>
      </w:r>
      <w:proofErr w:type="spellEnd"/>
      <w:r w:rsidRPr="005102BE">
        <w:rPr>
          <w:rFonts w:asciiTheme="majorHAnsi" w:hAnsiTheme="majorHAnsi" w:cstheme="majorHAnsi"/>
          <w:sz w:val="24"/>
          <w:szCs w:val="24"/>
        </w:rPr>
        <w:t xml:space="preserve"> stress disorder. These long-term impacts in particular can have a devastating effect on victims’ lives. For example, a 2013 study which followed the lives of 29 victims of abuse. Of those 29, 22 suffered long term impacts of abuse, ranging from feelings of embarrassment to self-harm, aggression and negative impacts on family relations. That being said, there were also 7 victims who experienced positive long-term effects, such as positive family relations (Whittle et al, 2013). </w:t>
      </w:r>
    </w:p>
    <w:p w14:paraId="6BCEE186" w14:textId="77777777" w:rsidR="005102BE" w:rsidRPr="005102BE" w:rsidRDefault="005102BE" w:rsidP="005102BE">
      <w:pPr>
        <w:rPr>
          <w:rFonts w:asciiTheme="majorHAnsi" w:hAnsiTheme="majorHAnsi" w:cstheme="majorHAnsi"/>
          <w:sz w:val="24"/>
          <w:szCs w:val="24"/>
        </w:rPr>
      </w:pPr>
    </w:p>
    <w:p w14:paraId="7AAEB1CF"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A major policing challenge associated with public protection are the challenges surrounding serious and organised crime. In 2018, the Secretary of State Sajid Javid claimed that serious and organised crime is the ‘most deadly’ threat to UK national security (Serious and Organised Crime Strategy, 2018). Serious and organised crime has been defined in the same article as ‘individuals planning, co-ordinating and committing serious offences individually, in a group or as part of transnational </w:t>
      </w:r>
      <w:proofErr w:type="gramStart"/>
      <w:r w:rsidRPr="005102BE">
        <w:rPr>
          <w:rFonts w:asciiTheme="majorHAnsi" w:hAnsiTheme="majorHAnsi" w:cstheme="majorHAnsi"/>
          <w:sz w:val="24"/>
          <w:szCs w:val="24"/>
        </w:rPr>
        <w:t>networks’</w:t>
      </w:r>
      <w:proofErr w:type="gramEnd"/>
      <w:r w:rsidRPr="005102BE">
        <w:rPr>
          <w:rFonts w:asciiTheme="majorHAnsi" w:hAnsiTheme="majorHAnsi" w:cstheme="majorHAnsi"/>
          <w:sz w:val="24"/>
          <w:szCs w:val="24"/>
        </w:rPr>
        <w:t xml:space="preserve">. For example, child sexual exploitation and abuse, money laundering and fraud. Combatting serious and organised crime is crucial for public protection as these crimes affect more of the population, and leads to more deaths than the other national security threats combined (NCA, 2018). Additionally, it costs the UK around £37 billion each year (Home Office, 2018). For the purpose of this response, child sexual exploitation and abuse </w:t>
      </w:r>
      <w:r w:rsidRPr="005102BE">
        <w:rPr>
          <w:rFonts w:asciiTheme="majorHAnsi" w:hAnsiTheme="majorHAnsi" w:cstheme="majorHAnsi"/>
          <w:sz w:val="24"/>
          <w:szCs w:val="24"/>
        </w:rPr>
        <w:lastRenderedPageBreak/>
        <w:t xml:space="preserve">will be explored as a serious and organised crime. The impacts of abuse of victims will be discussed along with how this related to issues of public protection and how this is being combatted. </w:t>
      </w:r>
    </w:p>
    <w:p w14:paraId="1AE85434" w14:textId="77777777" w:rsidR="005102BE" w:rsidRPr="005102BE" w:rsidRDefault="005102BE" w:rsidP="005102BE">
      <w:pPr>
        <w:rPr>
          <w:rFonts w:asciiTheme="majorHAnsi" w:hAnsiTheme="majorHAnsi" w:cstheme="majorHAnsi"/>
          <w:sz w:val="24"/>
          <w:szCs w:val="24"/>
        </w:rPr>
      </w:pPr>
    </w:p>
    <w:p w14:paraId="5DF3080F"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Child sexual exploitation (CSE) occurs whenever a child under 18 engages in sexual activity for some form of ‘reward’, this could be money or clothing, for example. As technological advancements have been made, it has become increasingly difficult to identify this already hidden crime, as exploitation can occur in the online world. It is crucial that these crimes are identified and those involved are protected as there can be long-lasting negative impacts. Research into Adverse Childhood Experiences (ACEs) has been increasing since the original studies conducted in 1998 (</w:t>
      </w:r>
      <w:proofErr w:type="spellStart"/>
      <w:r w:rsidRPr="005102BE">
        <w:rPr>
          <w:rFonts w:asciiTheme="majorHAnsi" w:hAnsiTheme="majorHAnsi" w:cstheme="majorHAnsi"/>
          <w:sz w:val="24"/>
          <w:szCs w:val="24"/>
        </w:rPr>
        <w:t>Felitti</w:t>
      </w:r>
      <w:proofErr w:type="spellEnd"/>
      <w:r w:rsidRPr="005102BE">
        <w:rPr>
          <w:rFonts w:asciiTheme="majorHAnsi" w:hAnsiTheme="majorHAnsi" w:cstheme="majorHAnsi"/>
          <w:sz w:val="24"/>
          <w:szCs w:val="24"/>
        </w:rPr>
        <w:t xml:space="preserve"> </w:t>
      </w:r>
      <w:r w:rsidRPr="005102BE">
        <w:rPr>
          <w:rFonts w:asciiTheme="majorHAnsi" w:hAnsiTheme="majorHAnsi" w:cstheme="majorHAnsi"/>
          <w:i/>
          <w:iCs/>
          <w:sz w:val="24"/>
          <w:szCs w:val="24"/>
        </w:rPr>
        <w:t>et al</w:t>
      </w:r>
      <w:r w:rsidRPr="005102BE">
        <w:rPr>
          <w:rFonts w:asciiTheme="majorHAnsi" w:hAnsiTheme="majorHAnsi" w:cstheme="majorHAnsi"/>
          <w:sz w:val="24"/>
          <w:szCs w:val="24"/>
        </w:rPr>
        <w:t>. 1998). CSE would constitute an ACE, however it is not the only one. This is crucial, as research has shown that high ACE scores has been linked to alcoholism, depression, sexually transmitted diseases and suicide (</w:t>
      </w:r>
      <w:proofErr w:type="spellStart"/>
      <w:r w:rsidRPr="005102BE">
        <w:rPr>
          <w:rFonts w:asciiTheme="majorHAnsi" w:hAnsiTheme="majorHAnsi" w:cstheme="majorHAnsi"/>
          <w:sz w:val="24"/>
          <w:szCs w:val="24"/>
        </w:rPr>
        <w:t>Christiaens</w:t>
      </w:r>
      <w:proofErr w:type="spellEnd"/>
      <w:r w:rsidRPr="005102BE">
        <w:rPr>
          <w:rFonts w:asciiTheme="majorHAnsi" w:hAnsiTheme="majorHAnsi" w:cstheme="majorHAnsi"/>
          <w:sz w:val="24"/>
          <w:szCs w:val="24"/>
        </w:rPr>
        <w:t xml:space="preserve"> </w:t>
      </w:r>
      <w:r w:rsidRPr="005102BE">
        <w:rPr>
          <w:rFonts w:asciiTheme="majorHAnsi" w:hAnsiTheme="majorHAnsi" w:cstheme="majorHAnsi"/>
          <w:i/>
          <w:iCs/>
          <w:sz w:val="24"/>
          <w:szCs w:val="24"/>
        </w:rPr>
        <w:t>et al</w:t>
      </w:r>
      <w:r w:rsidRPr="005102BE">
        <w:rPr>
          <w:rFonts w:asciiTheme="majorHAnsi" w:hAnsiTheme="majorHAnsi" w:cstheme="majorHAnsi"/>
          <w:sz w:val="24"/>
          <w:szCs w:val="24"/>
        </w:rPr>
        <w:t xml:space="preserve">., 2015). As a result, it is important that strategies and researched and implemented in order to protect members of the public. One such strategy has been outlined in the Sexual Offences Act 2003, which allows the police to keep records of sexual offenders. Additionally, a Sexual Harm Prevention Order can be applied to anyone convicted or cautioned for a sexual offence. Furthermore, on a lower level, a Sexual Risk Order can be applied to any individual who presents a risk of sexual harm to the public. In relation to child sex offences ‘Sarah’s Law’ allows the police to disclose information to people who are the most capable of protecting the children at risk, typically a parent or guardian. </w:t>
      </w:r>
    </w:p>
    <w:p w14:paraId="4F8917FE" w14:textId="77777777" w:rsidR="005102BE" w:rsidRPr="005102BE" w:rsidRDefault="005102BE" w:rsidP="005102BE">
      <w:pPr>
        <w:rPr>
          <w:rFonts w:asciiTheme="majorHAnsi" w:hAnsiTheme="majorHAnsi" w:cstheme="majorHAnsi"/>
          <w:sz w:val="24"/>
          <w:szCs w:val="24"/>
        </w:rPr>
      </w:pPr>
    </w:p>
    <w:p w14:paraId="596A3E5E"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The police and other agencies can only effectively protect the public if their investigation into the incidents </w:t>
      </w:r>
      <w:proofErr w:type="gramStart"/>
      <w:r w:rsidRPr="005102BE">
        <w:rPr>
          <w:rFonts w:asciiTheme="majorHAnsi" w:hAnsiTheme="majorHAnsi" w:cstheme="majorHAnsi"/>
          <w:sz w:val="24"/>
          <w:szCs w:val="24"/>
        </w:rPr>
        <w:t>are</w:t>
      </w:r>
      <w:proofErr w:type="gramEnd"/>
      <w:r w:rsidRPr="005102BE">
        <w:rPr>
          <w:rFonts w:asciiTheme="majorHAnsi" w:hAnsiTheme="majorHAnsi" w:cstheme="majorHAnsi"/>
          <w:sz w:val="24"/>
          <w:szCs w:val="24"/>
        </w:rPr>
        <w:t xml:space="preserve"> prompt and effective. However, personal attitudes and values can impact the investigative process. This is commonly referred to as ‘bias’. A particular form of bias is ‘confirmation </w:t>
      </w:r>
      <w:proofErr w:type="spellStart"/>
      <w:r w:rsidRPr="005102BE">
        <w:rPr>
          <w:rFonts w:asciiTheme="majorHAnsi" w:hAnsiTheme="majorHAnsi" w:cstheme="majorHAnsi"/>
          <w:sz w:val="24"/>
          <w:szCs w:val="24"/>
        </w:rPr>
        <w:t>bias’</w:t>
      </w:r>
      <w:proofErr w:type="spellEnd"/>
      <w:r w:rsidRPr="005102BE">
        <w:rPr>
          <w:rFonts w:asciiTheme="majorHAnsi" w:hAnsiTheme="majorHAnsi" w:cstheme="majorHAnsi"/>
          <w:sz w:val="24"/>
          <w:szCs w:val="24"/>
        </w:rPr>
        <w:t xml:space="preserve"> which occurs when a person believes in or searches for evidence to support their hypothesis. In a policing aspect, confirmation bias can impact an investigators belief in a suspect’s guilt – however this is likely to be impacted by their </w:t>
      </w:r>
      <w:proofErr w:type="gramStart"/>
      <w:r w:rsidRPr="005102BE">
        <w:rPr>
          <w:rFonts w:asciiTheme="majorHAnsi" w:hAnsiTheme="majorHAnsi" w:cstheme="majorHAnsi"/>
          <w:sz w:val="24"/>
          <w:szCs w:val="24"/>
        </w:rPr>
        <w:t>individuals</w:t>
      </w:r>
      <w:proofErr w:type="gramEnd"/>
      <w:r w:rsidRPr="005102BE">
        <w:rPr>
          <w:rFonts w:asciiTheme="majorHAnsi" w:hAnsiTheme="majorHAnsi" w:cstheme="majorHAnsi"/>
          <w:sz w:val="24"/>
          <w:szCs w:val="24"/>
        </w:rPr>
        <w:t xml:space="preserve"> role, their length of service and the type of incident they are investigating. A recent study has found that, when finding out a suspect is a registered sex offender, response officers and new officers in particular, are more likely to believe the suspect is guilty, when compared to more experienced officers. Their belief of guilt was exacerbated when told that the suspected offence was involving child sexual exploitation (Wallace, 2015). It is important to note such findings when investigating such offences, as the role of the police and other agencies first and foremost should be safeguarding the public and therefore when the above strategies are being implemented, it is crucial that we are aware of our own shortcomings. </w:t>
      </w:r>
    </w:p>
    <w:p w14:paraId="5BE786D8" w14:textId="77777777" w:rsidR="005102BE" w:rsidRPr="005102BE" w:rsidRDefault="005102BE" w:rsidP="005102BE">
      <w:pPr>
        <w:rPr>
          <w:rFonts w:asciiTheme="majorHAnsi" w:hAnsiTheme="majorHAnsi" w:cstheme="majorHAnsi"/>
          <w:sz w:val="24"/>
          <w:szCs w:val="24"/>
        </w:rPr>
      </w:pPr>
    </w:p>
    <w:p w14:paraId="5C2CFF7B" w14:textId="77777777" w:rsidR="005102BE" w:rsidRPr="005102BE" w:rsidRDefault="005102BE" w:rsidP="005102BE">
      <w:pPr>
        <w:rPr>
          <w:rFonts w:asciiTheme="majorHAnsi" w:hAnsiTheme="majorHAnsi" w:cstheme="majorHAnsi"/>
          <w:sz w:val="24"/>
          <w:szCs w:val="24"/>
        </w:rPr>
      </w:pPr>
    </w:p>
    <w:p w14:paraId="45520AEB" w14:textId="77777777" w:rsidR="005102BE" w:rsidRPr="005102BE" w:rsidRDefault="005102BE" w:rsidP="005102BE">
      <w:pPr>
        <w:rPr>
          <w:rFonts w:asciiTheme="majorHAnsi" w:hAnsiTheme="majorHAnsi" w:cstheme="majorHAnsi"/>
          <w:sz w:val="24"/>
          <w:szCs w:val="24"/>
        </w:rPr>
      </w:pPr>
    </w:p>
    <w:p w14:paraId="7779AF29" w14:textId="77777777" w:rsidR="005102BE" w:rsidRPr="005102BE" w:rsidRDefault="005102BE" w:rsidP="005102BE">
      <w:pPr>
        <w:rPr>
          <w:rFonts w:asciiTheme="majorHAnsi" w:hAnsiTheme="majorHAnsi" w:cstheme="majorHAnsi"/>
          <w:sz w:val="24"/>
          <w:szCs w:val="24"/>
        </w:rPr>
      </w:pPr>
    </w:p>
    <w:p w14:paraId="1241B747" w14:textId="77777777" w:rsidR="005102BE" w:rsidRPr="005102BE" w:rsidRDefault="005102BE" w:rsidP="005102BE">
      <w:pPr>
        <w:rPr>
          <w:rFonts w:asciiTheme="majorHAnsi" w:hAnsiTheme="majorHAnsi" w:cstheme="majorHAnsi"/>
          <w:sz w:val="24"/>
          <w:szCs w:val="24"/>
        </w:rPr>
      </w:pPr>
    </w:p>
    <w:p w14:paraId="7E20CA2C" w14:textId="77777777" w:rsidR="005102BE" w:rsidRPr="005102BE" w:rsidRDefault="005102BE" w:rsidP="005102BE">
      <w:pPr>
        <w:rPr>
          <w:rFonts w:asciiTheme="majorHAnsi" w:hAnsiTheme="majorHAnsi" w:cstheme="majorHAnsi"/>
          <w:sz w:val="24"/>
          <w:szCs w:val="24"/>
        </w:rPr>
      </w:pPr>
    </w:p>
    <w:p w14:paraId="4AF900B5" w14:textId="77777777" w:rsidR="005102BE" w:rsidRPr="005102BE" w:rsidRDefault="005102BE" w:rsidP="005102BE">
      <w:pPr>
        <w:rPr>
          <w:rFonts w:asciiTheme="majorHAnsi" w:hAnsiTheme="majorHAnsi" w:cstheme="majorHAnsi"/>
          <w:sz w:val="24"/>
          <w:szCs w:val="24"/>
        </w:rPr>
      </w:pPr>
    </w:p>
    <w:p w14:paraId="4D9CEA02"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References:</w:t>
      </w:r>
    </w:p>
    <w:p w14:paraId="17CA28CB"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United Nations (1985) Declaration of Basic Principles of Justice for Victims of Crime and Abuse of Power, Available at: &lt;</w:t>
      </w:r>
      <w:proofErr w:type="gramStart"/>
      <w:r w:rsidRPr="005102BE">
        <w:rPr>
          <w:rFonts w:asciiTheme="majorHAnsi" w:hAnsiTheme="majorHAnsi" w:cstheme="majorHAnsi"/>
          <w:sz w:val="24"/>
          <w:szCs w:val="24"/>
        </w:rPr>
        <w:t>https:www.ohchr.org/en/professionalinterest/pages/victimsofcrimeandabuseofpower.aspx</w:t>
      </w:r>
      <w:proofErr w:type="gramEnd"/>
      <w:r w:rsidRPr="005102BE">
        <w:rPr>
          <w:rFonts w:asciiTheme="majorHAnsi" w:hAnsiTheme="majorHAnsi" w:cstheme="majorHAnsi"/>
          <w:sz w:val="24"/>
          <w:szCs w:val="24"/>
        </w:rPr>
        <w:t xml:space="preserve">&gt; </w:t>
      </w:r>
    </w:p>
    <w:p w14:paraId="418BB3F6"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w:t>
      </w:r>
      <w:proofErr w:type="gramStart"/>
      <w:r w:rsidRPr="005102BE">
        <w:rPr>
          <w:rFonts w:asciiTheme="majorHAnsi" w:hAnsiTheme="majorHAnsi" w:cstheme="majorHAnsi"/>
          <w:sz w:val="24"/>
          <w:szCs w:val="24"/>
        </w:rPr>
        <w:t>accessed</w:t>
      </w:r>
      <w:proofErr w:type="gramEnd"/>
      <w:r w:rsidRPr="005102BE">
        <w:rPr>
          <w:rFonts w:asciiTheme="majorHAnsi" w:hAnsiTheme="majorHAnsi" w:cstheme="majorHAnsi"/>
          <w:sz w:val="24"/>
          <w:szCs w:val="24"/>
        </w:rPr>
        <w:t xml:space="preserve"> 1</w:t>
      </w:r>
      <w:r w:rsidRPr="005102BE">
        <w:rPr>
          <w:rFonts w:asciiTheme="majorHAnsi" w:hAnsiTheme="majorHAnsi" w:cstheme="majorHAnsi"/>
          <w:sz w:val="24"/>
          <w:szCs w:val="24"/>
          <w:vertAlign w:val="superscript"/>
        </w:rPr>
        <w:t>st</w:t>
      </w:r>
      <w:r w:rsidRPr="005102BE">
        <w:rPr>
          <w:rFonts w:asciiTheme="majorHAnsi" w:hAnsiTheme="majorHAnsi" w:cstheme="majorHAnsi"/>
          <w:sz w:val="24"/>
          <w:szCs w:val="24"/>
        </w:rPr>
        <w:t xml:space="preserve"> December 2021)</w:t>
      </w:r>
    </w:p>
    <w:p w14:paraId="2783B165" w14:textId="77777777" w:rsidR="005102BE" w:rsidRPr="005102BE" w:rsidRDefault="005102BE" w:rsidP="005102BE">
      <w:pPr>
        <w:rPr>
          <w:rFonts w:asciiTheme="majorHAnsi" w:hAnsiTheme="majorHAnsi" w:cstheme="majorHAnsi"/>
          <w:sz w:val="24"/>
          <w:szCs w:val="24"/>
        </w:rPr>
      </w:pPr>
    </w:p>
    <w:p w14:paraId="02393F0B"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Whittle, H.C., Hamilton-</w:t>
      </w:r>
      <w:proofErr w:type="spellStart"/>
      <w:r w:rsidRPr="005102BE">
        <w:rPr>
          <w:rFonts w:asciiTheme="majorHAnsi" w:hAnsiTheme="majorHAnsi" w:cstheme="majorHAnsi"/>
          <w:sz w:val="24"/>
          <w:szCs w:val="24"/>
        </w:rPr>
        <w:t>Giachritsis</w:t>
      </w:r>
      <w:proofErr w:type="spellEnd"/>
      <w:r w:rsidRPr="005102BE">
        <w:rPr>
          <w:rFonts w:asciiTheme="majorHAnsi" w:hAnsiTheme="majorHAnsi" w:cstheme="majorHAnsi"/>
          <w:sz w:val="24"/>
          <w:szCs w:val="24"/>
        </w:rPr>
        <w:t xml:space="preserve">, C. and Beech, A.R., 2013. Victims’ voices: The impact of online grooming and sexual abuse. </w:t>
      </w:r>
      <w:r w:rsidRPr="005102BE">
        <w:rPr>
          <w:rFonts w:asciiTheme="majorHAnsi" w:hAnsiTheme="majorHAnsi" w:cstheme="majorHAnsi"/>
          <w:i/>
          <w:iCs/>
          <w:sz w:val="24"/>
          <w:szCs w:val="24"/>
        </w:rPr>
        <w:t>Universal Journal of Psychology</w:t>
      </w:r>
      <w:r w:rsidRPr="005102BE">
        <w:rPr>
          <w:rFonts w:asciiTheme="majorHAnsi" w:hAnsiTheme="majorHAnsi" w:cstheme="majorHAnsi"/>
          <w:sz w:val="24"/>
          <w:szCs w:val="24"/>
        </w:rPr>
        <w:t xml:space="preserve">, </w:t>
      </w:r>
      <w:r w:rsidRPr="005102BE">
        <w:rPr>
          <w:rFonts w:asciiTheme="majorHAnsi" w:hAnsiTheme="majorHAnsi" w:cstheme="majorHAnsi"/>
          <w:i/>
          <w:iCs/>
          <w:sz w:val="24"/>
          <w:szCs w:val="24"/>
        </w:rPr>
        <w:t>1</w:t>
      </w:r>
      <w:r w:rsidRPr="005102BE">
        <w:rPr>
          <w:rFonts w:asciiTheme="majorHAnsi" w:hAnsiTheme="majorHAnsi" w:cstheme="majorHAnsi"/>
          <w:sz w:val="24"/>
          <w:szCs w:val="24"/>
        </w:rPr>
        <w:t>(2), pp.59-71.</w:t>
      </w:r>
    </w:p>
    <w:p w14:paraId="69344A2E" w14:textId="77777777" w:rsidR="005102BE" w:rsidRPr="005102BE" w:rsidRDefault="005102BE" w:rsidP="005102BE">
      <w:pPr>
        <w:rPr>
          <w:rFonts w:asciiTheme="majorHAnsi" w:hAnsiTheme="majorHAnsi" w:cstheme="majorHAnsi"/>
          <w:sz w:val="24"/>
          <w:szCs w:val="24"/>
        </w:rPr>
      </w:pPr>
    </w:p>
    <w:p w14:paraId="160EC7F8"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GOV.UK.2018. </w:t>
      </w:r>
      <w:r w:rsidRPr="005102BE">
        <w:rPr>
          <w:rFonts w:asciiTheme="majorHAnsi" w:hAnsiTheme="majorHAnsi" w:cstheme="majorHAnsi"/>
          <w:i/>
          <w:iCs/>
          <w:sz w:val="24"/>
          <w:szCs w:val="24"/>
        </w:rPr>
        <w:t>Serious and Organised Crime Strategy</w:t>
      </w:r>
      <w:r w:rsidRPr="005102BE">
        <w:rPr>
          <w:rFonts w:asciiTheme="majorHAnsi" w:hAnsiTheme="majorHAnsi" w:cstheme="majorHAnsi"/>
          <w:sz w:val="24"/>
          <w:szCs w:val="24"/>
        </w:rPr>
        <w:t xml:space="preserve"> 2018. [online] Available at: </w:t>
      </w:r>
      <w:hyperlink r:id="rId17" w:history="1">
        <w:r w:rsidRPr="005102BE">
          <w:rPr>
            <w:rStyle w:val="Hyperlink"/>
            <w:rFonts w:asciiTheme="majorHAnsi" w:hAnsiTheme="majorHAnsi" w:cstheme="majorHAnsi"/>
            <w:sz w:val="24"/>
            <w:szCs w:val="24"/>
          </w:rPr>
          <w:t>https://www.gov.uk/government/publications/serious-and-organised-crime-strategy-2018</w:t>
        </w:r>
      </w:hyperlink>
      <w:r w:rsidRPr="005102BE">
        <w:rPr>
          <w:rFonts w:asciiTheme="majorHAnsi" w:hAnsiTheme="majorHAnsi" w:cstheme="majorHAnsi"/>
          <w:sz w:val="24"/>
          <w:szCs w:val="24"/>
        </w:rPr>
        <w:t xml:space="preserve"> [Accessed 2nd December 2021]</w:t>
      </w:r>
    </w:p>
    <w:p w14:paraId="501A25DF" w14:textId="77777777" w:rsidR="005102BE" w:rsidRPr="005102BE" w:rsidRDefault="005102BE" w:rsidP="005102BE">
      <w:pPr>
        <w:rPr>
          <w:rFonts w:asciiTheme="majorHAnsi" w:hAnsiTheme="majorHAnsi" w:cstheme="majorHAnsi"/>
          <w:sz w:val="24"/>
          <w:szCs w:val="24"/>
        </w:rPr>
      </w:pPr>
    </w:p>
    <w:p w14:paraId="162BBF5F"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National Crime Agency, ‘National Strategic Assessment of Serious and Organised Crime 2018’@ HM Government, ‘National Security Capability Review’, March 2018. Online at: </w:t>
      </w:r>
      <w:hyperlink r:id="rId18" w:history="1">
        <w:r w:rsidRPr="005102BE">
          <w:rPr>
            <w:rStyle w:val="Hyperlink"/>
            <w:rFonts w:asciiTheme="majorHAnsi" w:hAnsiTheme="majorHAnsi" w:cstheme="majorHAnsi"/>
            <w:sz w:val="24"/>
            <w:szCs w:val="24"/>
          </w:rPr>
          <w:t>https://www.nationalcrimeagency.gove.uk/publications/905-nationmal-strategic-assessement-for-soc-2018</w:t>
        </w:r>
      </w:hyperlink>
      <w:r w:rsidRPr="005102BE">
        <w:rPr>
          <w:rFonts w:asciiTheme="majorHAnsi" w:hAnsiTheme="majorHAnsi" w:cstheme="majorHAnsi"/>
          <w:sz w:val="24"/>
          <w:szCs w:val="24"/>
        </w:rPr>
        <w:t xml:space="preserve"> (Accessed 2</w:t>
      </w:r>
      <w:r w:rsidRPr="005102BE">
        <w:rPr>
          <w:rFonts w:asciiTheme="majorHAnsi" w:hAnsiTheme="majorHAnsi" w:cstheme="majorHAnsi"/>
          <w:sz w:val="24"/>
          <w:szCs w:val="24"/>
          <w:vertAlign w:val="superscript"/>
        </w:rPr>
        <w:t>nd</w:t>
      </w:r>
      <w:r w:rsidRPr="005102BE">
        <w:rPr>
          <w:rFonts w:asciiTheme="majorHAnsi" w:hAnsiTheme="majorHAnsi" w:cstheme="majorHAnsi"/>
          <w:sz w:val="24"/>
          <w:szCs w:val="24"/>
        </w:rPr>
        <w:t xml:space="preserve"> December 2021)</w:t>
      </w:r>
    </w:p>
    <w:p w14:paraId="27594D72" w14:textId="77777777" w:rsidR="005102BE" w:rsidRPr="005102BE" w:rsidRDefault="005102BE" w:rsidP="005102BE">
      <w:pPr>
        <w:rPr>
          <w:rFonts w:asciiTheme="majorHAnsi" w:hAnsiTheme="majorHAnsi" w:cstheme="majorHAnsi"/>
          <w:sz w:val="24"/>
          <w:szCs w:val="24"/>
        </w:rPr>
      </w:pPr>
    </w:p>
    <w:p w14:paraId="27FCCF27"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Wallace, W.A., 2015. </w:t>
      </w:r>
      <w:r w:rsidRPr="005102BE">
        <w:rPr>
          <w:rFonts w:asciiTheme="majorHAnsi" w:hAnsiTheme="majorHAnsi" w:cstheme="majorHAnsi"/>
          <w:i/>
          <w:iCs/>
          <w:sz w:val="24"/>
          <w:szCs w:val="24"/>
        </w:rPr>
        <w:t>The effect of confirmation bias in criminal investigative decision making</w:t>
      </w:r>
      <w:r w:rsidRPr="005102BE">
        <w:rPr>
          <w:rFonts w:asciiTheme="majorHAnsi" w:hAnsiTheme="majorHAnsi" w:cstheme="majorHAnsi"/>
          <w:sz w:val="24"/>
          <w:szCs w:val="24"/>
        </w:rPr>
        <w:t>. Walden University.</w:t>
      </w:r>
    </w:p>
    <w:p w14:paraId="28A3E29C" w14:textId="77777777" w:rsidR="005102BE" w:rsidRPr="005102BE" w:rsidRDefault="005102BE" w:rsidP="005102BE">
      <w:pPr>
        <w:rPr>
          <w:rFonts w:asciiTheme="majorHAnsi" w:hAnsiTheme="majorHAnsi" w:cstheme="majorHAnsi"/>
          <w:sz w:val="24"/>
          <w:szCs w:val="24"/>
        </w:rPr>
      </w:pPr>
    </w:p>
    <w:p w14:paraId="3239538A"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Home Office, ‘</w:t>
      </w:r>
      <w:proofErr w:type="spellStart"/>
      <w:r w:rsidRPr="005102BE">
        <w:rPr>
          <w:rFonts w:asciiTheme="majorHAnsi" w:hAnsiTheme="majorHAnsi" w:cstheme="majorHAnsi"/>
          <w:sz w:val="24"/>
          <w:szCs w:val="24"/>
        </w:rPr>
        <w:t>Understaing</w:t>
      </w:r>
      <w:proofErr w:type="spellEnd"/>
      <w:r w:rsidRPr="005102BE">
        <w:rPr>
          <w:rFonts w:asciiTheme="majorHAnsi" w:hAnsiTheme="majorHAnsi" w:cstheme="majorHAnsi"/>
          <w:sz w:val="24"/>
          <w:szCs w:val="24"/>
        </w:rPr>
        <w:t xml:space="preserve"> Organised Crime Estimating the scale and the social economic costs’, November 2018 </w:t>
      </w:r>
    </w:p>
    <w:p w14:paraId="5C4698F1" w14:textId="77777777" w:rsidR="005102BE" w:rsidRPr="005102BE" w:rsidRDefault="005102BE" w:rsidP="005102BE">
      <w:pPr>
        <w:rPr>
          <w:rFonts w:asciiTheme="majorHAnsi" w:hAnsiTheme="majorHAnsi" w:cstheme="majorHAnsi"/>
          <w:sz w:val="24"/>
          <w:szCs w:val="24"/>
        </w:rPr>
      </w:pPr>
    </w:p>
    <w:p w14:paraId="1B663E27" w14:textId="77777777" w:rsidR="005102BE" w:rsidRPr="005102BE" w:rsidRDefault="005102BE" w:rsidP="005102BE">
      <w:pPr>
        <w:rPr>
          <w:rFonts w:asciiTheme="majorHAnsi" w:hAnsiTheme="majorHAnsi" w:cstheme="majorHAnsi"/>
          <w:sz w:val="24"/>
          <w:szCs w:val="24"/>
        </w:rPr>
      </w:pPr>
      <w:proofErr w:type="spellStart"/>
      <w:r w:rsidRPr="005102BE">
        <w:rPr>
          <w:rFonts w:asciiTheme="majorHAnsi" w:hAnsiTheme="majorHAnsi" w:cstheme="majorHAnsi"/>
          <w:sz w:val="24"/>
          <w:szCs w:val="24"/>
        </w:rPr>
        <w:t>Felitti</w:t>
      </w:r>
      <w:proofErr w:type="spellEnd"/>
      <w:r w:rsidRPr="005102BE">
        <w:rPr>
          <w:rFonts w:asciiTheme="majorHAnsi" w:hAnsiTheme="majorHAnsi" w:cstheme="majorHAnsi"/>
          <w:sz w:val="24"/>
          <w:szCs w:val="24"/>
        </w:rPr>
        <w:t xml:space="preserve">, V, Anda, R, Nordenberg, D, Williamson, D, Spitz, A, Edwards, V, Koss, M, Marks, J (1998) Relationship of childhood abuse and household dysfunction to many of the leading causes of death in adults: The Adverse Childhood Experiences (ACE) study. American Journal of </w:t>
      </w:r>
      <w:proofErr w:type="spellStart"/>
      <w:r w:rsidRPr="005102BE">
        <w:rPr>
          <w:rFonts w:asciiTheme="majorHAnsi" w:hAnsiTheme="majorHAnsi" w:cstheme="majorHAnsi"/>
          <w:sz w:val="24"/>
          <w:szCs w:val="24"/>
        </w:rPr>
        <w:t>Preventetive</w:t>
      </w:r>
      <w:proofErr w:type="spellEnd"/>
      <w:r w:rsidRPr="005102BE">
        <w:rPr>
          <w:rFonts w:asciiTheme="majorHAnsi" w:hAnsiTheme="majorHAnsi" w:cstheme="majorHAnsi"/>
          <w:sz w:val="24"/>
          <w:szCs w:val="24"/>
        </w:rPr>
        <w:t xml:space="preserve"> Medicine 14(4): 245-258 </w:t>
      </w:r>
    </w:p>
    <w:p w14:paraId="3C6B2786" w14:textId="77777777" w:rsidR="005102BE" w:rsidRPr="005102BE" w:rsidRDefault="005102BE" w:rsidP="005102BE">
      <w:pPr>
        <w:rPr>
          <w:rFonts w:asciiTheme="majorHAnsi" w:hAnsiTheme="majorHAnsi" w:cstheme="majorHAnsi"/>
          <w:sz w:val="24"/>
          <w:szCs w:val="24"/>
        </w:rPr>
      </w:pPr>
    </w:p>
    <w:p w14:paraId="75D812D9" w14:textId="77777777" w:rsidR="005102BE" w:rsidRPr="005102BE" w:rsidRDefault="005102BE" w:rsidP="005102BE">
      <w:pPr>
        <w:rPr>
          <w:rFonts w:asciiTheme="majorHAnsi" w:hAnsiTheme="majorHAnsi" w:cstheme="majorHAnsi"/>
          <w:sz w:val="24"/>
          <w:szCs w:val="24"/>
        </w:rPr>
      </w:pPr>
      <w:proofErr w:type="spellStart"/>
      <w:r w:rsidRPr="005102BE">
        <w:rPr>
          <w:rFonts w:asciiTheme="majorHAnsi" w:hAnsiTheme="majorHAnsi" w:cstheme="majorHAnsi"/>
          <w:sz w:val="24"/>
          <w:szCs w:val="24"/>
        </w:rPr>
        <w:t>Christiaens</w:t>
      </w:r>
      <w:proofErr w:type="spellEnd"/>
      <w:r w:rsidRPr="005102BE">
        <w:rPr>
          <w:rFonts w:asciiTheme="majorHAnsi" w:hAnsiTheme="majorHAnsi" w:cstheme="majorHAnsi"/>
          <w:sz w:val="24"/>
          <w:szCs w:val="24"/>
        </w:rPr>
        <w:t xml:space="preserve">, I, </w:t>
      </w:r>
      <w:proofErr w:type="spellStart"/>
      <w:r w:rsidRPr="005102BE">
        <w:rPr>
          <w:rFonts w:asciiTheme="majorHAnsi" w:hAnsiTheme="majorHAnsi" w:cstheme="majorHAnsi"/>
          <w:sz w:val="24"/>
          <w:szCs w:val="24"/>
        </w:rPr>
        <w:t>Hegadoren</w:t>
      </w:r>
      <w:proofErr w:type="spellEnd"/>
      <w:r w:rsidRPr="005102BE">
        <w:rPr>
          <w:rFonts w:asciiTheme="majorHAnsi" w:hAnsiTheme="majorHAnsi" w:cstheme="majorHAnsi"/>
          <w:sz w:val="24"/>
          <w:szCs w:val="24"/>
        </w:rPr>
        <w:t xml:space="preserve">, K, Olson, DM (2015) Adverse childhood experiences are associated with spontaneous preterm birth: Case-control study. BMC Medicine 13: 124. </w:t>
      </w:r>
    </w:p>
    <w:p w14:paraId="7D58007F" w14:textId="77777777" w:rsidR="005102BE" w:rsidRPr="005102BE" w:rsidRDefault="005102BE" w:rsidP="005102BE">
      <w:pPr>
        <w:rPr>
          <w:rFonts w:asciiTheme="majorHAnsi" w:hAnsiTheme="majorHAnsi" w:cstheme="majorHAnsi"/>
          <w:sz w:val="24"/>
          <w:szCs w:val="24"/>
        </w:rPr>
      </w:pPr>
    </w:p>
    <w:p w14:paraId="3417F71B"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Ministry of Justice (2017b), </w:t>
      </w:r>
      <w:r w:rsidRPr="005102BE">
        <w:rPr>
          <w:rFonts w:asciiTheme="majorHAnsi" w:hAnsiTheme="majorHAnsi" w:cstheme="majorHAnsi"/>
          <w:i/>
          <w:iCs/>
          <w:sz w:val="24"/>
          <w:szCs w:val="24"/>
        </w:rPr>
        <w:t>Multi-Agency Public Protection Arrangements Annual Report 2016/17</w:t>
      </w:r>
      <w:r w:rsidRPr="005102BE">
        <w:rPr>
          <w:rFonts w:asciiTheme="majorHAnsi" w:hAnsiTheme="majorHAnsi" w:cstheme="majorHAnsi"/>
          <w:sz w:val="24"/>
          <w:szCs w:val="24"/>
        </w:rPr>
        <w:t xml:space="preserve"> available at </w:t>
      </w:r>
      <w:hyperlink r:id="rId19" w:history="1">
        <w:r w:rsidRPr="005102BE">
          <w:rPr>
            <w:rStyle w:val="Hyperlink"/>
            <w:rFonts w:asciiTheme="majorHAnsi" w:hAnsiTheme="majorHAnsi" w:cstheme="majorHAnsi"/>
            <w:sz w:val="24"/>
            <w:szCs w:val="24"/>
          </w:rPr>
          <w:t>https://www.gov.uk/govenment/uploads/system/uploads/attachment_data/file/655022/MAPPA=annual-report-2016-17.pdf</w:t>
        </w:r>
      </w:hyperlink>
      <w:r w:rsidRPr="005102BE">
        <w:rPr>
          <w:rFonts w:asciiTheme="majorHAnsi" w:hAnsiTheme="majorHAnsi" w:cstheme="majorHAnsi"/>
          <w:sz w:val="24"/>
          <w:szCs w:val="24"/>
        </w:rPr>
        <w:t xml:space="preserve"> (accessed 2</w:t>
      </w:r>
      <w:r w:rsidRPr="005102BE">
        <w:rPr>
          <w:rFonts w:asciiTheme="majorHAnsi" w:hAnsiTheme="majorHAnsi" w:cstheme="majorHAnsi"/>
          <w:sz w:val="24"/>
          <w:szCs w:val="24"/>
          <w:vertAlign w:val="superscript"/>
        </w:rPr>
        <w:t>nd</w:t>
      </w:r>
      <w:r w:rsidRPr="005102BE">
        <w:rPr>
          <w:rFonts w:asciiTheme="majorHAnsi" w:hAnsiTheme="majorHAnsi" w:cstheme="majorHAnsi"/>
          <w:sz w:val="24"/>
          <w:szCs w:val="24"/>
        </w:rPr>
        <w:t xml:space="preserve"> December 2021)</w:t>
      </w:r>
    </w:p>
    <w:p w14:paraId="166FA11A" w14:textId="77777777" w:rsidR="005102BE" w:rsidRPr="005102BE" w:rsidRDefault="005102BE" w:rsidP="005102BE">
      <w:pPr>
        <w:rPr>
          <w:rFonts w:asciiTheme="majorHAnsi" w:hAnsiTheme="majorHAnsi" w:cstheme="majorHAnsi"/>
          <w:sz w:val="24"/>
          <w:szCs w:val="24"/>
        </w:rPr>
      </w:pPr>
    </w:p>
    <w:p w14:paraId="53841133" w14:textId="77777777" w:rsidR="005102BE" w:rsidRPr="005102BE" w:rsidRDefault="005102BE" w:rsidP="005102BE">
      <w:pPr>
        <w:rPr>
          <w:rFonts w:asciiTheme="majorHAnsi" w:hAnsiTheme="majorHAnsi" w:cstheme="majorHAnsi"/>
          <w:sz w:val="24"/>
          <w:szCs w:val="24"/>
        </w:rPr>
      </w:pPr>
    </w:p>
    <w:p w14:paraId="0C94B88F" w14:textId="77777777" w:rsidR="005102BE" w:rsidRPr="005102BE" w:rsidRDefault="005102BE" w:rsidP="005102BE">
      <w:pPr>
        <w:rPr>
          <w:rFonts w:asciiTheme="majorHAnsi" w:hAnsiTheme="majorHAnsi" w:cstheme="majorHAnsi"/>
          <w:sz w:val="24"/>
          <w:szCs w:val="24"/>
        </w:rPr>
      </w:pPr>
    </w:p>
    <w:p w14:paraId="4078F00F" w14:textId="77777777" w:rsidR="005102BE" w:rsidRPr="005102BE" w:rsidRDefault="005102BE" w:rsidP="005102BE">
      <w:pPr>
        <w:rPr>
          <w:rFonts w:asciiTheme="majorHAnsi" w:hAnsiTheme="majorHAnsi" w:cstheme="majorHAnsi"/>
          <w:sz w:val="24"/>
          <w:szCs w:val="24"/>
        </w:rPr>
      </w:pPr>
    </w:p>
    <w:p w14:paraId="7A9E4C6F"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b/>
          <w:bCs/>
          <w:sz w:val="24"/>
          <w:szCs w:val="24"/>
        </w:rPr>
        <w:t>Task 4</w:t>
      </w:r>
      <w:r w:rsidRPr="005102BE">
        <w:rPr>
          <w:rFonts w:asciiTheme="majorHAnsi" w:hAnsiTheme="majorHAnsi" w:cstheme="majorHAnsi"/>
          <w:sz w:val="24"/>
          <w:szCs w:val="24"/>
        </w:rPr>
        <w:t xml:space="preserve"> – Information and intelligence/communication skills – critically evaluate the methods used by police in gathering information and intelligence, how information contributes to the tasking and coordinating process and how information and intelligence is communicated. (1014 words)</w:t>
      </w:r>
    </w:p>
    <w:p w14:paraId="25E72820" w14:textId="77777777" w:rsidR="005102BE" w:rsidRPr="005102BE" w:rsidRDefault="005102BE" w:rsidP="005102BE">
      <w:pPr>
        <w:rPr>
          <w:rFonts w:asciiTheme="majorHAnsi" w:hAnsiTheme="majorHAnsi" w:cstheme="majorHAnsi"/>
          <w:sz w:val="24"/>
          <w:szCs w:val="24"/>
        </w:rPr>
      </w:pPr>
    </w:p>
    <w:p w14:paraId="2FFB1962"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It should go without saying that, in order for the police as an organisation to carry out its role effectively, it must rely on gathering information and intelligence in order to inform action and policy. This essay will critically evaluate the methods used by police in gathering information and intelligence and how that information can contribute to tasking and how information and intelligence is communicated. Firstly, it is important that we define what information and intelligence is and the differences between the both. </w:t>
      </w:r>
    </w:p>
    <w:p w14:paraId="4F09A290"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According to the College of Policing, police information refers to all information obtained, recorded or processed for a policing purpose, for example personal data. Whereas intelligence is collected information which has been evaluated and developed for action. </w:t>
      </w:r>
    </w:p>
    <w:p w14:paraId="3FAE3F9C"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There are various ways in which police gather information. These can be broken down into ‘routine collection’, ‘tasked information’ and ‘volunteered information’. These three methods of information collection are relatively self-explanatory. ‘Routine collection’ is information that is collected as part of normal, day to day policing activities, such as responding to incidents and stop and search. ‘Tasked information’ is a more direct form of information collection. For example, information concerning a particular suspect. This could be obtained by many ways, including CCTV systems or covert human intelligence sources (CHIS). ‘Volunteered information’ is typically collected via the community though public contact. It is typically offered to police as the community want something to do be done regarding the information they are providing – this can also be evaluated to become intelligence. For example, a member of the public approaches a police officer and tells them about a common suspected drug dealing spot in their street. </w:t>
      </w:r>
    </w:p>
    <w:p w14:paraId="1ACB2096" w14:textId="77777777" w:rsidR="005102BE" w:rsidRPr="005102BE" w:rsidRDefault="005102BE" w:rsidP="005102BE">
      <w:pPr>
        <w:rPr>
          <w:rStyle w:val="selectable"/>
          <w:rFonts w:asciiTheme="majorHAnsi" w:hAnsiTheme="majorHAnsi" w:cstheme="majorHAnsi"/>
          <w:color w:val="000000"/>
          <w:sz w:val="24"/>
          <w:szCs w:val="24"/>
        </w:rPr>
      </w:pPr>
      <w:r w:rsidRPr="005102BE">
        <w:rPr>
          <w:rFonts w:asciiTheme="majorHAnsi" w:hAnsiTheme="majorHAnsi" w:cstheme="majorHAnsi"/>
          <w:sz w:val="24"/>
          <w:szCs w:val="24"/>
        </w:rPr>
        <w:t xml:space="preserve">Developing information into intelligence represented a fundamental shift in policing, from reactive responses to individual crimes towards a more strategic, targeted approach, that is built around the management of risk. This has been conceptualised as ‘intelligence led policing’ (ILP) </w:t>
      </w:r>
      <w:r w:rsidRPr="005102BE">
        <w:rPr>
          <w:rStyle w:val="selectable"/>
          <w:rFonts w:asciiTheme="majorHAnsi" w:hAnsiTheme="majorHAnsi" w:cstheme="majorHAnsi"/>
          <w:color w:val="000000"/>
          <w:sz w:val="24"/>
          <w:szCs w:val="24"/>
        </w:rPr>
        <w:t xml:space="preserve">(Maguire and John, 2006). The National Intelligence Model (NIM) is a framework that has been adopted throughout England and Wales to assist with the process of decision making and prioritisation based on threat and risk. </w:t>
      </w:r>
      <w:r w:rsidRPr="005102BE">
        <w:rPr>
          <w:rStyle w:val="selectable"/>
          <w:rFonts w:asciiTheme="majorHAnsi" w:hAnsiTheme="majorHAnsi" w:cstheme="majorHAnsi"/>
          <w:color w:val="000000"/>
          <w:sz w:val="24"/>
          <w:szCs w:val="24"/>
        </w:rPr>
        <w:lastRenderedPageBreak/>
        <w:t xml:space="preserve">Through the NIM, ILP has been likened to a business model, it is a way of organising information and intelligence in way that informs the best possible decisions based on the resources available (John and Maguire, 2003). </w:t>
      </w:r>
    </w:p>
    <w:p w14:paraId="7DADD6F5"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That being said, there are many ways in which the information the police gather can be analysed and evaluated for it to become usable intelligence to inform decision making and policy. One such method is the SARA model. The SARA model assumes that by being able to identify the root cause of a problem, the better our chances are of tackling said problem. SARA can be broken down into 4 stages: (College of Policing, 2019)</w:t>
      </w:r>
    </w:p>
    <w:p w14:paraId="111C6540"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Scanning – identifying potential problems</w:t>
      </w:r>
    </w:p>
    <w:p w14:paraId="0964FFA0"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Analysis – gathering information and intelligence to identify root causes of the problem</w:t>
      </w:r>
    </w:p>
    <w:p w14:paraId="02AF5985"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Response – the implementation of potential solutions to the cause identified in the analysis state </w:t>
      </w:r>
    </w:p>
    <w:p w14:paraId="1C0A063B"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Assessment – the impact of the response and whether it has had the desired impact and if </w:t>
      </w:r>
      <w:proofErr w:type="gramStart"/>
      <w:r w:rsidRPr="005102BE">
        <w:rPr>
          <w:rFonts w:asciiTheme="majorHAnsi" w:hAnsiTheme="majorHAnsi" w:cstheme="majorHAnsi"/>
          <w:sz w:val="24"/>
          <w:szCs w:val="24"/>
        </w:rPr>
        <w:t>not</w:t>
      </w:r>
      <w:proofErr w:type="gramEnd"/>
      <w:r w:rsidRPr="005102BE">
        <w:rPr>
          <w:rFonts w:asciiTheme="majorHAnsi" w:hAnsiTheme="majorHAnsi" w:cstheme="majorHAnsi"/>
          <w:sz w:val="24"/>
          <w:szCs w:val="24"/>
        </w:rPr>
        <w:t xml:space="preserve"> then the response is to be reimplemented for more effective results (Dempsey &amp; </w:t>
      </w:r>
      <w:proofErr w:type="spellStart"/>
      <w:r w:rsidRPr="005102BE">
        <w:rPr>
          <w:rFonts w:asciiTheme="majorHAnsi" w:hAnsiTheme="majorHAnsi" w:cstheme="majorHAnsi"/>
          <w:sz w:val="24"/>
          <w:szCs w:val="24"/>
        </w:rPr>
        <w:t>Forst</w:t>
      </w:r>
      <w:proofErr w:type="spellEnd"/>
      <w:r w:rsidRPr="005102BE">
        <w:rPr>
          <w:rFonts w:asciiTheme="majorHAnsi" w:hAnsiTheme="majorHAnsi" w:cstheme="majorHAnsi"/>
          <w:sz w:val="24"/>
          <w:szCs w:val="24"/>
        </w:rPr>
        <w:t>, 2012).</w:t>
      </w:r>
    </w:p>
    <w:p w14:paraId="479DC0C7"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Whilst there is evidence to suggest that, by the use of SARA, there is reduced levels of general offending, it has been heavily criticised for being over simplistic and linear (</w:t>
      </w:r>
      <w:proofErr w:type="spellStart"/>
      <w:r w:rsidRPr="005102BE">
        <w:rPr>
          <w:rFonts w:asciiTheme="majorHAnsi" w:hAnsiTheme="majorHAnsi" w:cstheme="majorHAnsi"/>
          <w:sz w:val="24"/>
          <w:szCs w:val="24"/>
        </w:rPr>
        <w:t>Ekblom</w:t>
      </w:r>
      <w:proofErr w:type="spellEnd"/>
      <w:r w:rsidRPr="005102BE">
        <w:rPr>
          <w:rFonts w:asciiTheme="majorHAnsi" w:hAnsiTheme="majorHAnsi" w:cstheme="majorHAnsi"/>
          <w:sz w:val="24"/>
          <w:szCs w:val="24"/>
        </w:rPr>
        <w:t xml:space="preserve">, 2011). </w:t>
      </w:r>
    </w:p>
    <w:p w14:paraId="09F97DBE"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SWOT analysis has lent itself to SARA, particularly in the analysis stage. SWOT is used primarily for business use, but its concepts can also be applied to crime prevention and it stands for strengths, weaknesses, opportunities and threats (Addams &amp; Allred, 2013). SWOT analysis overcomes the simplistic and linear aspect of SARA as it can identify areas for collaboration and enables the user to identify shortcomings before the response stage of the SARA model </w:t>
      </w:r>
      <w:r w:rsidRPr="005102BE">
        <w:rPr>
          <w:rStyle w:val="selectable"/>
          <w:rFonts w:asciiTheme="majorHAnsi" w:hAnsiTheme="majorHAnsi" w:cstheme="majorHAnsi"/>
          <w:color w:val="000000"/>
          <w:sz w:val="24"/>
          <w:szCs w:val="24"/>
        </w:rPr>
        <w:t>(</w:t>
      </w:r>
      <w:proofErr w:type="spellStart"/>
      <w:r w:rsidRPr="005102BE">
        <w:rPr>
          <w:rStyle w:val="selectable"/>
          <w:rFonts w:asciiTheme="majorHAnsi" w:hAnsiTheme="majorHAnsi" w:cstheme="majorHAnsi"/>
          <w:color w:val="000000"/>
          <w:sz w:val="24"/>
          <w:szCs w:val="24"/>
        </w:rPr>
        <w:t>Nwoko</w:t>
      </w:r>
      <w:proofErr w:type="spellEnd"/>
      <w:r w:rsidRPr="005102BE">
        <w:rPr>
          <w:rStyle w:val="selectable"/>
          <w:rFonts w:asciiTheme="majorHAnsi" w:hAnsiTheme="majorHAnsi" w:cstheme="majorHAnsi"/>
          <w:color w:val="000000"/>
          <w:sz w:val="24"/>
          <w:szCs w:val="24"/>
        </w:rPr>
        <w:t>, 2017).</w:t>
      </w:r>
      <w:r w:rsidRPr="005102BE">
        <w:rPr>
          <w:rFonts w:asciiTheme="majorHAnsi" w:hAnsiTheme="majorHAnsi" w:cstheme="majorHAnsi"/>
          <w:sz w:val="24"/>
          <w:szCs w:val="24"/>
        </w:rPr>
        <w:t xml:space="preserve"> For example, a problem identified from information may be that one particular area has a drug dealing problem. A strength of a response to this problem could be to have a specific resource directed to patrol this area whereas a weakness could be a lack of available resources.</w:t>
      </w:r>
    </w:p>
    <w:p w14:paraId="4359A7A2" w14:textId="77777777" w:rsidR="005102BE" w:rsidRPr="005102BE" w:rsidRDefault="005102BE" w:rsidP="005102BE">
      <w:pPr>
        <w:rPr>
          <w:rStyle w:val="selectable"/>
          <w:rFonts w:asciiTheme="majorHAnsi" w:hAnsiTheme="majorHAnsi" w:cstheme="majorHAnsi"/>
          <w:color w:val="000000"/>
          <w:sz w:val="24"/>
          <w:szCs w:val="24"/>
        </w:rPr>
      </w:pPr>
    </w:p>
    <w:p w14:paraId="6180C1E0"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The NIM recognises the communication of policing information operates in three tiers. Tier 1 concentrates on localised policing. For example, looking at the issues of anti-social behaviour in the Cardiff Bay area. Tier 1 goals will differ from one BCU to the next. Tier 2 looks at force-wide issues whereas tier 3 in concerned with national and international threats. According to the NIM, the management of information is essentially the same at each level, so that information from tier 1 can be collated and inform decision making for tiers 2 and 3. For example, information regarding local drug dealers and the impact on local communities can be gathered and communicated at tier 1. Tier 2 may focus on the drug supply networks across different BCU’s and tier 3 may concentrate of information regarding the importation of drugs (John and Maguire, 2003).</w:t>
      </w:r>
    </w:p>
    <w:p w14:paraId="239A87EB" w14:textId="77777777" w:rsidR="005102BE" w:rsidRPr="005102BE" w:rsidRDefault="005102BE" w:rsidP="005102BE">
      <w:pPr>
        <w:rPr>
          <w:rStyle w:val="selectable"/>
          <w:rFonts w:asciiTheme="majorHAnsi" w:hAnsiTheme="majorHAnsi" w:cstheme="majorHAnsi"/>
          <w:color w:val="000000"/>
          <w:sz w:val="24"/>
          <w:szCs w:val="24"/>
        </w:rPr>
      </w:pPr>
    </w:p>
    <w:p w14:paraId="7A5CF82B"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According to the NIM, once information and intelligence has been gathered, the threat and risk that information poses must be assessed and a working strategy is to be developed. A part of that working strategy is to task and co-ordinate groups (TCG) who have the ability to allocate resources. Evidently, this responsibility will fall to those resource managers, typically an Inspector or Superintendent, but can fall to other agencies such as the local authorities too. The TCG are informed by analysed intelligence and they are responsible for achieving the desired outcomes and can be informed via daily meetings or collaboration with local intelligence units. TCG’S can operate on each tier mentioned above, and they will often overlap with one another (Carter and Fox, 2019).</w:t>
      </w:r>
    </w:p>
    <w:p w14:paraId="5BA9737E" w14:textId="77777777" w:rsidR="005102BE" w:rsidRPr="005102BE" w:rsidRDefault="005102BE" w:rsidP="005102BE">
      <w:pPr>
        <w:rPr>
          <w:rStyle w:val="selectable"/>
          <w:rFonts w:asciiTheme="majorHAnsi" w:hAnsiTheme="majorHAnsi" w:cstheme="majorHAnsi"/>
          <w:color w:val="000000"/>
          <w:sz w:val="24"/>
          <w:szCs w:val="24"/>
        </w:rPr>
      </w:pPr>
    </w:p>
    <w:p w14:paraId="0EC09BF1" w14:textId="77777777" w:rsidR="005102BE" w:rsidRPr="005102BE" w:rsidRDefault="005102BE" w:rsidP="005102BE">
      <w:pPr>
        <w:rPr>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To conclude, this response has highlighted how important information and intelligence is to the </w:t>
      </w:r>
      <w:proofErr w:type="spellStart"/>
      <w:r w:rsidRPr="005102BE">
        <w:rPr>
          <w:rStyle w:val="selectable"/>
          <w:rFonts w:asciiTheme="majorHAnsi" w:hAnsiTheme="majorHAnsi" w:cstheme="majorHAnsi"/>
          <w:color w:val="000000"/>
          <w:sz w:val="24"/>
          <w:szCs w:val="24"/>
        </w:rPr>
        <w:t>to</w:t>
      </w:r>
      <w:proofErr w:type="spellEnd"/>
      <w:r w:rsidRPr="005102BE">
        <w:rPr>
          <w:rStyle w:val="selectable"/>
          <w:rFonts w:asciiTheme="majorHAnsi" w:hAnsiTheme="majorHAnsi" w:cstheme="majorHAnsi"/>
          <w:color w:val="000000"/>
          <w:sz w:val="24"/>
          <w:szCs w:val="24"/>
        </w:rPr>
        <w:t xml:space="preserve"> role of policing. It has looked at an area of information gathering and some of </w:t>
      </w:r>
      <w:proofErr w:type="spellStart"/>
      <w:proofErr w:type="gramStart"/>
      <w:r w:rsidRPr="005102BE">
        <w:rPr>
          <w:rStyle w:val="selectable"/>
          <w:rFonts w:asciiTheme="majorHAnsi" w:hAnsiTheme="majorHAnsi" w:cstheme="majorHAnsi"/>
          <w:color w:val="000000"/>
          <w:sz w:val="24"/>
          <w:szCs w:val="24"/>
        </w:rPr>
        <w:t>it’s</w:t>
      </w:r>
      <w:proofErr w:type="spellEnd"/>
      <w:proofErr w:type="gramEnd"/>
      <w:r w:rsidRPr="005102BE">
        <w:rPr>
          <w:rStyle w:val="selectable"/>
          <w:rFonts w:asciiTheme="majorHAnsi" w:hAnsiTheme="majorHAnsi" w:cstheme="majorHAnsi"/>
          <w:color w:val="000000"/>
          <w:sz w:val="24"/>
          <w:szCs w:val="24"/>
        </w:rPr>
        <w:t xml:space="preserve"> potential shortcomings and how they can be overcome, actioned and communicated. I have discussed how in essence policing has shifted toward a business model (NIM) to ensure that the best, most informed decisions can be made based on the resources available.  </w:t>
      </w:r>
    </w:p>
    <w:p w14:paraId="0E2B2700" w14:textId="77777777" w:rsidR="005102BE" w:rsidRPr="005102BE" w:rsidRDefault="005102BE" w:rsidP="005102BE">
      <w:pPr>
        <w:rPr>
          <w:rFonts w:asciiTheme="majorHAnsi" w:hAnsiTheme="majorHAnsi" w:cstheme="majorHAnsi"/>
          <w:sz w:val="24"/>
          <w:szCs w:val="24"/>
        </w:rPr>
      </w:pPr>
    </w:p>
    <w:p w14:paraId="2883D230" w14:textId="77777777" w:rsidR="005102BE" w:rsidRPr="005102BE" w:rsidRDefault="005102BE" w:rsidP="005102BE">
      <w:pPr>
        <w:rPr>
          <w:rFonts w:asciiTheme="majorHAnsi" w:hAnsiTheme="majorHAnsi" w:cstheme="majorHAnsi"/>
          <w:sz w:val="24"/>
          <w:szCs w:val="24"/>
        </w:rPr>
      </w:pPr>
    </w:p>
    <w:p w14:paraId="64235533" w14:textId="77777777" w:rsidR="005102BE" w:rsidRPr="005102BE" w:rsidRDefault="005102BE" w:rsidP="005102BE">
      <w:pPr>
        <w:rPr>
          <w:rFonts w:asciiTheme="majorHAnsi" w:hAnsiTheme="majorHAnsi" w:cstheme="majorHAnsi"/>
          <w:sz w:val="24"/>
          <w:szCs w:val="24"/>
        </w:rPr>
      </w:pPr>
    </w:p>
    <w:p w14:paraId="3A887698" w14:textId="77777777" w:rsidR="005102BE" w:rsidRPr="005102BE" w:rsidRDefault="005102BE" w:rsidP="005102BE">
      <w:pPr>
        <w:rPr>
          <w:rFonts w:asciiTheme="majorHAnsi" w:hAnsiTheme="majorHAnsi" w:cstheme="majorHAnsi"/>
          <w:sz w:val="24"/>
          <w:szCs w:val="24"/>
        </w:rPr>
      </w:pPr>
    </w:p>
    <w:p w14:paraId="203A82BB" w14:textId="77777777" w:rsidR="005102BE" w:rsidRPr="005102BE" w:rsidRDefault="005102BE" w:rsidP="005102BE">
      <w:pPr>
        <w:rPr>
          <w:rFonts w:asciiTheme="majorHAnsi" w:hAnsiTheme="majorHAnsi" w:cstheme="majorHAnsi"/>
          <w:sz w:val="24"/>
          <w:szCs w:val="24"/>
        </w:rPr>
      </w:pPr>
    </w:p>
    <w:p w14:paraId="7FB60DC8" w14:textId="77777777" w:rsidR="005102BE" w:rsidRPr="005102BE" w:rsidRDefault="005102BE" w:rsidP="005102BE">
      <w:pPr>
        <w:rPr>
          <w:rFonts w:asciiTheme="majorHAnsi" w:hAnsiTheme="majorHAnsi" w:cstheme="majorHAnsi"/>
          <w:sz w:val="24"/>
          <w:szCs w:val="24"/>
        </w:rPr>
      </w:pPr>
    </w:p>
    <w:p w14:paraId="063BA74C"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References</w:t>
      </w:r>
    </w:p>
    <w:p w14:paraId="398DC8FB"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Addams, L. &amp; Allred, A. T. (2013). The first step in proactively managing students’ careers: Teaching self-swot analysis. Academy of Educational Leadership Journal, 17 (4), 43-51.</w:t>
      </w:r>
    </w:p>
    <w:p w14:paraId="0F640BC5"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Carter, J. and Fox, B., 2019. Community policing and intelligence-led policing. </w:t>
      </w:r>
      <w:r w:rsidRPr="005102BE">
        <w:rPr>
          <w:rStyle w:val="selectable"/>
          <w:rFonts w:asciiTheme="majorHAnsi" w:hAnsiTheme="majorHAnsi" w:cstheme="majorHAnsi"/>
          <w:i/>
          <w:iCs/>
          <w:color w:val="000000"/>
          <w:sz w:val="24"/>
          <w:szCs w:val="24"/>
        </w:rPr>
        <w:t>Policing: An International Journal</w:t>
      </w:r>
      <w:r w:rsidRPr="005102BE">
        <w:rPr>
          <w:rStyle w:val="selectable"/>
          <w:rFonts w:asciiTheme="majorHAnsi" w:hAnsiTheme="majorHAnsi" w:cstheme="majorHAnsi"/>
          <w:color w:val="000000"/>
          <w:sz w:val="24"/>
          <w:szCs w:val="24"/>
        </w:rPr>
        <w:t>, 42(1), pp.43-58.</w:t>
      </w:r>
    </w:p>
    <w:p w14:paraId="0C243C17" w14:textId="77777777" w:rsidR="005102BE" w:rsidRPr="005102BE" w:rsidRDefault="005102BE" w:rsidP="005102BE">
      <w:pPr>
        <w:rPr>
          <w:rFonts w:asciiTheme="majorHAnsi" w:hAnsiTheme="majorHAnsi" w:cstheme="majorHAnsi"/>
          <w:sz w:val="24"/>
          <w:szCs w:val="24"/>
        </w:rPr>
      </w:pPr>
      <w:r w:rsidRPr="005102BE">
        <w:rPr>
          <w:rFonts w:asciiTheme="majorHAnsi" w:hAnsiTheme="majorHAnsi" w:cstheme="majorHAnsi"/>
          <w:sz w:val="24"/>
          <w:szCs w:val="24"/>
        </w:rPr>
        <w:t xml:space="preserve">Dempsey, J. S. &amp; </w:t>
      </w:r>
      <w:proofErr w:type="spellStart"/>
      <w:r w:rsidRPr="005102BE">
        <w:rPr>
          <w:rFonts w:asciiTheme="majorHAnsi" w:hAnsiTheme="majorHAnsi" w:cstheme="majorHAnsi"/>
          <w:sz w:val="24"/>
          <w:szCs w:val="24"/>
        </w:rPr>
        <w:t>Forst</w:t>
      </w:r>
      <w:proofErr w:type="spellEnd"/>
      <w:r w:rsidRPr="005102BE">
        <w:rPr>
          <w:rFonts w:asciiTheme="majorHAnsi" w:hAnsiTheme="majorHAnsi" w:cstheme="majorHAnsi"/>
          <w:sz w:val="24"/>
          <w:szCs w:val="24"/>
        </w:rPr>
        <w:t>, L. S. (2012).  An introduction to policing. Clifton Park, NY: Delmar, Cengage Learning.</w:t>
      </w:r>
    </w:p>
    <w:p w14:paraId="652208AF" w14:textId="77777777" w:rsidR="005102BE" w:rsidRPr="005102BE" w:rsidRDefault="005102BE" w:rsidP="005102BE">
      <w:pPr>
        <w:rPr>
          <w:rFonts w:asciiTheme="majorHAnsi" w:hAnsiTheme="majorHAnsi" w:cstheme="majorHAnsi"/>
          <w:sz w:val="24"/>
          <w:szCs w:val="24"/>
        </w:rPr>
      </w:pPr>
      <w:proofErr w:type="spellStart"/>
      <w:r w:rsidRPr="005102BE">
        <w:rPr>
          <w:rFonts w:asciiTheme="majorHAnsi" w:hAnsiTheme="majorHAnsi" w:cstheme="majorHAnsi"/>
          <w:sz w:val="24"/>
          <w:szCs w:val="24"/>
        </w:rPr>
        <w:t>Ekblom</w:t>
      </w:r>
      <w:proofErr w:type="spellEnd"/>
      <w:r w:rsidRPr="005102BE">
        <w:rPr>
          <w:rFonts w:asciiTheme="majorHAnsi" w:hAnsiTheme="majorHAnsi" w:cstheme="majorHAnsi"/>
          <w:sz w:val="24"/>
          <w:szCs w:val="24"/>
        </w:rPr>
        <w:t>, P. (2011). Crime prevention, security, and community safety using the 5Is framework.  New York:  Palgrave Macmillan.</w:t>
      </w:r>
    </w:p>
    <w:p w14:paraId="65B4029B" w14:textId="77777777" w:rsidR="005102BE" w:rsidRPr="005102BE" w:rsidRDefault="005102BE" w:rsidP="005102BE">
      <w:pPr>
        <w:rPr>
          <w:rFonts w:asciiTheme="majorHAnsi" w:hAnsiTheme="majorHAnsi" w:cstheme="majorHAnsi"/>
          <w:sz w:val="24"/>
          <w:szCs w:val="24"/>
        </w:rPr>
      </w:pPr>
      <w:r w:rsidRPr="005102BE">
        <w:rPr>
          <w:rStyle w:val="markedcontent"/>
          <w:rFonts w:asciiTheme="majorHAnsi" w:hAnsiTheme="majorHAnsi" w:cstheme="majorHAnsi"/>
          <w:sz w:val="24"/>
          <w:szCs w:val="24"/>
        </w:rPr>
        <w:t>John, T. and Maguire, M. (2003) ‘Rolling out the National Intelligence Model: key</w:t>
      </w:r>
      <w:r w:rsidRPr="005102BE">
        <w:rPr>
          <w:rFonts w:asciiTheme="majorHAnsi" w:hAnsiTheme="majorHAnsi" w:cstheme="majorHAnsi"/>
          <w:sz w:val="24"/>
          <w:szCs w:val="24"/>
        </w:rPr>
        <w:br/>
      </w:r>
      <w:r w:rsidRPr="005102BE">
        <w:rPr>
          <w:rStyle w:val="markedcontent"/>
          <w:rFonts w:asciiTheme="majorHAnsi" w:hAnsiTheme="majorHAnsi" w:cstheme="majorHAnsi"/>
          <w:sz w:val="24"/>
          <w:szCs w:val="24"/>
        </w:rPr>
        <w:t>challenges’ in K. Bullock and N. Tilley (eds.) Crime Reduction and Problem Oriented</w:t>
      </w:r>
      <w:r w:rsidRPr="005102BE">
        <w:rPr>
          <w:rFonts w:asciiTheme="majorHAnsi" w:hAnsiTheme="majorHAnsi" w:cstheme="majorHAnsi"/>
          <w:sz w:val="24"/>
          <w:szCs w:val="24"/>
        </w:rPr>
        <w:br/>
      </w:r>
      <w:r w:rsidRPr="005102BE">
        <w:rPr>
          <w:rStyle w:val="markedcontent"/>
          <w:rFonts w:asciiTheme="majorHAnsi" w:hAnsiTheme="majorHAnsi" w:cstheme="majorHAnsi"/>
          <w:sz w:val="24"/>
          <w:szCs w:val="24"/>
        </w:rPr>
        <w:t>Policing. Cullompton: Willan</w:t>
      </w:r>
    </w:p>
    <w:p w14:paraId="45D4D6C4"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Maguire, M. and John, T., 2006. Intelligence Led Policing, Managerialism and Community Engagement: Competing Priorities and the Role of the National Intelligence Model in the UK. </w:t>
      </w:r>
      <w:r w:rsidRPr="005102BE">
        <w:rPr>
          <w:rStyle w:val="selectable"/>
          <w:rFonts w:asciiTheme="majorHAnsi" w:hAnsiTheme="majorHAnsi" w:cstheme="majorHAnsi"/>
          <w:i/>
          <w:iCs/>
          <w:color w:val="000000"/>
          <w:sz w:val="24"/>
          <w:szCs w:val="24"/>
        </w:rPr>
        <w:t>Policing and Society</w:t>
      </w:r>
      <w:r w:rsidRPr="005102BE">
        <w:rPr>
          <w:rStyle w:val="selectable"/>
          <w:rFonts w:asciiTheme="majorHAnsi" w:hAnsiTheme="majorHAnsi" w:cstheme="majorHAnsi"/>
          <w:color w:val="000000"/>
          <w:sz w:val="24"/>
          <w:szCs w:val="24"/>
        </w:rPr>
        <w:t>, 16(1), pp.67-85.</w:t>
      </w:r>
    </w:p>
    <w:p w14:paraId="113FEA9B" w14:textId="77777777" w:rsidR="005102BE" w:rsidRPr="005102BE" w:rsidRDefault="005102BE" w:rsidP="005102BE">
      <w:pPr>
        <w:rPr>
          <w:rStyle w:val="selectable"/>
          <w:rFonts w:asciiTheme="majorHAnsi" w:hAnsiTheme="majorHAnsi" w:cstheme="majorHAnsi"/>
          <w:color w:val="000000"/>
          <w:sz w:val="24"/>
          <w:szCs w:val="24"/>
        </w:rPr>
      </w:pPr>
      <w:proofErr w:type="spellStart"/>
      <w:r w:rsidRPr="005102BE">
        <w:rPr>
          <w:rStyle w:val="selectable"/>
          <w:rFonts w:asciiTheme="majorHAnsi" w:hAnsiTheme="majorHAnsi" w:cstheme="majorHAnsi"/>
          <w:color w:val="000000"/>
          <w:sz w:val="24"/>
          <w:szCs w:val="24"/>
        </w:rPr>
        <w:t>Nwoko</w:t>
      </w:r>
      <w:proofErr w:type="spellEnd"/>
      <w:r w:rsidRPr="005102BE">
        <w:rPr>
          <w:rStyle w:val="selectable"/>
          <w:rFonts w:asciiTheme="majorHAnsi" w:hAnsiTheme="majorHAnsi" w:cstheme="majorHAnsi"/>
          <w:color w:val="000000"/>
          <w:sz w:val="24"/>
          <w:szCs w:val="24"/>
        </w:rPr>
        <w:t xml:space="preserve">, S., 2017. </w:t>
      </w:r>
      <w:r w:rsidRPr="005102BE">
        <w:rPr>
          <w:rStyle w:val="selectable"/>
          <w:rFonts w:asciiTheme="majorHAnsi" w:hAnsiTheme="majorHAnsi" w:cstheme="majorHAnsi"/>
          <w:i/>
          <w:iCs/>
          <w:color w:val="000000"/>
          <w:sz w:val="24"/>
          <w:szCs w:val="24"/>
        </w:rPr>
        <w:t>Revitalizing Problem-Oriented Policing Through SWOT Analysis Concepts</w:t>
      </w:r>
      <w:r w:rsidRPr="005102BE">
        <w:rPr>
          <w:rStyle w:val="selectable"/>
          <w:rFonts w:asciiTheme="majorHAnsi" w:hAnsiTheme="majorHAnsi" w:cstheme="majorHAnsi"/>
          <w:color w:val="000000"/>
          <w:sz w:val="24"/>
          <w:szCs w:val="24"/>
        </w:rPr>
        <w:t>. [online] Ebpsociety.org. Available at: &lt;https://www.ebpsociety.org/36-the-ebp-quarterly/q1-2017/252-revitalizing-problem-oriented-policing-through-swot-analysis-concepts&gt; [Accessed 13 January 2022].</w:t>
      </w:r>
    </w:p>
    <w:p w14:paraId="5C180822"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Whatworks.college.police.uk. 2022. </w:t>
      </w:r>
      <w:r w:rsidRPr="005102BE">
        <w:rPr>
          <w:rStyle w:val="selectable"/>
          <w:rFonts w:asciiTheme="majorHAnsi" w:hAnsiTheme="majorHAnsi" w:cstheme="majorHAnsi"/>
          <w:i/>
          <w:iCs/>
          <w:color w:val="000000"/>
          <w:sz w:val="24"/>
          <w:szCs w:val="24"/>
        </w:rPr>
        <w:t>Problem-oriented policing</w:t>
      </w:r>
      <w:r w:rsidRPr="005102BE">
        <w:rPr>
          <w:rStyle w:val="selectable"/>
          <w:rFonts w:asciiTheme="majorHAnsi" w:hAnsiTheme="majorHAnsi" w:cstheme="majorHAnsi"/>
          <w:color w:val="000000"/>
          <w:sz w:val="24"/>
          <w:szCs w:val="24"/>
        </w:rPr>
        <w:t>. [online] Available at: &lt;https://whatworks.college.police.uk/toolkit/Pages/Intervention.aspx?InterventionID=47&gt; [Accessed 13 January 2022].</w:t>
      </w:r>
    </w:p>
    <w:p w14:paraId="20FCF9AA" w14:textId="77777777" w:rsidR="005102BE" w:rsidRPr="005102BE" w:rsidRDefault="005102BE" w:rsidP="005102BE">
      <w:pPr>
        <w:rPr>
          <w:rStyle w:val="selectable"/>
          <w:rFonts w:asciiTheme="majorHAnsi" w:hAnsiTheme="majorHAnsi" w:cstheme="majorHAnsi"/>
          <w:color w:val="000000"/>
          <w:sz w:val="24"/>
          <w:szCs w:val="24"/>
        </w:rPr>
      </w:pPr>
    </w:p>
    <w:p w14:paraId="2402A528" w14:textId="77777777" w:rsidR="005102BE" w:rsidRPr="005102BE" w:rsidRDefault="005102BE" w:rsidP="005102BE">
      <w:pPr>
        <w:rPr>
          <w:rStyle w:val="selectable"/>
          <w:rFonts w:asciiTheme="majorHAnsi" w:hAnsiTheme="majorHAnsi" w:cstheme="majorHAnsi"/>
          <w:color w:val="000000"/>
          <w:sz w:val="24"/>
          <w:szCs w:val="24"/>
        </w:rPr>
      </w:pPr>
    </w:p>
    <w:p w14:paraId="1486C46E" w14:textId="77777777" w:rsidR="005102BE" w:rsidRPr="005102BE" w:rsidRDefault="005102BE" w:rsidP="005102BE">
      <w:pPr>
        <w:rPr>
          <w:rStyle w:val="selectable"/>
          <w:rFonts w:asciiTheme="majorHAnsi" w:hAnsiTheme="majorHAnsi" w:cstheme="majorHAnsi"/>
          <w:color w:val="000000"/>
          <w:sz w:val="24"/>
          <w:szCs w:val="24"/>
        </w:rPr>
      </w:pPr>
    </w:p>
    <w:p w14:paraId="112A5BB9" w14:textId="77777777" w:rsidR="005102BE" w:rsidRPr="005102BE" w:rsidRDefault="005102BE" w:rsidP="005102BE">
      <w:pPr>
        <w:rPr>
          <w:rStyle w:val="selectable"/>
          <w:rFonts w:asciiTheme="majorHAnsi" w:hAnsiTheme="majorHAnsi" w:cstheme="majorHAnsi"/>
          <w:color w:val="000000"/>
          <w:sz w:val="24"/>
          <w:szCs w:val="24"/>
        </w:rPr>
      </w:pPr>
    </w:p>
    <w:p w14:paraId="210D7EAF" w14:textId="77777777" w:rsidR="005102BE" w:rsidRPr="005102BE" w:rsidRDefault="005102BE" w:rsidP="005102BE">
      <w:pPr>
        <w:rPr>
          <w:rStyle w:val="selectable"/>
          <w:rFonts w:asciiTheme="majorHAnsi" w:hAnsiTheme="majorHAnsi" w:cstheme="majorHAnsi"/>
          <w:color w:val="000000"/>
          <w:sz w:val="24"/>
          <w:szCs w:val="24"/>
        </w:rPr>
      </w:pPr>
    </w:p>
    <w:p w14:paraId="1DC1B513" w14:textId="77777777" w:rsidR="005102BE" w:rsidRPr="005102BE" w:rsidRDefault="005102BE" w:rsidP="005102BE">
      <w:pPr>
        <w:rPr>
          <w:rStyle w:val="selectable"/>
          <w:rFonts w:asciiTheme="majorHAnsi" w:hAnsiTheme="majorHAnsi" w:cstheme="majorHAnsi"/>
          <w:color w:val="000000"/>
          <w:sz w:val="24"/>
          <w:szCs w:val="24"/>
        </w:rPr>
      </w:pPr>
    </w:p>
    <w:p w14:paraId="2B4C67E7" w14:textId="77777777" w:rsidR="005102BE" w:rsidRPr="005102BE" w:rsidRDefault="005102BE" w:rsidP="005102BE">
      <w:pPr>
        <w:rPr>
          <w:rStyle w:val="selectable"/>
          <w:rFonts w:asciiTheme="majorHAnsi" w:hAnsiTheme="majorHAnsi" w:cstheme="majorHAnsi"/>
          <w:color w:val="000000"/>
          <w:sz w:val="24"/>
          <w:szCs w:val="24"/>
        </w:rPr>
      </w:pPr>
    </w:p>
    <w:p w14:paraId="2D3AE621" w14:textId="77777777" w:rsidR="005102BE" w:rsidRPr="005102BE" w:rsidRDefault="005102BE" w:rsidP="005102BE">
      <w:pPr>
        <w:rPr>
          <w:rStyle w:val="selectable"/>
          <w:rFonts w:asciiTheme="majorHAnsi" w:hAnsiTheme="majorHAnsi" w:cstheme="majorHAnsi"/>
          <w:color w:val="000000"/>
          <w:sz w:val="24"/>
          <w:szCs w:val="24"/>
        </w:rPr>
      </w:pPr>
    </w:p>
    <w:p w14:paraId="479B5854" w14:textId="77777777" w:rsidR="005102BE" w:rsidRPr="005102BE" w:rsidRDefault="005102BE" w:rsidP="005102BE">
      <w:pPr>
        <w:rPr>
          <w:rStyle w:val="selectable"/>
          <w:rFonts w:asciiTheme="majorHAnsi" w:hAnsiTheme="majorHAnsi" w:cstheme="majorHAnsi"/>
          <w:color w:val="000000"/>
          <w:sz w:val="24"/>
          <w:szCs w:val="24"/>
        </w:rPr>
      </w:pPr>
    </w:p>
    <w:p w14:paraId="2D986E47" w14:textId="77777777" w:rsidR="005102BE" w:rsidRPr="005102BE" w:rsidRDefault="005102BE" w:rsidP="005102BE">
      <w:pPr>
        <w:rPr>
          <w:rStyle w:val="selectable"/>
          <w:rFonts w:asciiTheme="majorHAnsi" w:hAnsiTheme="majorHAnsi" w:cstheme="majorHAnsi"/>
          <w:color w:val="000000"/>
          <w:sz w:val="24"/>
          <w:szCs w:val="24"/>
        </w:rPr>
      </w:pPr>
    </w:p>
    <w:p w14:paraId="4BCB5283" w14:textId="77777777" w:rsidR="005102BE" w:rsidRPr="005102BE" w:rsidRDefault="005102BE" w:rsidP="005102BE">
      <w:pPr>
        <w:rPr>
          <w:rStyle w:val="selectable"/>
          <w:rFonts w:asciiTheme="majorHAnsi" w:hAnsiTheme="majorHAnsi" w:cstheme="majorHAnsi"/>
          <w:color w:val="000000"/>
          <w:sz w:val="24"/>
          <w:szCs w:val="24"/>
        </w:rPr>
      </w:pPr>
    </w:p>
    <w:p w14:paraId="522958AF" w14:textId="77777777" w:rsidR="005102BE" w:rsidRPr="005102BE" w:rsidRDefault="005102BE" w:rsidP="005102BE">
      <w:pPr>
        <w:rPr>
          <w:rStyle w:val="selectable"/>
          <w:rFonts w:asciiTheme="majorHAnsi" w:hAnsiTheme="majorHAnsi" w:cstheme="majorHAnsi"/>
          <w:color w:val="000000"/>
          <w:sz w:val="24"/>
          <w:szCs w:val="24"/>
        </w:rPr>
      </w:pPr>
    </w:p>
    <w:p w14:paraId="173C1D66" w14:textId="77777777" w:rsidR="005102BE" w:rsidRPr="005102BE" w:rsidRDefault="005102BE" w:rsidP="005102BE">
      <w:pPr>
        <w:rPr>
          <w:rStyle w:val="selectable"/>
          <w:rFonts w:asciiTheme="majorHAnsi" w:hAnsiTheme="majorHAnsi" w:cstheme="majorHAnsi"/>
          <w:color w:val="000000"/>
          <w:sz w:val="24"/>
          <w:szCs w:val="24"/>
        </w:rPr>
      </w:pPr>
    </w:p>
    <w:p w14:paraId="78409423" w14:textId="77777777" w:rsidR="005102BE" w:rsidRPr="005102BE" w:rsidRDefault="005102BE" w:rsidP="005102BE">
      <w:pPr>
        <w:rPr>
          <w:rStyle w:val="selectable"/>
          <w:rFonts w:asciiTheme="majorHAnsi" w:hAnsiTheme="majorHAnsi" w:cstheme="majorHAnsi"/>
          <w:color w:val="000000"/>
          <w:sz w:val="24"/>
          <w:szCs w:val="24"/>
        </w:rPr>
      </w:pPr>
    </w:p>
    <w:p w14:paraId="60800ADC"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b/>
          <w:bCs/>
          <w:color w:val="000000"/>
          <w:sz w:val="24"/>
          <w:szCs w:val="24"/>
        </w:rPr>
        <w:t xml:space="preserve">Task 5 – Evidence based policing/criminology and crime prevention/criminal justice </w:t>
      </w:r>
      <w:r w:rsidRPr="005102BE">
        <w:rPr>
          <w:rStyle w:val="selectable"/>
          <w:rFonts w:asciiTheme="majorHAnsi" w:hAnsiTheme="majorHAnsi" w:cstheme="majorHAnsi"/>
          <w:color w:val="000000"/>
          <w:sz w:val="24"/>
          <w:szCs w:val="24"/>
        </w:rPr>
        <w:t>Critically analyse the concept of evidence-based policing and ‘what works’ in policing evaluating crime prevention theories and strategies and considering the options open to reduce re-offending. (1015 words)</w:t>
      </w:r>
    </w:p>
    <w:p w14:paraId="2B2D7569" w14:textId="77777777" w:rsidR="005102BE" w:rsidRPr="005102BE" w:rsidRDefault="005102BE" w:rsidP="005102BE">
      <w:pPr>
        <w:rPr>
          <w:rStyle w:val="selectable"/>
          <w:rFonts w:asciiTheme="majorHAnsi" w:hAnsiTheme="majorHAnsi" w:cstheme="majorHAnsi"/>
          <w:color w:val="000000"/>
          <w:sz w:val="24"/>
          <w:szCs w:val="24"/>
        </w:rPr>
      </w:pPr>
    </w:p>
    <w:p w14:paraId="09FE0EAC"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The notion of evidence-based policing (EBP) has been promoted by a number of professional and academic bodies as an approach to bettering policing interventions, strategies and countering crime in the UK. It was originally coined by Lawrence Sherman in 1998 and EBP has been defined by the college of policing as ‘In an evidence-based policing approach, police officers, staff and volunteers create, review and use the best available evidence to inform and challenge policies, practices and </w:t>
      </w:r>
      <w:proofErr w:type="gramStart"/>
      <w:r w:rsidRPr="005102BE">
        <w:rPr>
          <w:rStyle w:val="selectable"/>
          <w:rFonts w:asciiTheme="majorHAnsi" w:hAnsiTheme="majorHAnsi" w:cstheme="majorHAnsi"/>
          <w:color w:val="000000"/>
          <w:sz w:val="24"/>
          <w:szCs w:val="24"/>
        </w:rPr>
        <w:t>decisions’</w:t>
      </w:r>
      <w:proofErr w:type="gramEnd"/>
      <w:r w:rsidRPr="005102BE">
        <w:rPr>
          <w:rStyle w:val="selectable"/>
          <w:rFonts w:asciiTheme="majorHAnsi" w:hAnsiTheme="majorHAnsi" w:cstheme="majorHAnsi"/>
          <w:color w:val="000000"/>
          <w:sz w:val="24"/>
          <w:szCs w:val="24"/>
        </w:rPr>
        <w:t xml:space="preserve">. EBP identifies the ‘scientific approach’ as the gold standard of research and by applying the same approach to policing, more informed decisions can be made. </w:t>
      </w:r>
      <w:proofErr w:type="gramStart"/>
      <w:r w:rsidRPr="005102BE">
        <w:rPr>
          <w:rStyle w:val="selectable"/>
          <w:rFonts w:asciiTheme="majorHAnsi" w:hAnsiTheme="majorHAnsi" w:cstheme="majorHAnsi"/>
          <w:color w:val="000000"/>
          <w:sz w:val="24"/>
          <w:szCs w:val="24"/>
        </w:rPr>
        <w:t>Similarly</w:t>
      </w:r>
      <w:proofErr w:type="gramEnd"/>
      <w:r w:rsidRPr="005102BE">
        <w:rPr>
          <w:rStyle w:val="selectable"/>
          <w:rFonts w:asciiTheme="majorHAnsi" w:hAnsiTheme="majorHAnsi" w:cstheme="majorHAnsi"/>
          <w:color w:val="000000"/>
          <w:sz w:val="24"/>
          <w:szCs w:val="24"/>
        </w:rPr>
        <w:t xml:space="preserve"> to the scientific approach, EBP uses the best available evidence and research methods for the question being asked. To put this into a policing context, this could be how to reduce the level of anti-social behaviour in a particular area. Therefore, EBP would use previous theories and research into anti-social behaviour and its causes and strategize a ‘what works’ solution to aid with developing a working plan. It is important to note however, that EBP emphasises transparency by </w:t>
      </w:r>
      <w:r w:rsidRPr="005102BE">
        <w:rPr>
          <w:rStyle w:val="selectable"/>
          <w:rFonts w:asciiTheme="majorHAnsi" w:hAnsiTheme="majorHAnsi" w:cstheme="majorHAnsi"/>
          <w:color w:val="000000"/>
          <w:sz w:val="24"/>
          <w:szCs w:val="24"/>
        </w:rPr>
        <w:lastRenderedPageBreak/>
        <w:t xml:space="preserve">identifying the potential limitations in the research methods used and conclusions made. So, in continuing with the above example, a potential limitation that may be identified is that a method used to reduce anti-social behaviour in one area, may be ineffective in another area due to other factors or limitations. In this response I will critically analyse ‘what works’ when evaluating crime preventions theories. I will also discuss strategies and options open to reduce re-offending. </w:t>
      </w:r>
    </w:p>
    <w:p w14:paraId="72858192" w14:textId="77777777" w:rsidR="005102BE" w:rsidRPr="005102BE" w:rsidRDefault="005102BE" w:rsidP="005102BE">
      <w:pPr>
        <w:rPr>
          <w:rStyle w:val="selectable"/>
          <w:rFonts w:asciiTheme="majorHAnsi" w:hAnsiTheme="majorHAnsi" w:cstheme="majorHAnsi"/>
          <w:color w:val="000000"/>
          <w:sz w:val="24"/>
          <w:szCs w:val="24"/>
        </w:rPr>
      </w:pPr>
    </w:p>
    <w:p w14:paraId="06C8BAE0"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Throughout history there have been a number of theories as to why individual commit crimes. Traditionally, criminological theories have focused on genetics, parenting, neighbourhoods and early childhood experiences (Akers, 1997). More recently, some theorists have focussed on environmental factors, such as an </w:t>
      </w:r>
      <w:proofErr w:type="gramStart"/>
      <w:r w:rsidRPr="005102BE">
        <w:rPr>
          <w:rStyle w:val="selectable"/>
          <w:rFonts w:asciiTheme="majorHAnsi" w:hAnsiTheme="majorHAnsi" w:cstheme="majorHAnsi"/>
          <w:color w:val="000000"/>
          <w:sz w:val="24"/>
          <w:szCs w:val="24"/>
        </w:rPr>
        <w:t>offenders</w:t>
      </w:r>
      <w:proofErr w:type="gramEnd"/>
      <w:r w:rsidRPr="005102BE">
        <w:rPr>
          <w:rStyle w:val="selectable"/>
          <w:rFonts w:asciiTheme="majorHAnsi" w:hAnsiTheme="majorHAnsi" w:cstheme="majorHAnsi"/>
          <w:color w:val="000000"/>
          <w:sz w:val="24"/>
          <w:szCs w:val="24"/>
        </w:rPr>
        <w:t xml:space="preserve"> choice to commit crime and how they will carry it out (Wortley and Mazerolle, 2008). There has been a shift of emphasis on the police to become proactive, as opposed to reactive. One such example, and a popular theory of crime prevention is routine activities theory (RAT) coined by Cohen and Felson in 1979. In its most simple form, RAT argues that a motivated offender makes a rational choice on whether or not to commit crime. It states that this choice is based on their access to a suitable target and the absence of a capable guardian that could bring about repercussions or increase their likelihood of getting caught. Research tells us that, if we remove a likely offender, a suitable target, to add a capable guardian, then crime is less likely to be committed. For example, according to this theory, an offender is less likely to be motivated if a harsh punishment is attached to the offence, a suitable target can depend on the nature of a crime (Sampson, Eck and Dunham, 2009), for example a flashy new phone can be made less suitable if placed in a zipped pocket. And finally, a capable guardian can be security, the police, a neighbour or even non-human such as an alarm system or CCTV cameras. In relation to ‘what works’ this theory argues that, offending or re-offending is likely to be reduced by removing one of the three elements. </w:t>
      </w:r>
    </w:p>
    <w:p w14:paraId="5DB5C82A" w14:textId="77777777" w:rsidR="005102BE" w:rsidRPr="005102BE" w:rsidRDefault="005102BE" w:rsidP="005102BE">
      <w:pPr>
        <w:rPr>
          <w:rStyle w:val="selectable"/>
          <w:rFonts w:asciiTheme="majorHAnsi" w:hAnsiTheme="majorHAnsi" w:cstheme="majorHAnsi"/>
          <w:color w:val="000000"/>
          <w:sz w:val="24"/>
          <w:szCs w:val="24"/>
        </w:rPr>
      </w:pPr>
    </w:p>
    <w:p w14:paraId="21CCD438"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As is often the case, in relation to EBP and in deciding ‘what works’ theories are less straightforward in practice. One major reason is that according to Rat, there is an over-reliance on would be victims in preventing crime (Sampson, 2001). Crime prevention consists of getting people and businesses to do what they should have already done, such as employ security or get CCTV. Far less work has been conducted into why individuals fail to take preventative action against victimisation (Laycock, 2006). A further major criticism of RAT and its explanation of offending/ re-offending and crime prevention is that technological advancements provide new alternatives to committing crime that individuals cannot protect themselves against. As stated previously, there is an over-reliance in this theory on the individual to protect themselves from crime. For example, in the early 2000s, there was an explosion in popularity of mobile phones and as a result, mobile phone cloning became an unexpected result (Clarke </w:t>
      </w:r>
      <w:r w:rsidRPr="005102BE">
        <w:rPr>
          <w:rStyle w:val="selectable"/>
          <w:rFonts w:asciiTheme="majorHAnsi" w:hAnsiTheme="majorHAnsi" w:cstheme="majorHAnsi"/>
          <w:i/>
          <w:iCs/>
          <w:color w:val="000000"/>
          <w:sz w:val="24"/>
          <w:szCs w:val="24"/>
        </w:rPr>
        <w:t xml:space="preserve">et al, </w:t>
      </w:r>
      <w:r w:rsidRPr="005102BE">
        <w:rPr>
          <w:rStyle w:val="selectable"/>
          <w:rFonts w:asciiTheme="majorHAnsi" w:hAnsiTheme="majorHAnsi" w:cstheme="majorHAnsi"/>
          <w:color w:val="000000"/>
          <w:sz w:val="24"/>
          <w:szCs w:val="24"/>
        </w:rPr>
        <w:t xml:space="preserve">2001). A more recent example would be electronic car key fobs, that can be cloned, resulting in vehicles being stolen without the victim ever coming into contact with the offender. </w:t>
      </w:r>
    </w:p>
    <w:p w14:paraId="49F61D78" w14:textId="77777777" w:rsidR="005102BE" w:rsidRPr="005102BE" w:rsidRDefault="005102BE" w:rsidP="005102BE">
      <w:pPr>
        <w:rPr>
          <w:rStyle w:val="selectable"/>
          <w:rFonts w:asciiTheme="majorHAnsi" w:hAnsiTheme="majorHAnsi" w:cstheme="majorHAnsi"/>
          <w:color w:val="000000"/>
          <w:sz w:val="24"/>
          <w:szCs w:val="24"/>
        </w:rPr>
      </w:pPr>
    </w:p>
    <w:p w14:paraId="01D5561F"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A further popular theory of crime prevention is broken windows theory. According to this theory, perceptions of disorder and diminished social control are noteworthy inhibitors of public participation in crime prevention. Therefore, suggesting that, by nipping it in the bud, in relation to lower-level offences, crime and disorder will be reduced (Kelling &amp; Wilson, 1982). This theory was famously put into practice by Major Giuliani in New York City and was the insight behind the famous Labour mantra of ‘tough on crime, tough on the causes of crime’. Broken windows had impacted policing in a major </w:t>
      </w:r>
      <w:proofErr w:type="gramStart"/>
      <w:r w:rsidRPr="005102BE">
        <w:rPr>
          <w:rStyle w:val="selectable"/>
          <w:rFonts w:asciiTheme="majorHAnsi" w:hAnsiTheme="majorHAnsi" w:cstheme="majorHAnsi"/>
          <w:color w:val="000000"/>
          <w:sz w:val="24"/>
          <w:szCs w:val="24"/>
        </w:rPr>
        <w:t>way,</w:t>
      </w:r>
      <w:proofErr w:type="gramEnd"/>
      <w:r w:rsidRPr="005102BE">
        <w:rPr>
          <w:rStyle w:val="selectable"/>
          <w:rFonts w:asciiTheme="majorHAnsi" w:hAnsiTheme="majorHAnsi" w:cstheme="majorHAnsi"/>
          <w:color w:val="000000"/>
          <w:sz w:val="24"/>
          <w:szCs w:val="24"/>
        </w:rPr>
        <w:t xml:space="preserve"> however this came with its issues. Police departments were stretched and put too much emphasis on social disorder, there was too much emphasis on arrests, the zero-tolerance approach was criminalising normal, hardworking people and prisons were full. The police were criticised as individuals aged 18-24 and non-whites were disproportionally </w:t>
      </w:r>
      <w:proofErr w:type="gramStart"/>
      <w:r w:rsidRPr="005102BE">
        <w:rPr>
          <w:rStyle w:val="selectable"/>
          <w:rFonts w:asciiTheme="majorHAnsi" w:hAnsiTheme="majorHAnsi" w:cstheme="majorHAnsi"/>
          <w:color w:val="000000"/>
          <w:sz w:val="24"/>
          <w:szCs w:val="24"/>
        </w:rPr>
        <w:t>effected</w:t>
      </w:r>
      <w:proofErr w:type="gramEnd"/>
      <w:r w:rsidRPr="005102BE">
        <w:rPr>
          <w:rStyle w:val="selectable"/>
          <w:rFonts w:asciiTheme="majorHAnsi" w:hAnsiTheme="majorHAnsi" w:cstheme="majorHAnsi"/>
          <w:color w:val="000000"/>
          <w:sz w:val="24"/>
          <w:szCs w:val="24"/>
        </w:rPr>
        <w:t xml:space="preserve"> and had high victimisation and offending rates (Davis et al., 2018). Therefore, the community who were most in need of social bonding were disproportionately </w:t>
      </w:r>
      <w:proofErr w:type="spellStart"/>
      <w:proofErr w:type="gramStart"/>
      <w:r w:rsidRPr="005102BE">
        <w:rPr>
          <w:rStyle w:val="selectable"/>
          <w:rFonts w:asciiTheme="majorHAnsi" w:hAnsiTheme="majorHAnsi" w:cstheme="majorHAnsi"/>
          <w:color w:val="000000"/>
          <w:sz w:val="24"/>
          <w:szCs w:val="24"/>
        </w:rPr>
        <w:t>effected</w:t>
      </w:r>
      <w:proofErr w:type="spellEnd"/>
      <w:proofErr w:type="gramEnd"/>
      <w:r w:rsidRPr="005102BE">
        <w:rPr>
          <w:rStyle w:val="selectable"/>
          <w:rFonts w:asciiTheme="majorHAnsi" w:hAnsiTheme="majorHAnsi" w:cstheme="majorHAnsi"/>
          <w:color w:val="000000"/>
          <w:sz w:val="24"/>
          <w:szCs w:val="24"/>
        </w:rPr>
        <w:t xml:space="preserve">. That being said, research suggests that it did decrease levels of crime (Welsh &amp; Schnell, 2019). </w:t>
      </w:r>
    </w:p>
    <w:p w14:paraId="70558859" w14:textId="77777777" w:rsidR="005102BE" w:rsidRPr="005102BE" w:rsidRDefault="005102BE" w:rsidP="005102BE">
      <w:pPr>
        <w:rPr>
          <w:rStyle w:val="selectable"/>
          <w:rFonts w:asciiTheme="majorHAnsi" w:hAnsiTheme="majorHAnsi" w:cstheme="majorHAnsi"/>
          <w:color w:val="000000"/>
          <w:sz w:val="24"/>
          <w:szCs w:val="24"/>
        </w:rPr>
      </w:pPr>
    </w:p>
    <w:p w14:paraId="1C5CBB2B"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From the above, it is clear that EBP may hold appeal to members of the public due to its use of what works and its intentions on bringing about positive enforcement. That being said, particularly for those who </w:t>
      </w:r>
      <w:r w:rsidRPr="005102BE">
        <w:rPr>
          <w:rStyle w:val="selectable"/>
          <w:rFonts w:asciiTheme="majorHAnsi" w:hAnsiTheme="majorHAnsi" w:cstheme="majorHAnsi"/>
          <w:color w:val="000000"/>
          <w:sz w:val="24"/>
          <w:szCs w:val="24"/>
        </w:rPr>
        <w:lastRenderedPageBreak/>
        <w:t xml:space="preserve">reside in higher-crime areas, how the police interact with those in those areas will ultimately influence their feelings toward EBP (Weisburd, 2006). Therefore, it can be argued that an EBP approach can instil a great deal of public confidence. However, in areas where crime is at its highest and public confidence is at its lowest, EBP is unlikely to influence public perception. </w:t>
      </w:r>
    </w:p>
    <w:p w14:paraId="2C851C57" w14:textId="77777777" w:rsidR="005102BE" w:rsidRPr="005102BE" w:rsidRDefault="005102BE" w:rsidP="005102BE">
      <w:pPr>
        <w:rPr>
          <w:rStyle w:val="selectable"/>
          <w:rFonts w:asciiTheme="majorHAnsi" w:hAnsiTheme="majorHAnsi" w:cstheme="majorHAnsi"/>
          <w:color w:val="000000"/>
          <w:sz w:val="24"/>
          <w:szCs w:val="24"/>
        </w:rPr>
      </w:pPr>
    </w:p>
    <w:p w14:paraId="099D0688" w14:textId="77777777" w:rsidR="005102BE" w:rsidRPr="005102BE" w:rsidRDefault="005102BE" w:rsidP="005102BE">
      <w:pPr>
        <w:rPr>
          <w:rStyle w:val="selectable"/>
          <w:rFonts w:asciiTheme="majorHAnsi" w:hAnsiTheme="majorHAnsi" w:cstheme="majorHAnsi"/>
          <w:color w:val="000000"/>
          <w:sz w:val="24"/>
          <w:szCs w:val="24"/>
        </w:rPr>
      </w:pPr>
    </w:p>
    <w:p w14:paraId="68104979" w14:textId="77777777" w:rsidR="005102BE" w:rsidRPr="005102BE" w:rsidRDefault="005102BE" w:rsidP="005102BE">
      <w:pPr>
        <w:rPr>
          <w:rStyle w:val="selectable"/>
          <w:rFonts w:asciiTheme="majorHAnsi" w:hAnsiTheme="majorHAnsi" w:cstheme="majorHAnsi"/>
          <w:color w:val="000000"/>
          <w:sz w:val="24"/>
          <w:szCs w:val="24"/>
        </w:rPr>
      </w:pPr>
    </w:p>
    <w:p w14:paraId="53DF9E64" w14:textId="77777777" w:rsidR="005102BE" w:rsidRPr="005102BE" w:rsidRDefault="005102BE" w:rsidP="005102BE">
      <w:pPr>
        <w:rPr>
          <w:rStyle w:val="selectable"/>
          <w:rFonts w:asciiTheme="majorHAnsi" w:hAnsiTheme="majorHAnsi" w:cstheme="majorHAnsi"/>
          <w:color w:val="000000"/>
          <w:sz w:val="24"/>
          <w:szCs w:val="24"/>
        </w:rPr>
      </w:pPr>
    </w:p>
    <w:p w14:paraId="44CC50B3" w14:textId="77777777" w:rsidR="005102BE" w:rsidRPr="005102BE" w:rsidRDefault="005102BE" w:rsidP="005102BE">
      <w:pPr>
        <w:rPr>
          <w:rStyle w:val="selectable"/>
          <w:rFonts w:asciiTheme="majorHAnsi" w:hAnsiTheme="majorHAnsi" w:cstheme="majorHAnsi"/>
          <w:color w:val="000000"/>
          <w:sz w:val="24"/>
          <w:szCs w:val="24"/>
        </w:rPr>
      </w:pPr>
    </w:p>
    <w:p w14:paraId="6D40ABDB" w14:textId="77777777" w:rsidR="005102BE" w:rsidRPr="005102BE" w:rsidRDefault="005102BE" w:rsidP="005102BE">
      <w:pPr>
        <w:rPr>
          <w:rStyle w:val="selectable"/>
          <w:rFonts w:asciiTheme="majorHAnsi" w:hAnsiTheme="majorHAnsi" w:cstheme="majorHAnsi"/>
          <w:color w:val="000000"/>
          <w:sz w:val="24"/>
          <w:szCs w:val="24"/>
        </w:rPr>
      </w:pPr>
    </w:p>
    <w:p w14:paraId="650DDFAD" w14:textId="77777777" w:rsidR="005102BE" w:rsidRPr="005102BE" w:rsidRDefault="005102BE" w:rsidP="005102BE">
      <w:pPr>
        <w:rPr>
          <w:rStyle w:val="selectable"/>
          <w:rFonts w:asciiTheme="majorHAnsi" w:hAnsiTheme="majorHAnsi" w:cstheme="majorHAnsi"/>
          <w:color w:val="000000"/>
          <w:sz w:val="24"/>
          <w:szCs w:val="24"/>
        </w:rPr>
      </w:pPr>
    </w:p>
    <w:p w14:paraId="604AD812" w14:textId="77777777" w:rsidR="005102BE" w:rsidRPr="005102BE" w:rsidRDefault="005102BE" w:rsidP="005102BE">
      <w:pPr>
        <w:rPr>
          <w:rStyle w:val="selectable"/>
          <w:rFonts w:asciiTheme="majorHAnsi" w:hAnsiTheme="majorHAnsi" w:cstheme="majorHAnsi"/>
          <w:color w:val="000000"/>
          <w:sz w:val="24"/>
          <w:szCs w:val="24"/>
        </w:rPr>
      </w:pPr>
    </w:p>
    <w:p w14:paraId="32501DC8" w14:textId="77777777" w:rsidR="005102BE" w:rsidRPr="005102BE" w:rsidRDefault="005102BE" w:rsidP="005102BE">
      <w:pPr>
        <w:rPr>
          <w:rStyle w:val="selectable"/>
          <w:rFonts w:asciiTheme="majorHAnsi" w:hAnsiTheme="majorHAnsi" w:cstheme="majorHAnsi"/>
          <w:color w:val="000000"/>
          <w:sz w:val="24"/>
          <w:szCs w:val="24"/>
        </w:rPr>
      </w:pPr>
    </w:p>
    <w:p w14:paraId="46934312" w14:textId="77777777" w:rsidR="005102BE" w:rsidRPr="005102BE" w:rsidRDefault="005102BE" w:rsidP="005102BE">
      <w:pPr>
        <w:rPr>
          <w:rStyle w:val="selectable"/>
          <w:rFonts w:asciiTheme="majorHAnsi" w:hAnsiTheme="majorHAnsi" w:cstheme="majorHAnsi"/>
          <w:color w:val="000000"/>
          <w:sz w:val="24"/>
          <w:szCs w:val="24"/>
        </w:rPr>
      </w:pPr>
    </w:p>
    <w:p w14:paraId="1A80D2F9" w14:textId="77777777" w:rsidR="005102BE" w:rsidRPr="005102BE" w:rsidRDefault="005102BE" w:rsidP="005102BE">
      <w:pPr>
        <w:rPr>
          <w:rStyle w:val="selectable"/>
          <w:rFonts w:asciiTheme="majorHAnsi" w:hAnsiTheme="majorHAnsi" w:cstheme="majorHAnsi"/>
          <w:color w:val="000000"/>
          <w:sz w:val="24"/>
          <w:szCs w:val="24"/>
        </w:rPr>
      </w:pPr>
    </w:p>
    <w:p w14:paraId="5B2A4E3B" w14:textId="77777777" w:rsidR="005102BE" w:rsidRPr="005102BE" w:rsidRDefault="005102BE" w:rsidP="005102BE">
      <w:pPr>
        <w:rPr>
          <w:rStyle w:val="selectable"/>
          <w:rFonts w:asciiTheme="majorHAnsi" w:hAnsiTheme="majorHAnsi" w:cstheme="majorHAnsi"/>
          <w:b/>
          <w:bCs/>
          <w:color w:val="000000"/>
          <w:sz w:val="24"/>
          <w:szCs w:val="24"/>
          <w:u w:val="single"/>
        </w:rPr>
      </w:pPr>
      <w:r w:rsidRPr="005102BE">
        <w:rPr>
          <w:rStyle w:val="selectable"/>
          <w:rFonts w:asciiTheme="majorHAnsi" w:hAnsiTheme="majorHAnsi" w:cstheme="majorHAnsi"/>
          <w:b/>
          <w:bCs/>
          <w:color w:val="000000"/>
          <w:sz w:val="24"/>
          <w:szCs w:val="24"/>
          <w:u w:val="single"/>
        </w:rPr>
        <w:t xml:space="preserve">References </w:t>
      </w:r>
    </w:p>
    <w:p w14:paraId="01081AFC"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Sherman, L. (1998). Evidence-based policing. Ideas in American Policing Lecture Series. Washington, DC: Police Foundation </w:t>
      </w:r>
    </w:p>
    <w:p w14:paraId="2EFFD817" w14:textId="77777777" w:rsidR="005102BE" w:rsidRPr="005102BE" w:rsidRDefault="005102BE" w:rsidP="005102BE">
      <w:pPr>
        <w:rPr>
          <w:rStyle w:val="selectable"/>
          <w:rFonts w:asciiTheme="majorHAnsi" w:hAnsiTheme="majorHAnsi" w:cstheme="majorHAnsi"/>
          <w:color w:val="000000"/>
          <w:sz w:val="24"/>
          <w:szCs w:val="24"/>
        </w:rPr>
      </w:pPr>
    </w:p>
    <w:p w14:paraId="2811BA15"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Weisburd, D (2006) </w:t>
      </w:r>
      <w:r w:rsidRPr="005102BE">
        <w:rPr>
          <w:rStyle w:val="selectable"/>
          <w:rFonts w:asciiTheme="majorHAnsi" w:hAnsiTheme="majorHAnsi" w:cstheme="majorHAnsi"/>
          <w:i/>
          <w:iCs/>
          <w:color w:val="000000"/>
          <w:sz w:val="24"/>
          <w:szCs w:val="24"/>
        </w:rPr>
        <w:t xml:space="preserve">Police innovation: Contrasting Perspectives (Cambridge studies in criminology. </w:t>
      </w:r>
      <w:r w:rsidRPr="005102BE">
        <w:rPr>
          <w:rStyle w:val="selectable"/>
          <w:rFonts w:asciiTheme="majorHAnsi" w:hAnsiTheme="majorHAnsi" w:cstheme="majorHAnsi"/>
          <w:color w:val="000000"/>
          <w:sz w:val="24"/>
          <w:szCs w:val="24"/>
        </w:rPr>
        <w:t>Cambridge University Press</w:t>
      </w:r>
    </w:p>
    <w:p w14:paraId="4B1C80CC" w14:textId="77777777" w:rsidR="005102BE" w:rsidRPr="005102BE" w:rsidRDefault="005102BE" w:rsidP="005102BE">
      <w:pPr>
        <w:rPr>
          <w:rStyle w:val="selectable"/>
          <w:rFonts w:asciiTheme="majorHAnsi" w:hAnsiTheme="majorHAnsi" w:cstheme="majorHAnsi"/>
          <w:color w:val="000000"/>
          <w:sz w:val="24"/>
          <w:szCs w:val="24"/>
        </w:rPr>
      </w:pPr>
    </w:p>
    <w:p w14:paraId="1F85E70B"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Sampson, R., Eck, J. and Dunham, J., 2009. Super controllers and crime prevention: A routine activity explanation of crime prevention success and failure. </w:t>
      </w:r>
      <w:r w:rsidRPr="005102BE">
        <w:rPr>
          <w:rStyle w:val="selectable"/>
          <w:rFonts w:asciiTheme="majorHAnsi" w:hAnsiTheme="majorHAnsi" w:cstheme="majorHAnsi"/>
          <w:i/>
          <w:iCs/>
          <w:color w:val="000000"/>
          <w:sz w:val="24"/>
          <w:szCs w:val="24"/>
        </w:rPr>
        <w:t xml:space="preserve">Security Journal, </w:t>
      </w:r>
      <w:r w:rsidRPr="005102BE">
        <w:rPr>
          <w:rStyle w:val="selectable"/>
          <w:rFonts w:asciiTheme="majorHAnsi" w:hAnsiTheme="majorHAnsi" w:cstheme="majorHAnsi"/>
          <w:color w:val="000000"/>
          <w:sz w:val="24"/>
          <w:szCs w:val="24"/>
        </w:rPr>
        <w:t xml:space="preserve">23(1), pp.37-51. </w:t>
      </w:r>
    </w:p>
    <w:p w14:paraId="6EFD5361" w14:textId="77777777" w:rsidR="005102BE" w:rsidRPr="005102BE" w:rsidRDefault="005102BE" w:rsidP="005102BE">
      <w:pPr>
        <w:rPr>
          <w:rStyle w:val="selectable"/>
          <w:rFonts w:asciiTheme="majorHAnsi" w:hAnsiTheme="majorHAnsi" w:cstheme="majorHAnsi"/>
          <w:color w:val="000000"/>
          <w:sz w:val="24"/>
          <w:szCs w:val="24"/>
        </w:rPr>
      </w:pPr>
    </w:p>
    <w:p w14:paraId="0774ADE6"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Cohen, L.E. and Felson, M. (1979) Social change and crime rate trends: A routine activity approach </w:t>
      </w:r>
      <w:r w:rsidRPr="005102BE">
        <w:rPr>
          <w:rStyle w:val="selectable"/>
          <w:rFonts w:asciiTheme="majorHAnsi" w:hAnsiTheme="majorHAnsi" w:cstheme="majorHAnsi"/>
          <w:i/>
          <w:iCs/>
          <w:color w:val="000000"/>
          <w:sz w:val="24"/>
          <w:szCs w:val="24"/>
        </w:rPr>
        <w:t>American Sociological Review</w:t>
      </w:r>
      <w:r w:rsidRPr="005102BE">
        <w:rPr>
          <w:rStyle w:val="selectable"/>
          <w:rFonts w:asciiTheme="majorHAnsi" w:hAnsiTheme="majorHAnsi" w:cstheme="majorHAnsi"/>
          <w:color w:val="000000"/>
          <w:sz w:val="24"/>
          <w:szCs w:val="24"/>
        </w:rPr>
        <w:t xml:space="preserve"> 44(4): 588-605</w:t>
      </w:r>
    </w:p>
    <w:p w14:paraId="223FF532" w14:textId="77777777" w:rsidR="005102BE" w:rsidRPr="005102BE" w:rsidRDefault="005102BE" w:rsidP="005102BE">
      <w:pPr>
        <w:rPr>
          <w:rStyle w:val="selectable"/>
          <w:rFonts w:asciiTheme="majorHAnsi" w:hAnsiTheme="majorHAnsi" w:cstheme="majorHAnsi"/>
          <w:color w:val="000000"/>
          <w:sz w:val="24"/>
          <w:szCs w:val="24"/>
        </w:rPr>
      </w:pPr>
    </w:p>
    <w:p w14:paraId="0AAE5230"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Akers, R.L. (1997) </w:t>
      </w:r>
      <w:r w:rsidRPr="005102BE">
        <w:rPr>
          <w:rStyle w:val="selectable"/>
          <w:rFonts w:asciiTheme="majorHAnsi" w:hAnsiTheme="majorHAnsi" w:cstheme="majorHAnsi"/>
          <w:i/>
          <w:iCs/>
          <w:color w:val="000000"/>
          <w:sz w:val="24"/>
          <w:szCs w:val="24"/>
        </w:rPr>
        <w:t xml:space="preserve">Criminological Theories: Introduction and Evaluation. </w:t>
      </w:r>
      <w:r w:rsidRPr="005102BE">
        <w:rPr>
          <w:rStyle w:val="selectable"/>
          <w:rFonts w:asciiTheme="majorHAnsi" w:hAnsiTheme="majorHAnsi" w:cstheme="majorHAnsi"/>
          <w:color w:val="000000"/>
          <w:sz w:val="24"/>
          <w:szCs w:val="24"/>
        </w:rPr>
        <w:t>Los Angeles, CA: Roxbury</w:t>
      </w:r>
    </w:p>
    <w:p w14:paraId="5C93B8CD" w14:textId="77777777" w:rsidR="005102BE" w:rsidRPr="005102BE" w:rsidRDefault="005102BE" w:rsidP="005102BE">
      <w:pPr>
        <w:rPr>
          <w:rStyle w:val="selectable"/>
          <w:rFonts w:asciiTheme="majorHAnsi" w:hAnsiTheme="majorHAnsi" w:cstheme="majorHAnsi"/>
          <w:color w:val="000000"/>
          <w:sz w:val="24"/>
          <w:szCs w:val="24"/>
        </w:rPr>
      </w:pPr>
    </w:p>
    <w:p w14:paraId="2A25879C"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Wortley, R. and Mazerolle, L. (2008) </w:t>
      </w:r>
      <w:r w:rsidRPr="005102BE">
        <w:rPr>
          <w:rStyle w:val="selectable"/>
          <w:rFonts w:asciiTheme="majorHAnsi" w:hAnsiTheme="majorHAnsi" w:cstheme="majorHAnsi"/>
          <w:i/>
          <w:iCs/>
          <w:color w:val="000000"/>
          <w:sz w:val="24"/>
          <w:szCs w:val="24"/>
        </w:rPr>
        <w:t xml:space="preserve">Environmental Criminology and Crime Analysis. </w:t>
      </w:r>
      <w:r w:rsidRPr="005102BE">
        <w:rPr>
          <w:rStyle w:val="selectable"/>
          <w:rFonts w:asciiTheme="majorHAnsi" w:hAnsiTheme="majorHAnsi" w:cstheme="majorHAnsi"/>
          <w:color w:val="000000"/>
          <w:sz w:val="24"/>
          <w:szCs w:val="24"/>
        </w:rPr>
        <w:t>Cullompton, UK: Willan Publishing</w:t>
      </w:r>
    </w:p>
    <w:p w14:paraId="7CD03E2A" w14:textId="77777777" w:rsidR="005102BE" w:rsidRPr="005102BE" w:rsidRDefault="005102BE" w:rsidP="005102BE">
      <w:pPr>
        <w:rPr>
          <w:rStyle w:val="selectable"/>
          <w:rFonts w:asciiTheme="majorHAnsi" w:hAnsiTheme="majorHAnsi" w:cstheme="majorHAnsi"/>
          <w:color w:val="000000"/>
          <w:sz w:val="24"/>
          <w:szCs w:val="24"/>
        </w:rPr>
      </w:pPr>
    </w:p>
    <w:p w14:paraId="5BEDD0EF"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Laycock, G. (2006) Implementing crime reduction measures: Conflicts and tensions. In: J. Knutsson and R.V. Clarke (eds.) </w:t>
      </w:r>
      <w:r w:rsidRPr="005102BE">
        <w:rPr>
          <w:rStyle w:val="selectable"/>
          <w:rFonts w:asciiTheme="majorHAnsi" w:hAnsiTheme="majorHAnsi" w:cstheme="majorHAnsi"/>
          <w:i/>
          <w:iCs/>
          <w:color w:val="000000"/>
          <w:sz w:val="24"/>
          <w:szCs w:val="24"/>
        </w:rPr>
        <w:t xml:space="preserve">Putting Theory to Work: Implementing Situational Crime Prevention and Problem-Orientated Policing, </w:t>
      </w:r>
      <w:r w:rsidRPr="005102BE">
        <w:rPr>
          <w:rStyle w:val="selectable"/>
          <w:rFonts w:asciiTheme="majorHAnsi" w:hAnsiTheme="majorHAnsi" w:cstheme="majorHAnsi"/>
          <w:color w:val="000000"/>
          <w:sz w:val="24"/>
          <w:szCs w:val="24"/>
        </w:rPr>
        <w:t xml:space="preserve">Crime prevention studies, Vol. 20, Monsey, NY: Criminal Justice Press, pp. 65-88. </w:t>
      </w:r>
    </w:p>
    <w:p w14:paraId="4D754E72" w14:textId="77777777" w:rsidR="005102BE" w:rsidRPr="005102BE" w:rsidRDefault="005102BE" w:rsidP="005102BE">
      <w:pPr>
        <w:rPr>
          <w:rStyle w:val="selectable"/>
          <w:rFonts w:asciiTheme="majorHAnsi" w:hAnsiTheme="majorHAnsi" w:cstheme="majorHAnsi"/>
          <w:color w:val="000000"/>
          <w:sz w:val="24"/>
          <w:szCs w:val="24"/>
        </w:rPr>
      </w:pPr>
    </w:p>
    <w:p w14:paraId="284F3B4A"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Clarke, R.V., Kemper, R. and Wyckoff, L. (2001) Controlling cell phoner fraud in the U.S: Lessons for the UK ‘Foresight’ prevention initiative. </w:t>
      </w:r>
      <w:r w:rsidRPr="005102BE">
        <w:rPr>
          <w:rStyle w:val="selectable"/>
          <w:rFonts w:asciiTheme="majorHAnsi" w:hAnsiTheme="majorHAnsi" w:cstheme="majorHAnsi"/>
          <w:i/>
          <w:iCs/>
          <w:color w:val="000000"/>
          <w:sz w:val="24"/>
          <w:szCs w:val="24"/>
        </w:rPr>
        <w:t xml:space="preserve">Security Journal </w:t>
      </w:r>
      <w:r w:rsidRPr="005102BE">
        <w:rPr>
          <w:rStyle w:val="selectable"/>
          <w:rFonts w:asciiTheme="majorHAnsi" w:hAnsiTheme="majorHAnsi" w:cstheme="majorHAnsi"/>
          <w:color w:val="000000"/>
          <w:sz w:val="24"/>
          <w:szCs w:val="24"/>
        </w:rPr>
        <w:t xml:space="preserve">14(1): 7-22. </w:t>
      </w:r>
    </w:p>
    <w:p w14:paraId="02A2517D" w14:textId="77777777" w:rsidR="005102BE" w:rsidRPr="005102BE" w:rsidRDefault="005102BE" w:rsidP="005102BE">
      <w:pPr>
        <w:rPr>
          <w:rStyle w:val="selectable"/>
          <w:rFonts w:asciiTheme="majorHAnsi" w:hAnsiTheme="majorHAnsi" w:cstheme="majorHAnsi"/>
          <w:color w:val="000000"/>
          <w:sz w:val="24"/>
          <w:szCs w:val="24"/>
        </w:rPr>
      </w:pPr>
    </w:p>
    <w:p w14:paraId="281CE674" w14:textId="77777777" w:rsidR="005102BE" w:rsidRPr="005102BE" w:rsidRDefault="005102BE" w:rsidP="005102BE">
      <w:pPr>
        <w:rPr>
          <w:rStyle w:val="selectable"/>
          <w:rFonts w:asciiTheme="majorHAnsi" w:hAnsiTheme="majorHAnsi" w:cstheme="majorHAnsi"/>
          <w:color w:val="000000"/>
          <w:sz w:val="24"/>
          <w:szCs w:val="24"/>
        </w:rPr>
      </w:pPr>
      <w:r w:rsidRPr="005102BE">
        <w:rPr>
          <w:rStyle w:val="selectable"/>
          <w:rFonts w:asciiTheme="majorHAnsi" w:hAnsiTheme="majorHAnsi" w:cstheme="majorHAnsi"/>
          <w:color w:val="000000"/>
          <w:sz w:val="24"/>
          <w:szCs w:val="24"/>
        </w:rPr>
        <w:t xml:space="preserve">Davis, E., </w:t>
      </w:r>
      <w:proofErr w:type="spellStart"/>
      <w:r w:rsidRPr="005102BE">
        <w:rPr>
          <w:rStyle w:val="selectable"/>
          <w:rFonts w:asciiTheme="majorHAnsi" w:hAnsiTheme="majorHAnsi" w:cstheme="majorHAnsi"/>
          <w:color w:val="000000"/>
          <w:sz w:val="24"/>
          <w:szCs w:val="24"/>
        </w:rPr>
        <w:t>Whyde</w:t>
      </w:r>
      <w:proofErr w:type="spellEnd"/>
      <w:r w:rsidRPr="005102BE">
        <w:rPr>
          <w:rStyle w:val="selectable"/>
          <w:rFonts w:asciiTheme="majorHAnsi" w:hAnsiTheme="majorHAnsi" w:cstheme="majorHAnsi"/>
          <w:color w:val="000000"/>
          <w:sz w:val="24"/>
          <w:szCs w:val="24"/>
        </w:rPr>
        <w:t xml:space="preserve">, A., &amp; Langton, L. (2018). Contacts between police and the public, Report from US department of Justice, Washington, DC: Bureau of Justice Statistics </w:t>
      </w:r>
    </w:p>
    <w:p w14:paraId="77C1B2E7" w14:textId="77777777" w:rsidR="005102BE" w:rsidRPr="005102BE" w:rsidRDefault="005102BE" w:rsidP="005102BE">
      <w:pPr>
        <w:rPr>
          <w:rStyle w:val="selectable"/>
          <w:rFonts w:asciiTheme="majorHAnsi" w:hAnsiTheme="majorHAnsi" w:cstheme="majorHAnsi"/>
          <w:color w:val="000000"/>
          <w:sz w:val="24"/>
          <w:szCs w:val="24"/>
        </w:rPr>
      </w:pPr>
    </w:p>
    <w:p w14:paraId="5CF932B0" w14:textId="35C3CA00" w:rsidR="005102BE" w:rsidRDefault="005102BE" w:rsidP="005102BE">
      <w:pPr>
        <w:rPr>
          <w:rStyle w:val="selectable"/>
          <w:color w:val="000000"/>
        </w:rPr>
      </w:pPr>
      <w:r w:rsidRPr="005102BE">
        <w:rPr>
          <w:rStyle w:val="selectable"/>
          <w:rFonts w:asciiTheme="majorHAnsi" w:hAnsiTheme="majorHAnsi" w:cstheme="majorHAnsi"/>
          <w:color w:val="000000"/>
          <w:sz w:val="24"/>
          <w:szCs w:val="24"/>
        </w:rPr>
        <w:t xml:space="preserve">Welsh, B., Schnell, C., &amp; Braga, A (2019). Disorder policing to reduce crime: A systematic review. Campbell </w:t>
      </w:r>
      <w:proofErr w:type="spellStart"/>
      <w:r w:rsidRPr="005102BE">
        <w:rPr>
          <w:rStyle w:val="selectable"/>
          <w:rFonts w:asciiTheme="majorHAnsi" w:hAnsiTheme="majorHAnsi" w:cstheme="majorHAnsi"/>
          <w:color w:val="000000"/>
          <w:sz w:val="24"/>
          <w:szCs w:val="24"/>
        </w:rPr>
        <w:t>Ststematic</w:t>
      </w:r>
      <w:proofErr w:type="spellEnd"/>
      <w:r w:rsidRPr="005102BE">
        <w:rPr>
          <w:rStyle w:val="selectable"/>
          <w:rFonts w:asciiTheme="majorHAnsi" w:hAnsiTheme="majorHAnsi" w:cstheme="majorHAnsi"/>
          <w:color w:val="000000"/>
          <w:sz w:val="24"/>
          <w:szCs w:val="24"/>
        </w:rPr>
        <w:t xml:space="preserve"> Reviews. </w:t>
      </w:r>
      <w:proofErr w:type="gramStart"/>
      <w:r w:rsidRPr="005102BE">
        <w:rPr>
          <w:rStyle w:val="selectable"/>
          <w:rFonts w:asciiTheme="majorHAnsi" w:hAnsiTheme="majorHAnsi" w:cstheme="majorHAnsi"/>
          <w:color w:val="000000"/>
          <w:sz w:val="24"/>
          <w:szCs w:val="24"/>
        </w:rPr>
        <w:t>15:e</w:t>
      </w:r>
      <w:proofErr w:type="gramEnd"/>
      <w:r w:rsidRPr="005102BE">
        <w:rPr>
          <w:rStyle w:val="selectable"/>
          <w:rFonts w:asciiTheme="majorHAnsi" w:hAnsiTheme="majorHAnsi" w:cstheme="majorHAnsi"/>
          <w:color w:val="000000"/>
          <w:sz w:val="24"/>
          <w:szCs w:val="24"/>
        </w:rPr>
        <w:t xml:space="preserve">1050. </w:t>
      </w:r>
      <w:hyperlink r:id="rId20" w:history="1">
        <w:r w:rsidRPr="005102BE">
          <w:rPr>
            <w:rStyle w:val="Hyperlink"/>
            <w:rFonts w:asciiTheme="majorHAnsi" w:hAnsiTheme="majorHAnsi" w:cstheme="majorHAnsi"/>
            <w:sz w:val="24"/>
            <w:szCs w:val="24"/>
          </w:rPr>
          <w:t>https://doi.org/10.1002/cl2.1050</w:t>
        </w:r>
      </w:hyperlink>
      <w:r w:rsidRPr="005102BE">
        <w:rPr>
          <w:rStyle w:val="selectable"/>
          <w:rFonts w:asciiTheme="majorHAnsi" w:hAnsiTheme="majorHAnsi" w:cstheme="majorHAnsi"/>
          <w:color w:val="000000"/>
          <w:sz w:val="24"/>
          <w:szCs w:val="24"/>
        </w:rPr>
        <w:t xml:space="preserve"> [Accessed 27/01/2022]</w:t>
      </w:r>
      <w:r>
        <w:rPr>
          <w:rStyle w:val="selectable"/>
          <w:color w:val="000000"/>
        </w:rPr>
        <w:t xml:space="preserve"> </w:t>
      </w:r>
    </w:p>
    <w:p w14:paraId="3329248A" w14:textId="4C6B80FF" w:rsidR="005102BE" w:rsidRDefault="005102BE" w:rsidP="005102BE">
      <w:pPr>
        <w:rPr>
          <w:rStyle w:val="selectable"/>
          <w:color w:val="000000"/>
        </w:rPr>
      </w:pPr>
    </w:p>
    <w:p w14:paraId="53409FAF" w14:textId="713AEFBC" w:rsidR="005102BE" w:rsidRDefault="005102BE" w:rsidP="005102BE">
      <w:pPr>
        <w:rPr>
          <w:rStyle w:val="selectable"/>
          <w:color w:val="000000"/>
        </w:rPr>
      </w:pPr>
    </w:p>
    <w:p w14:paraId="7D0C0677" w14:textId="5160F725" w:rsidR="005102BE" w:rsidRDefault="005102BE" w:rsidP="005102BE">
      <w:pPr>
        <w:rPr>
          <w:rStyle w:val="selectable"/>
          <w:color w:val="000000"/>
        </w:rPr>
      </w:pPr>
    </w:p>
    <w:p w14:paraId="0FF62049" w14:textId="70413BD3" w:rsidR="005102BE" w:rsidRDefault="005102BE" w:rsidP="005102BE">
      <w:pPr>
        <w:rPr>
          <w:rStyle w:val="selectable"/>
          <w:color w:val="000000"/>
        </w:rPr>
      </w:pPr>
    </w:p>
    <w:p w14:paraId="11A10D69" w14:textId="6A8C1D14" w:rsidR="005102BE" w:rsidRDefault="005102BE" w:rsidP="005102BE">
      <w:pPr>
        <w:rPr>
          <w:rStyle w:val="selectable"/>
          <w:color w:val="000000"/>
        </w:rPr>
      </w:pPr>
    </w:p>
    <w:p w14:paraId="1C44815A" w14:textId="77777777" w:rsidR="005102BE" w:rsidRPr="00D14577" w:rsidRDefault="005102BE" w:rsidP="005102BE">
      <w:pPr>
        <w:rPr>
          <w:rStyle w:val="selectable"/>
          <w:color w:val="000000"/>
        </w:rPr>
      </w:pPr>
    </w:p>
    <w:p w14:paraId="2155650C" w14:textId="77777777" w:rsidR="005102BE" w:rsidRPr="00454735" w:rsidRDefault="005102BE" w:rsidP="00454735">
      <w:pPr>
        <w:spacing w:line="257" w:lineRule="auto"/>
        <w:rPr>
          <w:rFonts w:ascii="Calibri" w:hAnsi="Calibri" w:cs="Calibri"/>
          <w:sz w:val="22"/>
          <w:szCs w:val="22"/>
        </w:rPr>
      </w:pP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footerReference w:type="default" r:id="rId21"/>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22"/>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51FF5" w14:textId="77777777" w:rsidR="00207614" w:rsidRDefault="00207614">
      <w:r>
        <w:separator/>
      </w:r>
    </w:p>
  </w:endnote>
  <w:endnote w:type="continuationSeparator" w:id="0">
    <w:p w14:paraId="4D0F04C7" w14:textId="77777777" w:rsidR="00207614" w:rsidRDefault="002076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F98DFD" w14:textId="77777777" w:rsidR="00207614" w:rsidRDefault="00207614">
      <w:r>
        <w:separator/>
      </w:r>
    </w:p>
  </w:footnote>
  <w:footnote w:type="continuationSeparator" w:id="0">
    <w:p w14:paraId="1E2DFF1A" w14:textId="77777777" w:rsidR="00207614" w:rsidRDefault="002076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85459028">
    <w:abstractNumId w:val="11"/>
  </w:num>
  <w:num w:numId="2" w16cid:durableId="2088378855">
    <w:abstractNumId w:val="18"/>
  </w:num>
  <w:num w:numId="3" w16cid:durableId="1683626843">
    <w:abstractNumId w:val="3"/>
  </w:num>
  <w:num w:numId="4" w16cid:durableId="608464939">
    <w:abstractNumId w:val="16"/>
  </w:num>
  <w:num w:numId="5" w16cid:durableId="230123109">
    <w:abstractNumId w:val="30"/>
  </w:num>
  <w:num w:numId="6" w16cid:durableId="1026711917">
    <w:abstractNumId w:val="20"/>
  </w:num>
  <w:num w:numId="7" w16cid:durableId="1292520281">
    <w:abstractNumId w:val="12"/>
  </w:num>
  <w:num w:numId="8" w16cid:durableId="891504533">
    <w:abstractNumId w:val="29"/>
  </w:num>
  <w:num w:numId="9" w16cid:durableId="247546706">
    <w:abstractNumId w:val="6"/>
  </w:num>
  <w:num w:numId="10" w16cid:durableId="321004391">
    <w:abstractNumId w:val="26"/>
  </w:num>
  <w:num w:numId="11" w16cid:durableId="524753919">
    <w:abstractNumId w:val="17"/>
  </w:num>
  <w:num w:numId="12" w16cid:durableId="746002032">
    <w:abstractNumId w:val="8"/>
  </w:num>
  <w:num w:numId="13" w16cid:durableId="1283070470">
    <w:abstractNumId w:val="9"/>
  </w:num>
  <w:num w:numId="14" w16cid:durableId="2127386431">
    <w:abstractNumId w:val="14"/>
  </w:num>
  <w:num w:numId="15" w16cid:durableId="1288967914">
    <w:abstractNumId w:val="24"/>
  </w:num>
  <w:num w:numId="16" w16cid:durableId="1697583348">
    <w:abstractNumId w:val="7"/>
  </w:num>
  <w:num w:numId="17" w16cid:durableId="158035904">
    <w:abstractNumId w:val="0"/>
  </w:num>
  <w:num w:numId="18" w16cid:durableId="1525436327">
    <w:abstractNumId w:val="10"/>
  </w:num>
  <w:num w:numId="19" w16cid:durableId="1013189302">
    <w:abstractNumId w:val="25"/>
  </w:num>
  <w:num w:numId="20" w16cid:durableId="2124617125">
    <w:abstractNumId w:val="4"/>
  </w:num>
  <w:num w:numId="21" w16cid:durableId="421068827">
    <w:abstractNumId w:val="15"/>
  </w:num>
  <w:num w:numId="22" w16cid:durableId="2046364833">
    <w:abstractNumId w:val="2"/>
  </w:num>
  <w:num w:numId="23" w16cid:durableId="1818570928">
    <w:abstractNumId w:val="19"/>
  </w:num>
  <w:num w:numId="24" w16cid:durableId="916329963">
    <w:abstractNumId w:val="22"/>
  </w:num>
  <w:num w:numId="25" w16cid:durableId="1252813150">
    <w:abstractNumId w:val="1"/>
  </w:num>
  <w:num w:numId="26" w16cid:durableId="637537639">
    <w:abstractNumId w:val="28"/>
  </w:num>
  <w:num w:numId="27" w16cid:durableId="1113089509">
    <w:abstractNumId w:val="5"/>
  </w:num>
  <w:num w:numId="28" w16cid:durableId="1708528756">
    <w:abstractNumId w:val="23"/>
  </w:num>
  <w:num w:numId="29" w16cid:durableId="490367863">
    <w:abstractNumId w:val="27"/>
  </w:num>
  <w:num w:numId="30" w16cid:durableId="1908806123">
    <w:abstractNumId w:val="21"/>
  </w:num>
  <w:num w:numId="31" w16cid:durableId="152281915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3624"/>
    <w:rsid w:val="001E57C1"/>
    <w:rsid w:val="001E6AF7"/>
    <w:rsid w:val="001F07EF"/>
    <w:rsid w:val="001F50B6"/>
    <w:rsid w:val="001F6D7A"/>
    <w:rsid w:val="00207614"/>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6585"/>
    <w:rsid w:val="0050249F"/>
    <w:rsid w:val="005102BE"/>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25ADB"/>
    <w:rsid w:val="00632434"/>
    <w:rsid w:val="0063478F"/>
    <w:rsid w:val="00644256"/>
    <w:rsid w:val="00661D6F"/>
    <w:rsid w:val="006628E9"/>
    <w:rsid w:val="0066725E"/>
    <w:rsid w:val="006716C7"/>
    <w:rsid w:val="00673F98"/>
    <w:rsid w:val="00681208"/>
    <w:rsid w:val="00681FA9"/>
    <w:rsid w:val="00691EA9"/>
    <w:rsid w:val="00691FBA"/>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0212"/>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customStyle="1" w:styleId="selectable">
    <w:name w:val="selectable"/>
    <w:basedOn w:val="DefaultParagraphFont"/>
    <w:rsid w:val="005102BE"/>
  </w:style>
  <w:style w:type="character" w:customStyle="1" w:styleId="markedcontent">
    <w:name w:val="markedcontent"/>
    <w:basedOn w:val="DefaultParagraphFont"/>
    <w:rsid w:val="005102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pcc.police.uk/Publication/Workforce%20Transformation%20Baseline.pdf" TargetMode="External"/><Relationship Id="rId18" Type="http://schemas.openxmlformats.org/officeDocument/2006/relationships/hyperlink" Target="https://www.nationalcrimeagency.gove.uk/publications/905-nationmal-strategic-assessement-for-soc-2018"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ites.google.come/site/ethpol2010/" TargetMode="External"/><Relationship Id="rId17" Type="http://schemas.openxmlformats.org/officeDocument/2006/relationships/hyperlink" Target="https://www.gov.uk/government/publications/serious-and-organised-crime-strategy-2018" TargetMode="External"/><Relationship Id="rId2" Type="http://schemas.openxmlformats.org/officeDocument/2006/relationships/customXml" Target="../customXml/item2.xml"/><Relationship Id="rId16" Type="http://schemas.openxmlformats.org/officeDocument/2006/relationships/hyperlink" Target="https://www.jesip.org.uk/methane" TargetMode="External"/><Relationship Id="rId20" Type="http://schemas.openxmlformats.org/officeDocument/2006/relationships/hyperlink" Target="https://doi.org/10.1002/cl2.105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gov.uk/government/publications/the-stephen-lawrence-inquiry"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gov.uk/govenment/uploads/system/uploads/attachment_data/file/655022/MAPPA=annual-report-2016-17.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ibrary.collegage.police.uk/docs/NPIA/Practice-Advice-on-CIM-Jul2100.pdf" TargetMode="External"/><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22</Pages>
  <Words>10045</Words>
  <Characters>57257</Characters>
  <Application>Microsoft Office Word</Application>
  <DocSecurity>0</DocSecurity>
  <Lines>477</Lines>
  <Paragraphs>134</Paragraphs>
  <ScaleCrop>false</ScaleCrop>
  <Company>S.I.H.E.</Company>
  <LinksUpToDate>false</LinksUpToDate>
  <CharactersWithSpaces>67168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Jordan Webber</cp:lastModifiedBy>
  <cp:revision>2</cp:revision>
  <cp:lastPrinted>2014-10-10T07:42:00Z</cp:lastPrinted>
  <dcterms:created xsi:type="dcterms:W3CDTF">2022-05-27T12:19:00Z</dcterms:created>
  <dcterms:modified xsi:type="dcterms:W3CDTF">2022-05-27T12:19:00Z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ies>
</file>