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3A36" w:rsidRDefault="00633A36" w:rsidP="00B62151">
      <w:pPr>
        <w:jc w:val="both"/>
        <w:rPr>
          <w:rFonts w:ascii="Times New Roman" w:hAnsi="Times New Roman" w:cs="Times New Roman"/>
          <w:b/>
          <w:sz w:val="40"/>
          <w:szCs w:val="40"/>
        </w:rPr>
      </w:pPr>
      <w:r w:rsidRPr="003A1EAC">
        <w:rPr>
          <w:rFonts w:ascii="Times New Roman" w:hAnsi="Times New Roman" w:cs="Times New Roman"/>
          <w:sz w:val="40"/>
          <w:szCs w:val="40"/>
        </w:rPr>
        <w:t xml:space="preserve">               </w:t>
      </w:r>
      <w:r w:rsidRPr="003A1EAC">
        <w:rPr>
          <w:rFonts w:ascii="Times New Roman" w:hAnsi="Times New Roman" w:cs="Times New Roman"/>
          <w:b/>
          <w:sz w:val="40"/>
          <w:szCs w:val="40"/>
        </w:rPr>
        <w:t>International Financial Management</w:t>
      </w:r>
    </w:p>
    <w:p w:rsidR="00633A36" w:rsidRDefault="00633A36" w:rsidP="00B62151">
      <w:pPr>
        <w:jc w:val="both"/>
        <w:rPr>
          <w:rFonts w:ascii="Times New Roman" w:hAnsi="Times New Roman" w:cs="Times New Roman"/>
          <w:b/>
          <w:sz w:val="40"/>
          <w:szCs w:val="40"/>
        </w:rPr>
      </w:pPr>
    </w:p>
    <w:p w:rsidR="00141222" w:rsidRDefault="00141222" w:rsidP="00B62151">
      <w:pPr>
        <w:jc w:val="both"/>
        <w:rPr>
          <w:rFonts w:ascii="Times New Roman" w:hAnsi="Times New Roman" w:cs="Times New Roman"/>
          <w:b/>
          <w:sz w:val="40"/>
          <w:szCs w:val="40"/>
        </w:rPr>
      </w:pPr>
    </w:p>
    <w:p w:rsidR="00141222" w:rsidRPr="00633A36" w:rsidRDefault="00141222" w:rsidP="00B62151">
      <w:pPr>
        <w:jc w:val="both"/>
        <w:rPr>
          <w:rFonts w:ascii="Times New Roman" w:hAnsi="Times New Roman" w:cs="Times New Roman"/>
          <w:b/>
          <w:sz w:val="40"/>
          <w:szCs w:val="40"/>
        </w:rPr>
      </w:pPr>
    </w:p>
    <w:p w:rsidR="00633A36" w:rsidRPr="00633A36" w:rsidRDefault="00633A36" w:rsidP="00B62151">
      <w:pPr>
        <w:jc w:val="both"/>
        <w:rPr>
          <w:rFonts w:ascii="Times New Roman" w:hAnsi="Times New Roman" w:cs="Times New Roman"/>
          <w:b/>
          <w:sz w:val="28"/>
          <w:szCs w:val="28"/>
        </w:rPr>
      </w:pPr>
      <w:r w:rsidRPr="00633A36">
        <w:rPr>
          <w:rFonts w:ascii="Times New Roman" w:hAnsi="Times New Roman" w:cs="Times New Roman"/>
          <w:b/>
          <w:sz w:val="28"/>
          <w:szCs w:val="28"/>
        </w:rPr>
        <w:t xml:space="preserve">                                                    Written Report</w:t>
      </w:r>
    </w:p>
    <w:p w:rsidR="00633A36" w:rsidRPr="00D00D94" w:rsidRDefault="00A04203" w:rsidP="00D00D94">
      <w:pPr>
        <w:jc w:val="center"/>
        <w:rPr>
          <w:rFonts w:ascii="Times New Roman" w:hAnsi="Times New Roman" w:cs="Times New Roman"/>
          <w:i/>
          <w:sz w:val="36"/>
          <w:szCs w:val="36"/>
        </w:rPr>
      </w:pPr>
      <w:r w:rsidRPr="00D00D94">
        <w:rPr>
          <w:rFonts w:ascii="Times New Roman" w:hAnsi="Times New Roman" w:cs="Times New Roman"/>
          <w:i/>
          <w:sz w:val="36"/>
          <w:szCs w:val="36"/>
        </w:rPr>
        <w:t>Managing Foreign Exchange Risk in Multinational Corporations: Strategies and Theories</w:t>
      </w:r>
    </w:p>
    <w:p w:rsidR="00633A36" w:rsidRPr="00D00D94" w:rsidRDefault="00633A36" w:rsidP="00D00D94">
      <w:pPr>
        <w:jc w:val="center"/>
        <w:rPr>
          <w:rFonts w:ascii="Times New Roman" w:hAnsi="Times New Roman" w:cs="Times New Roman"/>
          <w:sz w:val="36"/>
          <w:szCs w:val="36"/>
        </w:rPr>
      </w:pPr>
    </w:p>
    <w:p w:rsidR="00633A36" w:rsidRPr="00D00D94" w:rsidRDefault="00633A36" w:rsidP="00B62151">
      <w:pPr>
        <w:jc w:val="both"/>
        <w:rPr>
          <w:rFonts w:ascii="Times New Roman" w:hAnsi="Times New Roman" w:cs="Times New Roman"/>
          <w:sz w:val="36"/>
          <w:szCs w:val="36"/>
        </w:rPr>
      </w:pPr>
    </w:p>
    <w:p w:rsidR="006A24A8" w:rsidRDefault="006A24A8"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p>
    <w:p w:rsidR="00141222" w:rsidRDefault="00141222" w:rsidP="00B62151">
      <w:pPr>
        <w:jc w:val="both"/>
      </w:pPr>
      <w:r>
        <w:t xml:space="preserve"> </w:t>
      </w:r>
    </w:p>
    <w:p w:rsidR="00141222" w:rsidRDefault="00141222" w:rsidP="00B62151">
      <w:pPr>
        <w:tabs>
          <w:tab w:val="left" w:pos="7668"/>
        </w:tabs>
        <w:jc w:val="both"/>
        <w:rPr>
          <w:rFonts w:ascii="Times New Roman" w:hAnsi="Times New Roman" w:cs="Times New Roman"/>
          <w:sz w:val="24"/>
          <w:szCs w:val="24"/>
        </w:rPr>
      </w:pPr>
      <w:r>
        <w:rPr>
          <w:rFonts w:ascii="Times New Roman" w:hAnsi="Times New Roman" w:cs="Times New Roman"/>
          <w:b/>
          <w:sz w:val="24"/>
          <w:szCs w:val="24"/>
        </w:rPr>
        <w:t xml:space="preserve">                                                                                                </w:t>
      </w:r>
      <w:r w:rsidRPr="00AF41D8">
        <w:rPr>
          <w:rFonts w:ascii="Times New Roman" w:hAnsi="Times New Roman" w:cs="Times New Roman"/>
          <w:b/>
          <w:sz w:val="24"/>
          <w:szCs w:val="24"/>
        </w:rPr>
        <w:t>Module code:</w:t>
      </w:r>
      <w:r w:rsidRPr="00D24F85">
        <w:rPr>
          <w:rFonts w:ascii="Times New Roman" w:hAnsi="Times New Roman" w:cs="Times New Roman"/>
          <w:sz w:val="24"/>
          <w:szCs w:val="24"/>
        </w:rPr>
        <w:t xml:space="preserve"> LCBB6002</w:t>
      </w:r>
    </w:p>
    <w:p w:rsidR="00141222" w:rsidRDefault="00141222" w:rsidP="00B62151">
      <w:pPr>
        <w:jc w:val="both"/>
        <w:rPr>
          <w:rFonts w:ascii="Times New Roman" w:hAnsi="Times New Roman" w:cs="Times New Roman"/>
          <w:sz w:val="24"/>
          <w:szCs w:val="24"/>
        </w:rPr>
      </w:pPr>
      <w:r>
        <w:rPr>
          <w:rFonts w:ascii="Times New Roman" w:hAnsi="Times New Roman" w:cs="Times New Roman"/>
          <w:b/>
          <w:sz w:val="24"/>
          <w:szCs w:val="24"/>
        </w:rPr>
        <w:t xml:space="preserve">                                                                                </w:t>
      </w:r>
      <w:r w:rsidR="001601B3">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AF41D8">
        <w:rPr>
          <w:rFonts w:ascii="Times New Roman" w:hAnsi="Times New Roman" w:cs="Times New Roman"/>
          <w:b/>
          <w:sz w:val="24"/>
          <w:szCs w:val="24"/>
        </w:rPr>
        <w:t>Student Name</w:t>
      </w:r>
      <w:r>
        <w:rPr>
          <w:rFonts w:ascii="Times New Roman" w:hAnsi="Times New Roman" w:cs="Times New Roman"/>
          <w:sz w:val="24"/>
          <w:szCs w:val="24"/>
        </w:rPr>
        <w:t>: Marina Cretu</w:t>
      </w:r>
    </w:p>
    <w:p w:rsidR="00141222" w:rsidRDefault="00141222" w:rsidP="00B62151">
      <w:pPr>
        <w:jc w:val="both"/>
        <w:rPr>
          <w:rFonts w:ascii="Times New Roman" w:hAnsi="Times New Roman" w:cs="Times New Roman"/>
          <w:sz w:val="24"/>
          <w:szCs w:val="24"/>
        </w:rPr>
      </w:pPr>
      <w:r>
        <w:rPr>
          <w:rFonts w:ascii="Times New Roman" w:hAnsi="Times New Roman" w:cs="Times New Roman"/>
          <w:sz w:val="24"/>
          <w:szCs w:val="24"/>
        </w:rPr>
        <w:t xml:space="preserve">                                                                                                </w:t>
      </w:r>
      <w:r w:rsidRPr="00AF41D8">
        <w:rPr>
          <w:rFonts w:ascii="Times New Roman" w:hAnsi="Times New Roman" w:cs="Times New Roman"/>
          <w:b/>
          <w:sz w:val="24"/>
          <w:szCs w:val="24"/>
        </w:rPr>
        <w:t>Student ID</w:t>
      </w:r>
      <w:r>
        <w:rPr>
          <w:rFonts w:ascii="Times New Roman" w:hAnsi="Times New Roman" w:cs="Times New Roman"/>
          <w:sz w:val="24"/>
          <w:szCs w:val="24"/>
        </w:rPr>
        <w:t>: 2122650</w:t>
      </w:r>
    </w:p>
    <w:p w:rsidR="00141222" w:rsidRDefault="00EF4B5B" w:rsidP="00B62151">
      <w:pPr>
        <w:jc w:val="both"/>
        <w:rPr>
          <w:rFonts w:ascii="Times New Roman" w:hAnsi="Times New Roman" w:cs="Times New Roman"/>
          <w:sz w:val="24"/>
          <w:szCs w:val="24"/>
        </w:rPr>
      </w:pPr>
      <w:r>
        <w:rPr>
          <w:rFonts w:ascii="Times New Roman" w:hAnsi="Times New Roman" w:cs="Times New Roman"/>
          <w:sz w:val="24"/>
          <w:szCs w:val="24"/>
        </w:rPr>
        <w:t xml:space="preserve">                                                                                              </w:t>
      </w:r>
      <w:r w:rsidR="00141222">
        <w:rPr>
          <w:rFonts w:ascii="Times New Roman" w:hAnsi="Times New Roman" w:cs="Times New Roman"/>
          <w:sz w:val="24"/>
          <w:szCs w:val="24"/>
        </w:rPr>
        <w:t xml:space="preserve">  </w:t>
      </w:r>
      <w:r w:rsidR="00141222" w:rsidRPr="00AF41D8">
        <w:rPr>
          <w:rFonts w:ascii="Times New Roman" w:hAnsi="Times New Roman" w:cs="Times New Roman"/>
          <w:b/>
          <w:sz w:val="24"/>
          <w:szCs w:val="24"/>
        </w:rPr>
        <w:t xml:space="preserve">Location: </w:t>
      </w:r>
      <w:r w:rsidR="00141222">
        <w:rPr>
          <w:rFonts w:ascii="Times New Roman" w:hAnsi="Times New Roman" w:cs="Times New Roman"/>
          <w:sz w:val="24"/>
          <w:szCs w:val="24"/>
        </w:rPr>
        <w:t>London Campus</w:t>
      </w:r>
    </w:p>
    <w:p w:rsidR="00532B11" w:rsidRDefault="00532B11" w:rsidP="00B62151">
      <w:pPr>
        <w:pStyle w:val="ListParagraph"/>
        <w:spacing w:before="100" w:beforeAutospacing="1" w:after="100" w:afterAutospacing="1" w:line="240" w:lineRule="auto"/>
        <w:jc w:val="both"/>
        <w:outlineLvl w:val="2"/>
        <w:rPr>
          <w:rFonts w:ascii="Times New Roman" w:eastAsia="Times New Roman" w:hAnsi="Times New Roman" w:cs="Times New Roman"/>
          <w:b/>
          <w:bCs/>
          <w:sz w:val="27"/>
          <w:szCs w:val="27"/>
        </w:rPr>
      </w:pPr>
    </w:p>
    <w:p w:rsidR="00532B11" w:rsidRDefault="00532B11" w:rsidP="00B62151">
      <w:pPr>
        <w:pStyle w:val="ListParagraph"/>
        <w:spacing w:before="100" w:beforeAutospacing="1" w:after="100" w:afterAutospacing="1" w:line="240" w:lineRule="auto"/>
        <w:ind w:left="1440"/>
        <w:jc w:val="both"/>
        <w:outlineLvl w:val="2"/>
        <w:rPr>
          <w:rFonts w:ascii="Times New Roman" w:eastAsia="Times New Roman" w:hAnsi="Times New Roman" w:cs="Times New Roman"/>
          <w:b/>
          <w:bCs/>
          <w:sz w:val="27"/>
          <w:szCs w:val="27"/>
        </w:rPr>
      </w:pPr>
    </w:p>
    <w:p w:rsidR="00532B11" w:rsidRPr="00532B11" w:rsidRDefault="00532B11" w:rsidP="00201CB2">
      <w:pPr>
        <w:pStyle w:val="ListParagraph"/>
        <w:spacing w:before="100" w:beforeAutospacing="1" w:after="100" w:afterAutospacing="1" w:line="240" w:lineRule="auto"/>
        <w:jc w:val="both"/>
        <w:outlineLvl w:val="2"/>
        <w:rPr>
          <w:rFonts w:ascii="Times New Roman" w:eastAsia="Times New Roman" w:hAnsi="Times New Roman" w:cs="Times New Roman"/>
          <w:b/>
          <w:bCs/>
          <w:sz w:val="40"/>
          <w:szCs w:val="40"/>
        </w:rPr>
      </w:pPr>
    </w:p>
    <w:p w:rsidR="00EF4B5B" w:rsidRPr="00532B11" w:rsidRDefault="00EF4B5B" w:rsidP="00201CB2">
      <w:pPr>
        <w:pStyle w:val="ListParagraph"/>
        <w:numPr>
          <w:ilvl w:val="0"/>
          <w:numId w:val="5"/>
        </w:numPr>
        <w:spacing w:before="100" w:beforeAutospacing="1" w:after="100" w:afterAutospacing="1" w:line="240" w:lineRule="auto"/>
        <w:jc w:val="both"/>
        <w:outlineLvl w:val="2"/>
        <w:rPr>
          <w:rFonts w:ascii="Times New Roman" w:eastAsia="Times New Roman" w:hAnsi="Times New Roman" w:cs="Times New Roman"/>
          <w:b/>
          <w:bCs/>
          <w:sz w:val="40"/>
          <w:szCs w:val="40"/>
        </w:rPr>
      </w:pPr>
      <w:r w:rsidRPr="00532B11">
        <w:rPr>
          <w:rFonts w:ascii="Times New Roman" w:eastAsia="Times New Roman" w:hAnsi="Times New Roman" w:cs="Times New Roman"/>
          <w:b/>
          <w:bCs/>
          <w:sz w:val="40"/>
          <w:szCs w:val="40"/>
        </w:rPr>
        <w:t>Introduction</w:t>
      </w:r>
    </w:p>
    <w:p w:rsidR="00EF4B5B" w:rsidRPr="00EF4B5B" w:rsidRDefault="00EF4B5B" w:rsidP="00201CB2">
      <w:pPr>
        <w:spacing w:before="100" w:beforeAutospacing="1" w:after="100" w:afterAutospacing="1" w:line="360" w:lineRule="auto"/>
        <w:jc w:val="both"/>
        <w:rPr>
          <w:rFonts w:ascii="Times New Roman" w:eastAsia="Times New Roman" w:hAnsi="Times New Roman" w:cs="Times New Roman"/>
          <w:sz w:val="24"/>
          <w:szCs w:val="24"/>
        </w:rPr>
      </w:pPr>
      <w:r w:rsidRPr="00EF4B5B">
        <w:rPr>
          <w:rFonts w:ascii="Times New Roman" w:eastAsia="Times New Roman" w:hAnsi="Times New Roman" w:cs="Times New Roman"/>
          <w:sz w:val="24"/>
          <w:szCs w:val="24"/>
        </w:rPr>
        <w:t xml:space="preserve">International Financial Management (IFM) plays a pivotal role in the strategic decision-making of multinational corporations (MNCs), encompassing the management of financial resources across borders. It is imperative for MNCs to effectively navigate the complexities of global financial markets to sustain profitability and mitigate risks. Efficient IFM ensures optimal </w:t>
      </w:r>
      <w:r w:rsidR="00AC565B">
        <w:rPr>
          <w:rFonts w:ascii="Times New Roman" w:eastAsia="Times New Roman" w:hAnsi="Times New Roman" w:cs="Times New Roman"/>
          <w:sz w:val="24"/>
          <w:szCs w:val="24"/>
        </w:rPr>
        <w:t xml:space="preserve">capital allocation, facilitates strategic investments, and enhances financial performance, </w:t>
      </w:r>
      <w:r w:rsidRPr="00EF4B5B">
        <w:rPr>
          <w:rFonts w:ascii="Times New Roman" w:eastAsia="Times New Roman" w:hAnsi="Times New Roman" w:cs="Times New Roman"/>
          <w:sz w:val="24"/>
          <w:szCs w:val="24"/>
        </w:rPr>
        <w:t>fostering long-term growth and competitive advantage in the international arena (Solnik &amp; McLeavey, 2020).</w:t>
      </w:r>
      <w:r w:rsidR="00AC565B">
        <w:rPr>
          <w:rFonts w:ascii="Times New Roman" w:eastAsia="Times New Roman" w:hAnsi="Times New Roman" w:cs="Times New Roman"/>
          <w:sz w:val="24"/>
          <w:szCs w:val="24"/>
        </w:rPr>
        <w:t xml:space="preserve"> </w:t>
      </w:r>
      <w:r w:rsidRPr="00EF4B5B">
        <w:rPr>
          <w:rFonts w:ascii="Times New Roman" w:eastAsia="Times New Roman" w:hAnsi="Times New Roman" w:cs="Times New Roman"/>
          <w:sz w:val="24"/>
          <w:szCs w:val="24"/>
        </w:rPr>
        <w:t>The responsibility of IFM extends beyond mere financial transactions; it involves safeguarding shareholder interests, maintaining regulatory compliance, and adhering to ethical standards in financial reporting (Shapiro &amp; Sarin, 2018). Moreover, effective IFM practices enable MNCs to mitigate risks associated with foreign exchange fluctuations, interest rate differentials, and geopolitical uncertainties (Eiteman et al., 2021).</w:t>
      </w:r>
      <w:r w:rsidR="00AC565B">
        <w:rPr>
          <w:rFonts w:ascii="Times New Roman" w:eastAsia="Times New Roman" w:hAnsi="Times New Roman" w:cs="Times New Roman"/>
          <w:sz w:val="24"/>
          <w:szCs w:val="24"/>
        </w:rPr>
        <w:t xml:space="preserve"> </w:t>
      </w:r>
      <w:r w:rsidRPr="00EF4B5B">
        <w:rPr>
          <w:rFonts w:ascii="Times New Roman" w:eastAsia="Times New Roman" w:hAnsi="Times New Roman" w:cs="Times New Roman"/>
          <w:sz w:val="24"/>
          <w:szCs w:val="24"/>
        </w:rPr>
        <w:t>This paper explores the importance and complexities of IFM, examining strategies and tools that MNCs employ to manage financial risks and optimize capital structure in global markets. By analyzing theoretical frameworks alongside practical examples, this study aims to provide insights into how IFM enhances operational efficiency and drives sustainable value creation in today's interconnected world economy.</w:t>
      </w:r>
    </w:p>
    <w:p w:rsidR="00141222" w:rsidRDefault="00141222"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Pr="00532B11" w:rsidRDefault="00AC565B" w:rsidP="00201CB2">
      <w:pPr>
        <w:pStyle w:val="ListParagraph"/>
        <w:numPr>
          <w:ilvl w:val="0"/>
          <w:numId w:val="5"/>
        </w:numPr>
        <w:spacing w:line="360" w:lineRule="auto"/>
        <w:jc w:val="both"/>
        <w:rPr>
          <w:rFonts w:ascii="Times New Roman" w:hAnsi="Times New Roman" w:cs="Times New Roman"/>
          <w:sz w:val="40"/>
          <w:szCs w:val="40"/>
        </w:rPr>
      </w:pPr>
      <w:r w:rsidRPr="00532B11">
        <w:rPr>
          <w:rFonts w:ascii="Times New Roman" w:hAnsi="Times New Roman" w:cs="Times New Roman"/>
          <w:sz w:val="40"/>
          <w:szCs w:val="40"/>
        </w:rPr>
        <w:t>Multinational corporations (MNCs)</w:t>
      </w:r>
    </w:p>
    <w:p w:rsidR="00AC565B" w:rsidRPr="004E339D" w:rsidRDefault="009653A7" w:rsidP="004E339D">
      <w:pPr>
        <w:spacing w:line="360" w:lineRule="auto"/>
        <w:jc w:val="both"/>
        <w:rPr>
          <w:rFonts w:ascii="Times New Roman" w:hAnsi="Times New Roman" w:cs="Times New Roman"/>
          <w:sz w:val="24"/>
          <w:szCs w:val="24"/>
        </w:rPr>
      </w:pPr>
      <w:r w:rsidRPr="009653A7">
        <w:rPr>
          <w:rFonts w:ascii="Times New Roman" w:hAnsi="Times New Roman" w:cs="Times New Roman"/>
          <w:sz w:val="24"/>
          <w:szCs w:val="24"/>
        </w:rPr>
        <w:t>A multinational corporation (MNC) is a large enterprise that operates and manages production or delivers services in more than one country. These corporations typically have a centralized management structure based in their home country, where they coordinate their global activities (Hill &amp; Hult, 2019). MNCs engage in international business activities to leverage comparative advantages across different countries, such as lower production costs, access to diverse markets, or specialized skills and resources (Dunning, 1993). Key characteristics of MNCs include their ability to adapt and customize their strategies according to local market conditions while maintaining a unified corporate identity and operational standards globally (Rugman &amp; Verbeke, 2003). They often establish subsidiaries, affiliates, or joint ventures in foreign markets to establish a physical presence and facilitate operations. MNCs play a significant role in driving economic growth, technology transfer, and employment opportunities across countries where they operate. Various factors, including regulatory environments, cultural differences, exchange rate fluctuations, and geopolitical considerations</w:t>
      </w:r>
      <w:r w:rsidR="004E339D">
        <w:rPr>
          <w:rFonts w:ascii="Times New Roman" w:hAnsi="Times New Roman" w:cs="Times New Roman"/>
          <w:sz w:val="24"/>
          <w:szCs w:val="24"/>
        </w:rPr>
        <w:t>, influence MNCs' governance and decision-making processes</w:t>
      </w:r>
      <w:r w:rsidRPr="009653A7">
        <w:rPr>
          <w:rFonts w:ascii="Times New Roman" w:hAnsi="Times New Roman" w:cs="Times New Roman"/>
          <w:sz w:val="24"/>
          <w:szCs w:val="24"/>
        </w:rPr>
        <w:t>. Effective management of these complexities is crucial for MNCs to achieve competitive advantage and sustainable growth in the global marketplace.</w:t>
      </w:r>
    </w:p>
    <w:p w:rsidR="00AC565B" w:rsidRDefault="00AC565B" w:rsidP="00201CB2">
      <w:pPr>
        <w:tabs>
          <w:tab w:val="left" w:pos="7668"/>
        </w:tabs>
        <w:spacing w:line="276" w:lineRule="auto"/>
        <w:jc w:val="both"/>
      </w:pPr>
    </w:p>
    <w:p w:rsidR="00C621DD" w:rsidRPr="004E339D" w:rsidRDefault="004E339D" w:rsidP="004E339D">
      <w:pPr>
        <w:spacing w:line="360" w:lineRule="auto"/>
        <w:jc w:val="both"/>
        <w:rPr>
          <w:rFonts w:ascii="Times New Roman" w:hAnsi="Times New Roman" w:cs="Times New Roman"/>
          <w:b/>
          <w:sz w:val="32"/>
          <w:szCs w:val="32"/>
        </w:rPr>
      </w:pPr>
      <w:r>
        <w:rPr>
          <w:rFonts w:ascii="Times New Roman" w:hAnsi="Times New Roman" w:cs="Times New Roman"/>
          <w:b/>
          <w:sz w:val="32"/>
          <w:szCs w:val="32"/>
        </w:rPr>
        <w:t>3.</w:t>
      </w:r>
      <w:r w:rsidRPr="004E339D">
        <w:rPr>
          <w:rFonts w:ascii="Times New Roman" w:hAnsi="Times New Roman" w:cs="Times New Roman"/>
          <w:b/>
          <w:i/>
          <w:sz w:val="32"/>
          <w:szCs w:val="32"/>
        </w:rPr>
        <w:t xml:space="preserve"> </w:t>
      </w:r>
      <w:r w:rsidRPr="004E339D">
        <w:rPr>
          <w:rFonts w:ascii="Times New Roman" w:hAnsi="Times New Roman" w:cs="Times New Roman"/>
          <w:b/>
          <w:sz w:val="32"/>
          <w:szCs w:val="32"/>
        </w:rPr>
        <w:t>Concepts</w:t>
      </w:r>
      <w:r w:rsidR="00C621DD" w:rsidRPr="004E339D">
        <w:rPr>
          <w:rFonts w:ascii="Times New Roman" w:hAnsi="Times New Roman" w:cs="Times New Roman"/>
          <w:b/>
          <w:sz w:val="32"/>
          <w:szCs w:val="32"/>
        </w:rPr>
        <w:t xml:space="preserve"> and types of currency risks</w:t>
      </w:r>
    </w:p>
    <w:p w:rsidR="00C621DD" w:rsidRPr="00DD60C7" w:rsidRDefault="00DD60C7" w:rsidP="00DD60C7">
      <w:pPr>
        <w:spacing w:after="0" w:line="360" w:lineRule="auto"/>
        <w:jc w:val="both"/>
        <w:rPr>
          <w:rFonts w:ascii="Times New Roman" w:eastAsia="Times New Roman" w:hAnsi="Times New Roman" w:cs="Times New Roman"/>
          <w:sz w:val="24"/>
          <w:szCs w:val="24"/>
        </w:rPr>
      </w:pPr>
      <w:r w:rsidRPr="00DD60C7">
        <w:rPr>
          <w:rFonts w:ascii="Times New Roman" w:eastAsia="Times New Roman" w:hAnsi="Times New Roman" w:cs="Times New Roman"/>
          <w:sz w:val="24"/>
          <w:szCs w:val="24"/>
        </w:rPr>
        <w:t xml:space="preserve">Currency risk pertains to the possible financial losses resulting from variations in the exchange rates between different currencies. It is often referred to as foreign exchange (FX) risk or exchange rate risk. Businesses and investors involved in cross-border operations, investments, or transactions are susceptible to this risk. </w:t>
      </w:r>
      <w:r w:rsidR="00C621DD" w:rsidRPr="00C621DD">
        <w:rPr>
          <w:rFonts w:ascii="Times New Roman" w:hAnsi="Times New Roman" w:cs="Times New Roman"/>
          <w:sz w:val="24"/>
          <w:szCs w:val="24"/>
        </w:rPr>
        <w:t>Understanding currency risk is crucial for effective risk management and decision-making in global markets.</w:t>
      </w:r>
      <w:r w:rsidR="00C621DD" w:rsidRPr="00C621DD">
        <w:t xml:space="preserve"> </w:t>
      </w:r>
      <w:r w:rsidR="00C621DD" w:rsidRPr="00C621DD">
        <w:rPr>
          <w:rFonts w:ascii="Times New Roman" w:hAnsi="Times New Roman" w:cs="Times New Roman"/>
          <w:sz w:val="24"/>
          <w:szCs w:val="24"/>
        </w:rPr>
        <w:t>Businesses and investors face th</w:t>
      </w:r>
      <w:r w:rsidR="00E210B6">
        <w:rPr>
          <w:rFonts w:ascii="Times New Roman" w:hAnsi="Times New Roman" w:cs="Times New Roman"/>
          <w:sz w:val="24"/>
          <w:szCs w:val="24"/>
        </w:rPr>
        <w:t>ree main types of currency risk</w:t>
      </w:r>
      <w:r w:rsidR="00E210B6" w:rsidRPr="00E210B6">
        <w:rPr>
          <w:rFonts w:ascii="Times New Roman" w:hAnsi="Times New Roman" w:cs="Times New Roman"/>
          <w:sz w:val="24"/>
          <w:szCs w:val="24"/>
        </w:rPr>
        <w:t>. To manage these risks, multinational corporations employ a variety of strategies and financial instruments. Here are some common approaches</w:t>
      </w:r>
      <w:r w:rsidR="00E210B6">
        <w:t>:</w:t>
      </w:r>
    </w:p>
    <w:p w:rsidR="00105B53" w:rsidRDefault="00C621DD" w:rsidP="0051621A">
      <w:pPr>
        <w:spacing w:line="360" w:lineRule="auto"/>
        <w:jc w:val="both"/>
        <w:rPr>
          <w:rFonts w:ascii="Times New Roman" w:hAnsi="Times New Roman" w:cs="Times New Roman"/>
          <w:sz w:val="24"/>
          <w:szCs w:val="24"/>
        </w:rPr>
      </w:pPr>
      <w:r w:rsidRPr="004C5525">
        <w:rPr>
          <w:rStyle w:val="Strong"/>
          <w:rFonts w:ascii="Times New Roman" w:hAnsi="Times New Roman" w:cs="Times New Roman"/>
          <w:sz w:val="24"/>
          <w:szCs w:val="24"/>
        </w:rPr>
        <w:lastRenderedPageBreak/>
        <w:t>Transaction Risk</w:t>
      </w:r>
      <w:r w:rsidRPr="004C5525">
        <w:rPr>
          <w:rFonts w:ascii="Times New Roman" w:hAnsi="Times New Roman" w:cs="Times New Roman"/>
          <w:sz w:val="24"/>
          <w:szCs w:val="24"/>
        </w:rPr>
        <w:t xml:space="preserve">: </w:t>
      </w:r>
      <w:r w:rsidR="00105B53" w:rsidRPr="00105B53">
        <w:rPr>
          <w:rFonts w:ascii="Times New Roman" w:hAnsi="Times New Roman" w:cs="Times New Roman"/>
          <w:sz w:val="24"/>
          <w:szCs w:val="24"/>
        </w:rPr>
        <w:t>Transaction risk, also known as transaction exposure, refers to the potential impact of fluctuations in exchange rates on the value of specific financial transactions. This type of risk arises from the uncertainty associated with future cash flows that are denominated in foreign currencies. Here is a detailed explanation of what transaction risk includes:</w:t>
      </w:r>
    </w:p>
    <w:p w:rsidR="00105B53" w:rsidRDefault="00105B53" w:rsidP="0051621A">
      <w:pPr>
        <w:pStyle w:val="ListParagraph"/>
        <w:numPr>
          <w:ilvl w:val="0"/>
          <w:numId w:val="21"/>
        </w:numPr>
        <w:spacing w:line="360" w:lineRule="auto"/>
        <w:jc w:val="both"/>
        <w:rPr>
          <w:rFonts w:ascii="Times New Roman" w:hAnsi="Times New Roman" w:cs="Times New Roman"/>
          <w:i/>
          <w:sz w:val="24"/>
          <w:szCs w:val="24"/>
        </w:rPr>
      </w:pPr>
      <w:r w:rsidRPr="00105B53">
        <w:rPr>
          <w:rFonts w:ascii="Times New Roman" w:hAnsi="Times New Roman" w:cs="Times New Roman"/>
          <w:i/>
          <w:sz w:val="24"/>
          <w:szCs w:val="24"/>
        </w:rPr>
        <w:t>Future Cash Flows</w:t>
      </w:r>
    </w:p>
    <w:p w:rsidR="00105B53" w:rsidRDefault="00105B53" w:rsidP="0051621A">
      <w:pPr>
        <w:spacing w:line="360" w:lineRule="auto"/>
        <w:ind w:left="360"/>
        <w:jc w:val="both"/>
        <w:rPr>
          <w:rFonts w:ascii="Times New Roman" w:hAnsi="Times New Roman" w:cs="Times New Roman"/>
          <w:sz w:val="24"/>
          <w:szCs w:val="24"/>
        </w:rPr>
      </w:pPr>
      <w:r w:rsidRPr="00105B53">
        <w:rPr>
          <w:rFonts w:ascii="Times New Roman" w:hAnsi="Times New Roman" w:cs="Times New Roman"/>
          <w:sz w:val="24"/>
          <w:szCs w:val="24"/>
        </w:rPr>
        <w:t>Transaction risk primarily affects cash flows that are expected to occur i</w:t>
      </w:r>
      <w:r w:rsidRPr="00105B53">
        <w:rPr>
          <w:rFonts w:ascii="Times New Roman" w:hAnsi="Times New Roman" w:cs="Times New Roman"/>
          <w:sz w:val="24"/>
          <w:szCs w:val="24"/>
        </w:rPr>
        <w:t>n the future. These can include:</w:t>
      </w:r>
    </w:p>
    <w:p w:rsidR="00105B53" w:rsidRDefault="00105B53" w:rsidP="0051621A">
      <w:pPr>
        <w:spacing w:line="360" w:lineRule="auto"/>
        <w:ind w:left="360"/>
        <w:jc w:val="both"/>
      </w:pPr>
      <w:r w:rsidRPr="00105B53">
        <w:rPr>
          <w:rStyle w:val="Strong"/>
          <w:rFonts w:ascii="Times New Roman" w:hAnsi="Times New Roman" w:cs="Times New Roman"/>
          <w:b w:val="0"/>
          <w:i/>
          <w:sz w:val="24"/>
          <w:szCs w:val="24"/>
        </w:rPr>
        <w:t>Receivables</w:t>
      </w:r>
      <w:r w:rsidRPr="00105B53">
        <w:rPr>
          <w:rStyle w:val="Strong"/>
          <w:rFonts w:ascii="Times New Roman" w:hAnsi="Times New Roman" w:cs="Times New Roman"/>
          <w:sz w:val="24"/>
          <w:szCs w:val="24"/>
        </w:rPr>
        <w:t>:</w:t>
      </w:r>
      <w:r w:rsidRPr="00105B53">
        <w:rPr>
          <w:rFonts w:ascii="Times New Roman" w:hAnsi="Times New Roman" w:cs="Times New Roman"/>
          <w:sz w:val="24"/>
          <w:szCs w:val="24"/>
        </w:rPr>
        <w:t xml:space="preserve"> Payments that a company expects to receive from sales of goods or services in foreign currencies</w:t>
      </w:r>
      <w:r>
        <w:t>.</w:t>
      </w:r>
    </w:p>
    <w:p w:rsidR="00105B53" w:rsidRDefault="00105B53" w:rsidP="0051621A">
      <w:pPr>
        <w:spacing w:line="360" w:lineRule="auto"/>
        <w:ind w:left="360"/>
        <w:jc w:val="both"/>
        <w:rPr>
          <w:rFonts w:ascii="Times New Roman" w:hAnsi="Times New Roman" w:cs="Times New Roman"/>
          <w:sz w:val="24"/>
          <w:szCs w:val="24"/>
        </w:rPr>
      </w:pPr>
      <w:r w:rsidRPr="00105B53">
        <w:rPr>
          <w:rStyle w:val="Strong"/>
          <w:rFonts w:ascii="Times New Roman" w:hAnsi="Times New Roman" w:cs="Times New Roman"/>
          <w:b w:val="0"/>
          <w:i/>
          <w:sz w:val="24"/>
          <w:szCs w:val="24"/>
        </w:rPr>
        <w:t>Payables:</w:t>
      </w:r>
      <w:r w:rsidRPr="00105B53">
        <w:rPr>
          <w:rFonts w:ascii="Times New Roman" w:hAnsi="Times New Roman" w:cs="Times New Roman"/>
          <w:sz w:val="24"/>
          <w:szCs w:val="24"/>
        </w:rPr>
        <w:t xml:space="preserve"> Payments that a company is obligated to make for purchases of goods or services in foreign currencies.</w:t>
      </w:r>
    </w:p>
    <w:p w:rsidR="00105B53" w:rsidRPr="00105B53" w:rsidRDefault="00105B53" w:rsidP="0051621A">
      <w:pPr>
        <w:pStyle w:val="ListParagraph"/>
        <w:numPr>
          <w:ilvl w:val="0"/>
          <w:numId w:val="21"/>
        </w:numPr>
        <w:spacing w:before="100" w:beforeAutospacing="1" w:after="100" w:afterAutospacing="1" w:line="360" w:lineRule="auto"/>
        <w:jc w:val="both"/>
        <w:rPr>
          <w:rFonts w:ascii="Times New Roman" w:eastAsia="Times New Roman" w:hAnsi="Times New Roman" w:cs="Times New Roman"/>
          <w:i/>
          <w:sz w:val="24"/>
          <w:szCs w:val="24"/>
        </w:rPr>
      </w:pPr>
      <w:r w:rsidRPr="00105B53">
        <w:rPr>
          <w:rFonts w:ascii="Times New Roman" w:eastAsia="Times New Roman" w:hAnsi="Times New Roman" w:cs="Times New Roman"/>
          <w:bCs/>
          <w:i/>
          <w:sz w:val="24"/>
          <w:szCs w:val="24"/>
        </w:rPr>
        <w:t>Timing of Transactions</w:t>
      </w:r>
    </w:p>
    <w:p w:rsidR="00105B53" w:rsidRPr="00105B53" w:rsidRDefault="00105B53" w:rsidP="0051621A">
      <w:pPr>
        <w:spacing w:before="100" w:beforeAutospacing="1" w:after="100" w:afterAutospacing="1" w:line="360" w:lineRule="auto"/>
        <w:ind w:left="360"/>
        <w:jc w:val="both"/>
        <w:rPr>
          <w:rFonts w:ascii="Times New Roman" w:eastAsia="Times New Roman" w:hAnsi="Times New Roman" w:cs="Times New Roman"/>
          <w:sz w:val="24"/>
          <w:szCs w:val="24"/>
        </w:rPr>
      </w:pPr>
      <w:r w:rsidRPr="00105B53">
        <w:rPr>
          <w:rFonts w:ascii="Times New Roman" w:eastAsia="Times New Roman" w:hAnsi="Times New Roman" w:cs="Times New Roman"/>
          <w:sz w:val="24"/>
          <w:szCs w:val="24"/>
        </w:rPr>
        <w:t>The risk is directly related to the timing of the transaction. The longer the period between the transaction date and the settlement date, the greater the exposure to exchange rate fluctuations. For example, a company that agrees to receive payment in a foreign currency six months from now faces the risk that the value of that currency may change unfavorably during that time.</w:t>
      </w:r>
    </w:p>
    <w:p w:rsidR="00105B53" w:rsidRPr="00105B53" w:rsidRDefault="00105B53" w:rsidP="0051621A">
      <w:pPr>
        <w:pStyle w:val="ListParagraph"/>
        <w:numPr>
          <w:ilvl w:val="0"/>
          <w:numId w:val="21"/>
        </w:numPr>
        <w:spacing w:before="100" w:beforeAutospacing="1" w:after="100" w:afterAutospacing="1" w:line="360" w:lineRule="auto"/>
        <w:jc w:val="both"/>
        <w:rPr>
          <w:rFonts w:ascii="Times New Roman" w:eastAsia="Times New Roman" w:hAnsi="Times New Roman" w:cs="Times New Roman"/>
          <w:i/>
          <w:sz w:val="24"/>
          <w:szCs w:val="24"/>
        </w:rPr>
      </w:pPr>
      <w:r w:rsidRPr="00105B53">
        <w:rPr>
          <w:rFonts w:ascii="Times New Roman" w:eastAsia="Times New Roman" w:hAnsi="Times New Roman" w:cs="Times New Roman"/>
          <w:bCs/>
          <w:i/>
          <w:sz w:val="24"/>
          <w:szCs w:val="24"/>
        </w:rPr>
        <w:t>Contractual Obligations</w:t>
      </w:r>
    </w:p>
    <w:p w:rsidR="00105B53" w:rsidRPr="00105B53" w:rsidRDefault="00105B53" w:rsidP="0051621A">
      <w:pPr>
        <w:spacing w:before="100" w:beforeAutospacing="1" w:after="100" w:afterAutospacing="1" w:line="360" w:lineRule="auto"/>
        <w:ind w:left="360"/>
        <w:jc w:val="both"/>
        <w:rPr>
          <w:rFonts w:ascii="Times New Roman" w:eastAsia="Times New Roman" w:hAnsi="Times New Roman" w:cs="Times New Roman"/>
          <w:sz w:val="24"/>
          <w:szCs w:val="24"/>
        </w:rPr>
      </w:pPr>
      <w:r w:rsidRPr="00105B53">
        <w:rPr>
          <w:rFonts w:ascii="Times New Roman" w:eastAsia="Times New Roman" w:hAnsi="Times New Roman" w:cs="Times New Roman"/>
          <w:sz w:val="24"/>
          <w:szCs w:val="24"/>
        </w:rPr>
        <w:t>Transaction risk is associated with contractual obligations that involve foreign currencies. These contracts can include:</w:t>
      </w:r>
    </w:p>
    <w:p w:rsidR="00105B53" w:rsidRPr="00105B53" w:rsidRDefault="00105B53" w:rsidP="0051621A">
      <w:pPr>
        <w:spacing w:after="0" w:line="360" w:lineRule="auto"/>
        <w:jc w:val="both"/>
        <w:rPr>
          <w:rFonts w:ascii="Times New Roman" w:eastAsia="Times New Roman" w:hAnsi="Times New Roman" w:cs="Times New Roman"/>
          <w:sz w:val="24"/>
          <w:szCs w:val="24"/>
        </w:rPr>
      </w:pPr>
      <w:r w:rsidRPr="00105B53">
        <w:rPr>
          <w:rFonts w:ascii="Times New Roman" w:eastAsia="Times New Roman" w:hAnsi="Times New Roman" w:cs="Times New Roman"/>
          <w:bCs/>
          <w:i/>
          <w:sz w:val="24"/>
          <w:szCs w:val="24"/>
        </w:rPr>
        <w:t>Sales Contracts</w:t>
      </w:r>
      <w:r w:rsidRPr="00105B53">
        <w:rPr>
          <w:rFonts w:ascii="Times New Roman" w:eastAsia="Times New Roman" w:hAnsi="Times New Roman" w:cs="Times New Roman"/>
          <w:bCs/>
          <w:sz w:val="24"/>
          <w:szCs w:val="24"/>
        </w:rPr>
        <w:t>:</w:t>
      </w:r>
      <w:r w:rsidRPr="00105B53">
        <w:rPr>
          <w:rFonts w:ascii="Times New Roman" w:eastAsia="Times New Roman" w:hAnsi="Times New Roman" w:cs="Times New Roman"/>
          <w:sz w:val="24"/>
          <w:szCs w:val="24"/>
        </w:rPr>
        <w:t xml:space="preserve"> Agreements to sell goods or services for payment in a foreign currency.</w:t>
      </w:r>
    </w:p>
    <w:p w:rsidR="00105B53" w:rsidRDefault="00105B53" w:rsidP="0051621A">
      <w:pPr>
        <w:spacing w:after="0" w:line="360" w:lineRule="auto"/>
        <w:jc w:val="both"/>
        <w:rPr>
          <w:rFonts w:ascii="Times New Roman" w:eastAsia="Times New Roman" w:hAnsi="Times New Roman" w:cs="Times New Roman"/>
          <w:sz w:val="24"/>
          <w:szCs w:val="24"/>
        </w:rPr>
      </w:pPr>
      <w:r w:rsidRPr="00105B53">
        <w:rPr>
          <w:rFonts w:ascii="Times New Roman" w:eastAsia="Times New Roman" w:hAnsi="Times New Roman" w:cs="Times New Roman"/>
          <w:bCs/>
          <w:i/>
          <w:sz w:val="24"/>
          <w:szCs w:val="24"/>
        </w:rPr>
        <w:t>Purchase Contracts</w:t>
      </w:r>
      <w:r w:rsidRPr="00105B53">
        <w:rPr>
          <w:rFonts w:ascii="Times New Roman" w:eastAsia="Times New Roman" w:hAnsi="Times New Roman" w:cs="Times New Roman"/>
          <w:b/>
          <w:bCs/>
          <w:sz w:val="24"/>
          <w:szCs w:val="24"/>
        </w:rPr>
        <w:t>:</w:t>
      </w:r>
      <w:r w:rsidRPr="00105B53">
        <w:rPr>
          <w:rFonts w:ascii="Times New Roman" w:eastAsia="Times New Roman" w:hAnsi="Times New Roman" w:cs="Times New Roman"/>
          <w:sz w:val="24"/>
          <w:szCs w:val="24"/>
        </w:rPr>
        <w:t xml:space="preserve"> Agreements to buy goods or services </w:t>
      </w:r>
      <w:r>
        <w:rPr>
          <w:rFonts w:ascii="Times New Roman" w:eastAsia="Times New Roman" w:hAnsi="Times New Roman" w:cs="Times New Roman"/>
          <w:sz w:val="24"/>
          <w:szCs w:val="24"/>
        </w:rPr>
        <w:t>and pay in a foreign currency</w:t>
      </w:r>
    </w:p>
    <w:p w:rsidR="00105B53" w:rsidRDefault="00105B53" w:rsidP="0051621A">
      <w:pPr>
        <w:spacing w:after="0" w:line="360" w:lineRule="auto"/>
        <w:jc w:val="both"/>
        <w:rPr>
          <w:rFonts w:ascii="Times New Roman" w:eastAsia="Times New Roman" w:hAnsi="Times New Roman" w:cs="Times New Roman"/>
          <w:sz w:val="24"/>
          <w:szCs w:val="24"/>
        </w:rPr>
      </w:pPr>
      <w:r w:rsidRPr="00105B53">
        <w:rPr>
          <w:rFonts w:ascii="Times New Roman" w:eastAsia="Times New Roman" w:hAnsi="Times New Roman" w:cs="Times New Roman"/>
          <w:bCs/>
          <w:i/>
          <w:sz w:val="24"/>
          <w:szCs w:val="24"/>
        </w:rPr>
        <w:t>Loan Agreements:</w:t>
      </w:r>
      <w:r w:rsidRPr="00105B53">
        <w:rPr>
          <w:rFonts w:ascii="Times New Roman" w:eastAsia="Times New Roman" w:hAnsi="Times New Roman" w:cs="Times New Roman"/>
          <w:sz w:val="24"/>
          <w:szCs w:val="24"/>
        </w:rPr>
        <w:t xml:space="preserve"> Contracts involving borrowing or lending in foreign currencies.</w:t>
      </w:r>
    </w:p>
    <w:p w:rsidR="0051621A" w:rsidRDefault="0051621A" w:rsidP="0051621A">
      <w:pPr>
        <w:spacing w:after="0" w:line="360" w:lineRule="auto"/>
        <w:jc w:val="both"/>
        <w:rPr>
          <w:rFonts w:ascii="Times New Roman" w:eastAsia="Times New Roman" w:hAnsi="Times New Roman" w:cs="Times New Roman"/>
          <w:sz w:val="24"/>
          <w:szCs w:val="24"/>
        </w:rPr>
      </w:pPr>
    </w:p>
    <w:p w:rsidR="0051621A" w:rsidRDefault="0051621A" w:rsidP="0051621A">
      <w:pPr>
        <w:spacing w:after="0" w:line="360" w:lineRule="auto"/>
        <w:jc w:val="both"/>
        <w:rPr>
          <w:rFonts w:ascii="Times New Roman" w:eastAsia="Times New Roman" w:hAnsi="Times New Roman" w:cs="Times New Roman"/>
          <w:sz w:val="24"/>
          <w:szCs w:val="24"/>
        </w:rPr>
      </w:pPr>
    </w:p>
    <w:p w:rsidR="0051621A" w:rsidRDefault="0051621A" w:rsidP="0051621A">
      <w:pPr>
        <w:spacing w:after="0" w:line="360" w:lineRule="auto"/>
        <w:jc w:val="both"/>
        <w:rPr>
          <w:rFonts w:ascii="Times New Roman" w:eastAsia="Times New Roman" w:hAnsi="Times New Roman" w:cs="Times New Roman"/>
          <w:sz w:val="24"/>
          <w:szCs w:val="24"/>
        </w:rPr>
      </w:pPr>
    </w:p>
    <w:p w:rsidR="00105B53" w:rsidRDefault="00105B53" w:rsidP="0051621A">
      <w:pPr>
        <w:pStyle w:val="ListParagraph"/>
        <w:spacing w:after="0" w:line="360" w:lineRule="auto"/>
        <w:jc w:val="both"/>
        <w:rPr>
          <w:rFonts w:ascii="Times New Roman" w:eastAsia="Times New Roman" w:hAnsi="Times New Roman" w:cs="Times New Roman"/>
          <w:sz w:val="24"/>
          <w:szCs w:val="24"/>
        </w:rPr>
      </w:pPr>
    </w:p>
    <w:p w:rsidR="00105B53" w:rsidRPr="00105B53" w:rsidRDefault="00105B53" w:rsidP="0051621A">
      <w:pPr>
        <w:pStyle w:val="ListParagraph"/>
        <w:numPr>
          <w:ilvl w:val="0"/>
          <w:numId w:val="21"/>
        </w:numPr>
        <w:spacing w:before="100" w:beforeAutospacing="1" w:after="100" w:afterAutospacing="1" w:line="360" w:lineRule="auto"/>
        <w:jc w:val="both"/>
        <w:rPr>
          <w:rFonts w:ascii="Times New Roman" w:eastAsia="Times New Roman" w:hAnsi="Times New Roman" w:cs="Times New Roman"/>
          <w:i/>
          <w:sz w:val="24"/>
          <w:szCs w:val="24"/>
        </w:rPr>
      </w:pPr>
      <w:r w:rsidRPr="00105B53">
        <w:rPr>
          <w:rFonts w:ascii="Times New Roman" w:eastAsia="Times New Roman" w:hAnsi="Times New Roman" w:cs="Times New Roman"/>
          <w:bCs/>
          <w:i/>
          <w:sz w:val="24"/>
          <w:szCs w:val="24"/>
        </w:rPr>
        <w:lastRenderedPageBreak/>
        <w:t>Exchange Rate Fluctuations</w:t>
      </w:r>
    </w:p>
    <w:p w:rsidR="00105B53" w:rsidRPr="00105B53" w:rsidRDefault="00105B53" w:rsidP="0051621A">
      <w:pPr>
        <w:spacing w:before="100" w:beforeAutospacing="1" w:after="100" w:afterAutospacing="1" w:line="360" w:lineRule="auto"/>
        <w:ind w:left="360"/>
        <w:jc w:val="both"/>
        <w:rPr>
          <w:rFonts w:ascii="Times New Roman" w:eastAsia="Times New Roman" w:hAnsi="Times New Roman" w:cs="Times New Roman"/>
          <w:sz w:val="24"/>
          <w:szCs w:val="24"/>
        </w:rPr>
      </w:pPr>
      <w:r w:rsidRPr="00105B53">
        <w:rPr>
          <w:rFonts w:ascii="Times New Roman" w:eastAsia="Times New Roman" w:hAnsi="Times New Roman" w:cs="Times New Roman"/>
          <w:sz w:val="24"/>
          <w:szCs w:val="24"/>
        </w:rPr>
        <w:t>The core of transaction risk is the uncertainty regarding how exchange rates will move between the time a transaction is initiated and the time it is settled. Fluctuations in exchange rates can affect the amount of local currency received or paid when converting foreign currency amounts.</w:t>
      </w:r>
    </w:p>
    <w:p w:rsidR="00424CAD" w:rsidRDefault="00424CAD" w:rsidP="0051621A">
      <w:pPr>
        <w:spacing w:line="360" w:lineRule="auto"/>
        <w:jc w:val="both"/>
        <w:rPr>
          <w:rFonts w:ascii="Times New Roman" w:hAnsi="Times New Roman" w:cs="Times New Roman"/>
          <w:b/>
          <w:sz w:val="24"/>
          <w:szCs w:val="24"/>
        </w:rPr>
      </w:pPr>
    </w:p>
    <w:p w:rsidR="00424CAD" w:rsidRDefault="00424CAD" w:rsidP="0051621A">
      <w:pPr>
        <w:spacing w:line="360" w:lineRule="auto"/>
        <w:jc w:val="both"/>
        <w:rPr>
          <w:rFonts w:ascii="Times New Roman" w:hAnsi="Times New Roman" w:cs="Times New Roman"/>
          <w:b/>
          <w:sz w:val="24"/>
          <w:szCs w:val="24"/>
        </w:rPr>
      </w:pPr>
    </w:p>
    <w:p w:rsidR="00105B53" w:rsidRPr="00105B53" w:rsidRDefault="00424CAD" w:rsidP="0051621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105B53" w:rsidRPr="00105B53">
        <w:rPr>
          <w:rFonts w:ascii="Times New Roman" w:hAnsi="Times New Roman" w:cs="Times New Roman"/>
          <w:b/>
          <w:sz w:val="24"/>
          <w:szCs w:val="24"/>
        </w:rPr>
        <w:t>Mitigation of Transaction Risk</w:t>
      </w:r>
    </w:p>
    <w:p w:rsidR="0051621A" w:rsidRDefault="0051621A" w:rsidP="0051621A">
      <w:pPr>
        <w:spacing w:after="0" w:line="360" w:lineRule="auto"/>
        <w:jc w:val="both"/>
        <w:rPr>
          <w:rFonts w:ascii="Times New Roman" w:eastAsia="Times New Roman" w:hAnsi="Times New Roman" w:cs="Times New Roman"/>
          <w:sz w:val="24"/>
          <w:szCs w:val="24"/>
        </w:rPr>
      </w:pPr>
      <w:r w:rsidRPr="0051621A">
        <w:rPr>
          <w:rFonts w:ascii="Times New Roman" w:eastAsia="Times New Roman" w:hAnsi="Times New Roman" w:cs="Times New Roman"/>
          <w:sz w:val="24"/>
          <w:szCs w:val="24"/>
        </w:rPr>
        <w:t xml:space="preserve">• </w:t>
      </w:r>
      <w:r w:rsidRPr="0051621A">
        <w:rPr>
          <w:rFonts w:ascii="Times New Roman" w:eastAsia="Times New Roman" w:hAnsi="Times New Roman" w:cs="Times New Roman"/>
          <w:i/>
          <w:sz w:val="24"/>
          <w:szCs w:val="24"/>
        </w:rPr>
        <w:t>Forward Contracts</w:t>
      </w:r>
      <w:r w:rsidRPr="0051621A">
        <w:rPr>
          <w:rFonts w:ascii="Times New Roman" w:eastAsia="Times New Roman" w:hAnsi="Times New Roman" w:cs="Times New Roman"/>
          <w:sz w:val="24"/>
          <w:szCs w:val="24"/>
        </w:rPr>
        <w:t xml:space="preserve">: Multinational corporations (MNCs) can eliminate uncertainty by locking in currency rates for upcoming transactions through the use of forward contracts. </w:t>
      </w:r>
    </w:p>
    <w:p w:rsidR="0051621A" w:rsidRDefault="0051621A" w:rsidP="0051621A">
      <w:pPr>
        <w:spacing w:after="0" w:line="360" w:lineRule="auto"/>
        <w:jc w:val="both"/>
        <w:rPr>
          <w:rFonts w:ascii="Times New Roman" w:eastAsia="Times New Roman" w:hAnsi="Times New Roman" w:cs="Times New Roman"/>
          <w:sz w:val="24"/>
          <w:szCs w:val="24"/>
        </w:rPr>
      </w:pPr>
      <w:r w:rsidRPr="0051621A">
        <w:rPr>
          <w:rFonts w:ascii="Times New Roman" w:eastAsia="Times New Roman" w:hAnsi="Times New Roman" w:cs="Times New Roman"/>
          <w:sz w:val="24"/>
          <w:szCs w:val="24"/>
        </w:rPr>
        <w:br/>
      </w:r>
      <w:r w:rsidRPr="0051621A">
        <w:rPr>
          <w:rFonts w:ascii="Times New Roman" w:eastAsia="Times New Roman" w:hAnsi="Times New Roman" w:cs="Times New Roman"/>
          <w:i/>
          <w:sz w:val="24"/>
          <w:szCs w:val="24"/>
        </w:rPr>
        <w:t>• Futures Contracts</w:t>
      </w:r>
      <w:r w:rsidRPr="0051621A">
        <w:rPr>
          <w:rFonts w:ascii="Times New Roman" w:eastAsia="Times New Roman" w:hAnsi="Times New Roman" w:cs="Times New Roman"/>
          <w:sz w:val="24"/>
          <w:szCs w:val="24"/>
        </w:rPr>
        <w:t xml:space="preserve">: These are comparable to forward contracts but are </w:t>
      </w:r>
      <w:r>
        <w:rPr>
          <w:rFonts w:ascii="Times New Roman" w:eastAsia="Times New Roman" w:hAnsi="Times New Roman" w:cs="Times New Roman"/>
          <w:sz w:val="24"/>
          <w:szCs w:val="24"/>
        </w:rPr>
        <w:t>standardized</w:t>
      </w:r>
      <w:r w:rsidRPr="0051621A">
        <w:rPr>
          <w:rFonts w:ascii="Times New Roman" w:eastAsia="Times New Roman" w:hAnsi="Times New Roman" w:cs="Times New Roman"/>
          <w:sz w:val="24"/>
          <w:szCs w:val="24"/>
        </w:rPr>
        <w:t xml:space="preserve"> and traded on exchanges, offering accessibility and liquidity.</w:t>
      </w:r>
    </w:p>
    <w:p w:rsidR="0051621A" w:rsidRPr="0051621A" w:rsidRDefault="0051621A" w:rsidP="0051621A">
      <w:pPr>
        <w:spacing w:after="0" w:line="360" w:lineRule="auto"/>
        <w:jc w:val="both"/>
        <w:rPr>
          <w:rFonts w:ascii="Times New Roman" w:eastAsia="Times New Roman" w:hAnsi="Times New Roman" w:cs="Times New Roman"/>
          <w:sz w:val="24"/>
          <w:szCs w:val="24"/>
        </w:rPr>
      </w:pPr>
      <w:r w:rsidRPr="0051621A">
        <w:rPr>
          <w:rFonts w:ascii="Times New Roman" w:eastAsia="Times New Roman" w:hAnsi="Times New Roman" w:cs="Times New Roman"/>
          <w:sz w:val="24"/>
          <w:szCs w:val="24"/>
        </w:rPr>
        <w:br/>
        <w:t xml:space="preserve">• </w:t>
      </w:r>
      <w:r w:rsidRPr="0051621A">
        <w:rPr>
          <w:rFonts w:ascii="Times New Roman" w:eastAsia="Times New Roman" w:hAnsi="Times New Roman" w:cs="Times New Roman"/>
          <w:i/>
          <w:sz w:val="24"/>
          <w:szCs w:val="24"/>
        </w:rPr>
        <w:t>Options</w:t>
      </w:r>
      <w:r w:rsidRPr="0051621A">
        <w:rPr>
          <w:rFonts w:ascii="Times New Roman" w:eastAsia="Times New Roman" w:hAnsi="Times New Roman" w:cs="Times New Roman"/>
          <w:sz w:val="24"/>
          <w:szCs w:val="24"/>
        </w:rPr>
        <w:t>: These provide businesses flexibility and protection against negative movements while enabling participation in positive trends. They grant corporations the right, but not the responsibility, to exchange currencies at a predetermined rate.</w:t>
      </w:r>
    </w:p>
    <w:p w:rsidR="00105B53" w:rsidRDefault="00105B53" w:rsidP="0051621A">
      <w:pPr>
        <w:spacing w:line="360" w:lineRule="auto"/>
        <w:jc w:val="both"/>
        <w:rPr>
          <w:rFonts w:ascii="Times New Roman" w:hAnsi="Times New Roman" w:cs="Times New Roman"/>
          <w:sz w:val="24"/>
          <w:szCs w:val="24"/>
        </w:rPr>
      </w:pPr>
    </w:p>
    <w:p w:rsidR="00105B53" w:rsidRPr="00184375" w:rsidRDefault="00105B53" w:rsidP="0051621A">
      <w:pPr>
        <w:spacing w:line="360" w:lineRule="auto"/>
        <w:jc w:val="both"/>
        <w:rPr>
          <w:rFonts w:ascii="Times New Roman" w:hAnsi="Times New Roman" w:cs="Times New Roman"/>
          <w:b/>
          <w:sz w:val="24"/>
          <w:szCs w:val="24"/>
        </w:rPr>
      </w:pPr>
    </w:p>
    <w:p w:rsidR="00C621DD" w:rsidRDefault="00184375" w:rsidP="0051621A">
      <w:pPr>
        <w:spacing w:after="0" w:line="360" w:lineRule="auto"/>
        <w:jc w:val="both"/>
        <w:rPr>
          <w:rFonts w:ascii="Times New Roman" w:eastAsia="Times New Roman" w:hAnsi="Times New Roman" w:cs="Times New Roman"/>
          <w:sz w:val="24"/>
          <w:szCs w:val="24"/>
        </w:rPr>
      </w:pPr>
      <w:r w:rsidRPr="00184375">
        <w:rPr>
          <w:rFonts w:ascii="Times New Roman" w:eastAsia="Times New Roman" w:hAnsi="Times New Roman" w:cs="Times New Roman"/>
          <w:b/>
          <w:sz w:val="24"/>
          <w:szCs w:val="24"/>
        </w:rPr>
        <w:t>Translation Risk</w:t>
      </w:r>
      <w:r w:rsidRPr="00184375">
        <w:rPr>
          <w:rFonts w:ascii="Times New Roman" w:eastAsia="Times New Roman" w:hAnsi="Times New Roman" w:cs="Times New Roman"/>
          <w:sz w:val="24"/>
          <w:szCs w:val="24"/>
        </w:rPr>
        <w:t>: Multinational firms that have subsidiaries or investments abroad are vulnerable to translation risk, which is sometimes referred to as accounting exposure or long-term exposure. It appears when financial statements are converted from the local currency of the subsidiary to the reporting currency of</w:t>
      </w:r>
      <w:r>
        <w:rPr>
          <w:rFonts w:ascii="Times New Roman" w:eastAsia="Times New Roman" w:hAnsi="Times New Roman" w:cs="Times New Roman"/>
          <w:sz w:val="24"/>
          <w:szCs w:val="24"/>
        </w:rPr>
        <w:t xml:space="preserve"> the parent firm. This includes:</w:t>
      </w:r>
    </w:p>
    <w:p w:rsidR="00D21270" w:rsidRPr="00184375" w:rsidRDefault="00D21270" w:rsidP="0051621A">
      <w:pPr>
        <w:spacing w:after="0" w:line="360" w:lineRule="auto"/>
        <w:jc w:val="both"/>
        <w:rPr>
          <w:rFonts w:ascii="Times New Roman" w:eastAsia="Times New Roman" w:hAnsi="Times New Roman" w:cs="Times New Roman"/>
          <w:sz w:val="24"/>
          <w:szCs w:val="24"/>
        </w:rPr>
      </w:pPr>
    </w:p>
    <w:p w:rsidR="00482A44" w:rsidRPr="00482A44" w:rsidRDefault="00482A44" w:rsidP="0051621A">
      <w:pPr>
        <w:pStyle w:val="ListParagraph"/>
        <w:numPr>
          <w:ilvl w:val="0"/>
          <w:numId w:val="17"/>
        </w:numPr>
        <w:spacing w:line="360" w:lineRule="auto"/>
        <w:jc w:val="both"/>
        <w:rPr>
          <w:rFonts w:ascii="Times New Roman" w:hAnsi="Times New Roman" w:cs="Times New Roman"/>
          <w:sz w:val="24"/>
          <w:szCs w:val="24"/>
        </w:rPr>
      </w:pPr>
      <w:r w:rsidRPr="00E210B6">
        <w:rPr>
          <w:rStyle w:val="Strong"/>
          <w:rFonts w:ascii="Times New Roman" w:hAnsi="Times New Roman" w:cs="Times New Roman"/>
          <w:i/>
          <w:sz w:val="24"/>
          <w:szCs w:val="24"/>
        </w:rPr>
        <w:t>Balance Sheet Hedging</w:t>
      </w:r>
      <w:r w:rsidRPr="00482A44">
        <w:rPr>
          <w:rFonts w:ascii="Times New Roman" w:hAnsi="Times New Roman" w:cs="Times New Roman"/>
          <w:sz w:val="24"/>
          <w:szCs w:val="24"/>
        </w:rPr>
        <w:t>: Companies can use derivatives such as forwards and swaps to hedge the net assets or liabilities denominated in foreign currencies on their balance sheets.</w:t>
      </w:r>
    </w:p>
    <w:p w:rsidR="00482A44" w:rsidRPr="00482A44" w:rsidRDefault="00482A44" w:rsidP="0051621A">
      <w:pPr>
        <w:pStyle w:val="ListParagraph"/>
        <w:numPr>
          <w:ilvl w:val="0"/>
          <w:numId w:val="17"/>
        </w:numPr>
        <w:spacing w:line="360" w:lineRule="auto"/>
        <w:jc w:val="both"/>
        <w:rPr>
          <w:rFonts w:ascii="Times New Roman" w:hAnsi="Times New Roman" w:cs="Times New Roman"/>
          <w:sz w:val="24"/>
          <w:szCs w:val="24"/>
        </w:rPr>
      </w:pPr>
      <w:r w:rsidRPr="00E210B6">
        <w:rPr>
          <w:rStyle w:val="Strong"/>
          <w:rFonts w:ascii="Times New Roman" w:hAnsi="Times New Roman" w:cs="Times New Roman"/>
          <w:i/>
          <w:sz w:val="24"/>
          <w:szCs w:val="24"/>
        </w:rPr>
        <w:t>Currency Matching</w:t>
      </w:r>
      <w:r w:rsidRPr="00482A44">
        <w:rPr>
          <w:rFonts w:ascii="Times New Roman" w:hAnsi="Times New Roman" w:cs="Times New Roman"/>
          <w:sz w:val="24"/>
          <w:szCs w:val="24"/>
        </w:rPr>
        <w:t>: Aligning the currency of liabilities with the currency of assets to offset translation effects.</w:t>
      </w:r>
    </w:p>
    <w:p w:rsidR="00482A44" w:rsidRPr="00482A44" w:rsidRDefault="00482A44" w:rsidP="0051621A">
      <w:pPr>
        <w:numPr>
          <w:ilvl w:val="0"/>
          <w:numId w:val="17"/>
        </w:numPr>
        <w:spacing w:before="100" w:beforeAutospacing="1" w:after="100" w:afterAutospacing="1" w:line="360" w:lineRule="auto"/>
        <w:jc w:val="both"/>
        <w:rPr>
          <w:rFonts w:ascii="Times New Roman" w:eastAsia="Times New Roman" w:hAnsi="Times New Roman" w:cs="Times New Roman"/>
          <w:sz w:val="24"/>
          <w:szCs w:val="24"/>
        </w:rPr>
      </w:pPr>
      <w:r w:rsidRPr="00E210B6">
        <w:rPr>
          <w:rFonts w:ascii="Times New Roman" w:eastAsia="Times New Roman" w:hAnsi="Times New Roman" w:cs="Times New Roman"/>
          <w:b/>
          <w:bCs/>
          <w:i/>
          <w:sz w:val="24"/>
          <w:szCs w:val="24"/>
        </w:rPr>
        <w:lastRenderedPageBreak/>
        <w:t>Functional Currency Selection</w:t>
      </w:r>
      <w:r w:rsidRPr="00482A44">
        <w:rPr>
          <w:rFonts w:ascii="Times New Roman" w:eastAsia="Times New Roman" w:hAnsi="Times New Roman" w:cs="Times New Roman"/>
          <w:sz w:val="24"/>
          <w:szCs w:val="24"/>
        </w:rPr>
        <w:t>: Choosing the appropriate functional currency for reporting purposes to minimize the impact of translation adjustments.</w:t>
      </w:r>
    </w:p>
    <w:p w:rsidR="00D21270" w:rsidRPr="00D21270" w:rsidRDefault="00C621DD" w:rsidP="0051621A">
      <w:pPr>
        <w:spacing w:line="360" w:lineRule="auto"/>
        <w:jc w:val="both"/>
        <w:rPr>
          <w:rFonts w:ascii="Times New Roman" w:eastAsia="Times New Roman" w:hAnsi="Times New Roman" w:cs="Times New Roman"/>
          <w:sz w:val="24"/>
          <w:szCs w:val="24"/>
        </w:rPr>
      </w:pPr>
      <w:r w:rsidRPr="00482A44">
        <w:rPr>
          <w:rStyle w:val="Strong"/>
          <w:rFonts w:ascii="Times New Roman" w:hAnsi="Times New Roman" w:cs="Times New Roman"/>
          <w:sz w:val="24"/>
          <w:szCs w:val="24"/>
        </w:rPr>
        <w:t>Economic Risk</w:t>
      </w:r>
      <w:r w:rsidRPr="00482A44">
        <w:rPr>
          <w:rFonts w:ascii="Times New Roman" w:hAnsi="Times New Roman" w:cs="Times New Roman"/>
          <w:sz w:val="24"/>
          <w:szCs w:val="24"/>
        </w:rPr>
        <w:t xml:space="preserve">: </w:t>
      </w:r>
      <w:r w:rsidR="00D21270" w:rsidRPr="00D21270">
        <w:rPr>
          <w:rFonts w:ascii="Times New Roman" w:eastAsia="Times New Roman" w:hAnsi="Times New Roman" w:cs="Times New Roman"/>
          <w:sz w:val="24"/>
          <w:szCs w:val="24"/>
        </w:rPr>
        <w:t>Economic risk, sometimes referred to as operating exposure, is the possibility that changes in exchange rates would have an effect on a company's ability to compete and its future cash flows.</w:t>
      </w:r>
    </w:p>
    <w:p w:rsidR="00E210B6" w:rsidRPr="00E210B6" w:rsidRDefault="00E210B6" w:rsidP="0051621A">
      <w:pPr>
        <w:spacing w:line="360" w:lineRule="auto"/>
        <w:jc w:val="both"/>
        <w:rPr>
          <w:rFonts w:ascii="Times New Roman" w:hAnsi="Times New Roman" w:cs="Times New Roman"/>
          <w:sz w:val="24"/>
          <w:szCs w:val="24"/>
        </w:rPr>
      </w:pPr>
      <w:r w:rsidRPr="00E210B6">
        <w:rPr>
          <w:rStyle w:val="Strong"/>
          <w:rFonts w:ascii="Times New Roman" w:hAnsi="Times New Roman" w:cs="Times New Roman"/>
          <w:i/>
          <w:sz w:val="24"/>
          <w:szCs w:val="24"/>
        </w:rPr>
        <w:t>Operational Strategies</w:t>
      </w:r>
      <w:r w:rsidRPr="00E210B6">
        <w:rPr>
          <w:rFonts w:ascii="Times New Roman" w:hAnsi="Times New Roman" w:cs="Times New Roman"/>
          <w:sz w:val="24"/>
          <w:szCs w:val="24"/>
        </w:rPr>
        <w:t>: Diversifying production and sourcing across multiple countries to mitigate the impact of currency fluctuations.</w:t>
      </w:r>
    </w:p>
    <w:p w:rsidR="00E210B6" w:rsidRPr="00E210B6" w:rsidRDefault="00E210B6" w:rsidP="0051621A">
      <w:pPr>
        <w:pStyle w:val="ListParagraph"/>
        <w:numPr>
          <w:ilvl w:val="0"/>
          <w:numId w:val="19"/>
        </w:numPr>
        <w:spacing w:line="360" w:lineRule="auto"/>
        <w:jc w:val="both"/>
        <w:rPr>
          <w:rFonts w:ascii="Times New Roman" w:hAnsi="Times New Roman" w:cs="Times New Roman"/>
          <w:sz w:val="24"/>
          <w:szCs w:val="24"/>
        </w:rPr>
      </w:pPr>
      <w:r w:rsidRPr="00E210B6">
        <w:rPr>
          <w:rStyle w:val="Strong"/>
          <w:rFonts w:ascii="Times New Roman" w:hAnsi="Times New Roman" w:cs="Times New Roman"/>
          <w:i/>
          <w:sz w:val="24"/>
          <w:szCs w:val="24"/>
        </w:rPr>
        <w:t>Currency Diversification</w:t>
      </w:r>
      <w:r w:rsidRPr="00E210B6">
        <w:rPr>
          <w:rFonts w:ascii="Times New Roman" w:hAnsi="Times New Roman" w:cs="Times New Roman"/>
          <w:sz w:val="24"/>
          <w:szCs w:val="24"/>
        </w:rPr>
        <w:t>: Spreading revenues and costs across different currencies to reduce exposure to any single currency’s volatility.</w:t>
      </w:r>
    </w:p>
    <w:p w:rsidR="00DA757D" w:rsidRPr="001053E6" w:rsidRDefault="00E210B6" w:rsidP="0051621A">
      <w:pPr>
        <w:pStyle w:val="ListParagraph"/>
        <w:numPr>
          <w:ilvl w:val="0"/>
          <w:numId w:val="19"/>
        </w:numPr>
        <w:spacing w:line="360" w:lineRule="auto"/>
        <w:jc w:val="both"/>
        <w:rPr>
          <w:rFonts w:ascii="Times New Roman" w:hAnsi="Times New Roman" w:cs="Times New Roman"/>
          <w:sz w:val="24"/>
          <w:szCs w:val="24"/>
        </w:rPr>
      </w:pPr>
      <w:r w:rsidRPr="00E210B6">
        <w:rPr>
          <w:rStyle w:val="Strong"/>
          <w:rFonts w:ascii="Times New Roman" w:hAnsi="Times New Roman" w:cs="Times New Roman"/>
          <w:i/>
          <w:sz w:val="24"/>
          <w:szCs w:val="24"/>
        </w:rPr>
        <w:t>Strategic Financial Management</w:t>
      </w:r>
      <w:r w:rsidRPr="00E210B6">
        <w:rPr>
          <w:rFonts w:ascii="Times New Roman" w:hAnsi="Times New Roman" w:cs="Times New Roman"/>
          <w:sz w:val="24"/>
          <w:szCs w:val="24"/>
        </w:rPr>
        <w:t>: Aligning long-term investments and financing with expected currency trends and economic conditions</w:t>
      </w:r>
      <w:r>
        <w:t>.</w:t>
      </w:r>
    </w:p>
    <w:p w:rsidR="001053E6" w:rsidRDefault="001053E6" w:rsidP="0051621A">
      <w:pPr>
        <w:spacing w:line="360" w:lineRule="auto"/>
        <w:jc w:val="both"/>
        <w:rPr>
          <w:rFonts w:ascii="Times New Roman" w:hAnsi="Times New Roman" w:cs="Times New Roman"/>
          <w:sz w:val="24"/>
          <w:szCs w:val="24"/>
        </w:rPr>
      </w:pPr>
    </w:p>
    <w:p w:rsidR="001053E6" w:rsidRDefault="001053E6" w:rsidP="0051621A">
      <w:pPr>
        <w:spacing w:line="360" w:lineRule="auto"/>
        <w:jc w:val="both"/>
        <w:rPr>
          <w:rFonts w:ascii="Times New Roman" w:hAnsi="Times New Roman" w:cs="Times New Roman"/>
          <w:b/>
          <w:sz w:val="24"/>
          <w:szCs w:val="24"/>
        </w:rPr>
      </w:pPr>
      <w:r w:rsidRPr="008D193D">
        <w:rPr>
          <w:rFonts w:ascii="Times New Roman" w:hAnsi="Times New Roman" w:cs="Times New Roman"/>
          <w:b/>
          <w:sz w:val="24"/>
          <w:szCs w:val="24"/>
        </w:rPr>
        <w:t>Impact on Businesses</w:t>
      </w:r>
    </w:p>
    <w:p w:rsidR="008D193D" w:rsidRPr="008D193D" w:rsidRDefault="008D193D" w:rsidP="0051621A">
      <w:pPr>
        <w:spacing w:line="360" w:lineRule="auto"/>
        <w:jc w:val="both"/>
        <w:rPr>
          <w:rFonts w:ascii="Times New Roman" w:hAnsi="Times New Roman" w:cs="Times New Roman"/>
          <w:sz w:val="24"/>
          <w:szCs w:val="24"/>
        </w:rPr>
      </w:pPr>
      <w:r w:rsidRPr="008D193D">
        <w:rPr>
          <w:rFonts w:ascii="Times New Roman" w:hAnsi="Times New Roman" w:cs="Times New Roman"/>
          <w:sz w:val="24"/>
          <w:szCs w:val="24"/>
        </w:rPr>
        <w:t>Exposure to currency risk can have significant implications for businesses across various dimensions. Here are the key areas affected:</w:t>
      </w:r>
    </w:p>
    <w:p w:rsidR="008D193D" w:rsidRDefault="008D193D" w:rsidP="0051621A">
      <w:pPr>
        <w:spacing w:line="360" w:lineRule="auto"/>
        <w:jc w:val="both"/>
        <w:rPr>
          <w:rFonts w:ascii="Times New Roman" w:hAnsi="Times New Roman" w:cs="Times New Roman"/>
          <w:sz w:val="24"/>
          <w:szCs w:val="24"/>
        </w:rPr>
      </w:pPr>
      <w:r w:rsidRPr="008D193D">
        <w:rPr>
          <w:rFonts w:ascii="Times New Roman" w:hAnsi="Times New Roman" w:cs="Times New Roman"/>
          <w:i/>
          <w:sz w:val="24"/>
          <w:szCs w:val="24"/>
        </w:rPr>
        <w:t>Financial Performance</w:t>
      </w:r>
      <w:r>
        <w:rPr>
          <w:rFonts w:ascii="Times New Roman" w:hAnsi="Times New Roman" w:cs="Times New Roman"/>
          <w:i/>
          <w:sz w:val="24"/>
          <w:szCs w:val="24"/>
        </w:rPr>
        <w:t xml:space="preserve">- </w:t>
      </w:r>
      <w:r w:rsidRPr="008D193D">
        <w:rPr>
          <w:rFonts w:ascii="Times New Roman" w:hAnsi="Times New Roman" w:cs="Times New Roman"/>
          <w:sz w:val="24"/>
          <w:szCs w:val="24"/>
        </w:rPr>
        <w:t>Businesses with revenues in foreign currencies may see fluctuations in their revenue when converted to their home currency due to exchange rate changes. A depreciating foreign currency can reduce the value of foreign revenues.</w:t>
      </w:r>
      <w:r w:rsidRPr="008D193D">
        <w:rPr>
          <w:rFonts w:ascii="Times New Roman" w:hAnsi="Times New Roman" w:cs="Times New Roman"/>
          <w:sz w:val="24"/>
          <w:szCs w:val="24"/>
        </w:rPr>
        <w:t xml:space="preserve"> </w:t>
      </w:r>
      <w:r w:rsidRPr="008D193D">
        <w:rPr>
          <w:rFonts w:ascii="Times New Roman" w:hAnsi="Times New Roman" w:cs="Times New Roman"/>
          <w:sz w:val="24"/>
          <w:szCs w:val="24"/>
        </w:rPr>
        <w:t>Exchange rate movements can affect the cost of goods and services. An appreciating foreign currency can increase costs if expenses are incurred abroad, potentially squeezing profit margins.</w:t>
      </w:r>
    </w:p>
    <w:p w:rsidR="008D193D" w:rsidRPr="008D193D" w:rsidRDefault="008D193D" w:rsidP="0051621A">
      <w:pPr>
        <w:spacing w:line="360" w:lineRule="auto"/>
        <w:jc w:val="both"/>
        <w:rPr>
          <w:rFonts w:ascii="Times New Roman" w:hAnsi="Times New Roman" w:cs="Times New Roman"/>
          <w:b/>
          <w:i/>
          <w:sz w:val="24"/>
          <w:szCs w:val="24"/>
        </w:rPr>
      </w:pPr>
      <w:r w:rsidRPr="008D193D">
        <w:rPr>
          <w:rFonts w:ascii="Times New Roman" w:hAnsi="Times New Roman" w:cs="Times New Roman"/>
          <w:i/>
          <w:sz w:val="24"/>
          <w:szCs w:val="24"/>
        </w:rPr>
        <w:t>Competitive Position</w:t>
      </w:r>
      <w:r w:rsidRPr="008D193D">
        <w:rPr>
          <w:rFonts w:ascii="Times New Roman" w:hAnsi="Times New Roman" w:cs="Times New Roman"/>
          <w:i/>
          <w:sz w:val="24"/>
          <w:szCs w:val="24"/>
        </w:rPr>
        <w:t>-</w:t>
      </w:r>
      <w:r w:rsidRPr="008D193D">
        <w:rPr>
          <w:rFonts w:ascii="Times New Roman" w:hAnsi="Times New Roman" w:cs="Times New Roman"/>
          <w:sz w:val="24"/>
          <w:szCs w:val="24"/>
        </w:rPr>
        <w:t xml:space="preserve"> </w:t>
      </w:r>
      <w:r w:rsidRPr="008D193D">
        <w:rPr>
          <w:rFonts w:ascii="Times New Roman" w:hAnsi="Times New Roman" w:cs="Times New Roman"/>
          <w:sz w:val="24"/>
          <w:szCs w:val="24"/>
        </w:rPr>
        <w:t>Currency movements can affect pricing strategies. For instance, a stronger home currency can make a company's products more expensive in foreign markets, potentially reducing competitiveness.</w:t>
      </w:r>
      <w:r w:rsidRPr="008D193D">
        <w:rPr>
          <w:rFonts w:ascii="Times New Roman" w:hAnsi="Times New Roman" w:cs="Times New Roman"/>
          <w:sz w:val="24"/>
          <w:szCs w:val="24"/>
        </w:rPr>
        <w:t xml:space="preserve"> </w:t>
      </w:r>
      <w:r w:rsidRPr="008D193D">
        <w:rPr>
          <w:rFonts w:ascii="Times New Roman" w:hAnsi="Times New Roman" w:cs="Times New Roman"/>
          <w:sz w:val="24"/>
          <w:szCs w:val="24"/>
        </w:rPr>
        <w:t>A stronger foreign currency can make exports more expensive, impacting sales and market share compared to local competitors or other international players.</w:t>
      </w:r>
    </w:p>
    <w:p w:rsidR="00105B53" w:rsidRPr="008D193D" w:rsidRDefault="008D193D" w:rsidP="0051621A">
      <w:pPr>
        <w:spacing w:line="360" w:lineRule="auto"/>
        <w:jc w:val="both"/>
        <w:rPr>
          <w:rStyle w:val="Strong"/>
          <w:rFonts w:ascii="Times New Roman" w:hAnsi="Times New Roman" w:cs="Times New Roman"/>
          <w:b w:val="0"/>
          <w:bCs w:val="0"/>
          <w:sz w:val="24"/>
          <w:szCs w:val="24"/>
        </w:rPr>
      </w:pPr>
      <w:r w:rsidRPr="008D193D">
        <w:rPr>
          <w:rStyle w:val="Strong"/>
          <w:rFonts w:ascii="Times New Roman" w:hAnsi="Times New Roman" w:cs="Times New Roman"/>
          <w:b w:val="0"/>
          <w:i/>
          <w:sz w:val="24"/>
          <w:szCs w:val="24"/>
        </w:rPr>
        <w:t>Strategic Planning</w:t>
      </w:r>
      <w:r w:rsidRPr="008D193D">
        <w:rPr>
          <w:rStyle w:val="Strong"/>
          <w:rFonts w:ascii="Times New Roman" w:hAnsi="Times New Roman" w:cs="Times New Roman"/>
          <w:sz w:val="24"/>
          <w:szCs w:val="24"/>
        </w:rPr>
        <w:t>-</w:t>
      </w:r>
      <w:r w:rsidRPr="008D193D">
        <w:rPr>
          <w:rFonts w:ascii="Times New Roman" w:hAnsi="Times New Roman" w:cs="Times New Roman"/>
          <w:sz w:val="24"/>
          <w:szCs w:val="24"/>
        </w:rPr>
        <w:t xml:space="preserve"> </w:t>
      </w:r>
      <w:r w:rsidRPr="008D193D">
        <w:rPr>
          <w:rFonts w:ascii="Times New Roman" w:hAnsi="Times New Roman" w:cs="Times New Roman"/>
          <w:sz w:val="24"/>
          <w:szCs w:val="24"/>
        </w:rPr>
        <w:t xml:space="preserve">Currency risk can influence decisions about entering or exiting foreign markets. Adverse currency movements may make some markets less attractive or prompt </w:t>
      </w:r>
      <w:r w:rsidRPr="008D193D">
        <w:rPr>
          <w:rFonts w:ascii="Times New Roman" w:hAnsi="Times New Roman" w:cs="Times New Roman"/>
          <w:sz w:val="24"/>
          <w:szCs w:val="24"/>
        </w:rPr>
        <w:lastRenderedPageBreak/>
        <w:t>reconsideration of current operations.</w:t>
      </w:r>
      <w:r w:rsidRPr="008D193D">
        <w:rPr>
          <w:rFonts w:ascii="Times New Roman" w:hAnsi="Times New Roman" w:cs="Times New Roman"/>
          <w:sz w:val="24"/>
          <w:szCs w:val="24"/>
        </w:rPr>
        <w:t xml:space="preserve"> </w:t>
      </w:r>
      <w:r w:rsidRPr="008D193D">
        <w:rPr>
          <w:rFonts w:ascii="Times New Roman" w:hAnsi="Times New Roman" w:cs="Times New Roman"/>
          <w:sz w:val="24"/>
          <w:szCs w:val="24"/>
        </w:rPr>
        <w:t>Companies may need to adjust their operational strategies, such as changing production locations or sourcing strategies, in response to currency fluctuations.</w:t>
      </w:r>
    </w:p>
    <w:p w:rsidR="00B81A49" w:rsidRDefault="00B81A49" w:rsidP="0051621A">
      <w:pPr>
        <w:pStyle w:val="ListParagraph"/>
        <w:spacing w:line="360" w:lineRule="auto"/>
        <w:jc w:val="both"/>
        <w:rPr>
          <w:rStyle w:val="Strong"/>
          <w:rFonts w:ascii="Times New Roman" w:hAnsi="Times New Roman" w:cs="Times New Roman"/>
          <w:i/>
          <w:sz w:val="24"/>
          <w:szCs w:val="24"/>
        </w:rPr>
      </w:pPr>
    </w:p>
    <w:p w:rsidR="00B81A49" w:rsidRPr="00201CB2" w:rsidRDefault="00B81A49" w:rsidP="0051621A">
      <w:pPr>
        <w:spacing w:line="360" w:lineRule="auto"/>
        <w:jc w:val="both"/>
        <w:rPr>
          <w:rFonts w:ascii="Times New Roman" w:hAnsi="Times New Roman" w:cs="Times New Roman"/>
          <w:b/>
          <w:sz w:val="24"/>
          <w:szCs w:val="24"/>
        </w:rPr>
      </w:pPr>
      <w:r w:rsidRPr="00201CB2">
        <w:rPr>
          <w:rStyle w:val="Strong"/>
          <w:rFonts w:ascii="Times New Roman" w:hAnsi="Times New Roman" w:cs="Times New Roman"/>
          <w:i/>
          <w:sz w:val="24"/>
          <w:szCs w:val="24"/>
        </w:rPr>
        <w:t>2.3</w:t>
      </w:r>
      <w:r w:rsidRPr="00B81A49">
        <w:t xml:space="preserve"> </w:t>
      </w:r>
      <w:r w:rsidRPr="00201CB2">
        <w:rPr>
          <w:rFonts w:ascii="Times New Roman" w:hAnsi="Times New Roman" w:cs="Times New Roman"/>
          <w:b/>
          <w:sz w:val="24"/>
          <w:szCs w:val="24"/>
        </w:rPr>
        <w:t>Strategies to Manage Foreign Exchange Risk</w:t>
      </w:r>
    </w:p>
    <w:p w:rsidR="00201CB2" w:rsidRPr="00201CB2" w:rsidRDefault="00B81A49" w:rsidP="0051621A">
      <w:pPr>
        <w:spacing w:line="360" w:lineRule="auto"/>
        <w:jc w:val="both"/>
        <w:rPr>
          <w:rFonts w:ascii="Times New Roman" w:hAnsi="Times New Roman" w:cs="Times New Roman"/>
          <w:sz w:val="24"/>
          <w:szCs w:val="24"/>
        </w:rPr>
      </w:pPr>
      <w:r w:rsidRPr="00201CB2">
        <w:rPr>
          <w:rFonts w:ascii="Times New Roman" w:hAnsi="Times New Roman" w:cs="Times New Roman"/>
          <w:sz w:val="24"/>
          <w:szCs w:val="24"/>
        </w:rPr>
        <w:t xml:space="preserve">Managing foreign exchange risk is vital for multinational corporations (MNCs) to protect their financial performance and stability. Various strategies and tools can be employed to mitigate the impact of currency fluctuations on a company's operations, earnings, and competitive position. Here are the primary </w:t>
      </w:r>
      <w:r w:rsidR="004E339D">
        <w:rPr>
          <w:rFonts w:ascii="Times New Roman" w:hAnsi="Times New Roman" w:cs="Times New Roman"/>
          <w:sz w:val="24"/>
          <w:szCs w:val="24"/>
        </w:rPr>
        <w:t>strategies</w:t>
      </w:r>
      <w:r w:rsidRPr="00201CB2">
        <w:rPr>
          <w:rFonts w:ascii="Times New Roman" w:hAnsi="Times New Roman" w:cs="Times New Roman"/>
          <w:sz w:val="24"/>
          <w:szCs w:val="24"/>
        </w:rPr>
        <w:t>:</w:t>
      </w:r>
    </w:p>
    <w:p w:rsidR="009A06EC" w:rsidRPr="009A06EC" w:rsidRDefault="00B81A49" w:rsidP="009A06EC">
      <w:pPr>
        <w:pStyle w:val="ListParagraph"/>
        <w:numPr>
          <w:ilvl w:val="0"/>
          <w:numId w:val="23"/>
        </w:numPr>
        <w:spacing w:line="360" w:lineRule="auto"/>
        <w:jc w:val="both"/>
        <w:rPr>
          <w:rFonts w:ascii="Times New Roman" w:hAnsi="Times New Roman" w:cs="Times New Roman"/>
          <w:bCs/>
          <w:sz w:val="24"/>
          <w:szCs w:val="24"/>
        </w:rPr>
      </w:pPr>
      <w:r w:rsidRPr="009A06EC">
        <w:rPr>
          <w:rFonts w:ascii="Times New Roman" w:hAnsi="Times New Roman" w:cs="Times New Roman"/>
          <w:b/>
          <w:sz w:val="24"/>
          <w:szCs w:val="24"/>
        </w:rPr>
        <w:t>Hedging-</w:t>
      </w:r>
      <w:r w:rsidRPr="00B81A49">
        <w:t xml:space="preserve"> </w:t>
      </w:r>
      <w:r w:rsidRPr="009A06EC">
        <w:rPr>
          <w:rFonts w:ascii="Times New Roman" w:hAnsi="Times New Roman" w:cs="Times New Roman"/>
          <w:sz w:val="24"/>
          <w:szCs w:val="24"/>
        </w:rPr>
        <w:t>is a risk management strategy used by multinational corporations (MNCs) to protect against potential losses due to adverse movements in foreign exchange rates. The</w:t>
      </w:r>
      <w:r w:rsidR="00201CB2" w:rsidRPr="009A06EC">
        <w:rPr>
          <w:rFonts w:ascii="Times New Roman" w:hAnsi="Times New Roman" w:cs="Times New Roman"/>
          <w:sz w:val="24"/>
          <w:szCs w:val="24"/>
        </w:rPr>
        <w:t xml:space="preserve"> </w:t>
      </w:r>
      <w:r w:rsidRPr="009A06EC">
        <w:rPr>
          <w:rFonts w:ascii="Times New Roman" w:hAnsi="Times New Roman" w:cs="Times New Roman"/>
          <w:sz w:val="24"/>
          <w:szCs w:val="24"/>
        </w:rPr>
        <w:t>primary objective of hedging is to stabilize cash flows, protect profit margins, and reduce uncertainty in financial planning</w:t>
      </w:r>
      <w:r>
        <w:t>.</w:t>
      </w:r>
    </w:p>
    <w:p w:rsidR="006F2435" w:rsidRPr="009A06EC" w:rsidRDefault="006F2435" w:rsidP="009A06EC">
      <w:pPr>
        <w:pStyle w:val="ListParagraph"/>
        <w:numPr>
          <w:ilvl w:val="0"/>
          <w:numId w:val="23"/>
        </w:numPr>
        <w:spacing w:line="360" w:lineRule="auto"/>
        <w:jc w:val="both"/>
        <w:rPr>
          <w:rFonts w:ascii="Times New Roman" w:hAnsi="Times New Roman" w:cs="Times New Roman"/>
          <w:bCs/>
          <w:sz w:val="24"/>
          <w:szCs w:val="24"/>
        </w:rPr>
      </w:pPr>
      <w:r w:rsidRPr="009A06EC">
        <w:rPr>
          <w:rFonts w:ascii="Times New Roman" w:hAnsi="Times New Roman" w:cs="Times New Roman"/>
          <w:b/>
          <w:sz w:val="24"/>
          <w:szCs w:val="24"/>
        </w:rPr>
        <w:t>Natural hedging</w:t>
      </w:r>
      <w:r w:rsidRPr="009A06EC">
        <w:rPr>
          <w:rFonts w:ascii="Times New Roman" w:hAnsi="Times New Roman" w:cs="Times New Roman"/>
          <w:sz w:val="24"/>
          <w:szCs w:val="24"/>
        </w:rPr>
        <w:t xml:space="preserve"> involves managing foreign exchange risk by </w:t>
      </w:r>
      <w:r w:rsidR="004E339D" w:rsidRPr="009A06EC">
        <w:rPr>
          <w:rFonts w:ascii="Times New Roman" w:hAnsi="Times New Roman" w:cs="Times New Roman"/>
          <w:sz w:val="24"/>
          <w:szCs w:val="24"/>
        </w:rPr>
        <w:t>balancing cash inflows and outflows in foreign currencies</w:t>
      </w:r>
      <w:r w:rsidRPr="009A06EC">
        <w:rPr>
          <w:rFonts w:ascii="Times New Roman" w:hAnsi="Times New Roman" w:cs="Times New Roman"/>
          <w:sz w:val="24"/>
          <w:szCs w:val="24"/>
        </w:rPr>
        <w:t>. This can be achieved through various operational and financial practices that align revenues and expenses, assets and liabilities, or cash flows in the same currency</w:t>
      </w:r>
      <w:r>
        <w:t>.</w:t>
      </w:r>
    </w:p>
    <w:p w:rsidR="006F2435" w:rsidRPr="009A06EC" w:rsidRDefault="006F2435" w:rsidP="009A06EC">
      <w:pPr>
        <w:pStyle w:val="ListParagraph"/>
        <w:numPr>
          <w:ilvl w:val="0"/>
          <w:numId w:val="23"/>
        </w:numPr>
        <w:spacing w:line="360" w:lineRule="auto"/>
        <w:jc w:val="both"/>
        <w:rPr>
          <w:rStyle w:val="Strong"/>
          <w:rFonts w:ascii="Times New Roman" w:hAnsi="Times New Roman" w:cs="Times New Roman"/>
          <w:b w:val="0"/>
          <w:sz w:val="24"/>
          <w:szCs w:val="24"/>
        </w:rPr>
      </w:pPr>
      <w:r w:rsidRPr="009A06EC">
        <w:rPr>
          <w:rFonts w:ascii="Times New Roman" w:hAnsi="Times New Roman" w:cs="Times New Roman"/>
          <w:b/>
          <w:sz w:val="24"/>
          <w:szCs w:val="24"/>
        </w:rPr>
        <w:t>Operational strategies</w:t>
      </w:r>
      <w:r w:rsidRPr="009A06EC">
        <w:rPr>
          <w:rFonts w:ascii="Times New Roman" w:hAnsi="Times New Roman" w:cs="Times New Roman"/>
          <w:sz w:val="24"/>
          <w:szCs w:val="24"/>
        </w:rPr>
        <w:t xml:space="preserve"> for managing foreign exchange risk involve adjusting a company's day-to-day business operations and practices to mitigate the impact of currency fluctuations. These strategies do not rely on financial instruments but rather on aligning business activities to reduce exposure to adverse currency movements.</w:t>
      </w:r>
    </w:p>
    <w:p w:rsidR="0049537A" w:rsidRPr="009A06EC" w:rsidRDefault="00201CB2" w:rsidP="009A06EC">
      <w:pPr>
        <w:pStyle w:val="ListParagraph"/>
        <w:numPr>
          <w:ilvl w:val="0"/>
          <w:numId w:val="23"/>
        </w:numPr>
        <w:spacing w:line="360" w:lineRule="auto"/>
        <w:jc w:val="both"/>
        <w:rPr>
          <w:rStyle w:val="Strong"/>
          <w:rFonts w:ascii="Times New Roman" w:hAnsi="Times New Roman" w:cs="Times New Roman"/>
          <w:bCs w:val="0"/>
          <w:sz w:val="24"/>
          <w:szCs w:val="24"/>
        </w:rPr>
      </w:pPr>
      <w:bookmarkStart w:id="0" w:name="_GoBack"/>
      <w:bookmarkEnd w:id="0"/>
      <w:r w:rsidRPr="009A06EC">
        <w:rPr>
          <w:rFonts w:ascii="Times New Roman" w:hAnsi="Times New Roman" w:cs="Times New Roman"/>
          <w:b/>
          <w:sz w:val="24"/>
          <w:szCs w:val="24"/>
        </w:rPr>
        <w:t>Netting</w:t>
      </w:r>
      <w:r w:rsidRPr="009A06EC">
        <w:rPr>
          <w:rFonts w:ascii="Times New Roman" w:hAnsi="Times New Roman" w:cs="Times New Roman"/>
          <w:sz w:val="24"/>
          <w:szCs w:val="24"/>
        </w:rPr>
        <w:t xml:space="preserve"> is the process of balancing payables and receivables in various currencies by consolidating and offsetting them. By aligning inflows and outflows within the same currency, businesses can decrease their exposure to foreign exchange risk and lower transaction expenses.</w:t>
      </w:r>
    </w:p>
    <w:p w:rsidR="0049537A" w:rsidRPr="008D1A60" w:rsidRDefault="0049537A" w:rsidP="0051621A">
      <w:pPr>
        <w:spacing w:before="100" w:beforeAutospacing="1" w:after="100" w:afterAutospacing="1" w:line="360" w:lineRule="auto"/>
        <w:jc w:val="both"/>
        <w:rPr>
          <w:rStyle w:val="Strong"/>
          <w:rFonts w:ascii="Times New Roman" w:hAnsi="Times New Roman" w:cs="Times New Roman"/>
          <w:sz w:val="40"/>
          <w:szCs w:val="40"/>
        </w:rPr>
      </w:pPr>
    </w:p>
    <w:p w:rsidR="0049537A" w:rsidRDefault="0049537A" w:rsidP="0051621A">
      <w:pPr>
        <w:pStyle w:val="ListParagraph"/>
        <w:spacing w:before="100" w:beforeAutospacing="1" w:after="100" w:afterAutospacing="1" w:line="360" w:lineRule="auto"/>
        <w:ind w:left="643"/>
        <w:jc w:val="both"/>
        <w:rPr>
          <w:rStyle w:val="Strong"/>
          <w:rFonts w:ascii="Times New Roman" w:hAnsi="Times New Roman" w:cs="Times New Roman"/>
          <w:sz w:val="40"/>
          <w:szCs w:val="40"/>
        </w:rPr>
      </w:pPr>
    </w:p>
    <w:p w:rsidR="00F64AEF" w:rsidRPr="00F64AEF" w:rsidRDefault="00F64AEF" w:rsidP="0051621A">
      <w:pPr>
        <w:pStyle w:val="ListParagraph"/>
        <w:spacing w:before="100" w:beforeAutospacing="1" w:after="100" w:afterAutospacing="1" w:line="360" w:lineRule="auto"/>
        <w:ind w:left="643"/>
        <w:jc w:val="both"/>
        <w:rPr>
          <w:rStyle w:val="Strong"/>
          <w:rFonts w:ascii="Times New Roman" w:hAnsi="Times New Roman" w:cs="Times New Roman"/>
          <w:sz w:val="40"/>
          <w:szCs w:val="40"/>
        </w:rPr>
      </w:pPr>
      <w:r w:rsidRPr="00F64AEF">
        <w:rPr>
          <w:rStyle w:val="Strong"/>
          <w:rFonts w:ascii="Times New Roman" w:hAnsi="Times New Roman" w:cs="Times New Roman"/>
          <w:sz w:val="40"/>
          <w:szCs w:val="40"/>
        </w:rPr>
        <w:lastRenderedPageBreak/>
        <w:t>Conclusion</w:t>
      </w:r>
    </w:p>
    <w:p w:rsidR="00D8300A" w:rsidRDefault="001060F7" w:rsidP="0051621A">
      <w:pPr>
        <w:tabs>
          <w:tab w:val="left" w:pos="7668"/>
        </w:tabs>
        <w:spacing w:line="360" w:lineRule="auto"/>
        <w:jc w:val="both"/>
      </w:pPr>
      <w:r w:rsidRPr="001060F7">
        <w:rPr>
          <w:rFonts w:ascii="Times New Roman" w:eastAsia="Times New Roman" w:hAnsi="Times New Roman" w:cs="Times New Roman"/>
          <w:sz w:val="24"/>
          <w:szCs w:val="24"/>
        </w:rPr>
        <w:t>In conclusion, currency risk represents a significant challenge and opportunity for businesses and investors engaged in international activities. Understanding the concepts and types of currency risk—transaction, translation, and economic—provides a foundation for implementing effective risk management strategies. For multinational corporations (MNCs), managing currency risk is essential to safeguard profitability, cash flows, and financial performance across diverse markets. Managing foreign exchange risk is a critical aspect of financial strategy for multinational corporations. The volatility of exchange rates can significantly impact a company's profitability, cash flows, and overall financial stability. By understanding the types of foreign exchange risk and employing a combination of theoretical insights and practical strategies, MNCs can effectively mitigate these risks. Hedging, natural hedging, currency diversification, netting, pooling, and foreign currency borrowing are among the key strategies that help MNCs navigate the complexities of the global financial landscape. Through proactive and informed foreign exchange risk management, MNCs can enhance their resilience and achieve sustainable growth in an increasingly volatile global economy.</w:t>
      </w:r>
    </w:p>
    <w:p w:rsidR="00D8300A" w:rsidRDefault="00D8300A" w:rsidP="0051621A">
      <w:pPr>
        <w:tabs>
          <w:tab w:val="left" w:pos="7668"/>
        </w:tabs>
        <w:spacing w:line="360" w:lineRule="auto"/>
        <w:jc w:val="both"/>
      </w:pPr>
    </w:p>
    <w:p w:rsidR="00D8300A" w:rsidRDefault="00D8300A" w:rsidP="00201CB2">
      <w:pPr>
        <w:tabs>
          <w:tab w:val="left" w:pos="7668"/>
        </w:tabs>
        <w:spacing w:line="360" w:lineRule="auto"/>
        <w:jc w:val="both"/>
      </w:pPr>
    </w:p>
    <w:p w:rsidR="00D8300A" w:rsidRDefault="00D8300A" w:rsidP="00201CB2">
      <w:pPr>
        <w:tabs>
          <w:tab w:val="left" w:pos="7668"/>
        </w:tabs>
        <w:spacing w:line="360" w:lineRule="auto"/>
        <w:jc w:val="both"/>
      </w:pPr>
    </w:p>
    <w:p w:rsidR="00D37829" w:rsidRDefault="00D37829" w:rsidP="00201CB2">
      <w:pPr>
        <w:tabs>
          <w:tab w:val="left" w:pos="7668"/>
        </w:tabs>
        <w:spacing w:line="360" w:lineRule="auto"/>
        <w:jc w:val="both"/>
        <w:rPr>
          <w:rFonts w:ascii="Times New Roman" w:hAnsi="Times New Roman" w:cs="Times New Roman"/>
          <w:sz w:val="40"/>
          <w:szCs w:val="40"/>
        </w:rPr>
      </w:pPr>
      <w:r>
        <w:rPr>
          <w:rFonts w:ascii="Times New Roman" w:hAnsi="Times New Roman" w:cs="Times New Roman"/>
          <w:sz w:val="40"/>
          <w:szCs w:val="40"/>
        </w:rPr>
        <w:t>References</w:t>
      </w:r>
    </w:p>
    <w:p w:rsidR="00D37829" w:rsidRPr="00DE3E11" w:rsidRDefault="00D37829" w:rsidP="00201CB2">
      <w:pPr>
        <w:spacing w:line="360" w:lineRule="auto"/>
        <w:jc w:val="both"/>
        <w:rPr>
          <w:rFonts w:ascii="Times New Roman" w:hAnsi="Times New Roman" w:cs="Times New Roman"/>
          <w:color w:val="3A3A3A"/>
          <w:sz w:val="24"/>
          <w:szCs w:val="24"/>
          <w:shd w:val="clear" w:color="auto" w:fill="FFFFFF"/>
        </w:rPr>
      </w:pPr>
      <w:r w:rsidRPr="00DE3E11">
        <w:rPr>
          <w:rFonts w:ascii="Times New Roman" w:hAnsi="Times New Roman" w:cs="Times New Roman"/>
          <w:color w:val="3A3A3A"/>
          <w:sz w:val="24"/>
          <w:szCs w:val="24"/>
          <w:shd w:val="clear" w:color="auto" w:fill="FFFFFF"/>
        </w:rPr>
        <w:t>Stonehill, A.I. (Arthur I. and Moffett, M.H. (1997) </w:t>
      </w:r>
      <w:r w:rsidRPr="00DE3E11">
        <w:rPr>
          <w:rFonts w:ascii="Times New Roman" w:hAnsi="Times New Roman" w:cs="Times New Roman"/>
          <w:i/>
          <w:iCs/>
          <w:color w:val="3A3A3A"/>
          <w:sz w:val="24"/>
          <w:szCs w:val="24"/>
          <w:shd w:val="clear" w:color="auto" w:fill="FFFFFF"/>
        </w:rPr>
        <w:t>International financial management</w:t>
      </w:r>
      <w:r w:rsidRPr="00DE3E11">
        <w:rPr>
          <w:rFonts w:ascii="Times New Roman" w:hAnsi="Times New Roman" w:cs="Times New Roman"/>
          <w:color w:val="3A3A3A"/>
          <w:sz w:val="24"/>
          <w:szCs w:val="24"/>
          <w:shd w:val="clear" w:color="auto" w:fill="FFFFFF"/>
        </w:rPr>
        <w:t>. London: International Thomson Business Press.</w:t>
      </w:r>
    </w:p>
    <w:p w:rsidR="00D37829" w:rsidRPr="00DE3E11" w:rsidRDefault="00D37829" w:rsidP="00201CB2">
      <w:pPr>
        <w:spacing w:line="360" w:lineRule="auto"/>
        <w:jc w:val="both"/>
        <w:rPr>
          <w:rFonts w:ascii="Times New Roman" w:hAnsi="Times New Roman" w:cs="Times New Roman"/>
          <w:color w:val="3A3A3A"/>
          <w:sz w:val="24"/>
          <w:szCs w:val="24"/>
          <w:shd w:val="clear" w:color="auto" w:fill="FFFFFF"/>
        </w:rPr>
      </w:pPr>
      <w:r w:rsidRPr="00DE3E11">
        <w:rPr>
          <w:rFonts w:ascii="Times New Roman" w:hAnsi="Times New Roman" w:cs="Times New Roman"/>
          <w:color w:val="3A3A3A"/>
          <w:sz w:val="24"/>
          <w:szCs w:val="24"/>
          <w:shd w:val="clear" w:color="auto" w:fill="FFFFFF"/>
        </w:rPr>
        <w:t>Bekaert, G.J. and Hodrick, R.J. (2013) </w:t>
      </w:r>
      <w:r w:rsidRPr="00DE3E11">
        <w:rPr>
          <w:rFonts w:ascii="Times New Roman" w:hAnsi="Times New Roman" w:cs="Times New Roman"/>
          <w:i/>
          <w:iCs/>
          <w:color w:val="3A3A3A"/>
          <w:sz w:val="24"/>
          <w:szCs w:val="24"/>
          <w:shd w:val="clear" w:color="auto" w:fill="FFFFFF"/>
        </w:rPr>
        <w:t>International financial management</w:t>
      </w:r>
      <w:r w:rsidRPr="00DE3E11">
        <w:rPr>
          <w:rFonts w:ascii="Times New Roman" w:hAnsi="Times New Roman" w:cs="Times New Roman"/>
          <w:color w:val="3A3A3A"/>
          <w:sz w:val="24"/>
          <w:szCs w:val="24"/>
          <w:shd w:val="clear" w:color="auto" w:fill="FFFFFF"/>
        </w:rPr>
        <w:t>. 2nd ed., international ed. Harlow : $b Pearson, $c 2014</w:t>
      </w:r>
    </w:p>
    <w:p w:rsidR="00D37829" w:rsidRDefault="00D37829" w:rsidP="00201CB2">
      <w:pPr>
        <w:spacing w:line="360" w:lineRule="auto"/>
        <w:jc w:val="both"/>
        <w:rPr>
          <w:rFonts w:ascii="Times New Roman" w:hAnsi="Times New Roman" w:cs="Times New Roman"/>
          <w:color w:val="3A3A3A"/>
          <w:sz w:val="24"/>
          <w:szCs w:val="24"/>
          <w:shd w:val="clear" w:color="auto" w:fill="FFFFFF"/>
        </w:rPr>
      </w:pPr>
      <w:r w:rsidRPr="00DE3E11">
        <w:rPr>
          <w:rFonts w:ascii="Times New Roman" w:hAnsi="Times New Roman" w:cs="Times New Roman"/>
          <w:color w:val="3A3A3A"/>
          <w:sz w:val="24"/>
          <w:szCs w:val="24"/>
          <w:shd w:val="clear" w:color="auto" w:fill="FFFFFF"/>
        </w:rPr>
        <w:t>Z. I. Khisamova (2020) “Concept of digital currencies of Central Banks: main risks in observing the requirements of AML (‘Anti-Money Laundering’) and KYC (‘Know Your Client’),” </w:t>
      </w:r>
      <w:r w:rsidRPr="00DE3E11">
        <w:rPr>
          <w:rFonts w:ascii="Times New Roman" w:hAnsi="Times New Roman" w:cs="Times New Roman"/>
          <w:i/>
          <w:iCs/>
          <w:color w:val="3A3A3A"/>
          <w:sz w:val="24"/>
          <w:szCs w:val="24"/>
          <w:shd w:val="clear" w:color="auto" w:fill="FFFFFF"/>
        </w:rPr>
        <w:t>Russian Journal of Economics and Law</w:t>
      </w:r>
      <w:r w:rsidRPr="00DE3E11">
        <w:rPr>
          <w:rFonts w:ascii="Times New Roman" w:hAnsi="Times New Roman" w:cs="Times New Roman"/>
          <w:color w:val="3A3A3A"/>
          <w:sz w:val="24"/>
          <w:szCs w:val="24"/>
          <w:shd w:val="clear" w:color="auto" w:fill="FFFFFF"/>
        </w:rPr>
        <w:t xml:space="preserve">, 14(3), pp. 508–515. Available at: </w:t>
      </w:r>
      <w:hyperlink r:id="rId7" w:history="1">
        <w:r w:rsidRPr="00DE3E11">
          <w:rPr>
            <w:rStyle w:val="Hyperlink"/>
            <w:rFonts w:ascii="Times New Roman" w:hAnsi="Times New Roman" w:cs="Times New Roman"/>
            <w:sz w:val="24"/>
            <w:szCs w:val="24"/>
            <w:shd w:val="clear" w:color="auto" w:fill="FFFFFF"/>
          </w:rPr>
          <w:t>https://doi.org/10.21202/1993-047X.14.2020.3.508-515</w:t>
        </w:r>
      </w:hyperlink>
      <w:r w:rsidRPr="00DE3E11">
        <w:rPr>
          <w:rFonts w:ascii="Times New Roman" w:hAnsi="Times New Roman" w:cs="Times New Roman"/>
          <w:color w:val="3A3A3A"/>
          <w:sz w:val="24"/>
          <w:szCs w:val="24"/>
          <w:shd w:val="clear" w:color="auto" w:fill="FFFFFF"/>
        </w:rPr>
        <w:t>.</w:t>
      </w:r>
    </w:p>
    <w:p w:rsidR="00130FC6" w:rsidRDefault="00130FC6" w:rsidP="00201CB2">
      <w:pPr>
        <w:spacing w:line="360" w:lineRule="auto"/>
        <w:jc w:val="both"/>
        <w:rPr>
          <w:rFonts w:ascii="Times New Roman" w:hAnsi="Times New Roman" w:cs="Times New Roman"/>
          <w:color w:val="3A3A3A"/>
          <w:sz w:val="24"/>
          <w:szCs w:val="24"/>
          <w:shd w:val="clear" w:color="auto" w:fill="FFFFFF"/>
        </w:rPr>
      </w:pPr>
      <w:r w:rsidRPr="00130FC6">
        <w:rPr>
          <w:rFonts w:ascii="Times New Roman" w:hAnsi="Times New Roman" w:cs="Times New Roman"/>
          <w:color w:val="3A3A3A"/>
          <w:sz w:val="24"/>
          <w:szCs w:val="24"/>
          <w:shd w:val="clear" w:color="auto" w:fill="FFFFFF"/>
        </w:rPr>
        <w:lastRenderedPageBreak/>
        <w:t>Hecht, A. and Lampenius, N. (2023) ‘How Do Firms Manage Their Foreign Exchange Exposure?’, </w:t>
      </w:r>
      <w:r w:rsidRPr="00130FC6">
        <w:rPr>
          <w:rFonts w:ascii="Times New Roman" w:hAnsi="Times New Roman" w:cs="Times New Roman"/>
          <w:i/>
          <w:iCs/>
          <w:color w:val="3A3A3A"/>
          <w:sz w:val="24"/>
          <w:szCs w:val="24"/>
          <w:shd w:val="clear" w:color="auto" w:fill="FFFFFF"/>
        </w:rPr>
        <w:t>Journal of risk and financial management</w:t>
      </w:r>
      <w:r w:rsidRPr="00130FC6">
        <w:rPr>
          <w:rFonts w:ascii="Times New Roman" w:hAnsi="Times New Roman" w:cs="Times New Roman"/>
          <w:color w:val="3A3A3A"/>
          <w:sz w:val="24"/>
          <w:szCs w:val="24"/>
          <w:shd w:val="clear" w:color="auto" w:fill="FFFFFF"/>
        </w:rPr>
        <w:t xml:space="preserve">, 16(8), pp. 359-. Available at: </w:t>
      </w:r>
      <w:hyperlink r:id="rId8" w:history="1">
        <w:r w:rsidRPr="00E85D9B">
          <w:rPr>
            <w:rStyle w:val="Hyperlink"/>
            <w:rFonts w:ascii="Times New Roman" w:hAnsi="Times New Roman" w:cs="Times New Roman"/>
            <w:sz w:val="24"/>
            <w:szCs w:val="24"/>
            <w:shd w:val="clear" w:color="auto" w:fill="FFFFFF"/>
          </w:rPr>
          <w:t>https://doi.org/10.3390/jrfm16080359</w:t>
        </w:r>
      </w:hyperlink>
      <w:r w:rsidRPr="00130FC6">
        <w:rPr>
          <w:rFonts w:ascii="Times New Roman" w:hAnsi="Times New Roman" w:cs="Times New Roman"/>
          <w:color w:val="3A3A3A"/>
          <w:sz w:val="24"/>
          <w:szCs w:val="24"/>
          <w:shd w:val="clear" w:color="auto" w:fill="FFFFFF"/>
        </w:rPr>
        <w:t>.</w:t>
      </w:r>
    </w:p>
    <w:p w:rsidR="00130FC6" w:rsidRPr="00130FC6" w:rsidRDefault="00130FC6" w:rsidP="00201CB2">
      <w:pPr>
        <w:spacing w:line="360" w:lineRule="auto"/>
        <w:jc w:val="both"/>
        <w:rPr>
          <w:rFonts w:ascii="Times New Roman" w:hAnsi="Times New Roman" w:cs="Times New Roman"/>
          <w:color w:val="3A3A3A"/>
          <w:sz w:val="24"/>
          <w:szCs w:val="24"/>
          <w:shd w:val="clear" w:color="auto" w:fill="FFFFFF"/>
        </w:rPr>
      </w:pPr>
      <w:r w:rsidRPr="00130FC6">
        <w:rPr>
          <w:rFonts w:ascii="Times New Roman" w:hAnsi="Times New Roman" w:cs="Times New Roman"/>
          <w:color w:val="3A3A3A"/>
          <w:sz w:val="24"/>
          <w:szCs w:val="24"/>
          <w:shd w:val="clear" w:color="auto" w:fill="FFFFFF"/>
        </w:rPr>
        <w:t>Marsh, C. (Clive M.H. (2012) </w:t>
      </w:r>
      <w:r w:rsidRPr="00130FC6">
        <w:rPr>
          <w:rFonts w:ascii="Times New Roman" w:hAnsi="Times New Roman" w:cs="Times New Roman"/>
          <w:i/>
          <w:iCs/>
          <w:color w:val="3A3A3A"/>
          <w:sz w:val="24"/>
          <w:szCs w:val="24"/>
          <w:shd w:val="clear" w:color="auto" w:fill="FFFFFF"/>
        </w:rPr>
        <w:t>Financial management for non-financial managers</w:t>
      </w:r>
      <w:r w:rsidRPr="00130FC6">
        <w:rPr>
          <w:rFonts w:ascii="Times New Roman" w:hAnsi="Times New Roman" w:cs="Times New Roman"/>
          <w:color w:val="3A3A3A"/>
          <w:sz w:val="24"/>
          <w:szCs w:val="24"/>
          <w:shd w:val="clear" w:color="auto" w:fill="FFFFFF"/>
        </w:rPr>
        <w:t>. London ; Kogan Page</w:t>
      </w:r>
      <w:r>
        <w:rPr>
          <w:rFonts w:ascii="Helvetica" w:hAnsi="Helvetica"/>
          <w:color w:val="3A3A3A"/>
          <w:sz w:val="23"/>
          <w:szCs w:val="23"/>
          <w:shd w:val="clear" w:color="auto" w:fill="FFFFFF"/>
        </w:rPr>
        <w:t>.</w:t>
      </w:r>
    </w:p>
    <w:p w:rsidR="00D37829" w:rsidRPr="00130FC6" w:rsidRDefault="00D37829" w:rsidP="00201CB2">
      <w:pPr>
        <w:tabs>
          <w:tab w:val="left" w:pos="7668"/>
        </w:tabs>
        <w:spacing w:line="360" w:lineRule="auto"/>
        <w:jc w:val="both"/>
        <w:rPr>
          <w:rFonts w:ascii="Times New Roman" w:hAnsi="Times New Roman" w:cs="Times New Roman"/>
          <w:sz w:val="24"/>
          <w:szCs w:val="24"/>
        </w:rPr>
      </w:pPr>
    </w:p>
    <w:p w:rsidR="00D37829" w:rsidRDefault="00D37829" w:rsidP="00201CB2">
      <w:pPr>
        <w:tabs>
          <w:tab w:val="left" w:pos="7668"/>
        </w:tabs>
        <w:spacing w:line="360" w:lineRule="auto"/>
        <w:jc w:val="both"/>
      </w:pPr>
    </w:p>
    <w:p w:rsidR="00AC565B" w:rsidRDefault="00AC565B" w:rsidP="00201CB2">
      <w:pPr>
        <w:tabs>
          <w:tab w:val="left" w:pos="7668"/>
        </w:tabs>
        <w:spacing w:line="360" w:lineRule="auto"/>
        <w:jc w:val="both"/>
      </w:pPr>
    </w:p>
    <w:p w:rsidR="00AC565B" w:rsidRPr="00141222" w:rsidRDefault="00AC565B" w:rsidP="00201CB2">
      <w:pPr>
        <w:tabs>
          <w:tab w:val="left" w:pos="7668"/>
        </w:tabs>
        <w:spacing w:line="360" w:lineRule="auto"/>
        <w:jc w:val="both"/>
      </w:pPr>
    </w:p>
    <w:sectPr w:rsidR="00AC565B" w:rsidRPr="001412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011C" w:rsidRDefault="000F011C" w:rsidP="00532B11">
      <w:pPr>
        <w:spacing w:after="0" w:line="240" w:lineRule="auto"/>
      </w:pPr>
      <w:r>
        <w:separator/>
      </w:r>
    </w:p>
  </w:endnote>
  <w:endnote w:type="continuationSeparator" w:id="0">
    <w:p w:rsidR="000F011C" w:rsidRDefault="000F011C" w:rsidP="00532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Helvetica">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011C" w:rsidRDefault="000F011C" w:rsidP="00532B11">
      <w:pPr>
        <w:spacing w:after="0" w:line="240" w:lineRule="auto"/>
      </w:pPr>
      <w:r>
        <w:separator/>
      </w:r>
    </w:p>
  </w:footnote>
  <w:footnote w:type="continuationSeparator" w:id="0">
    <w:p w:rsidR="000F011C" w:rsidRDefault="000F011C" w:rsidP="00532B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D0621C"/>
    <w:multiLevelType w:val="multilevel"/>
    <w:tmpl w:val="FC028A36"/>
    <w:lvl w:ilvl="0">
      <w:start w:val="1"/>
      <w:numFmt w:val="decimal"/>
      <w:lvlText w:val="%1."/>
      <w:lvlJc w:val="left"/>
      <w:pPr>
        <w:ind w:left="927" w:hanging="360"/>
      </w:pPr>
    </w:lvl>
    <w:lvl w:ilvl="1">
      <w:start w:val="1"/>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1" w15:restartNumberingAfterBreak="0">
    <w:nsid w:val="169D3F27"/>
    <w:multiLevelType w:val="hybridMultilevel"/>
    <w:tmpl w:val="1E340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C20595"/>
    <w:multiLevelType w:val="multilevel"/>
    <w:tmpl w:val="3A92802A"/>
    <w:lvl w:ilvl="0">
      <w:start w:val="1"/>
      <w:numFmt w:val="decimal"/>
      <w:lvlText w:val="%1."/>
      <w:lvlJc w:val="left"/>
      <w:pPr>
        <w:ind w:left="720" w:hanging="360"/>
      </w:pPr>
    </w:lvl>
    <w:lvl w:ilvl="1">
      <w:start w:val="2"/>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3" w15:restartNumberingAfterBreak="0">
    <w:nsid w:val="248947E5"/>
    <w:multiLevelType w:val="hybridMultilevel"/>
    <w:tmpl w:val="A5E49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BE62D1"/>
    <w:multiLevelType w:val="multilevel"/>
    <w:tmpl w:val="04090021"/>
    <w:lvl w:ilvl="0">
      <w:start w:val="1"/>
      <w:numFmt w:val="bullet"/>
      <w:lvlText w:val=""/>
      <w:lvlJc w:val="left"/>
      <w:pPr>
        <w:ind w:left="643"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312A6624"/>
    <w:multiLevelType w:val="hybridMultilevel"/>
    <w:tmpl w:val="A57E5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331E84"/>
    <w:multiLevelType w:val="multilevel"/>
    <w:tmpl w:val="6CCC2D4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i/>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8665ED1"/>
    <w:multiLevelType w:val="hybridMultilevel"/>
    <w:tmpl w:val="8DCEB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E61CCD"/>
    <w:multiLevelType w:val="hybridMultilevel"/>
    <w:tmpl w:val="2DD25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5E79F3"/>
    <w:multiLevelType w:val="hybridMultilevel"/>
    <w:tmpl w:val="5CFED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AC6DE6"/>
    <w:multiLevelType w:val="hybridMultilevel"/>
    <w:tmpl w:val="DE9A3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C85595A"/>
    <w:multiLevelType w:val="hybridMultilevel"/>
    <w:tmpl w:val="64626A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4A5CC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7AD3F06"/>
    <w:multiLevelType w:val="hybridMultilevel"/>
    <w:tmpl w:val="FE2696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59F855D1"/>
    <w:multiLevelType w:val="multilevel"/>
    <w:tmpl w:val="10C48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03690B"/>
    <w:multiLevelType w:val="hybridMultilevel"/>
    <w:tmpl w:val="56686832"/>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6" w15:restartNumberingAfterBreak="0">
    <w:nsid w:val="5A1778B7"/>
    <w:multiLevelType w:val="hybridMultilevel"/>
    <w:tmpl w:val="CDD60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016D8D"/>
    <w:multiLevelType w:val="hybridMultilevel"/>
    <w:tmpl w:val="EC8C5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60B7CCA"/>
    <w:multiLevelType w:val="hybridMultilevel"/>
    <w:tmpl w:val="4B546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B1979FD"/>
    <w:multiLevelType w:val="hybridMultilevel"/>
    <w:tmpl w:val="6AB28A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4A7B42"/>
    <w:multiLevelType w:val="multilevel"/>
    <w:tmpl w:val="D938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D935BB"/>
    <w:multiLevelType w:val="multilevel"/>
    <w:tmpl w:val="1048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5313BC"/>
    <w:multiLevelType w:val="multilevel"/>
    <w:tmpl w:val="AB08C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1"/>
  </w:num>
  <w:num w:numId="3">
    <w:abstractNumId w:val="14"/>
  </w:num>
  <w:num w:numId="4">
    <w:abstractNumId w:val="13"/>
  </w:num>
  <w:num w:numId="5">
    <w:abstractNumId w:val="2"/>
  </w:num>
  <w:num w:numId="6">
    <w:abstractNumId w:val="22"/>
  </w:num>
  <w:num w:numId="7">
    <w:abstractNumId w:val="3"/>
  </w:num>
  <w:num w:numId="8">
    <w:abstractNumId w:val="9"/>
  </w:num>
  <w:num w:numId="9">
    <w:abstractNumId w:val="1"/>
  </w:num>
  <w:num w:numId="10">
    <w:abstractNumId w:val="7"/>
  </w:num>
  <w:num w:numId="11">
    <w:abstractNumId w:val="5"/>
  </w:num>
  <w:num w:numId="12">
    <w:abstractNumId w:val="12"/>
  </w:num>
  <w:num w:numId="13">
    <w:abstractNumId w:val="6"/>
  </w:num>
  <w:num w:numId="14">
    <w:abstractNumId w:val="4"/>
  </w:num>
  <w:num w:numId="15">
    <w:abstractNumId w:val="17"/>
  </w:num>
  <w:num w:numId="16">
    <w:abstractNumId w:val="20"/>
  </w:num>
  <w:num w:numId="17">
    <w:abstractNumId w:val="16"/>
  </w:num>
  <w:num w:numId="18">
    <w:abstractNumId w:val="21"/>
  </w:num>
  <w:num w:numId="19">
    <w:abstractNumId w:val="8"/>
  </w:num>
  <w:num w:numId="20">
    <w:abstractNumId w:val="15"/>
  </w:num>
  <w:num w:numId="21">
    <w:abstractNumId w:val="10"/>
  </w:num>
  <w:num w:numId="22">
    <w:abstractNumId w:val="19"/>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2A6"/>
    <w:rsid w:val="0001503F"/>
    <w:rsid w:val="00083BE1"/>
    <w:rsid w:val="00095829"/>
    <w:rsid w:val="000A1B8B"/>
    <w:rsid w:val="000E4979"/>
    <w:rsid w:val="000F011C"/>
    <w:rsid w:val="001053E6"/>
    <w:rsid w:val="00105B53"/>
    <w:rsid w:val="001060F7"/>
    <w:rsid w:val="001267AA"/>
    <w:rsid w:val="00130FC6"/>
    <w:rsid w:val="00141222"/>
    <w:rsid w:val="001601B3"/>
    <w:rsid w:val="00184375"/>
    <w:rsid w:val="001863DF"/>
    <w:rsid w:val="00201CB2"/>
    <w:rsid w:val="002975C3"/>
    <w:rsid w:val="003B2176"/>
    <w:rsid w:val="00405AAA"/>
    <w:rsid w:val="00424CAD"/>
    <w:rsid w:val="00482A44"/>
    <w:rsid w:val="0049537A"/>
    <w:rsid w:val="004C5525"/>
    <w:rsid w:val="004E339D"/>
    <w:rsid w:val="0051621A"/>
    <w:rsid w:val="00532B11"/>
    <w:rsid w:val="00633A36"/>
    <w:rsid w:val="00693204"/>
    <w:rsid w:val="006A24A8"/>
    <w:rsid w:val="006F2435"/>
    <w:rsid w:val="008A75EC"/>
    <w:rsid w:val="008D193D"/>
    <w:rsid w:val="008D1A60"/>
    <w:rsid w:val="009136F6"/>
    <w:rsid w:val="00951163"/>
    <w:rsid w:val="009653A7"/>
    <w:rsid w:val="009A06EC"/>
    <w:rsid w:val="00A04203"/>
    <w:rsid w:val="00AB11A1"/>
    <w:rsid w:val="00AC565B"/>
    <w:rsid w:val="00AD012E"/>
    <w:rsid w:val="00AE6D8A"/>
    <w:rsid w:val="00B62151"/>
    <w:rsid w:val="00B81A49"/>
    <w:rsid w:val="00BC4FB4"/>
    <w:rsid w:val="00C55547"/>
    <w:rsid w:val="00C621DD"/>
    <w:rsid w:val="00CB3343"/>
    <w:rsid w:val="00D00D94"/>
    <w:rsid w:val="00D0235F"/>
    <w:rsid w:val="00D21270"/>
    <w:rsid w:val="00D37829"/>
    <w:rsid w:val="00D53820"/>
    <w:rsid w:val="00D8300A"/>
    <w:rsid w:val="00DA757D"/>
    <w:rsid w:val="00DC0EBB"/>
    <w:rsid w:val="00DD60C7"/>
    <w:rsid w:val="00E1529C"/>
    <w:rsid w:val="00E210B6"/>
    <w:rsid w:val="00E262A6"/>
    <w:rsid w:val="00EF4B5B"/>
    <w:rsid w:val="00F12231"/>
    <w:rsid w:val="00F64AEF"/>
    <w:rsid w:val="00F90E86"/>
    <w:rsid w:val="00FB7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7EEF391-060A-4C11-981C-8D06EAABB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3A36"/>
  </w:style>
  <w:style w:type="paragraph" w:styleId="Heading3">
    <w:name w:val="heading 3"/>
    <w:basedOn w:val="Normal"/>
    <w:link w:val="Heading3Char"/>
    <w:uiPriority w:val="9"/>
    <w:qFormat/>
    <w:rsid w:val="00EF4B5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4B5B"/>
    <w:rPr>
      <w:rFonts w:ascii="Times New Roman" w:eastAsia="Times New Roman" w:hAnsi="Times New Roman" w:cs="Times New Roman"/>
      <w:b/>
      <w:bCs/>
      <w:sz w:val="27"/>
      <w:szCs w:val="27"/>
    </w:rPr>
  </w:style>
  <w:style w:type="paragraph" w:styleId="NormalWeb">
    <w:name w:val="Normal (Web)"/>
    <w:basedOn w:val="Normal"/>
    <w:uiPriority w:val="99"/>
    <w:unhideWhenUsed/>
    <w:rsid w:val="00EF4B5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ne-clamp-1">
    <w:name w:val="line-clamp-1"/>
    <w:basedOn w:val="DefaultParagraphFont"/>
    <w:rsid w:val="00AC565B"/>
  </w:style>
  <w:style w:type="paragraph" w:styleId="ListParagraph">
    <w:name w:val="List Paragraph"/>
    <w:basedOn w:val="Normal"/>
    <w:uiPriority w:val="34"/>
    <w:qFormat/>
    <w:rsid w:val="00AC565B"/>
    <w:pPr>
      <w:ind w:left="720"/>
      <w:contextualSpacing/>
    </w:pPr>
  </w:style>
  <w:style w:type="character" w:styleId="Strong">
    <w:name w:val="Strong"/>
    <w:basedOn w:val="DefaultParagraphFont"/>
    <w:uiPriority w:val="22"/>
    <w:qFormat/>
    <w:rsid w:val="00AC565B"/>
    <w:rPr>
      <w:b/>
      <w:bCs/>
    </w:rPr>
  </w:style>
  <w:style w:type="paragraph" w:styleId="Header">
    <w:name w:val="header"/>
    <w:basedOn w:val="Normal"/>
    <w:link w:val="HeaderChar"/>
    <w:uiPriority w:val="99"/>
    <w:unhideWhenUsed/>
    <w:rsid w:val="00532B11"/>
    <w:pPr>
      <w:tabs>
        <w:tab w:val="center" w:pos="4844"/>
        <w:tab w:val="right" w:pos="9689"/>
      </w:tabs>
      <w:spacing w:after="0" w:line="240" w:lineRule="auto"/>
    </w:pPr>
  </w:style>
  <w:style w:type="character" w:customStyle="1" w:styleId="HeaderChar">
    <w:name w:val="Header Char"/>
    <w:basedOn w:val="DefaultParagraphFont"/>
    <w:link w:val="Header"/>
    <w:uiPriority w:val="99"/>
    <w:rsid w:val="00532B11"/>
  </w:style>
  <w:style w:type="paragraph" w:styleId="Footer">
    <w:name w:val="footer"/>
    <w:basedOn w:val="Normal"/>
    <w:link w:val="FooterChar"/>
    <w:uiPriority w:val="99"/>
    <w:unhideWhenUsed/>
    <w:rsid w:val="00532B11"/>
    <w:pPr>
      <w:tabs>
        <w:tab w:val="center" w:pos="4844"/>
        <w:tab w:val="right" w:pos="9689"/>
      </w:tabs>
      <w:spacing w:after="0" w:line="240" w:lineRule="auto"/>
    </w:pPr>
  </w:style>
  <w:style w:type="character" w:customStyle="1" w:styleId="FooterChar">
    <w:name w:val="Footer Char"/>
    <w:basedOn w:val="DefaultParagraphFont"/>
    <w:link w:val="Footer"/>
    <w:uiPriority w:val="99"/>
    <w:rsid w:val="00532B11"/>
  </w:style>
  <w:style w:type="character" w:styleId="Hyperlink">
    <w:name w:val="Hyperlink"/>
    <w:basedOn w:val="DefaultParagraphFont"/>
    <w:uiPriority w:val="99"/>
    <w:unhideWhenUsed/>
    <w:rsid w:val="00D378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599854">
      <w:bodyDiv w:val="1"/>
      <w:marLeft w:val="0"/>
      <w:marRight w:val="0"/>
      <w:marTop w:val="0"/>
      <w:marBottom w:val="0"/>
      <w:divBdr>
        <w:top w:val="none" w:sz="0" w:space="0" w:color="auto"/>
        <w:left w:val="none" w:sz="0" w:space="0" w:color="auto"/>
        <w:bottom w:val="none" w:sz="0" w:space="0" w:color="auto"/>
        <w:right w:val="none" w:sz="0" w:space="0" w:color="auto"/>
      </w:divBdr>
    </w:div>
    <w:div w:id="175194702">
      <w:bodyDiv w:val="1"/>
      <w:marLeft w:val="0"/>
      <w:marRight w:val="0"/>
      <w:marTop w:val="0"/>
      <w:marBottom w:val="0"/>
      <w:divBdr>
        <w:top w:val="none" w:sz="0" w:space="0" w:color="auto"/>
        <w:left w:val="none" w:sz="0" w:space="0" w:color="auto"/>
        <w:bottom w:val="none" w:sz="0" w:space="0" w:color="auto"/>
        <w:right w:val="none" w:sz="0" w:space="0" w:color="auto"/>
      </w:divBdr>
    </w:div>
    <w:div w:id="186480358">
      <w:bodyDiv w:val="1"/>
      <w:marLeft w:val="0"/>
      <w:marRight w:val="0"/>
      <w:marTop w:val="0"/>
      <w:marBottom w:val="0"/>
      <w:divBdr>
        <w:top w:val="none" w:sz="0" w:space="0" w:color="auto"/>
        <w:left w:val="none" w:sz="0" w:space="0" w:color="auto"/>
        <w:bottom w:val="none" w:sz="0" w:space="0" w:color="auto"/>
        <w:right w:val="none" w:sz="0" w:space="0" w:color="auto"/>
      </w:divBdr>
    </w:div>
    <w:div w:id="273055595">
      <w:bodyDiv w:val="1"/>
      <w:marLeft w:val="0"/>
      <w:marRight w:val="0"/>
      <w:marTop w:val="0"/>
      <w:marBottom w:val="0"/>
      <w:divBdr>
        <w:top w:val="none" w:sz="0" w:space="0" w:color="auto"/>
        <w:left w:val="none" w:sz="0" w:space="0" w:color="auto"/>
        <w:bottom w:val="none" w:sz="0" w:space="0" w:color="auto"/>
        <w:right w:val="none" w:sz="0" w:space="0" w:color="auto"/>
      </w:divBdr>
    </w:div>
    <w:div w:id="379283988">
      <w:bodyDiv w:val="1"/>
      <w:marLeft w:val="0"/>
      <w:marRight w:val="0"/>
      <w:marTop w:val="0"/>
      <w:marBottom w:val="0"/>
      <w:divBdr>
        <w:top w:val="none" w:sz="0" w:space="0" w:color="auto"/>
        <w:left w:val="none" w:sz="0" w:space="0" w:color="auto"/>
        <w:bottom w:val="none" w:sz="0" w:space="0" w:color="auto"/>
        <w:right w:val="none" w:sz="0" w:space="0" w:color="auto"/>
      </w:divBdr>
    </w:div>
    <w:div w:id="449975210">
      <w:bodyDiv w:val="1"/>
      <w:marLeft w:val="0"/>
      <w:marRight w:val="0"/>
      <w:marTop w:val="0"/>
      <w:marBottom w:val="0"/>
      <w:divBdr>
        <w:top w:val="none" w:sz="0" w:space="0" w:color="auto"/>
        <w:left w:val="none" w:sz="0" w:space="0" w:color="auto"/>
        <w:bottom w:val="none" w:sz="0" w:space="0" w:color="auto"/>
        <w:right w:val="none" w:sz="0" w:space="0" w:color="auto"/>
      </w:divBdr>
    </w:div>
    <w:div w:id="789318040">
      <w:bodyDiv w:val="1"/>
      <w:marLeft w:val="0"/>
      <w:marRight w:val="0"/>
      <w:marTop w:val="0"/>
      <w:marBottom w:val="0"/>
      <w:divBdr>
        <w:top w:val="none" w:sz="0" w:space="0" w:color="auto"/>
        <w:left w:val="none" w:sz="0" w:space="0" w:color="auto"/>
        <w:bottom w:val="none" w:sz="0" w:space="0" w:color="auto"/>
        <w:right w:val="none" w:sz="0" w:space="0" w:color="auto"/>
      </w:divBdr>
    </w:div>
    <w:div w:id="907687956">
      <w:bodyDiv w:val="1"/>
      <w:marLeft w:val="0"/>
      <w:marRight w:val="0"/>
      <w:marTop w:val="0"/>
      <w:marBottom w:val="0"/>
      <w:divBdr>
        <w:top w:val="none" w:sz="0" w:space="0" w:color="auto"/>
        <w:left w:val="none" w:sz="0" w:space="0" w:color="auto"/>
        <w:bottom w:val="none" w:sz="0" w:space="0" w:color="auto"/>
        <w:right w:val="none" w:sz="0" w:space="0" w:color="auto"/>
      </w:divBdr>
    </w:div>
    <w:div w:id="948656957">
      <w:bodyDiv w:val="1"/>
      <w:marLeft w:val="0"/>
      <w:marRight w:val="0"/>
      <w:marTop w:val="0"/>
      <w:marBottom w:val="0"/>
      <w:divBdr>
        <w:top w:val="none" w:sz="0" w:space="0" w:color="auto"/>
        <w:left w:val="none" w:sz="0" w:space="0" w:color="auto"/>
        <w:bottom w:val="none" w:sz="0" w:space="0" w:color="auto"/>
        <w:right w:val="none" w:sz="0" w:space="0" w:color="auto"/>
      </w:divBdr>
    </w:div>
    <w:div w:id="1320963443">
      <w:bodyDiv w:val="1"/>
      <w:marLeft w:val="0"/>
      <w:marRight w:val="0"/>
      <w:marTop w:val="0"/>
      <w:marBottom w:val="0"/>
      <w:divBdr>
        <w:top w:val="none" w:sz="0" w:space="0" w:color="auto"/>
        <w:left w:val="none" w:sz="0" w:space="0" w:color="auto"/>
        <w:bottom w:val="none" w:sz="0" w:space="0" w:color="auto"/>
        <w:right w:val="none" w:sz="0" w:space="0" w:color="auto"/>
      </w:divBdr>
      <w:divsChild>
        <w:div w:id="415328627">
          <w:marLeft w:val="0"/>
          <w:marRight w:val="0"/>
          <w:marTop w:val="0"/>
          <w:marBottom w:val="0"/>
          <w:divBdr>
            <w:top w:val="none" w:sz="0" w:space="0" w:color="auto"/>
            <w:left w:val="none" w:sz="0" w:space="0" w:color="auto"/>
            <w:bottom w:val="none" w:sz="0" w:space="0" w:color="auto"/>
            <w:right w:val="none" w:sz="0" w:space="0" w:color="auto"/>
          </w:divBdr>
          <w:divsChild>
            <w:div w:id="86578218">
              <w:marLeft w:val="0"/>
              <w:marRight w:val="0"/>
              <w:marTop w:val="0"/>
              <w:marBottom w:val="0"/>
              <w:divBdr>
                <w:top w:val="none" w:sz="0" w:space="0" w:color="auto"/>
                <w:left w:val="none" w:sz="0" w:space="0" w:color="auto"/>
                <w:bottom w:val="none" w:sz="0" w:space="0" w:color="auto"/>
                <w:right w:val="none" w:sz="0" w:space="0" w:color="auto"/>
              </w:divBdr>
              <w:divsChild>
                <w:div w:id="2006319254">
                  <w:marLeft w:val="0"/>
                  <w:marRight w:val="0"/>
                  <w:marTop w:val="0"/>
                  <w:marBottom w:val="0"/>
                  <w:divBdr>
                    <w:top w:val="none" w:sz="0" w:space="0" w:color="auto"/>
                    <w:left w:val="none" w:sz="0" w:space="0" w:color="auto"/>
                    <w:bottom w:val="none" w:sz="0" w:space="0" w:color="auto"/>
                    <w:right w:val="none" w:sz="0" w:space="0" w:color="auto"/>
                  </w:divBdr>
                  <w:divsChild>
                    <w:div w:id="149148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755804">
          <w:marLeft w:val="0"/>
          <w:marRight w:val="0"/>
          <w:marTop w:val="0"/>
          <w:marBottom w:val="0"/>
          <w:divBdr>
            <w:top w:val="none" w:sz="0" w:space="0" w:color="auto"/>
            <w:left w:val="none" w:sz="0" w:space="0" w:color="auto"/>
            <w:bottom w:val="none" w:sz="0" w:space="0" w:color="auto"/>
            <w:right w:val="none" w:sz="0" w:space="0" w:color="auto"/>
          </w:divBdr>
          <w:divsChild>
            <w:div w:id="1907564355">
              <w:marLeft w:val="0"/>
              <w:marRight w:val="0"/>
              <w:marTop w:val="0"/>
              <w:marBottom w:val="0"/>
              <w:divBdr>
                <w:top w:val="none" w:sz="0" w:space="0" w:color="auto"/>
                <w:left w:val="none" w:sz="0" w:space="0" w:color="auto"/>
                <w:bottom w:val="none" w:sz="0" w:space="0" w:color="auto"/>
                <w:right w:val="none" w:sz="0" w:space="0" w:color="auto"/>
              </w:divBdr>
              <w:divsChild>
                <w:div w:id="259223980">
                  <w:marLeft w:val="0"/>
                  <w:marRight w:val="0"/>
                  <w:marTop w:val="0"/>
                  <w:marBottom w:val="0"/>
                  <w:divBdr>
                    <w:top w:val="none" w:sz="0" w:space="0" w:color="auto"/>
                    <w:left w:val="none" w:sz="0" w:space="0" w:color="auto"/>
                    <w:bottom w:val="none" w:sz="0" w:space="0" w:color="auto"/>
                    <w:right w:val="none" w:sz="0" w:space="0" w:color="auto"/>
                  </w:divBdr>
                  <w:divsChild>
                    <w:div w:id="22997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742368">
      <w:bodyDiv w:val="1"/>
      <w:marLeft w:val="0"/>
      <w:marRight w:val="0"/>
      <w:marTop w:val="0"/>
      <w:marBottom w:val="0"/>
      <w:divBdr>
        <w:top w:val="none" w:sz="0" w:space="0" w:color="auto"/>
        <w:left w:val="none" w:sz="0" w:space="0" w:color="auto"/>
        <w:bottom w:val="none" w:sz="0" w:space="0" w:color="auto"/>
        <w:right w:val="none" w:sz="0" w:space="0" w:color="auto"/>
      </w:divBdr>
    </w:div>
    <w:div w:id="1630359298">
      <w:bodyDiv w:val="1"/>
      <w:marLeft w:val="0"/>
      <w:marRight w:val="0"/>
      <w:marTop w:val="0"/>
      <w:marBottom w:val="0"/>
      <w:divBdr>
        <w:top w:val="none" w:sz="0" w:space="0" w:color="auto"/>
        <w:left w:val="none" w:sz="0" w:space="0" w:color="auto"/>
        <w:bottom w:val="none" w:sz="0" w:space="0" w:color="auto"/>
        <w:right w:val="none" w:sz="0" w:space="0" w:color="auto"/>
      </w:divBdr>
    </w:div>
    <w:div w:id="1785419780">
      <w:bodyDiv w:val="1"/>
      <w:marLeft w:val="0"/>
      <w:marRight w:val="0"/>
      <w:marTop w:val="0"/>
      <w:marBottom w:val="0"/>
      <w:divBdr>
        <w:top w:val="none" w:sz="0" w:space="0" w:color="auto"/>
        <w:left w:val="none" w:sz="0" w:space="0" w:color="auto"/>
        <w:bottom w:val="none" w:sz="0" w:space="0" w:color="auto"/>
        <w:right w:val="none" w:sz="0" w:space="0" w:color="auto"/>
      </w:divBdr>
    </w:div>
    <w:div w:id="1961840288">
      <w:bodyDiv w:val="1"/>
      <w:marLeft w:val="0"/>
      <w:marRight w:val="0"/>
      <w:marTop w:val="0"/>
      <w:marBottom w:val="0"/>
      <w:divBdr>
        <w:top w:val="none" w:sz="0" w:space="0" w:color="auto"/>
        <w:left w:val="none" w:sz="0" w:space="0" w:color="auto"/>
        <w:bottom w:val="none" w:sz="0" w:space="0" w:color="auto"/>
        <w:right w:val="none" w:sz="0" w:space="0" w:color="auto"/>
      </w:divBdr>
    </w:div>
    <w:div w:id="213320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jrfm16080359" TargetMode="External"/><Relationship Id="rId3" Type="http://schemas.openxmlformats.org/officeDocument/2006/relationships/settings" Target="settings.xml"/><Relationship Id="rId7" Type="http://schemas.openxmlformats.org/officeDocument/2006/relationships/hyperlink" Target="https://doi.org/10.21202/1993-047X.14.2020.3.508-5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1805</Words>
  <Characters>11498</Characters>
  <Application>Microsoft Office Word</Application>
  <DocSecurity>0</DocSecurity>
  <Lines>234</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53</cp:revision>
  <dcterms:created xsi:type="dcterms:W3CDTF">2024-07-17T11:12:00Z</dcterms:created>
  <dcterms:modified xsi:type="dcterms:W3CDTF">2024-08-14T10:44:00Z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e645265735ffb7cf3226503df0bf5675680867c4b7db6cf8b926d9ff516e01b7</vt:lpwstr>
  </property>
</Properties>
</file>