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0" w:line="360" w:lineRule="auto"/>
        <w:rPr>
          <w:rFonts w:ascii="Arial" w:cs="Arial" w:hAnsi="Arial" w:eastAsia="Arial"/>
          <w:b w:val="1"/>
          <w:bCs w:val="1"/>
          <w:lang w:val="en-US"/>
        </w:rPr>
      </w:pPr>
      <w:r>
        <w:rPr>
          <w:rFonts w:ascii="Arial" w:hAnsi="Arial"/>
          <w:b w:val="1"/>
          <w:bCs w:val="1"/>
          <w:rtl w:val="0"/>
          <w:lang w:val="en-US"/>
        </w:rPr>
        <w:t>Module: Academic and employability skills</w:t>
      </w:r>
    </w:p>
    <w:p>
      <w:pPr>
        <w:pStyle w:val="Body"/>
        <w:spacing w:after="0" w:line="360" w:lineRule="auto"/>
        <w:rPr>
          <w:rFonts w:ascii="Arial" w:cs="Arial" w:hAnsi="Arial" w:eastAsia="Arial"/>
          <w:b w:val="1"/>
          <w:bCs w:val="1"/>
          <w:lang w:val="en-US"/>
        </w:rPr>
      </w:pPr>
      <w:r>
        <w:rPr>
          <w:rFonts w:ascii="Arial" w:hAnsi="Arial"/>
          <w:b w:val="1"/>
          <w:bCs w:val="1"/>
          <w:rtl w:val="0"/>
          <w:lang w:val="en-US"/>
        </w:rPr>
        <w:t>Module code: BMSW4001</w:t>
      </w:r>
    </w:p>
    <w:p>
      <w:pPr>
        <w:pStyle w:val="Body"/>
        <w:spacing w:after="0" w:line="360" w:lineRule="auto"/>
        <w:rPr>
          <w:rFonts w:ascii="Arial" w:cs="Arial" w:hAnsi="Arial" w:eastAsia="Arial"/>
          <w:b w:val="1"/>
          <w:bCs w:val="1"/>
          <w:lang w:val="en-US"/>
        </w:rPr>
      </w:pPr>
      <w:r>
        <w:rPr>
          <w:rFonts w:ascii="Arial" w:hAnsi="Arial"/>
          <w:b w:val="1"/>
          <w:bCs w:val="1"/>
          <w:rtl w:val="0"/>
          <w:lang w:val="en-US"/>
        </w:rPr>
        <w:t>Assignment Title: Task 1</w:t>
      </w:r>
    </w:p>
    <w:p>
      <w:pPr>
        <w:pStyle w:val="Body"/>
        <w:spacing w:after="0" w:line="360" w:lineRule="auto"/>
        <w:rPr>
          <w:rFonts w:ascii="Arial" w:cs="Arial" w:hAnsi="Arial" w:eastAsia="Arial"/>
          <w:b w:val="1"/>
          <w:bCs w:val="1"/>
          <w:lang w:val="en-US"/>
        </w:rPr>
      </w:pPr>
      <w:r>
        <w:rPr>
          <w:rFonts w:ascii="Arial" w:hAnsi="Arial"/>
          <w:b w:val="1"/>
          <w:bCs w:val="1"/>
          <w:rtl w:val="0"/>
          <w:lang w:val="en-US"/>
        </w:rPr>
        <w:t xml:space="preserve">Lecturer: Doreen Nyaa </w:t>
      </w:r>
    </w:p>
    <w:p>
      <w:pPr>
        <w:pStyle w:val="Body"/>
        <w:spacing w:after="0" w:line="360" w:lineRule="auto"/>
        <w:rPr>
          <w:rFonts w:ascii="Arial" w:cs="Arial" w:hAnsi="Arial" w:eastAsia="Arial"/>
          <w:b w:val="1"/>
          <w:bCs w:val="1"/>
          <w:lang w:val="en-US"/>
        </w:rPr>
      </w:pPr>
      <w:r>
        <w:rPr>
          <w:rFonts w:ascii="Arial" w:hAnsi="Arial"/>
          <w:b w:val="1"/>
          <w:bCs w:val="1"/>
          <w:rtl w:val="0"/>
          <w:lang w:val="en-US"/>
        </w:rPr>
        <w:t>Student name/Id number: Nicoleta Mocanu/2118432</w:t>
      </w: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rPr>
          <w:rFonts w:ascii="Arial" w:cs="Arial" w:hAnsi="Arial" w:eastAsia="Arial"/>
          <w:b w:val="1"/>
          <w:bCs w:val="1"/>
          <w:lang w:val="en-US"/>
        </w:rPr>
      </w:pPr>
    </w:p>
    <w:p>
      <w:pPr>
        <w:pStyle w:val="Body"/>
        <w:spacing w:after="0" w:line="360" w:lineRule="auto"/>
        <w:jc w:val="center"/>
      </w:pPr>
      <w:r>
        <w:rPr>
          <w:rFonts w:ascii="Arial Unicode MS" w:cs="Arial Unicode MS" w:hAnsi="Arial Unicode MS" w:eastAsia="Arial Unicode MS"/>
          <w:b w:val="0"/>
          <w:bCs w:val="0"/>
          <w:i w:val="0"/>
          <w:iCs w:val="0"/>
          <w:lang w:val="en-US"/>
        </w:rPr>
        <w:br w:type="page"/>
      </w:r>
    </w:p>
    <w:p>
      <w:pPr>
        <w:pStyle w:val="TOC Heading"/>
        <w:spacing w:before="0" w:line="360" w:lineRule="auto"/>
        <w:jc w:val="center"/>
        <w:rPr>
          <w:rFonts w:ascii="Arial" w:cs="Arial" w:hAnsi="Arial" w:eastAsia="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of Contents</w:t>
      </w:r>
    </w:p>
    <w:p>
      <w:pPr>
        <w:pStyle w:val="toc 1"/>
        <w:tabs>
          <w:tab w:val="right" w:pos="9000" w:leader="dot"/>
        </w:tabs>
        <w:spacing w:after="0" w:line="360" w:lineRule="auto"/>
        <w:rPr>
          <w:rFonts w:ascii="Arial" w:cs="Arial" w:hAnsi="Arial" w:eastAsia="Arial"/>
        </w:rPr>
      </w:pPr>
    </w:p>
    <w:p>
      <w:pPr>
        <w:pStyle w:val="Body"/>
        <w:spacing w:after="0" w:line="360" w:lineRule="auto"/>
      </w:pPr>
      <w:r>
        <w:rPr>
          <w:rFonts w:ascii="Arial" w:cs="Arial" w:hAnsi="Arial" w:eastAsia="Arial"/>
        </w:rPr>
        <w:fldChar w:fldCharType="begin" w:fldLock="0"/>
      </w:r>
      <w:r>
        <w:rPr>
          <w:rFonts w:ascii="Arial" w:cs="Arial" w:hAnsi="Arial" w:eastAsia="Arial"/>
        </w:rPr>
        <w:instrText xml:space="preserve"> TOC \o 1-3 </w:instrText>
      </w:r>
      <w:r>
        <w:rPr>
          <w:rFonts w:ascii="Arial" w:cs="Arial" w:hAnsi="Arial" w:eastAsia="Arial"/>
        </w:rPr>
        <w:fldChar w:fldCharType="separate" w:fldLock="0"/>
      </w:r>
    </w:p>
    <w:p>
      <w:pPr>
        <w:pStyle w:val="TOC 1.0"/>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0"/>
      </w:pPr>
      <w:r>
        <w:rPr>
          <w:rFonts w:cs="Arial Unicode MS" w:eastAsia="Arial Unicode MS"/>
          <w:rtl w:val="0"/>
        </w:rPr>
        <w:t>Ways to Moitavtivate Employees</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Pay</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Performance Schemes</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Merit Pay</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Incentives</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Bonus</w:t>
        <w:tab/>
      </w:r>
      <w:r>
        <w:rPr/>
        <w:fldChar w:fldCharType="begin" w:fldLock="0"/>
      </w:r>
      <w:r>
        <w:instrText xml:space="preserve"> PAGEREF _Toc6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Recognition and Awards</w:t>
        <w:tab/>
      </w:r>
      <w:r>
        <w:rPr/>
        <w:fldChar w:fldCharType="begin" w:fldLock="0"/>
      </w:r>
      <w:r>
        <w:instrText xml:space="preserve"> PAGEREF _Toc7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Recognition Master Award</w:t>
        <w:tab/>
      </w:r>
      <w:r>
        <w:rPr/>
        <w:fldChar w:fldCharType="begin" w:fldLock="0"/>
      </w:r>
      <w:r>
        <w:instrText xml:space="preserve"> PAGEREF _Toc8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Driving Success Reward</w:t>
        <w:tab/>
      </w:r>
      <w:r>
        <w:rPr/>
        <w:fldChar w:fldCharType="begin" w:fldLock="0"/>
      </w:r>
      <w:r>
        <w:instrText xml:space="preserve"> PAGEREF _Toc9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Customer Service Award</w:t>
        <w:tab/>
      </w:r>
      <w:r>
        <w:rPr/>
        <w:fldChar w:fldCharType="begin" w:fldLock="0"/>
      </w:r>
      <w:r>
        <w:instrText xml:space="preserve"> PAGEREF _Toc10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Additional Holidays</w:t>
        <w:tab/>
      </w:r>
      <w:r>
        <w:rPr/>
        <w:fldChar w:fldCharType="begin" w:fldLock="0"/>
      </w:r>
      <w:r>
        <w:instrText xml:space="preserve"> PAGEREF _Toc11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Compensation and Hours</w:t>
        <w:tab/>
      </w:r>
      <w:r>
        <w:rPr/>
        <w:fldChar w:fldCharType="begin" w:fldLock="0"/>
      </w:r>
      <w:r>
        <w:instrText xml:space="preserve"> PAGEREF _Toc12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No-time Constraints</w:t>
        <w:tab/>
      </w:r>
      <w:r>
        <w:rPr/>
        <w:fldChar w:fldCharType="begin" w:fldLock="0"/>
      </w:r>
      <w:r>
        <w:instrText xml:space="preserve"> PAGEREF _Toc13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Holidays/Break Incentives</w:t>
        <w:tab/>
      </w:r>
      <w:r>
        <w:rPr/>
        <w:fldChar w:fldCharType="begin" w:fldLock="0"/>
      </w:r>
      <w:r>
        <w:instrText xml:space="preserve"> PAGEREF _Toc14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Good Working Conditions</w:t>
        <w:tab/>
      </w:r>
      <w:r>
        <w:rPr/>
        <w:fldChar w:fldCharType="begin" w:fldLock="0"/>
      </w:r>
      <w:r>
        <w:instrText xml:space="preserve"> PAGEREF _Toc15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Health and Safety</w:t>
        <w:tab/>
      </w:r>
      <w:r>
        <w:rPr/>
        <w:fldChar w:fldCharType="begin" w:fldLock="0"/>
      </w:r>
      <w:r>
        <w:instrText xml:space="preserve"> PAGEREF _Toc16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Freedom from Discrimination</w:t>
        <w:tab/>
      </w:r>
      <w:r>
        <w:rPr/>
        <w:fldChar w:fldCharType="begin" w:fldLock="0"/>
      </w:r>
      <w:r>
        <w:instrText xml:space="preserve"> PAGEREF _Toc17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Peaceful Environment</w:t>
        <w:tab/>
      </w:r>
      <w:r>
        <w:rPr/>
        <w:fldChar w:fldCharType="begin" w:fldLock="0"/>
      </w:r>
      <w:r>
        <w:instrText xml:space="preserve"> PAGEREF _Toc18 \h </w:instrText>
      </w:r>
      <w:r>
        <w:rPr/>
        <w:fldChar w:fldCharType="separate" w:fldLock="0"/>
      </w:r>
      <w:r>
        <w:rPr>
          <w:rFonts w:cs="Arial Unicode MS" w:eastAsia="Arial Unicode MS"/>
          <w:rtl w:val="0"/>
        </w:rPr>
        <w:t>8</w:t>
      </w:r>
      <w:r>
        <w:rPr/>
        <w:fldChar w:fldCharType="end" w:fldLock="0"/>
      </w:r>
    </w:p>
    <w:p>
      <w:pPr>
        <w:pStyle w:val="TOC 1.0"/>
      </w:pPr>
      <w:r>
        <w:rPr>
          <w:rFonts w:cs="Arial Unicode MS" w:eastAsia="Arial Unicode MS"/>
          <w:rtl w:val="0"/>
        </w:rPr>
        <w:t>Conclusion and Recommendation</w:t>
        <w:tab/>
      </w:r>
      <w:r>
        <w:rPr/>
        <w:fldChar w:fldCharType="begin" w:fldLock="0"/>
      </w:r>
      <w:r>
        <w:instrText xml:space="preserve"> PAGEREF _Toc19 \h </w:instrText>
      </w:r>
      <w:r>
        <w:rPr/>
        <w:fldChar w:fldCharType="separate" w:fldLock="0"/>
      </w:r>
      <w:r>
        <w:rPr>
          <w:rFonts w:cs="Arial Unicode MS" w:eastAsia="Arial Unicode MS"/>
          <w:rtl w:val="0"/>
        </w:rPr>
        <w:t>8</w:t>
      </w:r>
      <w:r>
        <w:rPr/>
        <w:fldChar w:fldCharType="end" w:fldLock="0"/>
      </w:r>
    </w:p>
    <w:p>
      <w:pPr>
        <w:pStyle w:val="TOC 1.0"/>
      </w:pPr>
      <w:r>
        <w:rPr>
          <w:rFonts w:cs="Arial Unicode MS" w:eastAsia="Arial Unicode MS"/>
          <w:rtl w:val="0"/>
        </w:rPr>
        <w:t>References</w:t>
        <w:tab/>
      </w:r>
      <w:r>
        <w:rPr/>
        <w:fldChar w:fldCharType="begin" w:fldLock="0"/>
      </w:r>
      <w:r>
        <w:instrText xml:space="preserve"> PAGEREF _Toc20 \h </w:instrText>
      </w:r>
      <w:r>
        <w:rPr/>
        <w:fldChar w:fldCharType="separate" w:fldLock="0"/>
      </w:r>
      <w:r>
        <w:rPr>
          <w:rFonts w:cs="Arial Unicode MS" w:eastAsia="Arial Unicode MS"/>
          <w:rtl w:val="0"/>
        </w:rPr>
        <w:t>9</w:t>
      </w:r>
      <w:r>
        <w:rPr/>
        <w:fldChar w:fldCharType="end" w:fldLock="0"/>
      </w:r>
    </w:p>
    <w:p>
      <w:pPr>
        <w:spacing w:after="0" w:line="360" w:lineRule="auto"/>
        <w:rPr>
          <w:rFonts w:ascii="Arial" w:cs="Arial" w:hAnsi="Arial" w:eastAsia="Arial"/>
        </w:rPr>
      </w:pPr>
      <w:r>
        <w:rPr>
          <w:rFonts w:ascii="Arial" w:cs="Arial" w:hAnsi="Arial" w:eastAsia="Arial"/>
        </w:rPr>
        <w:fldChar w:fldCharType="end" w:fldLock="0"/>
      </w:r>
    </w:p>
    <w:p>
      <w:pPr>
        <w:pStyle w:val="Body"/>
        <w:spacing w:after="0" w:line="360" w:lineRule="auto"/>
      </w:pPr>
      <w:r>
        <w:rPr>
          <w:rFonts w:ascii="Arial Unicode MS" w:cs="Arial Unicode MS" w:hAnsi="Arial Unicode MS" w:eastAsia="Arial Unicode MS"/>
          <w:b w:val="0"/>
          <w:bCs w:val="0"/>
          <w:i w:val="0"/>
          <w:iCs w:val="0"/>
          <w:lang w:val="en-US"/>
        </w:rPr>
        <w:br w:type="page"/>
      </w:r>
    </w:p>
    <w:p>
      <w:pPr>
        <w:pStyle w:val="Heading"/>
        <w:spacing w:after="0" w:line="360" w:lineRule="auto"/>
        <w:rPr>
          <w:rFonts w:ascii="Arial" w:cs="Arial" w:hAnsi="Arial" w:eastAsia="Arial"/>
          <w:sz w:val="22"/>
          <w:szCs w:val="22"/>
        </w:rPr>
      </w:pPr>
      <w:bookmarkStart w:name="_Toc" w:id="0"/>
      <w:r>
        <w:rPr>
          <w:rFonts w:ascii="Arial" w:hAnsi="Arial"/>
          <w:sz w:val="22"/>
          <w:szCs w:val="22"/>
          <w:rtl w:val="0"/>
          <w:lang w:val="fr-FR"/>
        </w:rPr>
        <w:t>Introduction</w:t>
      </w:r>
      <w:bookmarkEnd w:id="0"/>
    </w:p>
    <w:p>
      <w:pPr>
        <w:pStyle w:val="Body"/>
        <w:spacing w:after="0" w:line="360" w:lineRule="auto"/>
        <w:rPr>
          <w:rFonts w:ascii="Arial" w:cs="Arial" w:hAnsi="Arial" w:eastAsia="Arial"/>
        </w:rPr>
      </w:pPr>
      <w:r>
        <w:rPr>
          <w:rFonts w:ascii="Arial" w:hAnsi="Arial"/>
          <w:rtl w:val="0"/>
          <w:lang w:val="en-US"/>
        </w:rPr>
        <w:t xml:space="preserve">             The vast majority of different researchers agree that agents are an integral part of any relationship, as most of the day-to-day work is performed by agents in today's extremely harsh and dynamic environments. The overall outcome of a relationship in achieving a basic goal depends heavily on the efficiency of the worker. Therefore, it is important to first identify the factors that affect execution. Agent execution is a limiting and motivational component. Limits include the capacity, preparation, and resources expected to perform a task, and motivation is expressed as an inherent force that drives an individual to work towards something. A well-known saying is, "You can lead a horse to the water, but you don't drink it except when it's dry" (Kriti, 2018). </w:t>
      </w:r>
    </w:p>
    <w:p>
      <w:pPr>
        <w:pStyle w:val="Body"/>
        <w:spacing w:after="0" w:line="360" w:lineRule="auto"/>
        <w:ind w:firstLine="720"/>
        <w:rPr>
          <w:rFonts w:ascii="Arial" w:cs="Arial" w:hAnsi="Arial" w:eastAsia="Arial"/>
        </w:rPr>
      </w:pPr>
      <w:r>
        <w:rPr>
          <w:rFonts w:ascii="Arial" w:hAnsi="Arial"/>
          <w:rtl w:val="0"/>
          <w:lang w:val="en-US"/>
        </w:rPr>
        <w:t>Therefore, while no one can be motivated, affiliates can create a motivational work environment to realize universally unprecedented possibilities. It takes more time and resilience to further improve one's abilities, but the motives can be countered by specific means within a more limited period. All affiliations, paying little brain to the area, size or industry require convinced agents to work in fact. HR is a fundamental asset that ensures the effectiveness, execution, and flourishing of the affiliation (Sophie,2018).  Moved agents are fulfilled, committed, and work enthusiastically The consequence of a pushed workforce fuses laborer upkeep, devotion, and concordance; these are the factors that contribute generally to the turn of events and headway of the affiliation. Subsequently, quite possibly the most convincing test confronting the present associations is how to ensure that representatives are profoundly energetic.</w:t>
      </w:r>
    </w:p>
    <w:p>
      <w:pPr>
        <w:pStyle w:val="Body"/>
        <w:spacing w:after="0" w:line="360" w:lineRule="auto"/>
        <w:rPr>
          <w:rFonts w:ascii="Arial" w:cs="Arial" w:hAnsi="Arial" w:eastAsia="Arial"/>
          <w:lang w:val="en-US"/>
        </w:rPr>
      </w:pPr>
    </w:p>
    <w:p>
      <w:pPr>
        <w:pStyle w:val="Heading"/>
        <w:spacing w:after="0" w:line="360" w:lineRule="auto"/>
        <w:rPr>
          <w:rFonts w:ascii="Arial" w:cs="Arial" w:hAnsi="Arial" w:eastAsia="Arial"/>
          <w:sz w:val="22"/>
          <w:szCs w:val="22"/>
        </w:rPr>
      </w:pPr>
      <w:bookmarkStart w:name="_Toc1" w:id="1"/>
      <w:r>
        <w:rPr>
          <w:rFonts w:ascii="Arial" w:hAnsi="Arial"/>
          <w:sz w:val="22"/>
          <w:szCs w:val="22"/>
          <w:rtl w:val="0"/>
          <w:lang w:val="en-US"/>
        </w:rPr>
        <w:t>Ways to Moitavtivate Employees</w:t>
      </w:r>
      <w:bookmarkEnd w:id="1"/>
    </w:p>
    <w:p>
      <w:pPr>
        <w:pStyle w:val="Body"/>
        <w:spacing w:after="0" w:line="360" w:lineRule="auto"/>
        <w:rPr>
          <w:rFonts w:ascii="Arial" w:cs="Arial" w:hAnsi="Arial" w:eastAsia="Arial"/>
        </w:rPr>
      </w:pPr>
      <w:r>
        <w:rPr>
          <w:rFonts w:ascii="Arial" w:hAnsi="Arial"/>
          <w:rtl w:val="0"/>
          <w:lang w:val="en-US"/>
        </w:rPr>
        <w:t xml:space="preserve">          "The powers within an individual that impact their bearing, force, and tirelessness of intentional method of behaving" is how motivation is defined. suggest that inspiration refers to "the cycles that record a single's enthusiasm to apply elevated degrees of labor to arrive at hierarchical objectives, adapted by the task's capacity to meet some singular need." If today's directors are to take on the responsibility of leading representatives toward achieving authoritative goals, they must understand the mental process of inspiration. The 'force' component refers to the magnitude of the labor that has been allotted to the goal. As a result, one representative may invest more effort than another to complete specific tasks. The final component, "ingenuity," refers to the length of time that a work is supported. Before reaching the goal, a determined worker will not yield. Also, when the representative decides to act on his or her own volition, inspiration might be depicted as deliberate. The worker's ability to properly complete an assignment is another factor that influences motivation and job execution. The term 'capacity' refers to the natural desire and developed abilities to work well. Inborn fitness refers to a representative's psychological readiness and ability to learn new skills quickly. In this regard, an association can assist workers with great fitness scores to additionally foster their mastery through partaking in different abilities improvement courses (Sophie, 2018). </w:t>
      </w:r>
    </w:p>
    <w:p>
      <w:pPr>
        <w:pStyle w:val="Body"/>
        <w:spacing w:after="0" w:line="360" w:lineRule="auto"/>
        <w:rPr>
          <w:rFonts w:ascii="Arial" w:cs="Arial" w:hAnsi="Arial" w:eastAsia="Arial"/>
          <w:lang w:val="en-US"/>
        </w:rPr>
      </w:pPr>
    </w:p>
    <w:p>
      <w:pPr>
        <w:pStyle w:val="Heading 2"/>
        <w:spacing w:after="0" w:line="360" w:lineRule="auto"/>
        <w:rPr>
          <w:rFonts w:ascii="Arial" w:cs="Arial" w:hAnsi="Arial" w:eastAsia="Arial"/>
          <w:sz w:val="22"/>
          <w:szCs w:val="22"/>
        </w:rPr>
      </w:pPr>
      <w:bookmarkStart w:name="_Toc2" w:id="2"/>
      <w:r>
        <w:rPr>
          <w:rFonts w:ascii="Arial" w:hAnsi="Arial"/>
          <w:sz w:val="22"/>
          <w:szCs w:val="22"/>
          <w:rtl w:val="0"/>
          <w:lang w:val="en-US"/>
        </w:rPr>
        <w:t>Pay</w:t>
      </w:r>
      <w:bookmarkEnd w:id="2"/>
    </w:p>
    <w:p>
      <w:pPr>
        <w:pStyle w:val="Body"/>
        <w:spacing w:after="0" w:line="360" w:lineRule="auto"/>
        <w:rPr>
          <w:rFonts w:ascii="Arial" w:cs="Arial" w:hAnsi="Arial" w:eastAsia="Arial"/>
        </w:rPr>
      </w:pPr>
      <w:r>
        <w:rPr>
          <w:rFonts w:ascii="Arial" w:hAnsi="Arial"/>
          <w:rtl w:val="0"/>
          <w:lang w:val="en-US"/>
        </w:rPr>
        <w:t xml:space="preserve">           Two types of inspiration can be found in the workplace: inborn and outer. This means that work-related factors that influence inspiration have an inborn and outward persuasive value that motivates employees to perform (Lazarova and Zlatanova, 2019). Given that the majority of representatives are both typically and extraneously influenced at the same time, the conclusion that inborn and external inspiration is not fundamentally independent can be drawn. The phrase "inborn" comes from the word "internal," which means that inspiration comes from within the person; in other words, self-created inspiration. The single will strive to achieve the three intrinsic mental necessities, which are specific criteria for independence and competence, whenever inherently inspired. Having significant decision-making power, a channel to communicate innovativeness, open doors for advancement, recognition for good work, being treated courteously and intelligently, and having the energy to take on challenging and significant errands that result in an inborn sense of accomplishment upon successful completion are all valued by such representatives.</w:t>
      </w: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3" w:id="3"/>
      <w:r>
        <w:rPr>
          <w:rFonts w:ascii="Arial" w:hAnsi="Arial"/>
          <w:sz w:val="22"/>
          <w:szCs w:val="22"/>
          <w:rtl w:val="0"/>
          <w:lang w:val="de-DE"/>
        </w:rPr>
        <w:t>Performance Schemes</w:t>
      </w:r>
      <w:bookmarkEnd w:id="3"/>
    </w:p>
    <w:p>
      <w:pPr>
        <w:pStyle w:val="Body"/>
        <w:spacing w:after="0" w:line="360" w:lineRule="auto"/>
        <w:rPr>
          <w:rFonts w:ascii="Arial" w:cs="Arial" w:hAnsi="Arial" w:eastAsia="Arial"/>
        </w:rPr>
      </w:pPr>
      <w:r>
        <w:rPr>
          <w:rFonts w:ascii="Arial" w:hAnsi="Arial"/>
          <w:rtl w:val="0"/>
          <w:lang w:val="en-US"/>
        </w:rPr>
        <w:t xml:space="preserve">               Extraneous inspiration happens as substantial money-related or non-financial motivating forces, for example, pay rise, gift endorsements, investment opportunities, get-away excursions, divider plaques, organization dinners, film tickets, and so on (Kriti, 2018). For example, a worker might endeavor to complete an undertaking in short order due to the substantial award that goes with for working proficiently. While extraneous prizes can go about as certain reinforcers and have been viewed as a powerful instrument for momentary increases) for example, meeting prompt objectives might antagonistically affect workers' way of behaving.</w:t>
      </w: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4" w:id="4"/>
      <w:r>
        <w:rPr>
          <w:rFonts w:ascii="Arial" w:hAnsi="Arial"/>
          <w:sz w:val="22"/>
          <w:szCs w:val="22"/>
          <w:rtl w:val="0"/>
          <w:lang w:val="en-US"/>
        </w:rPr>
        <w:t>Merit Pay</w:t>
      </w:r>
      <w:bookmarkEnd w:id="4"/>
    </w:p>
    <w:p>
      <w:pPr>
        <w:pStyle w:val="Body"/>
        <w:spacing w:after="0" w:line="360" w:lineRule="auto"/>
        <w:ind w:firstLine="720"/>
        <w:rPr>
          <w:rFonts w:ascii="Arial" w:cs="Arial" w:hAnsi="Arial" w:eastAsia="Arial"/>
        </w:rPr>
      </w:pPr>
      <w:r>
        <w:rPr>
          <w:rFonts w:ascii="Arial" w:hAnsi="Arial"/>
          <w:rtl w:val="0"/>
          <w:lang w:val="en-US"/>
        </w:rPr>
        <w:t xml:space="preserve">    Execution critique employs an experimental approach to behavior. When done properly, the interplay between the two supervisors and companions can result in a more grounded, agreeable work atmosphere (Lazarova and Zlatanova, 2019). Positive and negative criticism is important because it aids in the overcoming of vices, the development of a consistent style of behaving, and the empowerment of groups to work more effectively toward their goals. Significant exploration results demonstrate that workers who don't anticipate getting outward rewards beat the people who anticipate reward. In any case, external rewards are valuable if managed under appropriate conditions. If there is no characteristic inspiration or low level, or if the profession is not challenging and normal. There are a few detriments of extraneous prizes. In the first place, it isn't maintainable because once the prize is removed, inspiration will stop. For example, an association has planned a prize program to urge representatives to answer to chip away at a time.</w:t>
      </w:r>
    </w:p>
    <w:p>
      <w:pPr>
        <w:pStyle w:val="Body"/>
        <w:spacing w:after="0" w:line="360" w:lineRule="auto"/>
        <w:ind w:firstLine="720"/>
        <w:rPr>
          <w:rFonts w:ascii="Arial" w:cs="Arial" w:hAnsi="Arial" w:eastAsia="Arial"/>
          <w:lang w:val="en-US"/>
        </w:rPr>
      </w:pPr>
    </w:p>
    <w:p>
      <w:pPr>
        <w:pStyle w:val="Heading 3"/>
        <w:spacing w:after="0" w:line="360" w:lineRule="auto"/>
        <w:rPr>
          <w:rFonts w:ascii="Arial" w:cs="Arial" w:hAnsi="Arial" w:eastAsia="Arial"/>
          <w:sz w:val="22"/>
          <w:szCs w:val="22"/>
        </w:rPr>
      </w:pPr>
      <w:bookmarkStart w:name="_Toc5" w:id="5"/>
      <w:r>
        <w:rPr>
          <w:rFonts w:ascii="Arial" w:hAnsi="Arial"/>
          <w:sz w:val="22"/>
          <w:szCs w:val="22"/>
          <w:rtl w:val="0"/>
          <w:lang w:val="fr-FR"/>
        </w:rPr>
        <w:t>Incentives</w:t>
      </w:r>
      <w:bookmarkEnd w:id="5"/>
    </w:p>
    <w:p>
      <w:pPr>
        <w:pStyle w:val="Body"/>
        <w:spacing w:after="0" w:line="360" w:lineRule="auto"/>
        <w:rPr>
          <w:rFonts w:ascii="Arial" w:cs="Arial" w:hAnsi="Arial" w:eastAsia="Arial"/>
        </w:rPr>
      </w:pPr>
      <w:r>
        <w:rPr>
          <w:rFonts w:ascii="Arial" w:hAnsi="Arial"/>
          <w:rtl w:val="0"/>
          <w:lang w:val="en-US"/>
        </w:rPr>
        <w:t xml:space="preserve">          Representatives who are given the freedom to make their own decisions about their work and who are allowed to operate independently are more likely to make a profit. The workers who accomplish the most elevated recurrence of reliability will get a couple of free film passes. Quickly there was a flood in the number of representatives turning up on schedule. Hardly any months after the fact, the supervisory crew chooses to annul this award program, and hence, the number of representatives answering to chip away at a time was most terrible than before the program was carried out.</w:t>
      </w: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6" w:id="6"/>
      <w:r>
        <w:rPr>
          <w:rFonts w:ascii="Arial" w:hAnsi="Arial"/>
          <w:sz w:val="22"/>
          <w:szCs w:val="22"/>
          <w:rtl w:val="0"/>
        </w:rPr>
        <w:t>Bonus</w:t>
      </w:r>
      <w:bookmarkEnd w:id="6"/>
    </w:p>
    <w:p>
      <w:pPr>
        <w:pStyle w:val="Body"/>
        <w:spacing w:after="0" w:line="360" w:lineRule="auto"/>
        <w:rPr>
          <w:rFonts w:ascii="Arial" w:cs="Arial" w:hAnsi="Arial" w:eastAsia="Arial"/>
        </w:rPr>
      </w:pPr>
      <w:r>
        <w:rPr>
          <w:rFonts w:ascii="Arial" w:hAnsi="Arial"/>
          <w:rtl w:val="0"/>
          <w:lang w:val="en-US"/>
        </w:rPr>
        <w:t xml:space="preserve">             Because they 'own' the job, employees who are given ownership for their tasks and held accountable for the results are more likely to perform well. The urges that fall into this class are either friendly or work-related. In this segment, social award conversations will be introduced first, followed by the topic of corporate compensation. Representative awards are primarily a channel for managers to appreciate the excellent work ethic, effort, dedication, or remarkable achievements of their employees.</w:t>
      </w:r>
    </w:p>
    <w:p>
      <w:pPr>
        <w:pStyle w:val="Body"/>
        <w:spacing w:after="0" w:line="360" w:lineRule="auto"/>
        <w:rPr>
          <w:rFonts w:ascii="Arial" w:cs="Arial" w:hAnsi="Arial" w:eastAsia="Arial"/>
          <w:lang w:val="en-US"/>
        </w:rPr>
      </w:pPr>
    </w:p>
    <w:p>
      <w:pPr>
        <w:pStyle w:val="Heading 2"/>
        <w:spacing w:after="0" w:line="360" w:lineRule="auto"/>
        <w:rPr>
          <w:rFonts w:ascii="Arial" w:cs="Arial" w:hAnsi="Arial" w:eastAsia="Arial"/>
          <w:sz w:val="22"/>
          <w:szCs w:val="22"/>
        </w:rPr>
      </w:pPr>
      <w:bookmarkStart w:name="_Toc7" w:id="7"/>
      <w:r>
        <w:rPr>
          <w:rFonts w:ascii="Arial" w:hAnsi="Arial"/>
          <w:sz w:val="22"/>
          <w:szCs w:val="22"/>
          <w:rtl w:val="0"/>
          <w:lang w:val="en-US"/>
        </w:rPr>
        <w:t>Recognition and Awards</w:t>
      </w:r>
      <w:bookmarkEnd w:id="7"/>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8" w:id="8"/>
      <w:r>
        <w:rPr>
          <w:rFonts w:ascii="Arial" w:hAnsi="Arial"/>
          <w:sz w:val="22"/>
          <w:szCs w:val="22"/>
          <w:rtl w:val="0"/>
          <w:lang w:val="de-DE"/>
        </w:rPr>
        <w:t>Recognition Master Award</w:t>
      </w:r>
      <w:bookmarkEnd w:id="8"/>
    </w:p>
    <w:p>
      <w:pPr>
        <w:pStyle w:val="Body"/>
        <w:spacing w:after="0" w:line="360" w:lineRule="auto"/>
        <w:rPr>
          <w:rFonts w:ascii="Arial" w:cs="Arial" w:hAnsi="Arial" w:eastAsia="Arial"/>
        </w:rPr>
      </w:pPr>
      <w:r>
        <w:rPr>
          <w:rFonts w:ascii="Arial" w:hAnsi="Arial"/>
          <w:rtl w:val="0"/>
          <w:lang w:val="en-US"/>
        </w:rPr>
        <w:t xml:space="preserve">                 The recognition master award is given to the team member who recognizes others the most. The heart of your awards programme is leadership and other team members that actively acknowledge others. Consider them as office influencers. It's their regular acknowledgment that keeps other staff engaged and motivated. Numerous scientists have discovered and proven that intrinsic inspiration has a positive long-term influence, which they refer to as "genuine inspirations." Given the aforementioned, a certain management style is no longer required if a company wants its staff to be more motivated and focused on the company's goals. Employees should be able to satisfy increasing demand requirements by breathing cleaner air in the workplace (Kriti, 2018).</w:t>
      </w:r>
    </w:p>
    <w:p>
      <w:pPr>
        <w:pStyle w:val="Body"/>
        <w:spacing w:after="0" w:line="360" w:lineRule="auto"/>
        <w:rPr>
          <w:rFonts w:ascii="Arial" w:cs="Arial" w:hAnsi="Arial" w:eastAsia="Arial"/>
          <w:lang w:val="en-US"/>
        </w:rPr>
      </w:pP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9" w:id="9"/>
      <w:r>
        <w:rPr>
          <w:rFonts w:ascii="Arial" w:hAnsi="Arial"/>
          <w:sz w:val="22"/>
          <w:szCs w:val="22"/>
          <w:rtl w:val="0"/>
          <w:lang w:val="en-US"/>
        </w:rPr>
        <w:t>Driving Success Reward</w:t>
      </w:r>
      <w:bookmarkEnd w:id="9"/>
    </w:p>
    <w:p>
      <w:pPr>
        <w:pStyle w:val="Body"/>
        <w:spacing w:after="0" w:line="360" w:lineRule="auto"/>
        <w:ind w:firstLine="720"/>
        <w:rPr>
          <w:rFonts w:ascii="Arial" w:cs="Arial" w:hAnsi="Arial" w:eastAsia="Arial"/>
        </w:rPr>
      </w:pPr>
      <w:r>
        <w:rPr>
          <w:rFonts w:ascii="Arial" w:hAnsi="Arial"/>
          <w:rtl w:val="0"/>
          <w:lang w:val="en-US"/>
        </w:rPr>
        <w:t xml:space="preserve">  The driving success award is given to employees who are the most important contributors to your company's success. This could be a member of the team who has made the most sales, overhauled important organisational processes, or helped others succeed. Rousing workers through acknowledgment includes practically zero expense for the association and at times it is presented alongside unmistakable motivations. There is an inconspicuous distinction between acknowledgment, input, and social good tidings however for this paper, these motivations will be named as 'social prizes'.</w:t>
      </w: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10" w:id="10"/>
      <w:r>
        <w:rPr>
          <w:rFonts w:ascii="Arial" w:hAnsi="Arial"/>
          <w:sz w:val="22"/>
          <w:szCs w:val="22"/>
          <w:rtl w:val="0"/>
          <w:lang w:val="en-US"/>
        </w:rPr>
        <w:t>Customer Service Award</w:t>
      </w:r>
      <w:bookmarkEnd w:id="10"/>
    </w:p>
    <w:p>
      <w:pPr>
        <w:pStyle w:val="Body"/>
        <w:spacing w:after="0" w:line="360" w:lineRule="auto"/>
        <w:rPr>
          <w:rFonts w:ascii="Arial" w:cs="Arial" w:hAnsi="Arial" w:eastAsia="Arial"/>
        </w:rPr>
      </w:pPr>
      <w:r>
        <w:rPr>
          <w:rFonts w:ascii="Arial" w:hAnsi="Arial"/>
          <w:rtl w:val="0"/>
          <w:lang w:val="en-US"/>
        </w:rPr>
        <w:t xml:space="preserve">              The customer service award is given to members of the team who have excelled in client communication and relations. It's not simple to keep consumers happy, but providing a positive customer experience helps everyone involved. Generally, alluring compensation bundles are proposed to captivate the best abilities to a position, guaranteeing they perform at most extreme viability, and hold capable representatives inside the association while commission-based compensation is reached out to urge workers to meet hierarchical targets. Today, associations give financial motivating forces in two ways, in particular, direct money-related remuneration and aberrant money-related pay. Two of the most ordinarily recognized direct money-related remunerations are pay and commission. Aberrant money-related remuneration or in any case known as representative advantages might incorporate repayment for training, childcare advantages, protection, and paid leave.</w:t>
      </w:r>
    </w:p>
    <w:p>
      <w:pPr>
        <w:pStyle w:val="Body"/>
        <w:spacing w:after="0" w:line="360" w:lineRule="auto"/>
        <w:rPr>
          <w:rFonts w:ascii="Arial" w:cs="Arial" w:hAnsi="Arial" w:eastAsia="Arial"/>
          <w:lang w:val="en-US"/>
        </w:rPr>
      </w:pPr>
    </w:p>
    <w:p>
      <w:pPr>
        <w:pStyle w:val="Heading 2"/>
        <w:spacing w:after="0" w:line="360" w:lineRule="auto"/>
        <w:rPr>
          <w:rFonts w:ascii="Arial" w:cs="Arial" w:hAnsi="Arial" w:eastAsia="Arial"/>
          <w:sz w:val="22"/>
          <w:szCs w:val="22"/>
        </w:rPr>
      </w:pPr>
      <w:bookmarkStart w:name="_Toc11" w:id="11"/>
      <w:r>
        <w:rPr>
          <w:rFonts w:ascii="Arial" w:hAnsi="Arial"/>
          <w:sz w:val="22"/>
          <w:szCs w:val="22"/>
          <w:rtl w:val="0"/>
          <w:lang w:val="en-US"/>
        </w:rPr>
        <w:t>Additional Holidays</w:t>
      </w:r>
      <w:bookmarkEnd w:id="11"/>
    </w:p>
    <w:p>
      <w:pPr>
        <w:pStyle w:val="Heading 3"/>
        <w:spacing w:after="0" w:line="360" w:lineRule="auto"/>
        <w:rPr>
          <w:rFonts w:ascii="Arial" w:cs="Arial" w:hAnsi="Arial" w:eastAsia="Arial"/>
          <w:sz w:val="22"/>
          <w:szCs w:val="22"/>
        </w:rPr>
      </w:pPr>
      <w:bookmarkStart w:name="_Toc12" w:id="12"/>
      <w:r>
        <w:rPr>
          <w:rFonts w:ascii="Arial" w:hAnsi="Arial"/>
          <w:sz w:val="22"/>
          <w:szCs w:val="22"/>
          <w:rtl w:val="0"/>
          <w:lang w:val="en-US"/>
        </w:rPr>
        <w:t>Compensation and Hours</w:t>
      </w:r>
      <w:bookmarkEnd w:id="12"/>
    </w:p>
    <w:p>
      <w:pPr>
        <w:pStyle w:val="Body"/>
        <w:spacing w:after="0" w:line="360" w:lineRule="auto"/>
        <w:rPr>
          <w:rFonts w:ascii="Arial" w:cs="Arial" w:hAnsi="Arial" w:eastAsia="Arial"/>
        </w:rPr>
      </w:pPr>
      <w:r>
        <w:rPr>
          <w:rFonts w:ascii="Arial" w:hAnsi="Arial"/>
          <w:rtl w:val="0"/>
          <w:lang w:val="en-US"/>
        </w:rPr>
        <w:t xml:space="preserve">                     Business is regularly an oral arrangement between owner and worker. Whenever that arrangement is clear, compensation for quite a while worked is spread out around the beginning of business and normally lays out the energy of the business delegate relationship. The best extent of appropriate compensation and hours is to choose industry standards in a region or district (J. Kumar, 2017). For example, are typically paid persistently or day and there are enormous differences in pay beginning with one region of the country then onto the following. Herders, oddly, are regularly compensated by month-to-month remuneration. Work guidelines ought to be conformed to and pay ought to be wonderfully fair between the business and worker. Right when these guidelines are met, compensation typically isn't a part of an owner-worker relationship. Pay is moreover not an entirely exceptional impelling variable for the entry-level laborer. A praiseworthy examination of factors impacting workers recognized that pay and pay situated eighth of ten factors that impacted expert execution. In addition, the impact of pay on execution was anyway habitually negative as it was by all accounts a positive variable (Amir and Akbay, 2020).</w:t>
      </w: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13" w:id="13"/>
      <w:r>
        <w:rPr>
          <w:rFonts w:ascii="Arial" w:hAnsi="Arial"/>
          <w:sz w:val="22"/>
          <w:szCs w:val="22"/>
          <w:rtl w:val="0"/>
          <w:lang w:val="en-US"/>
        </w:rPr>
        <w:t xml:space="preserve">No-time Constraints </w:t>
      </w:r>
      <w:bookmarkEnd w:id="13"/>
    </w:p>
    <w:p>
      <w:pPr>
        <w:pStyle w:val="Body"/>
        <w:spacing w:after="0" w:line="360" w:lineRule="auto"/>
        <w:rPr>
          <w:rFonts w:ascii="Arial" w:cs="Arial" w:hAnsi="Arial" w:eastAsia="Arial"/>
        </w:rPr>
      </w:pPr>
      <w:r>
        <w:rPr>
          <w:rFonts w:ascii="Arial" w:hAnsi="Arial"/>
          <w:rtl w:val="0"/>
          <w:lang w:val="en-US"/>
        </w:rPr>
        <w:t xml:space="preserve">             You may be preoccupied with your work and the company, but it is also necessary to respect the workers' schedules. They have a life outside of work as well. The manager must ensure that they have enough time to attend to their family duties. Employees are not machines, but human beings who, like everyone else, require a break now and then.</w:t>
      </w: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14" w:id="14"/>
      <w:r>
        <w:rPr>
          <w:rFonts w:ascii="Arial" w:hAnsi="Arial"/>
          <w:sz w:val="22"/>
          <w:szCs w:val="22"/>
          <w:rtl w:val="0"/>
          <w:lang w:val="en-US"/>
        </w:rPr>
        <w:t>Holidays/Break Incentives</w:t>
      </w:r>
      <w:bookmarkEnd w:id="14"/>
    </w:p>
    <w:p>
      <w:pPr>
        <w:pStyle w:val="Body"/>
        <w:spacing w:after="0" w:line="360" w:lineRule="auto"/>
        <w:rPr>
          <w:rFonts w:ascii="Arial" w:cs="Arial" w:hAnsi="Arial" w:eastAsia="Arial"/>
        </w:rPr>
      </w:pPr>
      <w:r>
        <w:rPr>
          <w:rFonts w:ascii="Arial" w:hAnsi="Arial"/>
          <w:rtl w:val="0"/>
          <w:lang w:val="en-US"/>
        </w:rPr>
        <w:t xml:space="preserve">             The company can organise for their employees to have vacations for major occasions and festivals, such as Christmas or Thanksgiving. These would allow workers to spend time with their families while also relaxing their thoughts. These vacations are necessary for employees to regain lost vitality, which stimulates them to continue working for the company. During these days, the organisation should not overburden them with work.</w:t>
      </w:r>
    </w:p>
    <w:p>
      <w:pPr>
        <w:pStyle w:val="Body"/>
        <w:spacing w:after="0" w:line="360" w:lineRule="auto"/>
        <w:rPr>
          <w:rFonts w:ascii="Arial" w:cs="Arial" w:hAnsi="Arial" w:eastAsia="Arial"/>
          <w:lang w:val="en-US"/>
        </w:rPr>
      </w:pPr>
    </w:p>
    <w:p>
      <w:pPr>
        <w:pStyle w:val="Body"/>
        <w:spacing w:after="0" w:line="360" w:lineRule="auto"/>
        <w:jc w:val="center"/>
        <w:rPr>
          <w:rFonts w:ascii="Arial" w:cs="Arial" w:hAnsi="Arial" w:eastAsia="Arial"/>
        </w:rPr>
      </w:pPr>
      <w:r>
        <w:rPr>
          <w:rFonts w:ascii="Arial" w:hAnsi="Arial"/>
          <w:rtl w:val="0"/>
          <w:lang w:val="en-US"/>
        </w:rPr>
        <w:t>Fun Workshops and Seminars</w:t>
      </w:r>
    </w:p>
    <w:p>
      <w:pPr>
        <w:pStyle w:val="Body"/>
        <w:spacing w:after="0" w:line="360" w:lineRule="auto"/>
        <w:rPr>
          <w:rFonts w:ascii="Arial" w:cs="Arial" w:hAnsi="Arial" w:eastAsia="Arial"/>
        </w:rPr>
      </w:pPr>
      <w:r>
        <w:rPr>
          <w:rFonts w:ascii="Arial" w:hAnsi="Arial"/>
          <w:rtl w:val="0"/>
          <w:lang w:val="en-US"/>
        </w:rPr>
        <w:t xml:space="preserve">                When work is organised, training is always required, but it is not required unless workers are involved. "This is how we do things here," the training establishes. Confusion or ambiguity about what a worker is supposed to do is a common managerial blunder that accidentally "pours water on a worker's intrinsic fire." It is most efficient to train farm laborers when they "hear it, see it, and do it"</w:t>
      </w:r>
      <w:r>
        <w:rPr>
          <w:rFonts w:ascii="Arial" w:hAnsi="Arial"/>
          <w:rtl w:val="0"/>
        </w:rPr>
        <w:t xml:space="preserve"> </w:t>
      </w:r>
      <w:r>
        <w:rPr>
          <w:rFonts w:ascii="Arial" w:hAnsi="Arial"/>
          <w:rtl w:val="0"/>
          <w:lang w:val="en-US"/>
        </w:rPr>
        <w:t>(Amir and Akbay, 2020).  The majority of dairy owners learn by doing, and personnel learns by watching. As dairy farms expand and dairy owners and managers become further distanced from cowhide work, they lose the ability to lead by example and instruct their employees.</w:t>
      </w:r>
    </w:p>
    <w:p>
      <w:pPr>
        <w:pStyle w:val="Body"/>
        <w:spacing w:after="0" w:line="360" w:lineRule="auto"/>
        <w:rPr>
          <w:rFonts w:ascii="Arial" w:cs="Arial" w:hAnsi="Arial" w:eastAsia="Arial"/>
          <w:lang w:val="en-US"/>
        </w:rPr>
      </w:pPr>
    </w:p>
    <w:p>
      <w:pPr>
        <w:pStyle w:val="Heading 2"/>
        <w:spacing w:after="0" w:line="360" w:lineRule="auto"/>
        <w:rPr>
          <w:rFonts w:ascii="Arial" w:cs="Arial" w:hAnsi="Arial" w:eastAsia="Arial"/>
          <w:sz w:val="22"/>
          <w:szCs w:val="22"/>
        </w:rPr>
      </w:pPr>
      <w:bookmarkStart w:name="_Toc15" w:id="15"/>
      <w:r>
        <w:rPr>
          <w:rFonts w:ascii="Arial" w:hAnsi="Arial"/>
          <w:sz w:val="22"/>
          <w:szCs w:val="22"/>
          <w:rtl w:val="0"/>
          <w:lang w:val="en-US"/>
        </w:rPr>
        <w:t>Good Working Conditions</w:t>
      </w:r>
      <w:bookmarkEnd w:id="15"/>
    </w:p>
    <w:p>
      <w:pPr>
        <w:pStyle w:val="Body"/>
        <w:spacing w:after="0" w:line="360" w:lineRule="auto"/>
        <w:rPr>
          <w:rFonts w:ascii="Arial" w:cs="Arial" w:hAnsi="Arial" w:eastAsia="Arial"/>
        </w:rPr>
      </w:pPr>
      <w:r>
        <w:rPr>
          <w:rFonts w:ascii="Arial" w:hAnsi="Arial"/>
          <w:rtl w:val="0"/>
          <w:lang w:val="en-US"/>
        </w:rPr>
        <w:t xml:space="preserve">            You have legal rights as a worker to ensure that your workplace is safe and healthy. You also have the right to work in an environment free of emotional abuse, such as sexual harassment. There are legal protections in place to shield you against retaliatory measures by your employer if your working conditions are subpar and you opt to improve them by bringing in a regulatory agency. Despite these legal safeguards, your employer may still fail to provide safe and healthy working conditions. When your employer isn't compliant, knowing your rights and the methods of redress accessible to you can help you resolve the matter.</w:t>
      </w:r>
    </w:p>
    <w:p>
      <w:pPr>
        <w:pStyle w:val="Body"/>
        <w:spacing w:after="0" w:line="360" w:lineRule="auto"/>
        <w:rPr>
          <w:rFonts w:ascii="Arial" w:cs="Arial" w:hAnsi="Arial" w:eastAsia="Arial"/>
          <w:lang w:val="en-US"/>
        </w:rPr>
      </w:pP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16" w:id="16"/>
      <w:r>
        <w:rPr>
          <w:rFonts w:ascii="Arial" w:hAnsi="Arial"/>
          <w:sz w:val="22"/>
          <w:szCs w:val="22"/>
          <w:rtl w:val="0"/>
          <w:lang w:val="en-US"/>
        </w:rPr>
        <w:t>Health and Safety</w:t>
      </w:r>
      <w:bookmarkEnd w:id="16"/>
    </w:p>
    <w:p>
      <w:pPr>
        <w:pStyle w:val="Body"/>
        <w:spacing w:after="0" w:line="360" w:lineRule="auto"/>
        <w:rPr>
          <w:rFonts w:ascii="Arial" w:cs="Arial" w:hAnsi="Arial" w:eastAsia="Arial"/>
        </w:rPr>
      </w:pPr>
      <w:r>
        <w:rPr>
          <w:rFonts w:ascii="Arial" w:hAnsi="Arial"/>
          <w:rtl w:val="0"/>
          <w:lang w:val="en-US"/>
        </w:rPr>
        <w:t xml:space="preserve">             Your employer must ensure that your workplace is safe and free of health dangers. The Occupational Safety and Health Administration establishes broad guidelines that apply to all businesses, such as providing workers with safety equipment and ensuring that workplaces are free of harmful materials. It also establishes industry-specific norms, particularly in hazardous professions like construction. Training is necessary for safety, and businesses must give this training in a language that employees understand. </w:t>
      </w: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17" w:id="17"/>
      <w:r>
        <w:rPr>
          <w:rFonts w:ascii="Arial" w:hAnsi="Arial"/>
          <w:sz w:val="22"/>
          <w:szCs w:val="22"/>
          <w:rtl w:val="0"/>
          <w:lang w:val="en-US"/>
        </w:rPr>
        <w:t>Freedom from Discrimination</w:t>
      </w:r>
      <w:bookmarkEnd w:id="17"/>
    </w:p>
    <w:p>
      <w:pPr>
        <w:pStyle w:val="Body"/>
        <w:spacing w:after="0" w:line="360" w:lineRule="auto"/>
        <w:rPr>
          <w:rFonts w:ascii="Arial" w:cs="Arial" w:hAnsi="Arial" w:eastAsia="Arial"/>
        </w:rPr>
      </w:pPr>
      <w:r>
        <w:rPr>
          <w:rFonts w:ascii="Arial" w:hAnsi="Arial"/>
          <w:rtl w:val="0"/>
          <w:lang w:val="en-US"/>
        </w:rPr>
        <w:t xml:space="preserve">            Emotional safeguards, such as the right to work in an environment free of harassment and discrimination, are also part of good working conditions. The Equal Employment Opportunity Commission strives to protect workers' rights to work in a safe, welcoming workplace, particularly where the slights and discrimination are based on race, religion, age, handicap, or gender. When an employee is obliged to endure discrimination as a condition of employment or when the situation is extreme enough that a reasonable person would think the workplace abusive or hostile, it is specifically illegal.</w:t>
      </w:r>
    </w:p>
    <w:p>
      <w:pPr>
        <w:pStyle w:val="Body"/>
        <w:spacing w:after="0" w:line="360" w:lineRule="auto"/>
        <w:rPr>
          <w:rFonts w:ascii="Arial" w:cs="Arial" w:hAnsi="Arial" w:eastAsia="Arial"/>
          <w:lang w:val="en-US"/>
        </w:rPr>
      </w:pPr>
    </w:p>
    <w:p>
      <w:pPr>
        <w:pStyle w:val="Heading 3"/>
        <w:spacing w:after="0" w:line="360" w:lineRule="auto"/>
        <w:rPr>
          <w:rFonts w:ascii="Arial" w:cs="Arial" w:hAnsi="Arial" w:eastAsia="Arial"/>
          <w:sz w:val="22"/>
          <w:szCs w:val="22"/>
        </w:rPr>
      </w:pPr>
      <w:bookmarkStart w:name="_Toc18" w:id="18"/>
      <w:r>
        <w:rPr>
          <w:rFonts w:ascii="Arial" w:hAnsi="Arial"/>
          <w:sz w:val="22"/>
          <w:szCs w:val="22"/>
          <w:rtl w:val="0"/>
          <w:lang w:val="en-US"/>
        </w:rPr>
        <w:t>Peaceful Environment</w:t>
      </w:r>
      <w:bookmarkEnd w:id="18"/>
    </w:p>
    <w:p>
      <w:pPr>
        <w:pStyle w:val="Body"/>
        <w:spacing w:after="0" w:line="360" w:lineRule="auto"/>
        <w:rPr>
          <w:rFonts w:ascii="Arial" w:cs="Arial" w:hAnsi="Arial" w:eastAsia="Arial"/>
        </w:rPr>
      </w:pPr>
      <w:r>
        <w:rPr>
          <w:rFonts w:ascii="Arial" w:hAnsi="Arial"/>
          <w:rtl w:val="0"/>
          <w:lang w:val="en-US"/>
        </w:rPr>
        <w:t xml:space="preserve">          Employers can foster acceptable working conditions by proactively resolving problems and penalising discriminating abusers before an employee feels compelled to make a complaint. It's also a good idea to start creating a safe work environment rather than waiting for someone to get wounded. Conscientious employers recognise that providing a happy and healthy work environment is more than just a legal requirement.</w:t>
      </w:r>
    </w:p>
    <w:p>
      <w:pPr>
        <w:pStyle w:val="Body"/>
        <w:spacing w:after="0" w:line="360" w:lineRule="auto"/>
        <w:rPr>
          <w:rFonts w:ascii="Arial" w:cs="Arial" w:hAnsi="Arial" w:eastAsia="Arial"/>
          <w:lang w:val="en-US"/>
        </w:rPr>
      </w:pPr>
    </w:p>
    <w:p>
      <w:pPr>
        <w:pStyle w:val="Heading"/>
        <w:spacing w:after="0" w:line="360" w:lineRule="auto"/>
        <w:rPr>
          <w:rFonts w:ascii="Arial" w:cs="Arial" w:hAnsi="Arial" w:eastAsia="Arial"/>
          <w:sz w:val="22"/>
          <w:szCs w:val="22"/>
        </w:rPr>
      </w:pPr>
      <w:bookmarkStart w:name="_Toc19" w:id="19"/>
      <w:r>
        <w:rPr>
          <w:rFonts w:ascii="Arial" w:hAnsi="Arial"/>
          <w:sz w:val="22"/>
          <w:szCs w:val="22"/>
          <w:rtl w:val="0"/>
          <w:lang w:val="en-US"/>
        </w:rPr>
        <w:t>Conclusion and Recommendation</w:t>
      </w:r>
      <w:bookmarkEnd w:id="19"/>
    </w:p>
    <w:p>
      <w:pPr>
        <w:pStyle w:val="Body"/>
        <w:spacing w:after="0" w:line="360" w:lineRule="auto"/>
        <w:rPr>
          <w:rFonts w:ascii="Arial" w:cs="Arial" w:hAnsi="Arial" w:eastAsia="Arial"/>
        </w:rPr>
      </w:pPr>
      <w:r>
        <w:rPr>
          <w:rFonts w:ascii="Arial" w:hAnsi="Arial"/>
          <w:rtl w:val="0"/>
          <w:lang w:val="en-US"/>
        </w:rPr>
        <w:t xml:space="preserve">              While not all employees are motivated to work in the same way, owners and managers can use a variety of methods to persuade and persuade employees to achieve specific goals. The work should be coordinated with the end goal in mind. Estimating execution against the goal and conversing with workers about their results about the goals is enough to start most specialists' internal fires</w:t>
      </w:r>
      <w:r>
        <w:rPr>
          <w:rFonts w:ascii="Arial" w:hAnsi="Arial"/>
          <w:rtl w:val="0"/>
        </w:rPr>
        <w:t xml:space="preserve"> (</w:t>
      </w:r>
      <w:r>
        <w:rPr>
          <w:rFonts w:ascii="Arial" w:hAnsi="Arial"/>
          <w:rtl w:val="0"/>
          <w:lang w:val="en-US"/>
        </w:rPr>
        <w:t>Amir and Akbay, 2020). In today's world, where costs are steadily rising, the greatest way to keep someone motivated and focused on their task is to give them the motivational force or capital to achieve the company's goals. It would benefit both labourers and friends because the organization's points and objectives would be met, and labourers would receive a motivating factor reward for their efforts.</w:t>
      </w:r>
    </w:p>
    <w:p>
      <w:pPr>
        <w:pStyle w:val="Body"/>
        <w:spacing w:after="0" w:line="360" w:lineRule="auto"/>
      </w:pPr>
      <w:r>
        <w:rPr>
          <w:rFonts w:ascii="Arial Unicode MS" w:cs="Arial Unicode MS" w:hAnsi="Arial Unicode MS" w:eastAsia="Arial Unicode MS"/>
          <w:b w:val="0"/>
          <w:bCs w:val="0"/>
          <w:i w:val="0"/>
          <w:iCs w:val="0"/>
          <w:lang w:val="en-US"/>
        </w:rPr>
        <w:br w:type="page"/>
      </w:r>
    </w:p>
    <w:p>
      <w:pPr>
        <w:pStyle w:val="Body"/>
        <w:spacing w:after="0" w:line="360" w:lineRule="auto"/>
        <w:rPr>
          <w:rFonts w:ascii="Arial" w:cs="Arial" w:hAnsi="Arial" w:eastAsia="Arial"/>
          <w:lang w:val="en-US"/>
        </w:rPr>
      </w:pPr>
    </w:p>
    <w:p>
      <w:pPr>
        <w:pStyle w:val="Heading"/>
        <w:spacing w:after="0" w:line="360" w:lineRule="auto"/>
        <w:jc w:val="center"/>
        <w:rPr>
          <w:rFonts w:ascii="Arial" w:cs="Arial" w:hAnsi="Arial" w:eastAsia="Arial"/>
          <w:sz w:val="22"/>
          <w:szCs w:val="22"/>
        </w:rPr>
      </w:pPr>
      <w:bookmarkStart w:name="_Toc20" w:id="20"/>
      <w:r>
        <w:rPr>
          <w:rFonts w:ascii="Arial" w:hAnsi="Arial"/>
          <w:sz w:val="22"/>
          <w:szCs w:val="22"/>
          <w:rtl w:val="0"/>
          <w:lang w:val="fr-FR"/>
        </w:rPr>
        <w:t>References</w:t>
      </w:r>
      <w:bookmarkEnd w:id="20"/>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 xml:space="preserve">Amir Khaleel and Hassoo Cuma Akbay, 2020. Factors affecting motivation of employees in the public sector in Erbil, Iraq an application of binary logistic regression. p. 321-329. </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 xml:space="preserve">Marcus Leonard, Lisa B. Flynn, Eric J. McNulty, 2018. The (Profoundly Human) Future of                 Leadership: The View from Healthcare. p. 71-73. </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 xml:space="preserve">M. Lazarova &amp; T. Zlatanova T. 2019. The Role of Control in the Effective Hospital Management. p. 23-28. </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de-DE"/>
        </w:rPr>
        <w:t>Sophie Sch</w:t>
      </w:r>
      <w:r>
        <w:rPr>
          <w:rFonts w:ascii="Arial" w:hAnsi="Arial" w:hint="default"/>
          <w:shd w:val="clear" w:color="auto" w:fill="ffffff"/>
          <w:rtl w:val="0"/>
          <w:lang w:val="en-US"/>
        </w:rPr>
        <w:t>ö</w:t>
      </w:r>
      <w:r>
        <w:rPr>
          <w:rFonts w:ascii="Arial" w:hAnsi="Arial"/>
          <w:shd w:val="clear" w:color="auto" w:fill="ffffff"/>
          <w:rtl w:val="0"/>
          <w:lang w:val="en-US"/>
        </w:rPr>
        <w:t xml:space="preserve">n Persson, 2018. Relationships between Healthcare Employees and Managers as a Resource for Well-being at Work. </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 xml:space="preserve">Lari Mahboube, et al, 2019. Comparing the Attitude of Doctors and Nurses Toward Factor of Collaborative Relationships. p. 3263-3267. </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de-DE"/>
        </w:rPr>
        <w:t xml:space="preserve">KRISHNA JANI, 2017. A RETURN ON INVESTMENT: HOW THE BREASTFEEDING PROMOTION ACT CAN CHANGE THE MAKE-UP OF THE PRIVATE WORKFORCE. p. 671-697. </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J. Kumar, 2017. Health Reform Law Amends FLSA to Require Breaks for Nursing Mothers. Medical Benefits. p.9.</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Yongbyon Hur, 2018. Testing Herzberg</w:t>
      </w:r>
      <w:r>
        <w:rPr>
          <w:rFonts w:ascii="Arial" w:hAnsi="Arial" w:hint="default"/>
          <w:shd w:val="clear" w:color="auto" w:fill="ffffff"/>
          <w:rtl w:val="0"/>
          <w:lang w:val="en-US"/>
        </w:rPr>
        <w:t>’</w:t>
      </w:r>
      <w:r>
        <w:rPr>
          <w:rFonts w:ascii="Arial" w:hAnsi="Arial"/>
          <w:shd w:val="clear" w:color="auto" w:fill="ffffff"/>
          <w:rtl w:val="0"/>
          <w:lang w:val="en-US"/>
        </w:rPr>
        <w:t xml:space="preserve">s Two-Factor Theory of Motivation in the Public Sector: Is it Applicable to Public Managers? p. 329-343. </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 xml:space="preserve">Kirti Rajhans, 2018. Effective Communication Management: A Key to Stakeholder Relationship Management in Project-Based Organizations. p. 47-66. </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Ellis, C M, Laymon, R G and LeBlanc, P V, 2004. Improving pay productivity with strategic work valuation, WorldatWork Journal, second quarter, pp 56</w:t>
      </w:r>
      <w:r>
        <w:rPr>
          <w:rFonts w:ascii="Arial" w:hAnsi="Arial" w:hint="default"/>
          <w:shd w:val="clear" w:color="auto" w:fill="ffffff"/>
          <w:rtl w:val="0"/>
          <w:lang w:val="en-US"/>
        </w:rPr>
        <w:t>–</w:t>
      </w:r>
      <w:r>
        <w:rPr>
          <w:rFonts w:ascii="Arial" w:hAnsi="Arial"/>
          <w:shd w:val="clear" w:color="auto" w:fill="ffffff"/>
          <w:rtl w:val="0"/>
        </w:rPr>
        <w:t>68.</w:t>
      </w:r>
    </w:p>
    <w:p>
      <w:pPr>
        <w:pStyle w:val="Body"/>
        <w:spacing w:after="0" w:line="360" w:lineRule="auto"/>
        <w:ind w:left="720" w:hanging="720"/>
        <w:rPr>
          <w:rFonts w:ascii="Arial" w:cs="Arial" w:hAnsi="Arial" w:eastAsia="Arial"/>
          <w:shd w:val="clear" w:color="auto" w:fill="ffffff"/>
        </w:rPr>
      </w:pPr>
      <w:r>
        <w:rPr>
          <w:rFonts w:ascii="Arial" w:hAnsi="Arial"/>
          <w:shd w:val="clear" w:color="auto" w:fill="ffffff"/>
          <w:rtl w:val="0"/>
          <w:lang w:val="en-US"/>
        </w:rPr>
        <w:t>Ghoshal, S and Bartlett, C A, 1995. Changing the role of top management: beyond structure to process, Harvard Business Review, January</w:t>
      </w:r>
      <w:r>
        <w:rPr>
          <w:rFonts w:ascii="Arial" w:hAnsi="Arial" w:hint="default"/>
          <w:shd w:val="clear" w:color="auto" w:fill="ffffff"/>
          <w:rtl w:val="0"/>
          <w:lang w:val="en-US"/>
        </w:rPr>
        <w:t>–</w:t>
      </w:r>
      <w:r>
        <w:rPr>
          <w:rFonts w:ascii="Arial" w:hAnsi="Arial"/>
          <w:shd w:val="clear" w:color="auto" w:fill="ffffff"/>
          <w:rtl w:val="0"/>
          <w:lang w:val="en-US"/>
        </w:rPr>
        <w:t>February, pp 86</w:t>
      </w:r>
      <w:r>
        <w:rPr>
          <w:rFonts w:ascii="Arial" w:hAnsi="Arial" w:hint="default"/>
          <w:shd w:val="clear" w:color="auto" w:fill="ffffff"/>
          <w:rtl w:val="0"/>
          <w:lang w:val="en-US"/>
        </w:rPr>
        <w:t>–</w:t>
      </w:r>
      <w:r>
        <w:rPr>
          <w:rFonts w:ascii="Arial" w:hAnsi="Arial"/>
          <w:shd w:val="clear" w:color="auto" w:fill="ffffff"/>
          <w:rtl w:val="0"/>
        </w:rPr>
        <w:t>96.</w:t>
      </w:r>
    </w:p>
    <w:p>
      <w:pPr>
        <w:pStyle w:val="Body"/>
        <w:spacing w:after="0" w:line="360" w:lineRule="auto"/>
        <w:ind w:left="720" w:hanging="720"/>
      </w:pPr>
      <w:r>
        <w:rPr>
          <w:rFonts w:ascii="Arial" w:hAnsi="Arial"/>
          <w:shd w:val="clear" w:color="auto" w:fill="ffffff"/>
          <w:rtl w:val="0"/>
          <w:lang w:val="en-US"/>
        </w:rPr>
        <w:t>Zwickel K, Koppel J, Katz M, Virkstis K, Rothenberger S, Boston-Fleischhauer C. Providing professionally meaningful recognition to enhance frontline engagement. J Nurs Adm. 2016;46(7/8):355-356.</w:t>
      </w:r>
    </w:p>
    <w:sectPr>
      <w:headerReference w:type="default" r:id="rId4"/>
      <w:headerReference w:type="first" r:id="rId5"/>
      <w:footerReference w:type="default" r:id="rId6"/>
      <w:footerReference w:type="first" r:id="rId7"/>
      <w:pgSz w:w="11900" w:h="16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 w:name="Carlit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360"/>
      </w:tabs>
      <w:jc w:val="right"/>
    </w:pPr>
    <w:r>
      <w:rPr>
        <w:rFonts w:ascii="Arial" w:hAnsi="Arial"/>
        <w:rtl w:val="0"/>
        <w:lang w:val="en-US"/>
      </w:rPr>
      <w:t xml:space="preserve">     </w:t>
    </w:r>
    <w:r>
      <w:rPr>
        <w:rFonts w:ascii="Arial" w:cs="Arial" w:hAnsi="Arial" w:eastAsia="Arial"/>
        <w:rtl w:val="0"/>
        <w:lang w:val="en-US"/>
      </w:rPr>
      <w:fldChar w:fldCharType="begin" w:fldLock="0"/>
    </w:r>
    <w:r>
      <w:rPr>
        <w:rFonts w:ascii="Arial" w:cs="Arial" w:hAnsi="Arial" w:eastAsia="Arial"/>
        <w:rtl w:val="0"/>
        <w:lang w:val="en-US"/>
      </w:rPr>
      <w:instrText xml:space="preserve"> PAGE </w:instrText>
    </w:r>
    <w:r>
      <w:rPr>
        <w:rFonts w:ascii="Arial" w:cs="Arial" w:hAnsi="Arial" w:eastAsia="Arial"/>
        <w:rtl w:val="0"/>
        <w:lang w:val="en-US"/>
      </w:rPr>
      <w:fldChar w:fldCharType="separate" w:fldLock="0"/>
    </w:r>
    <w:r>
      <w:rPr>
        <w:rFonts w:ascii="Arial" w:cs="Arial" w:hAnsi="Arial" w:eastAsia="Arial"/>
        <w:rtl w:val="0"/>
        <w:lang w:val="en-US"/>
      </w:rPr>
    </w:r>
    <w:r>
      <w:rPr>
        <w:rFonts w:ascii="Arial" w:cs="Arial" w:hAnsi="Arial" w:eastAsia="Arial"/>
        <w:rtl w:val="0"/>
        <w:lang w:val="en-US"/>
      </w:rPr>
      <w:fldChar w:fldCharType="end" w:fldLock="0"/>
    </w:r>
    <w:r>
      <w:rPr>
        <w:rFonts w:ascii="Arial" w:cs="Arial" w:hAnsi="Arial" w:eastAsia="Arial"/>
      </w:r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Body"/>
    <w:pPr>
      <w:keepNext w:val="0"/>
      <w:keepLines w:val="0"/>
      <w:pageBreakBefore w:val="0"/>
      <w:widowControl w:val="1"/>
      <w:shd w:val="clear" w:color="auto" w:fill="auto"/>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0">
    <w:name w:val="TOC 1"/>
    <w:next w:val="TOC 1.0"/>
    <w:pPr>
      <w:keepNext w:val="0"/>
      <w:keepLines w:val="0"/>
      <w:pageBreakBefore w:val="0"/>
      <w:widowControl w:val="1"/>
      <w:shd w:val="clear" w:color="auto" w:fill="auto"/>
      <w:tabs>
        <w:tab w:val="right" w:pos="9000" w:leader="dot"/>
      </w:tabs>
      <w:suppressAutoHyphens w:val="0"/>
      <w:bidi w:val="0"/>
      <w:spacing w:before="0" w:after="0" w:line="36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0"/>
    </w:pPr>
    <w:rPr>
      <w:rFonts w:ascii="Carlito" w:cs="Carlito" w:hAnsi="Carlito" w:eastAsia="Carlito"/>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0" w:line="360"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1"/>
    </w:pPr>
    <w:rPr>
      <w:rFonts w:ascii="Calibri Light" w:cs="Calibri Light" w:hAnsi="Calibri Light" w:eastAsia="Calibri Light"/>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000" w:leader="dot"/>
      </w:tabs>
      <w:suppressAutoHyphens w:val="0"/>
      <w:bidi w:val="0"/>
      <w:spacing w:before="0" w:after="0" w:line="360" w:lineRule="auto"/>
      <w:ind w:left="44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0"/>
      <w:keepLines w:val="0"/>
      <w:pageBreakBefore w:val="0"/>
      <w:widowControl w:val="1"/>
      <w:shd w:val="clear" w:color="auto" w:fill="auto"/>
      <w:suppressAutoHyphens w:val="0"/>
      <w:bidi w:val="0"/>
      <w:spacing w:before="0" w:after="160" w:line="259" w:lineRule="auto"/>
      <w:ind w:left="0" w:right="0" w:firstLine="0"/>
      <w:jc w:val="center"/>
      <w:outlineLvl w:val="2"/>
    </w:pPr>
    <w:rPr>
      <w:rFonts w:ascii="Calibri Light" w:cs="Calibri Light" w:hAnsi="Calibri Light" w:eastAsia="Calibri Ligh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