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EF0F12" w14:textId="77777777" w:rsidR="00090607" w:rsidRDefault="00090607" w:rsidP="00B6533E">
      <w:pPr>
        <w:spacing w:line="360" w:lineRule="auto"/>
        <w:jc w:val="center"/>
        <w:rPr>
          <w:rFonts w:ascii="Arial" w:hAnsi="Arial" w:cs="Arial"/>
          <w:b/>
          <w:bCs/>
          <w:sz w:val="32"/>
          <w:szCs w:val="32"/>
        </w:rPr>
      </w:pPr>
    </w:p>
    <w:p w14:paraId="56540F9C" w14:textId="77777777" w:rsidR="00090607" w:rsidRDefault="00090607" w:rsidP="00B6533E">
      <w:pPr>
        <w:spacing w:line="360" w:lineRule="auto"/>
        <w:jc w:val="center"/>
        <w:rPr>
          <w:rFonts w:ascii="Arial" w:hAnsi="Arial" w:cs="Arial"/>
          <w:b/>
          <w:bCs/>
          <w:sz w:val="32"/>
          <w:szCs w:val="32"/>
        </w:rPr>
      </w:pPr>
    </w:p>
    <w:p w14:paraId="576CCA87" w14:textId="2B221A34" w:rsidR="00B151A8" w:rsidRPr="00B6533E" w:rsidRDefault="00B6533E" w:rsidP="00B6533E">
      <w:pPr>
        <w:spacing w:line="360" w:lineRule="auto"/>
        <w:jc w:val="center"/>
        <w:rPr>
          <w:rFonts w:ascii="Arial" w:hAnsi="Arial" w:cs="Arial"/>
          <w:b/>
          <w:bCs/>
          <w:sz w:val="32"/>
          <w:szCs w:val="32"/>
        </w:rPr>
      </w:pPr>
      <w:r w:rsidRPr="00B6533E">
        <w:rPr>
          <w:rFonts w:ascii="Arial" w:hAnsi="Arial" w:cs="Arial"/>
          <w:b/>
          <w:bCs/>
          <w:sz w:val="32"/>
          <w:szCs w:val="32"/>
        </w:rPr>
        <w:t>Sustainable Hospitality &amp; Tourism Management</w:t>
      </w:r>
    </w:p>
    <w:p w14:paraId="75D9BF6C" w14:textId="49B8E089" w:rsidR="00B6533E" w:rsidRDefault="00B6533E" w:rsidP="00B6533E">
      <w:pPr>
        <w:spacing w:line="360" w:lineRule="auto"/>
        <w:jc w:val="center"/>
        <w:rPr>
          <w:rFonts w:ascii="Arial" w:hAnsi="Arial" w:cs="Arial"/>
          <w:b/>
          <w:bCs/>
          <w:sz w:val="32"/>
          <w:szCs w:val="32"/>
        </w:rPr>
      </w:pPr>
      <w:r w:rsidRPr="00B6533E">
        <w:rPr>
          <w:rFonts w:ascii="Arial" w:hAnsi="Arial" w:cs="Arial"/>
          <w:b/>
          <w:bCs/>
          <w:sz w:val="32"/>
          <w:szCs w:val="32"/>
        </w:rPr>
        <w:t>BMIH5006</w:t>
      </w:r>
    </w:p>
    <w:p w14:paraId="2B5137EA" w14:textId="77777777" w:rsidR="00090607" w:rsidRDefault="00090607" w:rsidP="00090607">
      <w:pPr>
        <w:spacing w:line="360" w:lineRule="auto"/>
        <w:rPr>
          <w:rFonts w:ascii="Arial" w:hAnsi="Arial" w:cs="Arial"/>
          <w:sz w:val="24"/>
          <w:szCs w:val="24"/>
        </w:rPr>
      </w:pPr>
    </w:p>
    <w:p w14:paraId="1965CADE" w14:textId="77777777" w:rsidR="00090607" w:rsidRDefault="00090607" w:rsidP="00090607">
      <w:pPr>
        <w:spacing w:line="360" w:lineRule="auto"/>
        <w:rPr>
          <w:rFonts w:ascii="Arial" w:hAnsi="Arial" w:cs="Arial"/>
          <w:sz w:val="24"/>
          <w:szCs w:val="24"/>
        </w:rPr>
      </w:pPr>
    </w:p>
    <w:p w14:paraId="1F201B92" w14:textId="77777777" w:rsidR="00090607" w:rsidRDefault="00090607" w:rsidP="00090607">
      <w:pPr>
        <w:spacing w:line="360" w:lineRule="auto"/>
        <w:rPr>
          <w:rFonts w:ascii="Arial" w:hAnsi="Arial" w:cs="Arial"/>
          <w:sz w:val="24"/>
          <w:szCs w:val="24"/>
        </w:rPr>
      </w:pPr>
    </w:p>
    <w:p w14:paraId="652988AB" w14:textId="71247818" w:rsidR="00090607" w:rsidRDefault="00090607" w:rsidP="00090607">
      <w:pPr>
        <w:spacing w:line="360" w:lineRule="auto"/>
        <w:rPr>
          <w:rFonts w:ascii="Arial" w:hAnsi="Arial" w:cs="Arial"/>
          <w:sz w:val="24"/>
          <w:szCs w:val="24"/>
        </w:rPr>
      </w:pPr>
      <w:r w:rsidRPr="00754C07">
        <w:rPr>
          <w:rFonts w:ascii="Arial" w:hAnsi="Arial" w:cs="Arial"/>
          <w:sz w:val="24"/>
          <w:szCs w:val="24"/>
        </w:rPr>
        <w:t>Lecturer:</w:t>
      </w:r>
      <w:r>
        <w:rPr>
          <w:rFonts w:ascii="Arial" w:hAnsi="Arial" w:cs="Arial"/>
          <w:sz w:val="24"/>
          <w:szCs w:val="24"/>
        </w:rPr>
        <w:t xml:space="preserve"> Lisa Knight</w:t>
      </w:r>
    </w:p>
    <w:p w14:paraId="056CFFB6" w14:textId="77777777" w:rsidR="00090607" w:rsidRDefault="00090607" w:rsidP="00090607">
      <w:pPr>
        <w:spacing w:line="360" w:lineRule="auto"/>
        <w:rPr>
          <w:rFonts w:ascii="Arial" w:hAnsi="Arial" w:cs="Arial"/>
          <w:sz w:val="24"/>
          <w:szCs w:val="24"/>
        </w:rPr>
      </w:pPr>
      <w:r w:rsidRPr="00754C07">
        <w:rPr>
          <w:rFonts w:ascii="Arial" w:hAnsi="Arial" w:cs="Arial"/>
          <w:sz w:val="24"/>
          <w:szCs w:val="24"/>
        </w:rPr>
        <w:t>Student id:</w:t>
      </w:r>
      <w:r>
        <w:rPr>
          <w:rFonts w:ascii="Arial" w:hAnsi="Arial" w:cs="Arial"/>
          <w:sz w:val="24"/>
          <w:szCs w:val="24"/>
        </w:rPr>
        <w:t>221846</w:t>
      </w:r>
    </w:p>
    <w:p w14:paraId="419A98B2" w14:textId="77777777" w:rsidR="00090607" w:rsidRDefault="00090607" w:rsidP="00090607">
      <w:pPr>
        <w:spacing w:line="360" w:lineRule="auto"/>
        <w:rPr>
          <w:rFonts w:ascii="Arial" w:hAnsi="Arial" w:cs="Arial"/>
          <w:b/>
          <w:bCs/>
          <w:sz w:val="28"/>
          <w:szCs w:val="28"/>
        </w:rPr>
      </w:pPr>
      <w:r w:rsidRPr="00754C07">
        <w:rPr>
          <w:rFonts w:ascii="Arial" w:hAnsi="Arial" w:cs="Arial"/>
          <w:sz w:val="24"/>
          <w:szCs w:val="24"/>
        </w:rPr>
        <w:t xml:space="preserve">Student </w:t>
      </w:r>
      <w:proofErr w:type="spellStart"/>
      <w:proofErr w:type="gramStart"/>
      <w:r w:rsidRPr="00754C07">
        <w:rPr>
          <w:rFonts w:ascii="Arial" w:hAnsi="Arial" w:cs="Arial"/>
          <w:sz w:val="24"/>
          <w:szCs w:val="24"/>
        </w:rPr>
        <w:t>name:</w:t>
      </w:r>
      <w:r>
        <w:rPr>
          <w:rFonts w:ascii="Arial" w:hAnsi="Arial" w:cs="Arial"/>
          <w:sz w:val="24"/>
          <w:szCs w:val="24"/>
        </w:rPr>
        <w:t>MIHAELA</w:t>
      </w:r>
      <w:proofErr w:type="spellEnd"/>
      <w:proofErr w:type="gramEnd"/>
      <w:r>
        <w:rPr>
          <w:rFonts w:ascii="Arial" w:hAnsi="Arial" w:cs="Arial"/>
          <w:sz w:val="24"/>
          <w:szCs w:val="24"/>
        </w:rPr>
        <w:t xml:space="preserve"> CARADAN</w:t>
      </w:r>
    </w:p>
    <w:p w14:paraId="62E0CB9D" w14:textId="3789BFAE" w:rsidR="00090607" w:rsidRDefault="00090607" w:rsidP="00090607">
      <w:pPr>
        <w:spacing w:line="360" w:lineRule="auto"/>
        <w:rPr>
          <w:rFonts w:ascii="Arial" w:hAnsi="Arial" w:cs="Arial"/>
          <w:sz w:val="24"/>
          <w:szCs w:val="24"/>
        </w:rPr>
      </w:pPr>
      <w:r>
        <w:rPr>
          <w:rFonts w:ascii="Arial" w:hAnsi="Arial" w:cs="Arial"/>
          <w:sz w:val="24"/>
          <w:szCs w:val="24"/>
        </w:rPr>
        <w:t xml:space="preserve"> Date: </w:t>
      </w:r>
      <w:r>
        <w:rPr>
          <w:rFonts w:ascii="Arial" w:hAnsi="Arial" w:cs="Arial"/>
          <w:sz w:val="24"/>
          <w:szCs w:val="24"/>
        </w:rPr>
        <w:t>15/11/</w:t>
      </w:r>
      <w:r>
        <w:rPr>
          <w:rFonts w:ascii="Arial" w:hAnsi="Arial" w:cs="Arial"/>
          <w:sz w:val="24"/>
          <w:szCs w:val="24"/>
        </w:rPr>
        <w:t>2024</w:t>
      </w:r>
    </w:p>
    <w:p w14:paraId="64F035E7" w14:textId="44C8584E" w:rsidR="00090607" w:rsidRPr="00CC3F03" w:rsidRDefault="00090607" w:rsidP="00090607">
      <w:pPr>
        <w:spacing w:line="360" w:lineRule="auto"/>
        <w:rPr>
          <w:rFonts w:ascii="Arial" w:hAnsi="Arial" w:cs="Arial"/>
          <w:b/>
          <w:bCs/>
          <w:sz w:val="28"/>
          <w:szCs w:val="28"/>
        </w:rPr>
      </w:pPr>
      <w:r>
        <w:rPr>
          <w:rFonts w:ascii="Arial" w:hAnsi="Arial" w:cs="Arial"/>
          <w:sz w:val="24"/>
          <w:szCs w:val="24"/>
        </w:rPr>
        <w:t xml:space="preserve"> </w:t>
      </w:r>
      <w:r w:rsidRPr="00754C07">
        <w:rPr>
          <w:rFonts w:ascii="Arial" w:hAnsi="Arial" w:cs="Arial"/>
          <w:sz w:val="24"/>
          <w:szCs w:val="24"/>
        </w:rPr>
        <w:t>Word count:</w:t>
      </w:r>
      <w:r>
        <w:rPr>
          <w:rFonts w:ascii="Arial" w:hAnsi="Arial" w:cs="Arial"/>
          <w:sz w:val="24"/>
          <w:szCs w:val="24"/>
        </w:rPr>
        <w:t>2748</w:t>
      </w:r>
    </w:p>
    <w:p w14:paraId="55DF6519" w14:textId="77777777" w:rsidR="00090607" w:rsidRDefault="00090607" w:rsidP="00090607">
      <w:pPr>
        <w:spacing w:line="360" w:lineRule="auto"/>
        <w:rPr>
          <w:rFonts w:ascii="Arial" w:hAnsi="Arial" w:cs="Arial"/>
          <w:b/>
          <w:bCs/>
          <w:sz w:val="32"/>
          <w:szCs w:val="32"/>
        </w:rPr>
      </w:pPr>
    </w:p>
    <w:p w14:paraId="66E49E45" w14:textId="77777777" w:rsidR="00B6533E" w:rsidRDefault="00B6533E" w:rsidP="00B6533E">
      <w:pPr>
        <w:spacing w:line="360" w:lineRule="auto"/>
        <w:jc w:val="center"/>
        <w:rPr>
          <w:rFonts w:ascii="Arial" w:hAnsi="Arial" w:cs="Arial"/>
          <w:b/>
          <w:bCs/>
          <w:sz w:val="32"/>
          <w:szCs w:val="32"/>
        </w:rPr>
      </w:pPr>
    </w:p>
    <w:p w14:paraId="5D657474" w14:textId="77777777" w:rsidR="00B6533E" w:rsidRDefault="00B6533E" w:rsidP="00B6533E">
      <w:pPr>
        <w:spacing w:line="360" w:lineRule="auto"/>
        <w:jc w:val="center"/>
        <w:rPr>
          <w:rFonts w:ascii="Arial" w:hAnsi="Arial" w:cs="Arial"/>
          <w:b/>
          <w:bCs/>
          <w:sz w:val="32"/>
          <w:szCs w:val="32"/>
        </w:rPr>
      </w:pPr>
    </w:p>
    <w:p w14:paraId="3AA62190" w14:textId="77777777" w:rsidR="00B6533E" w:rsidRDefault="00B6533E" w:rsidP="00B6533E">
      <w:pPr>
        <w:spacing w:line="360" w:lineRule="auto"/>
        <w:jc w:val="center"/>
        <w:rPr>
          <w:rFonts w:ascii="Arial" w:hAnsi="Arial" w:cs="Arial"/>
          <w:b/>
          <w:bCs/>
          <w:sz w:val="32"/>
          <w:szCs w:val="32"/>
        </w:rPr>
      </w:pPr>
    </w:p>
    <w:p w14:paraId="6190AD0D" w14:textId="77777777" w:rsidR="00B6533E" w:rsidRDefault="00B6533E" w:rsidP="00B6533E">
      <w:pPr>
        <w:spacing w:line="360" w:lineRule="auto"/>
        <w:jc w:val="center"/>
        <w:rPr>
          <w:rFonts w:ascii="Arial" w:hAnsi="Arial" w:cs="Arial"/>
          <w:b/>
          <w:bCs/>
          <w:sz w:val="32"/>
          <w:szCs w:val="32"/>
        </w:rPr>
      </w:pPr>
    </w:p>
    <w:p w14:paraId="1F7D1297" w14:textId="77777777" w:rsidR="00B6533E" w:rsidRDefault="00B6533E" w:rsidP="00B6533E">
      <w:pPr>
        <w:spacing w:line="360" w:lineRule="auto"/>
        <w:jc w:val="center"/>
        <w:rPr>
          <w:rFonts w:ascii="Arial" w:hAnsi="Arial" w:cs="Arial"/>
          <w:b/>
          <w:bCs/>
          <w:sz w:val="32"/>
          <w:szCs w:val="32"/>
        </w:rPr>
      </w:pPr>
    </w:p>
    <w:p w14:paraId="34D29E4F" w14:textId="77777777" w:rsidR="00B6533E" w:rsidRDefault="00B6533E" w:rsidP="00B6533E">
      <w:pPr>
        <w:spacing w:line="360" w:lineRule="auto"/>
        <w:jc w:val="center"/>
        <w:rPr>
          <w:rFonts w:ascii="Arial" w:hAnsi="Arial" w:cs="Arial"/>
          <w:b/>
          <w:bCs/>
          <w:sz w:val="32"/>
          <w:szCs w:val="32"/>
        </w:rPr>
      </w:pPr>
    </w:p>
    <w:p w14:paraId="746EDE22" w14:textId="77777777" w:rsidR="00B6533E" w:rsidRDefault="00B6533E" w:rsidP="00B6533E">
      <w:pPr>
        <w:spacing w:line="360" w:lineRule="auto"/>
        <w:jc w:val="center"/>
        <w:rPr>
          <w:rFonts w:ascii="Arial" w:hAnsi="Arial" w:cs="Arial"/>
          <w:b/>
          <w:bCs/>
          <w:sz w:val="32"/>
          <w:szCs w:val="32"/>
        </w:rPr>
      </w:pPr>
    </w:p>
    <w:p w14:paraId="715B199B" w14:textId="77777777" w:rsidR="00B6533E" w:rsidRDefault="00B6533E" w:rsidP="00B6533E">
      <w:pPr>
        <w:spacing w:line="360" w:lineRule="auto"/>
        <w:jc w:val="center"/>
        <w:rPr>
          <w:rFonts w:ascii="Arial" w:hAnsi="Arial" w:cs="Arial"/>
          <w:b/>
          <w:bCs/>
          <w:sz w:val="32"/>
          <w:szCs w:val="32"/>
        </w:rPr>
      </w:pPr>
    </w:p>
    <w:p w14:paraId="4815C249" w14:textId="07D0E6F3" w:rsidR="00B6533E" w:rsidRDefault="00B6533E" w:rsidP="00786FDA">
      <w:pPr>
        <w:pStyle w:val="EU"/>
        <w:numPr>
          <w:ilvl w:val="0"/>
          <w:numId w:val="1"/>
        </w:numPr>
        <w:spacing w:line="360" w:lineRule="auto"/>
        <w:rPr>
          <w:color w:val="auto"/>
        </w:rPr>
      </w:pPr>
      <w:bookmarkStart w:id="0" w:name="_Toc182588845"/>
      <w:r w:rsidRPr="00B6533E">
        <w:rPr>
          <w:color w:val="auto"/>
        </w:rPr>
        <w:lastRenderedPageBreak/>
        <w:t>Executive Summary</w:t>
      </w:r>
      <w:bookmarkEnd w:id="0"/>
    </w:p>
    <w:p w14:paraId="2B52F3FA" w14:textId="5D87250B" w:rsidR="00E519DF" w:rsidRPr="00786FDA" w:rsidRDefault="00786FDA" w:rsidP="00786FDA">
      <w:pPr>
        <w:spacing w:line="360" w:lineRule="auto"/>
        <w:jc w:val="both"/>
        <w:rPr>
          <w:rFonts w:ascii="Arial" w:eastAsiaTheme="majorEastAsia" w:hAnsi="Arial" w:cs="Arial"/>
          <w:bCs/>
          <w:kern w:val="0"/>
          <w:sz w:val="24"/>
          <w:szCs w:val="24"/>
          <w:lang w:eastAsia="en-GB"/>
          <w14:ligatures w14:val="none"/>
        </w:rPr>
      </w:pPr>
      <w:r w:rsidRPr="00786FDA">
        <w:rPr>
          <w:rFonts w:ascii="Arial" w:eastAsiaTheme="majorEastAsia" w:hAnsi="Arial" w:cs="Arial"/>
          <w:bCs/>
          <w:kern w:val="0"/>
          <w:sz w:val="24"/>
          <w:szCs w:val="24"/>
          <w:lang w:eastAsia="en-GB"/>
          <w14:ligatures w14:val="none"/>
        </w:rPr>
        <w:t>This report critically assesses The Langham, London's sustainability practices, emphasising its accomplishments and pinpointing areas for enhancement. Despite the hotel's commendable initiatives, including a zero waste to landfill policy, energy-efficient systems, and Gold LEED certification, its overall impact is impeded by voids in its sustainability strategy. The absence of specific carbon emission reduction targets, limited transparency in emissions reporting, incomplete third-party verification, and an ongoing reliance on single-use plastics in non-guest areas are among the key shortcomings. The report suggests actionable solutions to address these gaps, such as the implementation of a detailed carbon tracking system with measurable targets, the collaboration with independent certification bodies such as Green Globe or EarthCheck, and the adoption of a comprehensive approach to plastic reduction across all operations. These measures are consistent with global sustainability benchmarks and facilitate The Langham's compliance with consumer expectations for transparency and accountability, as well as regulatory requirements. The proposed actions offer a variety of advantages. In terms of environmental impact, they will improve waste management and decrease the hotel's carbon imprint. Economically, the financial performance will be enhanced by the cost reductions resulting from reduced energy consumption and refuse disposal, as well as the increased appeal to eco-conscious travellers. From a social perspective, the hotel's reputation will be further solidified by enhanced employee engagement, guest satisfaction, and community relationships. The Langham can establish itself as a pioneer in sustainable luxury hospitality by addressing these areas.</w:t>
      </w:r>
    </w:p>
    <w:p w14:paraId="03451B07" w14:textId="77777777" w:rsidR="00E519DF" w:rsidRPr="00786FDA" w:rsidRDefault="00E519DF" w:rsidP="00E519DF">
      <w:pPr>
        <w:rPr>
          <w:bCs/>
          <w:lang w:eastAsia="en-GB"/>
        </w:rPr>
      </w:pPr>
    </w:p>
    <w:p w14:paraId="339571D0" w14:textId="77777777" w:rsidR="00E519DF" w:rsidRDefault="00E519DF" w:rsidP="00E519DF">
      <w:pPr>
        <w:rPr>
          <w:lang w:eastAsia="en-GB"/>
        </w:rPr>
      </w:pPr>
    </w:p>
    <w:p w14:paraId="249AC623" w14:textId="77777777" w:rsidR="00E519DF" w:rsidRDefault="00E519DF" w:rsidP="00E519DF">
      <w:pPr>
        <w:rPr>
          <w:lang w:eastAsia="en-GB"/>
        </w:rPr>
      </w:pPr>
    </w:p>
    <w:p w14:paraId="59EE8EBB" w14:textId="77777777" w:rsidR="00E519DF" w:rsidRDefault="00E519DF" w:rsidP="00E519DF">
      <w:pPr>
        <w:rPr>
          <w:lang w:eastAsia="en-GB"/>
        </w:rPr>
      </w:pPr>
    </w:p>
    <w:p w14:paraId="372CDF82" w14:textId="77777777" w:rsidR="00E519DF" w:rsidRDefault="00E519DF" w:rsidP="00E519DF">
      <w:pPr>
        <w:rPr>
          <w:lang w:eastAsia="en-GB"/>
        </w:rPr>
      </w:pPr>
    </w:p>
    <w:p w14:paraId="14CC070D" w14:textId="77777777" w:rsidR="00E519DF" w:rsidRDefault="00E519DF" w:rsidP="00E519DF">
      <w:pPr>
        <w:rPr>
          <w:lang w:eastAsia="en-GB"/>
        </w:rPr>
      </w:pPr>
    </w:p>
    <w:p w14:paraId="4BFC90F7" w14:textId="77777777" w:rsidR="00E519DF" w:rsidRDefault="00E519DF" w:rsidP="00E519DF">
      <w:pPr>
        <w:rPr>
          <w:lang w:eastAsia="en-GB"/>
        </w:rPr>
      </w:pPr>
    </w:p>
    <w:p w14:paraId="71C5160E" w14:textId="77777777" w:rsidR="00E519DF" w:rsidRDefault="00E519DF" w:rsidP="00E519DF">
      <w:pPr>
        <w:rPr>
          <w:lang w:eastAsia="en-GB"/>
        </w:rPr>
      </w:pPr>
    </w:p>
    <w:p w14:paraId="69DF1F4E" w14:textId="77777777" w:rsidR="00E519DF" w:rsidRDefault="00E519DF" w:rsidP="00E519DF">
      <w:pPr>
        <w:rPr>
          <w:lang w:eastAsia="en-GB"/>
        </w:rPr>
      </w:pPr>
    </w:p>
    <w:sdt>
      <w:sdtPr>
        <w:rPr>
          <w:rFonts w:asciiTheme="minorHAnsi" w:eastAsiaTheme="minorHAnsi" w:hAnsiTheme="minorHAnsi" w:cstheme="minorBidi"/>
          <w:color w:val="auto"/>
          <w:kern w:val="2"/>
          <w:sz w:val="22"/>
          <w:szCs w:val="22"/>
          <w:lang w:val="en-GB"/>
          <w14:ligatures w14:val="standardContextual"/>
        </w:rPr>
        <w:id w:val="-958103585"/>
        <w:docPartObj>
          <w:docPartGallery w:val="Table of Contents"/>
          <w:docPartUnique/>
        </w:docPartObj>
      </w:sdtPr>
      <w:sdtEndPr>
        <w:rPr>
          <w:b/>
          <w:bCs/>
          <w:noProof/>
        </w:rPr>
      </w:sdtEndPr>
      <w:sdtContent>
        <w:p w14:paraId="692AC218" w14:textId="5EA462E4" w:rsidR="00786FDA" w:rsidRPr="00786FDA" w:rsidRDefault="00786FDA">
          <w:pPr>
            <w:pStyle w:val="TOCHeading"/>
            <w:rPr>
              <w:rFonts w:ascii="Arial" w:hAnsi="Arial" w:cs="Arial"/>
            </w:rPr>
          </w:pPr>
          <w:r w:rsidRPr="00786FDA">
            <w:rPr>
              <w:rFonts w:ascii="Arial" w:hAnsi="Arial" w:cs="Arial"/>
            </w:rPr>
            <w:t>Contents</w:t>
          </w:r>
        </w:p>
        <w:p w14:paraId="31D75A9B" w14:textId="661A9C65" w:rsidR="00786FDA" w:rsidRPr="00786FDA" w:rsidRDefault="00786FDA">
          <w:pPr>
            <w:pStyle w:val="TOC1"/>
            <w:tabs>
              <w:tab w:val="left" w:pos="480"/>
              <w:tab w:val="right" w:leader="dot" w:pos="9016"/>
            </w:tabs>
            <w:rPr>
              <w:rFonts w:ascii="Arial" w:hAnsi="Arial" w:cs="Arial"/>
              <w:noProof/>
            </w:rPr>
          </w:pPr>
          <w:r w:rsidRPr="00786FDA">
            <w:rPr>
              <w:rFonts w:ascii="Arial" w:hAnsi="Arial" w:cs="Arial"/>
            </w:rPr>
            <w:fldChar w:fldCharType="begin"/>
          </w:r>
          <w:r w:rsidRPr="00786FDA">
            <w:rPr>
              <w:rFonts w:ascii="Arial" w:hAnsi="Arial" w:cs="Arial"/>
            </w:rPr>
            <w:instrText xml:space="preserve"> TOC \o "1-3" \h \z \u </w:instrText>
          </w:r>
          <w:r w:rsidRPr="00786FDA">
            <w:rPr>
              <w:rFonts w:ascii="Arial" w:hAnsi="Arial" w:cs="Arial"/>
            </w:rPr>
            <w:fldChar w:fldCharType="separate"/>
          </w:r>
          <w:hyperlink w:anchor="_Toc182588845" w:history="1">
            <w:r w:rsidRPr="00786FDA">
              <w:rPr>
                <w:rStyle w:val="Hyperlink"/>
                <w:rFonts w:ascii="Arial" w:hAnsi="Arial" w:cs="Arial"/>
                <w:noProof/>
              </w:rPr>
              <w:t>0.</w:t>
            </w:r>
            <w:r w:rsidRPr="00786FDA">
              <w:rPr>
                <w:rFonts w:ascii="Arial" w:hAnsi="Arial" w:cs="Arial"/>
                <w:noProof/>
              </w:rPr>
              <w:tab/>
            </w:r>
            <w:r w:rsidRPr="00786FDA">
              <w:rPr>
                <w:rStyle w:val="Hyperlink"/>
                <w:rFonts w:ascii="Arial" w:hAnsi="Arial" w:cs="Arial"/>
                <w:noProof/>
              </w:rPr>
              <w:t>Executive Summary</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_Toc182588845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2</w:t>
            </w:r>
            <w:r w:rsidRPr="00786FDA">
              <w:rPr>
                <w:rFonts w:ascii="Arial" w:hAnsi="Arial" w:cs="Arial"/>
                <w:noProof/>
                <w:webHidden/>
              </w:rPr>
              <w:fldChar w:fldCharType="end"/>
            </w:r>
          </w:hyperlink>
        </w:p>
        <w:p w14:paraId="2DBBB4FE" w14:textId="51FA819A" w:rsidR="00786FDA" w:rsidRPr="00786FDA" w:rsidRDefault="00786FDA">
          <w:pPr>
            <w:pStyle w:val="TOC1"/>
            <w:tabs>
              <w:tab w:val="left" w:pos="480"/>
              <w:tab w:val="right" w:leader="dot" w:pos="9016"/>
            </w:tabs>
            <w:rPr>
              <w:rFonts w:ascii="Arial" w:hAnsi="Arial" w:cs="Arial"/>
              <w:noProof/>
            </w:rPr>
          </w:pPr>
          <w:hyperlink w:anchor="_Toc182588846" w:history="1">
            <w:r w:rsidRPr="00786FDA">
              <w:rPr>
                <w:rStyle w:val="Hyperlink"/>
                <w:rFonts w:ascii="Arial" w:hAnsi="Arial" w:cs="Arial"/>
                <w:noProof/>
              </w:rPr>
              <w:t>1.</w:t>
            </w:r>
            <w:r w:rsidRPr="00786FDA">
              <w:rPr>
                <w:rFonts w:ascii="Arial" w:hAnsi="Arial" w:cs="Arial"/>
                <w:noProof/>
              </w:rPr>
              <w:tab/>
            </w:r>
            <w:r w:rsidRPr="00786FDA">
              <w:rPr>
                <w:rStyle w:val="Hyperlink"/>
                <w:rFonts w:ascii="Arial" w:hAnsi="Arial" w:cs="Arial"/>
                <w:noProof/>
              </w:rPr>
              <w:t>Introduction</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_Toc182588846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4</w:t>
            </w:r>
            <w:r w:rsidRPr="00786FDA">
              <w:rPr>
                <w:rFonts w:ascii="Arial" w:hAnsi="Arial" w:cs="Arial"/>
                <w:noProof/>
                <w:webHidden/>
              </w:rPr>
              <w:fldChar w:fldCharType="end"/>
            </w:r>
          </w:hyperlink>
        </w:p>
        <w:p w14:paraId="151B2F18" w14:textId="59527E33" w:rsidR="00786FDA" w:rsidRPr="00786FDA" w:rsidRDefault="00786FDA">
          <w:pPr>
            <w:pStyle w:val="TOC1"/>
            <w:tabs>
              <w:tab w:val="left" w:pos="480"/>
              <w:tab w:val="right" w:leader="dot" w:pos="9016"/>
            </w:tabs>
            <w:rPr>
              <w:rFonts w:ascii="Arial" w:hAnsi="Arial" w:cs="Arial"/>
              <w:noProof/>
            </w:rPr>
          </w:pPr>
          <w:hyperlink w:anchor="_Toc182588847" w:history="1">
            <w:r w:rsidRPr="00786FDA">
              <w:rPr>
                <w:rStyle w:val="Hyperlink"/>
                <w:rFonts w:ascii="Arial" w:hAnsi="Arial" w:cs="Arial"/>
                <w:noProof/>
              </w:rPr>
              <w:t>2.</w:t>
            </w:r>
            <w:r w:rsidRPr="00786FDA">
              <w:rPr>
                <w:rFonts w:ascii="Arial" w:hAnsi="Arial" w:cs="Arial"/>
                <w:noProof/>
              </w:rPr>
              <w:tab/>
            </w:r>
            <w:r w:rsidRPr="00786FDA">
              <w:rPr>
                <w:rStyle w:val="Hyperlink"/>
                <w:rFonts w:ascii="Arial" w:hAnsi="Arial" w:cs="Arial"/>
                <w:noProof/>
              </w:rPr>
              <w:t>Main findings</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_Toc182588847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4</w:t>
            </w:r>
            <w:r w:rsidRPr="00786FDA">
              <w:rPr>
                <w:rFonts w:ascii="Arial" w:hAnsi="Arial" w:cs="Arial"/>
                <w:noProof/>
                <w:webHidden/>
              </w:rPr>
              <w:fldChar w:fldCharType="end"/>
            </w:r>
          </w:hyperlink>
        </w:p>
        <w:p w14:paraId="4EEA75BF" w14:textId="0A33577C" w:rsidR="00786FDA" w:rsidRPr="00786FDA" w:rsidRDefault="00786FDA">
          <w:pPr>
            <w:pStyle w:val="TOC1"/>
            <w:tabs>
              <w:tab w:val="left" w:pos="720"/>
              <w:tab w:val="right" w:leader="dot" w:pos="9016"/>
            </w:tabs>
            <w:rPr>
              <w:rFonts w:ascii="Arial" w:hAnsi="Arial" w:cs="Arial"/>
              <w:noProof/>
            </w:rPr>
          </w:pPr>
          <w:hyperlink w:anchor="_Toc182588848" w:history="1">
            <w:r w:rsidRPr="00786FDA">
              <w:rPr>
                <w:rStyle w:val="Hyperlink"/>
                <w:rFonts w:ascii="Arial" w:hAnsi="Arial" w:cs="Arial"/>
                <w:noProof/>
              </w:rPr>
              <w:t>2.1.</w:t>
            </w:r>
            <w:r w:rsidRPr="00786FDA">
              <w:rPr>
                <w:rFonts w:ascii="Arial" w:hAnsi="Arial" w:cs="Arial"/>
                <w:noProof/>
              </w:rPr>
              <w:tab/>
            </w:r>
            <w:r w:rsidRPr="00786FDA">
              <w:rPr>
                <w:rStyle w:val="Hyperlink"/>
                <w:rFonts w:ascii="Arial" w:hAnsi="Arial" w:cs="Arial"/>
                <w:noProof/>
              </w:rPr>
              <w:t>The Langham, London Existing Sustainability Efforts</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_Toc182588848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4</w:t>
            </w:r>
            <w:r w:rsidRPr="00786FDA">
              <w:rPr>
                <w:rFonts w:ascii="Arial" w:hAnsi="Arial" w:cs="Arial"/>
                <w:noProof/>
                <w:webHidden/>
              </w:rPr>
              <w:fldChar w:fldCharType="end"/>
            </w:r>
          </w:hyperlink>
        </w:p>
        <w:p w14:paraId="13B40BE9" w14:textId="6B960A69" w:rsidR="00786FDA" w:rsidRPr="00786FDA" w:rsidRDefault="00786FDA">
          <w:pPr>
            <w:pStyle w:val="TOC1"/>
            <w:tabs>
              <w:tab w:val="left" w:pos="720"/>
              <w:tab w:val="right" w:leader="dot" w:pos="9016"/>
            </w:tabs>
            <w:rPr>
              <w:rFonts w:ascii="Arial" w:hAnsi="Arial" w:cs="Arial"/>
              <w:noProof/>
            </w:rPr>
          </w:pPr>
          <w:hyperlink w:anchor="_Toc182588849" w:history="1">
            <w:r w:rsidRPr="00786FDA">
              <w:rPr>
                <w:rStyle w:val="Hyperlink"/>
                <w:rFonts w:ascii="Arial" w:hAnsi="Arial" w:cs="Arial"/>
                <w:noProof/>
              </w:rPr>
              <w:t>2.2.</w:t>
            </w:r>
            <w:r w:rsidRPr="00786FDA">
              <w:rPr>
                <w:rFonts w:ascii="Arial" w:hAnsi="Arial" w:cs="Arial"/>
                <w:noProof/>
              </w:rPr>
              <w:tab/>
            </w:r>
            <w:r w:rsidRPr="00786FDA">
              <w:rPr>
                <w:rStyle w:val="Hyperlink"/>
                <w:rFonts w:ascii="Arial" w:hAnsi="Arial" w:cs="Arial"/>
                <w:noProof/>
              </w:rPr>
              <w:t>Discrepancies in Sustainability Practices</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_Toc182588849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5</w:t>
            </w:r>
            <w:r w:rsidRPr="00786FDA">
              <w:rPr>
                <w:rFonts w:ascii="Arial" w:hAnsi="Arial" w:cs="Arial"/>
                <w:noProof/>
                <w:webHidden/>
              </w:rPr>
              <w:fldChar w:fldCharType="end"/>
            </w:r>
          </w:hyperlink>
        </w:p>
        <w:p w14:paraId="7D39B638" w14:textId="6BB698AE" w:rsidR="00786FDA" w:rsidRPr="00786FDA" w:rsidRDefault="00786FDA">
          <w:pPr>
            <w:pStyle w:val="TOC1"/>
            <w:tabs>
              <w:tab w:val="left" w:pos="720"/>
              <w:tab w:val="right" w:leader="dot" w:pos="9016"/>
            </w:tabs>
            <w:rPr>
              <w:rFonts w:ascii="Arial" w:hAnsi="Arial" w:cs="Arial"/>
              <w:noProof/>
            </w:rPr>
          </w:pPr>
          <w:hyperlink w:anchor="_Toc182588850" w:history="1">
            <w:r w:rsidRPr="00786FDA">
              <w:rPr>
                <w:rStyle w:val="Hyperlink"/>
                <w:rFonts w:ascii="Arial" w:hAnsi="Arial" w:cs="Arial"/>
                <w:noProof/>
              </w:rPr>
              <w:t>2.3.</w:t>
            </w:r>
            <w:r w:rsidRPr="00786FDA">
              <w:rPr>
                <w:rFonts w:ascii="Arial" w:hAnsi="Arial" w:cs="Arial"/>
                <w:noProof/>
              </w:rPr>
              <w:tab/>
            </w:r>
            <w:r w:rsidRPr="00786FDA">
              <w:rPr>
                <w:rStyle w:val="Hyperlink"/>
                <w:rFonts w:ascii="Arial" w:hAnsi="Arial" w:cs="Arial"/>
                <w:noProof/>
              </w:rPr>
              <w:t>Industry Benchmarks</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_Toc182588850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6</w:t>
            </w:r>
            <w:r w:rsidRPr="00786FDA">
              <w:rPr>
                <w:rFonts w:ascii="Arial" w:hAnsi="Arial" w:cs="Arial"/>
                <w:noProof/>
                <w:webHidden/>
              </w:rPr>
              <w:fldChar w:fldCharType="end"/>
            </w:r>
          </w:hyperlink>
        </w:p>
        <w:p w14:paraId="2A10749C" w14:textId="0D99348D" w:rsidR="00786FDA" w:rsidRPr="00786FDA" w:rsidRDefault="00786FDA">
          <w:pPr>
            <w:pStyle w:val="TOC1"/>
            <w:tabs>
              <w:tab w:val="left" w:pos="720"/>
              <w:tab w:val="right" w:leader="dot" w:pos="9016"/>
            </w:tabs>
            <w:rPr>
              <w:rFonts w:ascii="Arial" w:hAnsi="Arial" w:cs="Arial"/>
              <w:noProof/>
            </w:rPr>
          </w:pPr>
          <w:hyperlink w:anchor="_Toc182588851" w:history="1">
            <w:r w:rsidRPr="00786FDA">
              <w:rPr>
                <w:rStyle w:val="Hyperlink"/>
                <w:rFonts w:ascii="Arial" w:hAnsi="Arial" w:cs="Arial"/>
                <w:noProof/>
              </w:rPr>
              <w:t>2.4.</w:t>
            </w:r>
            <w:r w:rsidRPr="00786FDA">
              <w:rPr>
                <w:rFonts w:ascii="Arial" w:hAnsi="Arial" w:cs="Arial"/>
                <w:noProof/>
              </w:rPr>
              <w:tab/>
            </w:r>
            <w:r w:rsidRPr="00786FDA">
              <w:rPr>
                <w:rStyle w:val="Hyperlink"/>
                <w:rFonts w:ascii="Arial" w:hAnsi="Arial" w:cs="Arial"/>
                <w:noProof/>
              </w:rPr>
              <w:t>Regulations</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_Toc182588851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7</w:t>
            </w:r>
            <w:r w:rsidRPr="00786FDA">
              <w:rPr>
                <w:rFonts w:ascii="Arial" w:hAnsi="Arial" w:cs="Arial"/>
                <w:noProof/>
                <w:webHidden/>
              </w:rPr>
              <w:fldChar w:fldCharType="end"/>
            </w:r>
          </w:hyperlink>
        </w:p>
        <w:p w14:paraId="54565EA9" w14:textId="11FECC89" w:rsidR="00786FDA" w:rsidRPr="00786FDA" w:rsidRDefault="00786FDA">
          <w:pPr>
            <w:pStyle w:val="TOC1"/>
            <w:tabs>
              <w:tab w:val="left" w:pos="720"/>
              <w:tab w:val="right" w:leader="dot" w:pos="9016"/>
            </w:tabs>
            <w:rPr>
              <w:rFonts w:ascii="Arial" w:hAnsi="Arial" w:cs="Arial"/>
              <w:noProof/>
            </w:rPr>
          </w:pPr>
          <w:hyperlink w:anchor="_Toc182588852" w:history="1">
            <w:r w:rsidRPr="00786FDA">
              <w:rPr>
                <w:rStyle w:val="Hyperlink"/>
                <w:rFonts w:ascii="Arial" w:hAnsi="Arial" w:cs="Arial"/>
                <w:noProof/>
              </w:rPr>
              <w:t>2.5.</w:t>
            </w:r>
            <w:r w:rsidRPr="00786FDA">
              <w:rPr>
                <w:rFonts w:ascii="Arial" w:hAnsi="Arial" w:cs="Arial"/>
                <w:noProof/>
              </w:rPr>
              <w:tab/>
            </w:r>
            <w:r w:rsidRPr="00786FDA">
              <w:rPr>
                <w:rStyle w:val="Hyperlink"/>
                <w:rFonts w:ascii="Arial" w:hAnsi="Arial" w:cs="Arial"/>
                <w:noProof/>
              </w:rPr>
              <w:t>How to address the gaps</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_Toc182588852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8</w:t>
            </w:r>
            <w:r w:rsidRPr="00786FDA">
              <w:rPr>
                <w:rFonts w:ascii="Arial" w:hAnsi="Arial" w:cs="Arial"/>
                <w:noProof/>
                <w:webHidden/>
              </w:rPr>
              <w:fldChar w:fldCharType="end"/>
            </w:r>
          </w:hyperlink>
        </w:p>
        <w:p w14:paraId="107A5902" w14:textId="59CDD871" w:rsidR="00786FDA" w:rsidRPr="00786FDA" w:rsidRDefault="00786FDA">
          <w:pPr>
            <w:pStyle w:val="TOC1"/>
            <w:tabs>
              <w:tab w:val="left" w:pos="480"/>
              <w:tab w:val="right" w:leader="dot" w:pos="9016"/>
            </w:tabs>
            <w:rPr>
              <w:rFonts w:ascii="Arial" w:hAnsi="Arial" w:cs="Arial"/>
              <w:noProof/>
            </w:rPr>
          </w:pPr>
          <w:hyperlink w:anchor="_Toc182588853" w:history="1">
            <w:r w:rsidRPr="00786FDA">
              <w:rPr>
                <w:rStyle w:val="Hyperlink"/>
                <w:rFonts w:ascii="Arial" w:hAnsi="Arial" w:cs="Arial"/>
                <w:noProof/>
              </w:rPr>
              <w:t>3.</w:t>
            </w:r>
            <w:r w:rsidRPr="00786FDA">
              <w:rPr>
                <w:rFonts w:ascii="Arial" w:hAnsi="Arial" w:cs="Arial"/>
                <w:noProof/>
              </w:rPr>
              <w:tab/>
            </w:r>
            <w:r w:rsidRPr="00786FDA">
              <w:rPr>
                <w:rStyle w:val="Hyperlink"/>
                <w:rFonts w:ascii="Arial" w:hAnsi="Arial" w:cs="Arial"/>
                <w:noProof/>
              </w:rPr>
              <w:t>Conclusion</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_Toc182588853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9</w:t>
            </w:r>
            <w:r w:rsidRPr="00786FDA">
              <w:rPr>
                <w:rFonts w:ascii="Arial" w:hAnsi="Arial" w:cs="Arial"/>
                <w:noProof/>
                <w:webHidden/>
              </w:rPr>
              <w:fldChar w:fldCharType="end"/>
            </w:r>
          </w:hyperlink>
        </w:p>
        <w:p w14:paraId="40B54C83" w14:textId="04B2F1E6" w:rsidR="00786FDA" w:rsidRPr="00786FDA" w:rsidRDefault="00786FDA">
          <w:pPr>
            <w:pStyle w:val="TOC1"/>
            <w:tabs>
              <w:tab w:val="left" w:pos="480"/>
              <w:tab w:val="right" w:leader="dot" w:pos="9016"/>
            </w:tabs>
            <w:rPr>
              <w:rFonts w:ascii="Arial" w:hAnsi="Arial" w:cs="Arial"/>
              <w:noProof/>
            </w:rPr>
          </w:pPr>
          <w:hyperlink w:anchor="_Toc182588854" w:history="1">
            <w:r w:rsidRPr="00786FDA">
              <w:rPr>
                <w:rStyle w:val="Hyperlink"/>
                <w:rFonts w:ascii="Arial" w:hAnsi="Arial" w:cs="Arial"/>
                <w:noProof/>
              </w:rPr>
              <w:t>4.</w:t>
            </w:r>
            <w:r w:rsidRPr="00786FDA">
              <w:rPr>
                <w:rFonts w:ascii="Arial" w:hAnsi="Arial" w:cs="Arial"/>
                <w:noProof/>
              </w:rPr>
              <w:tab/>
            </w:r>
            <w:r w:rsidRPr="00786FDA">
              <w:rPr>
                <w:rStyle w:val="Hyperlink"/>
                <w:rFonts w:ascii="Arial" w:hAnsi="Arial" w:cs="Arial"/>
                <w:noProof/>
              </w:rPr>
              <w:t>References</w:t>
            </w:r>
            <w:r w:rsidRPr="00786FDA">
              <w:rPr>
                <w:rFonts w:ascii="Arial" w:hAnsi="Arial" w:cs="Arial"/>
                <w:noProof/>
                <w:webHidden/>
              </w:rPr>
              <w:tab/>
            </w:r>
            <w:r w:rsidRPr="00786FDA">
              <w:rPr>
                <w:rFonts w:ascii="Arial" w:hAnsi="Arial" w:cs="Arial"/>
                <w:noProof/>
                <w:webHidden/>
              </w:rPr>
              <w:fldChar w:fldCharType="begin"/>
            </w:r>
            <w:r w:rsidRPr="00786FDA">
              <w:rPr>
                <w:rFonts w:ascii="Arial" w:hAnsi="Arial" w:cs="Arial"/>
                <w:noProof/>
                <w:webHidden/>
              </w:rPr>
              <w:instrText xml:space="preserve"> PAGEREF _Toc182588854 \h </w:instrText>
            </w:r>
            <w:r w:rsidRPr="00786FDA">
              <w:rPr>
                <w:rFonts w:ascii="Arial" w:hAnsi="Arial" w:cs="Arial"/>
                <w:noProof/>
                <w:webHidden/>
              </w:rPr>
            </w:r>
            <w:r w:rsidRPr="00786FDA">
              <w:rPr>
                <w:rFonts w:ascii="Arial" w:hAnsi="Arial" w:cs="Arial"/>
                <w:noProof/>
                <w:webHidden/>
              </w:rPr>
              <w:fldChar w:fldCharType="separate"/>
            </w:r>
            <w:r w:rsidR="007B5909">
              <w:rPr>
                <w:rFonts w:ascii="Arial" w:hAnsi="Arial" w:cs="Arial"/>
                <w:noProof/>
                <w:webHidden/>
              </w:rPr>
              <w:t>10</w:t>
            </w:r>
            <w:r w:rsidRPr="00786FDA">
              <w:rPr>
                <w:rFonts w:ascii="Arial" w:hAnsi="Arial" w:cs="Arial"/>
                <w:noProof/>
                <w:webHidden/>
              </w:rPr>
              <w:fldChar w:fldCharType="end"/>
            </w:r>
          </w:hyperlink>
        </w:p>
        <w:p w14:paraId="2864FA45" w14:textId="29C75213" w:rsidR="00786FDA" w:rsidRDefault="00786FDA">
          <w:r w:rsidRPr="00786FDA">
            <w:rPr>
              <w:rFonts w:ascii="Arial" w:hAnsi="Arial" w:cs="Arial"/>
              <w:b/>
              <w:bCs/>
              <w:noProof/>
            </w:rPr>
            <w:fldChar w:fldCharType="end"/>
          </w:r>
        </w:p>
      </w:sdtContent>
    </w:sdt>
    <w:p w14:paraId="1374DE8C" w14:textId="77777777" w:rsidR="00E519DF" w:rsidRDefault="00E519DF" w:rsidP="00E519DF">
      <w:pPr>
        <w:rPr>
          <w:lang w:eastAsia="en-GB"/>
        </w:rPr>
      </w:pPr>
    </w:p>
    <w:p w14:paraId="2878C5E8" w14:textId="77777777" w:rsidR="00E519DF" w:rsidRDefault="00E519DF" w:rsidP="00E519DF">
      <w:pPr>
        <w:rPr>
          <w:lang w:eastAsia="en-GB"/>
        </w:rPr>
      </w:pPr>
    </w:p>
    <w:p w14:paraId="73781F15" w14:textId="77777777" w:rsidR="00E519DF" w:rsidRDefault="00E519DF" w:rsidP="00E519DF">
      <w:pPr>
        <w:rPr>
          <w:lang w:eastAsia="en-GB"/>
        </w:rPr>
      </w:pPr>
    </w:p>
    <w:p w14:paraId="4F879C05" w14:textId="77777777" w:rsidR="00E519DF" w:rsidRDefault="00E519DF" w:rsidP="00E519DF">
      <w:pPr>
        <w:rPr>
          <w:lang w:eastAsia="en-GB"/>
        </w:rPr>
      </w:pPr>
    </w:p>
    <w:p w14:paraId="65DCC1F0" w14:textId="77777777" w:rsidR="00E519DF" w:rsidRDefault="00E519DF" w:rsidP="00E519DF">
      <w:pPr>
        <w:rPr>
          <w:lang w:eastAsia="en-GB"/>
        </w:rPr>
      </w:pPr>
    </w:p>
    <w:p w14:paraId="2F66AB4B" w14:textId="77777777" w:rsidR="00E519DF" w:rsidRDefault="00E519DF" w:rsidP="00E519DF">
      <w:pPr>
        <w:rPr>
          <w:lang w:eastAsia="en-GB"/>
        </w:rPr>
      </w:pPr>
    </w:p>
    <w:p w14:paraId="1CA5F7BB" w14:textId="77777777" w:rsidR="00E519DF" w:rsidRDefault="00E519DF" w:rsidP="00E519DF">
      <w:pPr>
        <w:rPr>
          <w:lang w:eastAsia="en-GB"/>
        </w:rPr>
      </w:pPr>
    </w:p>
    <w:p w14:paraId="54BF7E07" w14:textId="77777777" w:rsidR="00E519DF" w:rsidRDefault="00E519DF" w:rsidP="00E519DF">
      <w:pPr>
        <w:rPr>
          <w:lang w:eastAsia="en-GB"/>
        </w:rPr>
      </w:pPr>
    </w:p>
    <w:p w14:paraId="6ED978AC" w14:textId="77777777" w:rsidR="00E519DF" w:rsidRDefault="00E519DF" w:rsidP="00E519DF">
      <w:pPr>
        <w:rPr>
          <w:lang w:eastAsia="en-GB"/>
        </w:rPr>
      </w:pPr>
    </w:p>
    <w:p w14:paraId="5599D2E5" w14:textId="77777777" w:rsidR="00E519DF" w:rsidRDefault="00E519DF" w:rsidP="00E519DF">
      <w:pPr>
        <w:rPr>
          <w:lang w:eastAsia="en-GB"/>
        </w:rPr>
      </w:pPr>
    </w:p>
    <w:p w14:paraId="73257A40" w14:textId="77777777" w:rsidR="00E519DF" w:rsidRDefault="00E519DF" w:rsidP="00E519DF">
      <w:pPr>
        <w:rPr>
          <w:lang w:eastAsia="en-GB"/>
        </w:rPr>
      </w:pPr>
    </w:p>
    <w:p w14:paraId="663EB8AE" w14:textId="77777777" w:rsidR="00E519DF" w:rsidRDefault="00E519DF" w:rsidP="00E519DF">
      <w:pPr>
        <w:rPr>
          <w:lang w:eastAsia="en-GB"/>
        </w:rPr>
      </w:pPr>
    </w:p>
    <w:p w14:paraId="218A9AF1" w14:textId="77777777" w:rsidR="00E519DF" w:rsidRDefault="00E519DF" w:rsidP="00E519DF">
      <w:pPr>
        <w:rPr>
          <w:lang w:eastAsia="en-GB"/>
        </w:rPr>
      </w:pPr>
    </w:p>
    <w:p w14:paraId="4CD2D881" w14:textId="77777777" w:rsidR="00E519DF" w:rsidRDefault="00E519DF" w:rsidP="00E519DF">
      <w:pPr>
        <w:rPr>
          <w:lang w:eastAsia="en-GB"/>
        </w:rPr>
      </w:pPr>
    </w:p>
    <w:p w14:paraId="607F0FC0" w14:textId="77777777" w:rsidR="00E519DF" w:rsidRDefault="00E519DF" w:rsidP="00E519DF">
      <w:pPr>
        <w:rPr>
          <w:lang w:eastAsia="en-GB"/>
        </w:rPr>
      </w:pPr>
    </w:p>
    <w:p w14:paraId="6B27ABB6" w14:textId="77777777" w:rsidR="00E519DF" w:rsidRDefault="00E519DF" w:rsidP="00E519DF">
      <w:pPr>
        <w:rPr>
          <w:lang w:eastAsia="en-GB"/>
        </w:rPr>
      </w:pPr>
    </w:p>
    <w:p w14:paraId="73A54AFB" w14:textId="77777777" w:rsidR="00E519DF" w:rsidRDefault="00E519DF" w:rsidP="00E519DF">
      <w:pPr>
        <w:rPr>
          <w:lang w:eastAsia="en-GB"/>
        </w:rPr>
      </w:pPr>
    </w:p>
    <w:p w14:paraId="0989527A" w14:textId="77777777" w:rsidR="00E519DF" w:rsidRDefault="00E519DF" w:rsidP="00E519DF">
      <w:pPr>
        <w:rPr>
          <w:lang w:eastAsia="en-GB"/>
        </w:rPr>
      </w:pPr>
    </w:p>
    <w:p w14:paraId="18D3AE43" w14:textId="77777777" w:rsidR="00E519DF" w:rsidRDefault="00E519DF" w:rsidP="00E519DF">
      <w:pPr>
        <w:rPr>
          <w:lang w:eastAsia="en-GB"/>
        </w:rPr>
      </w:pPr>
    </w:p>
    <w:p w14:paraId="6B06A082" w14:textId="77777777" w:rsidR="00E519DF" w:rsidRDefault="00E519DF" w:rsidP="00E519DF">
      <w:pPr>
        <w:rPr>
          <w:lang w:eastAsia="en-GB"/>
        </w:rPr>
      </w:pPr>
    </w:p>
    <w:p w14:paraId="7DFC46B5" w14:textId="77777777" w:rsidR="00E519DF" w:rsidRDefault="00E519DF" w:rsidP="00E519DF">
      <w:pPr>
        <w:rPr>
          <w:lang w:eastAsia="en-GB"/>
        </w:rPr>
      </w:pPr>
    </w:p>
    <w:p w14:paraId="518A487A" w14:textId="29B406E2" w:rsidR="00E519DF" w:rsidRPr="007B5909" w:rsidRDefault="00E519DF" w:rsidP="007B5909">
      <w:pPr>
        <w:pStyle w:val="EU"/>
        <w:numPr>
          <w:ilvl w:val="0"/>
          <w:numId w:val="1"/>
        </w:numPr>
        <w:spacing w:line="360" w:lineRule="auto"/>
        <w:rPr>
          <w:color w:val="auto"/>
        </w:rPr>
      </w:pPr>
      <w:bookmarkStart w:id="1" w:name="_Toc182588846"/>
      <w:r w:rsidRPr="007B5909">
        <w:rPr>
          <w:color w:val="auto"/>
        </w:rPr>
        <w:lastRenderedPageBreak/>
        <w:t>Introduction</w:t>
      </w:r>
      <w:bookmarkEnd w:id="1"/>
      <w:r w:rsidRPr="007B5909">
        <w:rPr>
          <w:color w:val="auto"/>
        </w:rPr>
        <w:t xml:space="preserve"> </w:t>
      </w:r>
    </w:p>
    <w:p w14:paraId="67C188BB" w14:textId="4ED28B43" w:rsidR="00E519DF" w:rsidRPr="007B5909" w:rsidRDefault="00E519DF"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In the hospitality sector, sustainability is achieved through the implementation of practices that minimise environmental impact, foster social responsibility, and guarantee economic sustainability</w:t>
      </w:r>
      <w:r w:rsidR="00A73BF8" w:rsidRPr="007B5909">
        <w:rPr>
          <w:rFonts w:ascii="Arial" w:hAnsi="Arial" w:cs="Arial"/>
          <w:sz w:val="24"/>
          <w:szCs w:val="24"/>
          <w:lang w:eastAsia="en-GB"/>
        </w:rPr>
        <w:t xml:space="preserve"> (Cooper, 2021)</w:t>
      </w:r>
      <w:r w:rsidRPr="007B5909">
        <w:rPr>
          <w:rFonts w:ascii="Arial" w:hAnsi="Arial" w:cs="Arial"/>
          <w:sz w:val="24"/>
          <w:szCs w:val="24"/>
          <w:lang w:eastAsia="en-GB"/>
        </w:rPr>
        <w:t>. Effective waste management, efficient resource utilisation, and the reduction of carbon footprints are among the most critical principles. These practices are essential for hotels to reduce their environmental impact, comply with regulatory requirements, and attract eco-conscious consumers</w:t>
      </w:r>
      <w:r w:rsidR="00A73BF8" w:rsidRPr="007B5909">
        <w:rPr>
          <w:rFonts w:ascii="Arial" w:hAnsi="Arial" w:cs="Arial"/>
          <w:sz w:val="24"/>
          <w:szCs w:val="24"/>
          <w:lang w:eastAsia="en-GB"/>
        </w:rPr>
        <w:t xml:space="preserve"> (Jauhari, 2021)</w:t>
      </w:r>
      <w:r w:rsidRPr="007B5909">
        <w:rPr>
          <w:rFonts w:ascii="Arial" w:hAnsi="Arial" w:cs="Arial"/>
          <w:sz w:val="24"/>
          <w:szCs w:val="24"/>
          <w:lang w:eastAsia="en-GB"/>
        </w:rPr>
        <w:t xml:space="preserve">. A hotel's </w:t>
      </w:r>
      <w:r w:rsidR="00A73BF8" w:rsidRPr="007B5909">
        <w:rPr>
          <w:rFonts w:ascii="Arial" w:hAnsi="Arial" w:cs="Arial"/>
          <w:sz w:val="24"/>
          <w:szCs w:val="24"/>
          <w:lang w:eastAsia="en-GB"/>
        </w:rPr>
        <w:t>commitment</w:t>
      </w:r>
      <w:r w:rsidRPr="007B5909">
        <w:rPr>
          <w:rFonts w:ascii="Arial" w:hAnsi="Arial" w:cs="Arial"/>
          <w:sz w:val="24"/>
          <w:szCs w:val="24"/>
          <w:lang w:eastAsia="en-GB"/>
        </w:rPr>
        <w:t xml:space="preserve"> to sustainable operational and building standards is illustrated by its compliance with industry standards, including Leadership in Energy and Environmental Design (LEED) certification. Nevertheless, the </w:t>
      </w:r>
      <w:r w:rsidR="00A73BF8" w:rsidRPr="007B5909">
        <w:rPr>
          <w:rFonts w:ascii="Arial" w:hAnsi="Arial" w:cs="Arial"/>
          <w:sz w:val="24"/>
          <w:szCs w:val="24"/>
          <w:lang w:eastAsia="en-GB"/>
        </w:rPr>
        <w:t>spread</w:t>
      </w:r>
      <w:r w:rsidRPr="007B5909">
        <w:rPr>
          <w:rFonts w:ascii="Arial" w:hAnsi="Arial" w:cs="Arial"/>
          <w:sz w:val="24"/>
          <w:szCs w:val="24"/>
          <w:lang w:eastAsia="en-GB"/>
        </w:rPr>
        <w:t xml:space="preserve"> of "greenwashing," which involves organisations making false assertions regarding their environmental initiatives, presents a substantial obstacle. This practice erodes consumer trust and undermines genuine sustainability initiatives (</w:t>
      </w:r>
      <w:r w:rsidR="00A73BF8" w:rsidRPr="007B5909">
        <w:rPr>
          <w:rFonts w:ascii="Arial" w:hAnsi="Arial" w:cs="Arial"/>
          <w:sz w:val="24"/>
          <w:szCs w:val="24"/>
          <w:lang w:eastAsia="en-GB"/>
        </w:rPr>
        <w:t>Majeed and Kim, 2022</w:t>
      </w:r>
      <w:r w:rsidRPr="007B5909">
        <w:rPr>
          <w:rFonts w:ascii="Arial" w:hAnsi="Arial" w:cs="Arial"/>
          <w:sz w:val="24"/>
          <w:szCs w:val="24"/>
          <w:lang w:eastAsia="en-GB"/>
        </w:rPr>
        <w:t>). In contrast, "greenhushing" is the intentional suppression of information or silence regarding sustainability practices in order to prevent criticism or repercussions</w:t>
      </w:r>
      <w:r w:rsidR="00A73BF8" w:rsidRPr="007B5909">
        <w:rPr>
          <w:rFonts w:ascii="Arial" w:hAnsi="Arial" w:cs="Arial"/>
          <w:sz w:val="24"/>
          <w:szCs w:val="24"/>
          <w:lang w:eastAsia="en-GB"/>
        </w:rPr>
        <w:t xml:space="preserve"> (Ettinger et al., 2021)</w:t>
      </w:r>
      <w:r w:rsidRPr="007B5909">
        <w:rPr>
          <w:rFonts w:ascii="Arial" w:hAnsi="Arial" w:cs="Arial"/>
          <w:sz w:val="24"/>
          <w:szCs w:val="24"/>
          <w:lang w:eastAsia="en-GB"/>
        </w:rPr>
        <w:t xml:space="preserve">. The necessity for transparency and authenticity in sustainability communications within the hospitality sector is </w:t>
      </w:r>
      <w:r w:rsidR="00A73BF8" w:rsidRPr="007B5909">
        <w:rPr>
          <w:rFonts w:ascii="Arial" w:hAnsi="Arial" w:cs="Arial"/>
          <w:sz w:val="24"/>
          <w:szCs w:val="24"/>
          <w:lang w:eastAsia="en-GB"/>
        </w:rPr>
        <w:t>accentuated</w:t>
      </w:r>
      <w:r w:rsidRPr="007B5909">
        <w:rPr>
          <w:rFonts w:ascii="Arial" w:hAnsi="Arial" w:cs="Arial"/>
          <w:sz w:val="24"/>
          <w:szCs w:val="24"/>
          <w:lang w:eastAsia="en-GB"/>
        </w:rPr>
        <w:t xml:space="preserve"> by both phenomena. Hotels can establish enduring trust with stakeholders and make a significant contribution to global sustainability objectives by adopting genuine sustainable practices and transparently reporting their progress</w:t>
      </w:r>
      <w:r w:rsidR="00A73BF8" w:rsidRPr="007B5909">
        <w:rPr>
          <w:rFonts w:ascii="Arial" w:hAnsi="Arial" w:cs="Arial"/>
          <w:sz w:val="24"/>
          <w:szCs w:val="24"/>
          <w:lang w:eastAsia="en-GB"/>
        </w:rPr>
        <w:t>(Wickham, Donnelly, and French, 2021).</w:t>
      </w:r>
      <w:r w:rsidRPr="007B5909">
        <w:rPr>
          <w:rFonts w:ascii="Arial" w:hAnsi="Arial" w:cs="Arial"/>
          <w:sz w:val="24"/>
          <w:szCs w:val="24"/>
          <w:lang w:eastAsia="en-GB"/>
        </w:rPr>
        <w:t xml:space="preserve"> The report aims to critically assess The Langham, London's sustainability practices, with a particular emphasis on its accomplishments and the identification of gaps. This includes the organization's continued use of single-use plastics, the absence of transparency in carbon emissions reporting, and the limited third-party verification.</w:t>
      </w:r>
    </w:p>
    <w:p w14:paraId="05A3BCE0" w14:textId="2467051A" w:rsidR="00E519DF" w:rsidRPr="007B5909" w:rsidRDefault="00E519DF" w:rsidP="007B5909">
      <w:pPr>
        <w:spacing w:line="360" w:lineRule="auto"/>
        <w:jc w:val="both"/>
        <w:rPr>
          <w:rFonts w:ascii="Arial" w:hAnsi="Arial" w:cs="Arial"/>
          <w:sz w:val="24"/>
          <w:szCs w:val="24"/>
          <w:lang w:eastAsia="en-GB"/>
        </w:rPr>
      </w:pPr>
    </w:p>
    <w:p w14:paraId="493B07CA" w14:textId="31FC1CFC" w:rsidR="00E519DF" w:rsidRPr="007B5909" w:rsidRDefault="00E519DF" w:rsidP="007B5909">
      <w:pPr>
        <w:pStyle w:val="EU"/>
        <w:numPr>
          <w:ilvl w:val="0"/>
          <w:numId w:val="1"/>
        </w:numPr>
        <w:spacing w:line="360" w:lineRule="auto"/>
        <w:rPr>
          <w:color w:val="auto"/>
        </w:rPr>
      </w:pPr>
      <w:bookmarkStart w:id="2" w:name="_Toc182588847"/>
      <w:r w:rsidRPr="007B5909">
        <w:rPr>
          <w:color w:val="auto"/>
        </w:rPr>
        <w:t>Main findings</w:t>
      </w:r>
      <w:bookmarkEnd w:id="2"/>
      <w:r w:rsidRPr="007B5909">
        <w:rPr>
          <w:color w:val="auto"/>
        </w:rPr>
        <w:t xml:space="preserve"> </w:t>
      </w:r>
    </w:p>
    <w:p w14:paraId="5CDD8D0E" w14:textId="2F16F730" w:rsidR="00E519DF" w:rsidRPr="007B5909" w:rsidRDefault="00E519DF" w:rsidP="007B5909">
      <w:pPr>
        <w:pStyle w:val="EU"/>
        <w:numPr>
          <w:ilvl w:val="1"/>
          <w:numId w:val="1"/>
        </w:numPr>
        <w:spacing w:line="360" w:lineRule="auto"/>
        <w:rPr>
          <w:color w:val="auto"/>
        </w:rPr>
      </w:pPr>
      <w:bookmarkStart w:id="3" w:name="_Toc182588848"/>
      <w:r w:rsidRPr="007B5909">
        <w:rPr>
          <w:color w:val="auto"/>
        </w:rPr>
        <w:t>The Langham, London Existing Sustainability Efforts</w:t>
      </w:r>
      <w:bookmarkEnd w:id="3"/>
    </w:p>
    <w:p w14:paraId="4D54F81B" w14:textId="74739A86" w:rsidR="00E519DF" w:rsidRPr="007B5909" w:rsidRDefault="00E519DF"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 xml:space="preserve">The Langham, London has made significant strides in sustainability as a result of its comprehensive initiatives. A significant achievement is the establishment of a zero-waste-to-landfill policy, which is facilitated by an on-site food waste digester that converts organic waste into greywater, which is then securely discharged. Additionally, </w:t>
      </w:r>
      <w:r w:rsidRPr="007B5909">
        <w:rPr>
          <w:rFonts w:ascii="Arial" w:hAnsi="Arial" w:cs="Arial"/>
          <w:sz w:val="24"/>
          <w:szCs w:val="24"/>
          <w:lang w:eastAsia="en-GB"/>
        </w:rPr>
        <w:lastRenderedPageBreak/>
        <w:t>the hotel implements extensive recycling initiatives to prevent materials such as metals, glass, and paper from being disposed of in landfills</w:t>
      </w:r>
      <w:r w:rsidR="00A73BF8" w:rsidRPr="007B5909">
        <w:rPr>
          <w:rFonts w:ascii="Arial" w:hAnsi="Arial" w:cs="Arial"/>
          <w:sz w:val="24"/>
          <w:szCs w:val="24"/>
        </w:rPr>
        <w:t xml:space="preserve"> </w:t>
      </w:r>
      <w:r w:rsidR="00A73BF8" w:rsidRPr="007B5909">
        <w:rPr>
          <w:rFonts w:ascii="Arial" w:hAnsi="Arial" w:cs="Arial"/>
          <w:sz w:val="24"/>
          <w:szCs w:val="24"/>
          <w:lang w:eastAsia="en-GB"/>
        </w:rPr>
        <w:t>(The Caterer, 2024)</w:t>
      </w:r>
      <w:r w:rsidRPr="007B5909">
        <w:rPr>
          <w:rFonts w:ascii="Arial" w:hAnsi="Arial" w:cs="Arial"/>
          <w:sz w:val="24"/>
          <w:szCs w:val="24"/>
          <w:lang w:eastAsia="en-GB"/>
        </w:rPr>
        <w:t>. The Langham has implemented refillable dispensers for visitor lavatory amenities in order to mitigate single-use plastics, by this means substantially decreasing plastic waste. Additional measures include the substitution of plastic utensils and cutlery with sustainable alternatives and the reduction of back-of-house plastic usage</w:t>
      </w:r>
      <w:r w:rsidR="00A73BF8" w:rsidRPr="007B5909">
        <w:rPr>
          <w:rFonts w:ascii="Arial" w:hAnsi="Arial" w:cs="Arial"/>
          <w:sz w:val="24"/>
          <w:szCs w:val="24"/>
          <w:lang w:eastAsia="en-GB"/>
        </w:rPr>
        <w:t xml:space="preserve"> (The Langham, 2024)</w:t>
      </w:r>
      <w:r w:rsidRPr="007B5909">
        <w:rPr>
          <w:rFonts w:ascii="Arial" w:hAnsi="Arial" w:cs="Arial"/>
          <w:sz w:val="24"/>
          <w:szCs w:val="24"/>
          <w:lang w:eastAsia="en-GB"/>
        </w:rPr>
        <w:t>. The Langham utilises energy-efficient HVAC systems and LED illumination to optimise energy and water efficiency, thereby decreasing electrical consumption. It also employs low-flow water fixtures, such as showerheads and faucets, to ensure visitor convenience while conserving water</w:t>
      </w:r>
      <w:r w:rsidR="00A73BF8" w:rsidRPr="007B5909">
        <w:rPr>
          <w:rFonts w:ascii="Arial" w:hAnsi="Arial" w:cs="Arial"/>
          <w:sz w:val="24"/>
          <w:szCs w:val="24"/>
          <w:lang w:eastAsia="en-GB"/>
        </w:rPr>
        <w:t xml:space="preserve"> (Jouhara and Yang, 2018)</w:t>
      </w:r>
      <w:r w:rsidRPr="007B5909">
        <w:rPr>
          <w:rFonts w:ascii="Arial" w:hAnsi="Arial" w:cs="Arial"/>
          <w:sz w:val="24"/>
          <w:szCs w:val="24"/>
          <w:lang w:eastAsia="en-GB"/>
        </w:rPr>
        <w:t>. These initiatives are consistent with global environmental standards and result in substantial resource reductions. The Langham has been acknowledged for its sustainable operations and construction efforts by receiving the Gold LEED certification. In addition, the hotel has been awarded the EarthCheck Platinum Certification, which is indicative of its leadership in sustainability benchmarking and environmental performance</w:t>
      </w:r>
      <w:r w:rsidR="00AA17ED" w:rsidRPr="007B5909">
        <w:rPr>
          <w:rFonts w:ascii="Arial" w:hAnsi="Arial" w:cs="Arial"/>
          <w:sz w:val="24"/>
          <w:szCs w:val="24"/>
        </w:rPr>
        <w:t xml:space="preserve"> </w:t>
      </w:r>
      <w:r w:rsidR="00AA17ED" w:rsidRPr="007B5909">
        <w:rPr>
          <w:rFonts w:ascii="Arial" w:hAnsi="Arial" w:cs="Arial"/>
          <w:sz w:val="24"/>
          <w:szCs w:val="24"/>
          <w:lang w:eastAsia="en-GB"/>
        </w:rPr>
        <w:t>(Hutcheson, 2024)</w:t>
      </w:r>
      <w:r w:rsidRPr="007B5909">
        <w:rPr>
          <w:rFonts w:ascii="Arial" w:hAnsi="Arial" w:cs="Arial"/>
          <w:sz w:val="24"/>
          <w:szCs w:val="24"/>
          <w:lang w:eastAsia="en-GB"/>
        </w:rPr>
        <w:t>. These accomplishments establish The Langham as a sustainability leader in the luxury hospitality sector, establishing a high standard for environmental responsibility within the industry.</w:t>
      </w:r>
    </w:p>
    <w:p w14:paraId="4CFAEA36" w14:textId="48AC3132" w:rsidR="00E519DF" w:rsidRPr="007B5909" w:rsidRDefault="00E519DF" w:rsidP="007B5909">
      <w:pPr>
        <w:pStyle w:val="EU"/>
        <w:numPr>
          <w:ilvl w:val="1"/>
          <w:numId w:val="1"/>
        </w:numPr>
        <w:spacing w:line="360" w:lineRule="auto"/>
        <w:rPr>
          <w:color w:val="auto"/>
        </w:rPr>
      </w:pPr>
      <w:bookmarkStart w:id="4" w:name="_Toc182588849"/>
      <w:r w:rsidRPr="007B5909">
        <w:rPr>
          <w:color w:val="auto"/>
        </w:rPr>
        <w:t>Discrepancies in Sustainability Practices</w:t>
      </w:r>
      <w:bookmarkEnd w:id="4"/>
    </w:p>
    <w:p w14:paraId="7A436B35" w14:textId="68FE9849" w:rsidR="00E519DF" w:rsidRPr="007B5909" w:rsidRDefault="00E519DF"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Although the Langham, London is commendable in its sustainability initiatives, it is confronted with critical voids that have an impact on its operational and environmental performance. The absence of precise objectives and comprehensive carbon emissions reporting is a significant concern. The hotel's credibility is restricted by the absence of transparent metrics or measurable objectives, which render its progress unverifiable</w:t>
      </w:r>
      <w:r w:rsidR="00AA17ED" w:rsidRPr="007B5909">
        <w:rPr>
          <w:rFonts w:ascii="Arial" w:hAnsi="Arial" w:cs="Arial"/>
          <w:sz w:val="24"/>
          <w:szCs w:val="24"/>
          <w:lang w:eastAsia="en-GB"/>
        </w:rPr>
        <w:t xml:space="preserve"> (Jones, Hillier and Comfort, 2016)</w:t>
      </w:r>
      <w:r w:rsidRPr="007B5909">
        <w:rPr>
          <w:rFonts w:ascii="Arial" w:hAnsi="Arial" w:cs="Arial"/>
          <w:sz w:val="24"/>
          <w:szCs w:val="24"/>
          <w:lang w:eastAsia="en-GB"/>
        </w:rPr>
        <w:t>. The Langham's capacity to effectively contribute to global climate mitigation efforts is diminished by the absence of such benchmarks, which could result in reputational damage as regulatory and consumer scrutiny intensifies. Another lacuna is the lack of comprehensive third-party verification beyond its Gold LEED certification. Although LEED demonstrates a dedication to sustainable infrastructure, it does not ensure operational sustainability</w:t>
      </w:r>
      <w:r w:rsidR="00AA17ED" w:rsidRPr="007B5909">
        <w:rPr>
          <w:rFonts w:ascii="Arial" w:hAnsi="Arial" w:cs="Arial"/>
          <w:sz w:val="24"/>
          <w:szCs w:val="24"/>
          <w:lang w:eastAsia="en-GB"/>
        </w:rPr>
        <w:t xml:space="preserve"> (Geerts, 2014)</w:t>
      </w:r>
      <w:r w:rsidRPr="007B5909">
        <w:rPr>
          <w:rFonts w:ascii="Arial" w:hAnsi="Arial" w:cs="Arial"/>
          <w:sz w:val="24"/>
          <w:szCs w:val="24"/>
          <w:lang w:eastAsia="en-GB"/>
        </w:rPr>
        <w:t>. Periodic assessments are conducted by external certifications such as EarthCheck or Green Globe to guarantee ongoing improvement and increased transparency (</w:t>
      </w:r>
      <w:r w:rsidR="00AA17ED" w:rsidRPr="007B5909">
        <w:rPr>
          <w:rFonts w:ascii="Arial" w:hAnsi="Arial" w:cs="Arial"/>
          <w:sz w:val="24"/>
          <w:szCs w:val="24"/>
          <w:lang w:eastAsia="en-GB"/>
        </w:rPr>
        <w:t>Green Glove, n.d.</w:t>
      </w:r>
      <w:r w:rsidRPr="007B5909">
        <w:rPr>
          <w:rFonts w:ascii="Arial" w:hAnsi="Arial" w:cs="Arial"/>
          <w:sz w:val="24"/>
          <w:szCs w:val="24"/>
          <w:lang w:eastAsia="en-GB"/>
        </w:rPr>
        <w:t xml:space="preserve">). In the absence of these verifications, The Langham is at risk of being </w:t>
      </w:r>
      <w:r w:rsidRPr="007B5909">
        <w:rPr>
          <w:rFonts w:ascii="Arial" w:hAnsi="Arial" w:cs="Arial"/>
          <w:sz w:val="24"/>
          <w:szCs w:val="24"/>
          <w:lang w:eastAsia="en-GB"/>
        </w:rPr>
        <w:lastRenderedPageBreak/>
        <w:t xml:space="preserve">accused of greenwashing, a practice in which sustainability claims are either exaggerated or unsubstantiated, </w:t>
      </w:r>
      <w:r w:rsidR="00AA17ED" w:rsidRPr="007B5909">
        <w:rPr>
          <w:rFonts w:ascii="Arial" w:hAnsi="Arial" w:cs="Arial"/>
          <w:sz w:val="24"/>
          <w:szCs w:val="24"/>
          <w:lang w:eastAsia="en-GB"/>
        </w:rPr>
        <w:t>by this means</w:t>
      </w:r>
      <w:r w:rsidRPr="007B5909">
        <w:rPr>
          <w:rFonts w:ascii="Arial" w:hAnsi="Arial" w:cs="Arial"/>
          <w:sz w:val="24"/>
          <w:szCs w:val="24"/>
          <w:lang w:eastAsia="en-GB"/>
        </w:rPr>
        <w:t xml:space="preserve"> eroding consumer trust and discourageing eco-conscious travellers</w:t>
      </w:r>
      <w:r w:rsidR="00AA17ED" w:rsidRPr="007B5909">
        <w:rPr>
          <w:rFonts w:ascii="Arial" w:hAnsi="Arial" w:cs="Arial"/>
          <w:sz w:val="24"/>
          <w:szCs w:val="24"/>
          <w:lang w:eastAsia="en-GB"/>
        </w:rPr>
        <w:t xml:space="preserve"> (Batabyal, 2018)</w:t>
      </w:r>
      <w:r w:rsidRPr="007B5909">
        <w:rPr>
          <w:rFonts w:ascii="Arial" w:hAnsi="Arial" w:cs="Arial"/>
          <w:sz w:val="24"/>
          <w:szCs w:val="24"/>
          <w:lang w:eastAsia="en-GB"/>
        </w:rPr>
        <w:t xml:space="preserve">. Its sustainability strategy is further compromised by an incomplete transition from single-use plastics. Although initiatives such as refillable dispensers have enhanced guest-facing areas, back-of-house operations and supply chain plastics remain largely unaddressed. Operational plastics are a significant contributor to waste streams, which exacerbates environmental degradation and is inconsistent with the principles of the circular economy </w:t>
      </w:r>
      <w:r w:rsidR="00AA17ED" w:rsidRPr="007B5909">
        <w:rPr>
          <w:rFonts w:ascii="Arial" w:hAnsi="Arial" w:cs="Arial"/>
          <w:sz w:val="24"/>
          <w:szCs w:val="24"/>
          <w:lang w:eastAsia="en-GB"/>
        </w:rPr>
        <w:t>(Kumar et al., 2021).</w:t>
      </w:r>
      <w:r w:rsidRPr="007B5909">
        <w:rPr>
          <w:rFonts w:ascii="Arial" w:hAnsi="Arial" w:cs="Arial"/>
          <w:sz w:val="24"/>
          <w:szCs w:val="24"/>
          <w:lang w:eastAsia="en-GB"/>
        </w:rPr>
        <w:t xml:space="preserve"> The Langham's partial measures not only mitigate its environmental impact but also introduce operational inefficiencies, as the hotel's dependence on single-use plastics restricts the availability of cost-effective reusable alternatives. These voids present The Langham with numerous disadvantages. In the EU, regulatory penalties may be imposed as a consequence of the absence of transparency in emissions reporting, which is a result of the tightening of environmental laws. The credibility of its claims is compromised by the absence of third-party audits, which may result in the alienation of consumers and investors</w:t>
      </w:r>
      <w:r w:rsidR="00AA17ED" w:rsidRPr="007B5909">
        <w:rPr>
          <w:rFonts w:ascii="Arial" w:hAnsi="Arial" w:cs="Arial"/>
          <w:sz w:val="24"/>
          <w:szCs w:val="24"/>
          <w:lang w:eastAsia="en-GB"/>
        </w:rPr>
        <w:t xml:space="preserve"> (European Union Agency for Fundamental Rights, 2024)</w:t>
      </w:r>
      <w:r w:rsidRPr="007B5909">
        <w:rPr>
          <w:rFonts w:ascii="Arial" w:hAnsi="Arial" w:cs="Arial"/>
          <w:sz w:val="24"/>
          <w:szCs w:val="24"/>
          <w:lang w:eastAsia="en-GB"/>
        </w:rPr>
        <w:t>. Moreover, the failure to take adequate action on single-use plastics results in environmental degradation and undermines brand differentiation in a market that is becoming increasingly eco-conscious. The Langham must address these issues by implementing a comprehensive plastic elimination strategy, third-party certifications, and transparent reporting in order to maintain its sustainability commitments and competitive advantage.</w:t>
      </w:r>
    </w:p>
    <w:p w14:paraId="0C849359" w14:textId="7C85F160" w:rsidR="00E519DF" w:rsidRPr="007B5909" w:rsidRDefault="00E519DF" w:rsidP="007B5909">
      <w:pPr>
        <w:pStyle w:val="EU"/>
        <w:numPr>
          <w:ilvl w:val="1"/>
          <w:numId w:val="1"/>
        </w:numPr>
        <w:spacing w:line="360" w:lineRule="auto"/>
        <w:rPr>
          <w:color w:val="auto"/>
        </w:rPr>
      </w:pPr>
      <w:bookmarkStart w:id="5" w:name="_Toc182588850"/>
      <w:r w:rsidRPr="007B5909">
        <w:rPr>
          <w:color w:val="auto"/>
        </w:rPr>
        <w:t>Industry Benchmarks</w:t>
      </w:r>
      <w:bookmarkEnd w:id="5"/>
    </w:p>
    <w:p w14:paraId="6D0A7025" w14:textId="4B4ADCE0" w:rsidR="00E90043" w:rsidRPr="007B5909" w:rsidRDefault="00E90043"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A number of areas are identified in which The Langham, London could improve its environmental strategies when comparing its sustainability initiatives to those of its counterparts. The Savoy has successfully implemented a comprehensive sustainability program, resulting in the attainment of Green Key UK Certification, a prestigious standard of distinction in environmental responsibility and sustainable operation within the tourism industry. The Savoy's dedication to transparent environmental performance metrics is demonstrated by this certification, which establishes a standard that The Langham has yet to surpass</w:t>
      </w:r>
      <w:r w:rsidR="00AA17ED" w:rsidRPr="007B5909">
        <w:rPr>
          <w:rFonts w:ascii="Arial" w:hAnsi="Arial" w:cs="Arial"/>
          <w:sz w:val="24"/>
          <w:szCs w:val="24"/>
        </w:rPr>
        <w:t xml:space="preserve"> </w:t>
      </w:r>
      <w:r w:rsidR="00AA17ED" w:rsidRPr="007B5909">
        <w:rPr>
          <w:rFonts w:ascii="Arial" w:hAnsi="Arial" w:cs="Arial"/>
          <w:sz w:val="24"/>
          <w:szCs w:val="24"/>
          <w:lang w:eastAsia="en-GB"/>
        </w:rPr>
        <w:t>(The Savoy, 2018)</w:t>
      </w:r>
      <w:r w:rsidRPr="007B5909">
        <w:rPr>
          <w:rFonts w:ascii="Arial" w:hAnsi="Arial" w:cs="Arial"/>
          <w:sz w:val="24"/>
          <w:szCs w:val="24"/>
          <w:lang w:eastAsia="en-GB"/>
        </w:rPr>
        <w:t xml:space="preserve">. Furthermore, The Savoy has implemented a food waste digester and comprehensive </w:t>
      </w:r>
      <w:r w:rsidRPr="007B5909">
        <w:rPr>
          <w:rFonts w:ascii="Arial" w:hAnsi="Arial" w:cs="Arial"/>
          <w:sz w:val="24"/>
          <w:szCs w:val="24"/>
          <w:lang w:eastAsia="en-GB"/>
        </w:rPr>
        <w:lastRenderedPageBreak/>
        <w:t>recycling initiatives in order to achieve zero waste to landfill. Additionally, they have implemented refillable dispensers to decrease the quantity of single-use guest lavatory amenities, thereby illustrating a more proactive strategy for reducing plastic waste.  Marriott International has established ambitious sustainability objectives, including the pursuit of LEED certification or equivalent for 650 hotels and the certification of 100% of its hotels by 2025. The corporation has also pledged to reduce waste by 45% by 2025 by implementing waste audits, recycling, and decomposition</w:t>
      </w:r>
      <w:r w:rsidR="008E16A0" w:rsidRPr="007B5909">
        <w:rPr>
          <w:rFonts w:ascii="Arial" w:hAnsi="Arial" w:cs="Arial"/>
          <w:sz w:val="24"/>
          <w:szCs w:val="24"/>
        </w:rPr>
        <w:t xml:space="preserve"> </w:t>
      </w:r>
      <w:r w:rsidR="008E16A0" w:rsidRPr="007B5909">
        <w:rPr>
          <w:rFonts w:ascii="Arial" w:hAnsi="Arial" w:cs="Arial"/>
          <w:sz w:val="24"/>
          <w:szCs w:val="24"/>
          <w:lang w:eastAsia="en-GB"/>
        </w:rPr>
        <w:t>(Marriott, 2024)</w:t>
      </w:r>
      <w:r w:rsidRPr="007B5909">
        <w:rPr>
          <w:rFonts w:ascii="Arial" w:hAnsi="Arial" w:cs="Arial"/>
          <w:sz w:val="24"/>
          <w:szCs w:val="24"/>
          <w:lang w:eastAsia="en-GB"/>
        </w:rPr>
        <w:t>. The Langham currently lacks a level of accountability that Marriott's transparent reporting and third-party verifications provide.  The Four Seasons Hotel Nashville has been awarded the esteemed LEED Gold certification by the US Green Building Council, underscoring the hotel's firm dedication to energy efficiency, environmental stewardship, and sustainability. Since its inception in 2022, the hotel has implemented a variety of innovative and eco-friendly initiatives, which demonstrate a commitment to green building practices and the reduction of its environmental impact</w:t>
      </w:r>
      <w:r w:rsidR="008E16A0" w:rsidRPr="007B5909">
        <w:rPr>
          <w:rFonts w:ascii="Arial" w:hAnsi="Arial" w:cs="Arial"/>
          <w:sz w:val="24"/>
          <w:szCs w:val="24"/>
          <w:lang w:eastAsia="en-GB"/>
        </w:rPr>
        <w:t xml:space="preserve"> (Four Seasons Press Room, 2024)</w:t>
      </w:r>
      <w:r w:rsidRPr="007B5909">
        <w:rPr>
          <w:rFonts w:ascii="Arial" w:hAnsi="Arial" w:cs="Arial"/>
          <w:sz w:val="24"/>
          <w:szCs w:val="24"/>
          <w:lang w:eastAsia="en-GB"/>
        </w:rPr>
        <w:t>.</w:t>
      </w:r>
    </w:p>
    <w:p w14:paraId="49AC6922" w14:textId="7642ADBD" w:rsidR="00E90043" w:rsidRPr="007B5909" w:rsidRDefault="00E90043" w:rsidP="007B5909">
      <w:pPr>
        <w:pStyle w:val="EU"/>
        <w:numPr>
          <w:ilvl w:val="1"/>
          <w:numId w:val="1"/>
        </w:numPr>
        <w:spacing w:line="360" w:lineRule="auto"/>
        <w:rPr>
          <w:color w:val="auto"/>
        </w:rPr>
      </w:pPr>
      <w:bookmarkStart w:id="6" w:name="_Toc182588851"/>
      <w:r w:rsidRPr="007B5909">
        <w:rPr>
          <w:color w:val="auto"/>
        </w:rPr>
        <w:t>Regulations</w:t>
      </w:r>
      <w:bookmarkEnd w:id="6"/>
      <w:r w:rsidRPr="007B5909">
        <w:rPr>
          <w:color w:val="auto"/>
        </w:rPr>
        <w:t xml:space="preserve"> </w:t>
      </w:r>
    </w:p>
    <w:p w14:paraId="3FE02C85" w14:textId="190A9EE2" w:rsidR="00E90043" w:rsidRPr="007B5909" w:rsidRDefault="00E90043"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The hospitality sector, which encompasses establishments such as The Langham, London, is substantially affected by the United Kingdom's evolving environmental regulations. The Climate-Related Financial Disclosure and the UK Sustainability Disclosure Standards have mandated that businesses report on their sustainability practices and implement significant changes to ensure that they are making positive contributions to environmental preservation and social justice</w:t>
      </w:r>
      <w:r w:rsidR="008E16A0" w:rsidRPr="007B5909">
        <w:rPr>
          <w:rFonts w:ascii="Arial" w:hAnsi="Arial" w:cs="Arial"/>
          <w:sz w:val="24"/>
          <w:szCs w:val="24"/>
        </w:rPr>
        <w:t xml:space="preserve"> </w:t>
      </w:r>
      <w:r w:rsidR="008E16A0" w:rsidRPr="007B5909">
        <w:rPr>
          <w:rFonts w:ascii="Arial" w:hAnsi="Arial" w:cs="Arial"/>
          <w:sz w:val="24"/>
          <w:szCs w:val="24"/>
          <w:lang w:eastAsia="en-GB"/>
        </w:rPr>
        <w:t>(Roberts, 2024)</w:t>
      </w:r>
      <w:r w:rsidRPr="007B5909">
        <w:rPr>
          <w:rFonts w:ascii="Arial" w:hAnsi="Arial" w:cs="Arial"/>
          <w:sz w:val="24"/>
          <w:szCs w:val="24"/>
          <w:lang w:eastAsia="en-GB"/>
        </w:rPr>
        <w:t>. This requires the establishment of specific reduction targets and the transparent reporting of carbon emissions by The Langham. Furthermore, the United Kingdom's dedication to attaining net-zero carbon emissions by 2050 necessitates more stringent energy efficiency standards for buildings. It is anticipated that hotels will implement energy-efficient systems and decrease their dependence on fossil fuels. Penalties and reputational harm may ensue in the event of noncompliance</w:t>
      </w:r>
      <w:r w:rsidR="008E16A0" w:rsidRPr="007B5909">
        <w:rPr>
          <w:rFonts w:ascii="Arial" w:hAnsi="Arial" w:cs="Arial"/>
          <w:sz w:val="24"/>
          <w:szCs w:val="24"/>
          <w:lang w:eastAsia="en-GB"/>
        </w:rPr>
        <w:t xml:space="preserve"> (GOV UK, 2023)</w:t>
      </w:r>
      <w:r w:rsidRPr="007B5909">
        <w:rPr>
          <w:rFonts w:ascii="Arial" w:hAnsi="Arial" w:cs="Arial"/>
          <w:sz w:val="24"/>
          <w:szCs w:val="24"/>
          <w:lang w:eastAsia="en-GB"/>
        </w:rPr>
        <w:t>. The Langham must improve its sustainability initiatives, such as comprehensive waste management, energy conservation, and transparent environmental reporting, to comply with these regulations and preserve its market position.</w:t>
      </w:r>
    </w:p>
    <w:p w14:paraId="46DE7E57" w14:textId="4A900D6F" w:rsidR="00E90043" w:rsidRPr="007B5909" w:rsidRDefault="00E90043" w:rsidP="007B5909">
      <w:pPr>
        <w:pStyle w:val="EU"/>
        <w:numPr>
          <w:ilvl w:val="1"/>
          <w:numId w:val="1"/>
        </w:numPr>
        <w:spacing w:line="360" w:lineRule="auto"/>
        <w:rPr>
          <w:color w:val="auto"/>
        </w:rPr>
      </w:pPr>
      <w:bookmarkStart w:id="7" w:name="_Toc182588852"/>
      <w:r w:rsidRPr="007B5909">
        <w:rPr>
          <w:color w:val="auto"/>
        </w:rPr>
        <w:lastRenderedPageBreak/>
        <w:t>How to address the gaps</w:t>
      </w:r>
      <w:bookmarkEnd w:id="7"/>
    </w:p>
    <w:p w14:paraId="41B6A780" w14:textId="0066E96B" w:rsidR="00E90043" w:rsidRPr="007B5909" w:rsidRDefault="00E90043"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A range of strategies must be taken to resolve the sustainability deficiencies that have been identified at The Langham, London. Initially, it is imperative to improve the transparency of carbon emissions. The hotel could establish measurable, science-based emission reduction targets by implementing a comprehensive carbon monitoring system</w:t>
      </w:r>
      <w:r w:rsidR="008E16A0" w:rsidRPr="007B5909">
        <w:rPr>
          <w:rFonts w:ascii="Arial" w:hAnsi="Arial" w:cs="Arial"/>
          <w:sz w:val="24"/>
          <w:szCs w:val="24"/>
          <w:lang w:eastAsia="en-GB"/>
        </w:rPr>
        <w:t xml:space="preserve"> (Gössling et al., 2023). </w:t>
      </w:r>
      <w:r w:rsidRPr="007B5909">
        <w:rPr>
          <w:rFonts w:ascii="Arial" w:hAnsi="Arial" w:cs="Arial"/>
          <w:sz w:val="24"/>
          <w:szCs w:val="24"/>
          <w:lang w:eastAsia="en-GB"/>
        </w:rPr>
        <w:t>In addition to fostering stakeholder trust, consistent public reporting of emissions and progress towards these objectives would also serve to demonstrate accountability. This transparency is essential, as stakeholders are increasingly requesting verifiable environmental performance data. Subsequently, it is essential to acquire improved third-party verification</w:t>
      </w:r>
      <w:r w:rsidR="008E16A0" w:rsidRPr="007B5909">
        <w:rPr>
          <w:rFonts w:ascii="Arial" w:hAnsi="Arial" w:cs="Arial"/>
          <w:sz w:val="24"/>
          <w:szCs w:val="24"/>
          <w:lang w:eastAsia="en-GB"/>
        </w:rPr>
        <w:t xml:space="preserve"> (Haski-Leventhal, 2018). </w:t>
      </w:r>
      <w:r w:rsidRPr="007B5909">
        <w:rPr>
          <w:rFonts w:ascii="Arial" w:hAnsi="Arial" w:cs="Arial"/>
          <w:sz w:val="24"/>
          <w:szCs w:val="24"/>
          <w:lang w:eastAsia="en-GB"/>
        </w:rPr>
        <w:t>Although the hotel has achieved a Gold LEED certification, it would be more credible if it were to collaborate with independent organisations like Green Globe or EarthCheck. These organisations provide comprehensive evaluations of sustainability practices that incorporate economic, social, and environmental aspects.  By obtaining certifications that surpass LEED, the hotel would demonstrate a thorough dedication to sustainability, thereby addressing potential concerns of greenwashing and reaffirming its commitment to ongoing improvement</w:t>
      </w:r>
      <w:r w:rsidR="008E16A0" w:rsidRPr="007B5909">
        <w:rPr>
          <w:rFonts w:ascii="Arial" w:hAnsi="Arial" w:cs="Arial"/>
          <w:sz w:val="24"/>
          <w:szCs w:val="24"/>
          <w:lang w:eastAsia="en-GB"/>
        </w:rPr>
        <w:t xml:space="preserve"> (Leyva and Parra, 2021)</w:t>
      </w:r>
      <w:r w:rsidRPr="007B5909">
        <w:rPr>
          <w:rFonts w:ascii="Arial" w:hAnsi="Arial" w:cs="Arial"/>
          <w:sz w:val="24"/>
          <w:szCs w:val="24"/>
          <w:lang w:eastAsia="en-GB"/>
        </w:rPr>
        <w:t>.  Thirdly, it is imperative to implement an all-encompassing plastic reduction strategy. The environmental impact would be considerably reduced by extending efforts to abolish single-use plastics across all operations, including back-of-house areas. It is imperative to collaborate with suppliers to identify sustainable alternatives, as the sustainability footprint of a hotel is significantly impacted by supply chain practices</w:t>
      </w:r>
      <w:r w:rsidR="008E16A0" w:rsidRPr="007B5909">
        <w:rPr>
          <w:rFonts w:ascii="Arial" w:hAnsi="Arial" w:cs="Arial"/>
          <w:sz w:val="24"/>
          <w:szCs w:val="24"/>
        </w:rPr>
        <w:t xml:space="preserve"> </w:t>
      </w:r>
      <w:r w:rsidR="008E16A0" w:rsidRPr="007B5909">
        <w:rPr>
          <w:rFonts w:ascii="Arial" w:hAnsi="Arial" w:cs="Arial"/>
          <w:sz w:val="24"/>
          <w:szCs w:val="24"/>
          <w:lang w:eastAsia="en-GB"/>
        </w:rPr>
        <w:t>(UNEP, 2021)</w:t>
      </w:r>
      <w:r w:rsidRPr="007B5909">
        <w:rPr>
          <w:rFonts w:ascii="Arial" w:hAnsi="Arial" w:cs="Arial"/>
          <w:sz w:val="24"/>
          <w:szCs w:val="24"/>
          <w:lang w:eastAsia="en-GB"/>
        </w:rPr>
        <w:t>. The effectiveness of this initiative can be further enhanced by implementing staff training programs to promote best practices in waste reduction and engaging visitors through awareness campaigns. The advantages of these proposed solutions are multifaceted. Environmentally, the hotel is in alignment with global sustainability objectives, including the Paris Agreement's objective to restrict global warming to 1.5°C, through enhanced waste reduction and carbon footprint management</w:t>
      </w:r>
      <w:r w:rsidR="008E16A0" w:rsidRPr="007B5909">
        <w:rPr>
          <w:rFonts w:ascii="Arial" w:hAnsi="Arial" w:cs="Arial"/>
          <w:sz w:val="24"/>
          <w:szCs w:val="24"/>
        </w:rPr>
        <w:t xml:space="preserve"> </w:t>
      </w:r>
      <w:r w:rsidR="008E16A0" w:rsidRPr="007B5909">
        <w:rPr>
          <w:rFonts w:ascii="Arial" w:hAnsi="Arial" w:cs="Arial"/>
          <w:sz w:val="24"/>
          <w:szCs w:val="24"/>
          <w:lang w:eastAsia="en-GB"/>
        </w:rPr>
        <w:t>(United Nations, 2018)</w:t>
      </w:r>
      <w:r w:rsidRPr="007B5909">
        <w:rPr>
          <w:rFonts w:ascii="Arial" w:hAnsi="Arial" w:cs="Arial"/>
          <w:sz w:val="24"/>
          <w:szCs w:val="24"/>
          <w:lang w:eastAsia="en-GB"/>
        </w:rPr>
        <w:t xml:space="preserve">.  In terms of economics, substantial savings can be achieved by decreasing energy consumption and refuse disposal expenses. Additionally, by exhibiting a strong dedication to sustainability, it is possible to attract eco-conscious travellers, which could potentially increase revenue and occupancy rates. These initiatives have the potential to improve visitor satisfaction in a social context, as contemporary travellers are increasingly prioritising environmental </w:t>
      </w:r>
      <w:r w:rsidRPr="007B5909">
        <w:rPr>
          <w:rFonts w:ascii="Arial" w:hAnsi="Arial" w:cs="Arial"/>
          <w:sz w:val="24"/>
          <w:szCs w:val="24"/>
          <w:lang w:eastAsia="en-GB"/>
        </w:rPr>
        <w:lastRenderedPageBreak/>
        <w:t>responsibility when selecting accommodations</w:t>
      </w:r>
      <w:r w:rsidR="007B5909" w:rsidRPr="007B5909">
        <w:rPr>
          <w:rFonts w:ascii="Arial" w:hAnsi="Arial" w:cs="Arial"/>
          <w:sz w:val="24"/>
          <w:szCs w:val="24"/>
          <w:lang w:eastAsia="en-GB"/>
        </w:rPr>
        <w:t xml:space="preserve"> (Costa and Costa, 2022).</w:t>
      </w:r>
      <w:r w:rsidRPr="007B5909">
        <w:rPr>
          <w:rFonts w:ascii="Arial" w:hAnsi="Arial" w:cs="Arial"/>
          <w:sz w:val="24"/>
          <w:szCs w:val="24"/>
          <w:lang w:eastAsia="en-GB"/>
        </w:rPr>
        <w:t xml:space="preserve"> Furthermore, the integration of employees in sustainability initiatives can enhance morale and engagement, </w:t>
      </w:r>
      <w:r w:rsidR="007B5909" w:rsidRPr="007B5909">
        <w:rPr>
          <w:rFonts w:ascii="Arial" w:hAnsi="Arial" w:cs="Arial"/>
          <w:sz w:val="24"/>
          <w:szCs w:val="24"/>
          <w:lang w:eastAsia="en-GB"/>
        </w:rPr>
        <w:t>in that way</w:t>
      </w:r>
      <w:r w:rsidRPr="007B5909">
        <w:rPr>
          <w:rFonts w:ascii="Arial" w:hAnsi="Arial" w:cs="Arial"/>
          <w:sz w:val="24"/>
          <w:szCs w:val="24"/>
          <w:lang w:eastAsia="en-GB"/>
        </w:rPr>
        <w:t xml:space="preserve"> cultivating a culture of environmental stewardship within the organisation. The hotel's reputation and relationships with local stakeholders can be enhanced by contributing to community sustainability through responsible practices.</w:t>
      </w:r>
    </w:p>
    <w:p w14:paraId="530DC718" w14:textId="7A4CCB84" w:rsidR="00E90043" w:rsidRPr="007B5909" w:rsidRDefault="00E90043" w:rsidP="007B5909">
      <w:pPr>
        <w:pStyle w:val="EU"/>
        <w:numPr>
          <w:ilvl w:val="0"/>
          <w:numId w:val="1"/>
        </w:numPr>
        <w:spacing w:line="360" w:lineRule="auto"/>
        <w:rPr>
          <w:color w:val="auto"/>
        </w:rPr>
      </w:pPr>
      <w:bookmarkStart w:id="8" w:name="_Toc182588853"/>
      <w:r w:rsidRPr="007B5909">
        <w:rPr>
          <w:color w:val="auto"/>
        </w:rPr>
        <w:t>Conclusion</w:t>
      </w:r>
      <w:bookmarkEnd w:id="8"/>
      <w:r w:rsidRPr="007B5909">
        <w:rPr>
          <w:color w:val="auto"/>
        </w:rPr>
        <w:t xml:space="preserve"> </w:t>
      </w:r>
    </w:p>
    <w:p w14:paraId="1744B9DC" w14:textId="56E05356" w:rsidR="00E90043" w:rsidRPr="007B5909" w:rsidRDefault="00786FDA"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The Langham, London, exhibits a commendable dedication to sustainability by implementing sustainable practices, including energy-efficient systems, zero refuse to disposal, and Gold LEED certification. Nevertheless, its complete alignment with industry best practices is impeded by critical voids in its sustainability strategy. Transparency is compromised and stakeholder trust is weakened by the absence of comprehensive reporting and specific carbon emission reduction targets. Additionally, the hotel's operational efficiency and environmental impact are restricted by its incomplete transition from single-use plastics and its dependence on limited third-party verification. The Langham can substantially enhance its sustainability performance by implementing measurable carbon monitoring systems, broader third-party certifications, and a comprehensive plastic reduction strategy to resolve these gaps. By reducing waste and carbon emissions, these actions will support global sustainability objectives and improve environmental outcomes. Furthermore, the business case for these measures is bolstered by economic benefits, including the attraction of eco-conscious travellers and cost reductions. In a social context, the hotel's dedication to community sustainability will be further bolstered by enhanced employee engagement and client satisfaction.</w:t>
      </w:r>
    </w:p>
    <w:p w14:paraId="7AFCE8A2" w14:textId="77777777" w:rsidR="00786FDA" w:rsidRDefault="00786FDA" w:rsidP="00786FDA">
      <w:pPr>
        <w:spacing w:line="360" w:lineRule="auto"/>
        <w:jc w:val="both"/>
        <w:rPr>
          <w:rFonts w:ascii="Arial" w:hAnsi="Arial" w:cs="Arial"/>
          <w:sz w:val="24"/>
          <w:szCs w:val="24"/>
          <w:lang w:eastAsia="en-GB"/>
        </w:rPr>
      </w:pPr>
    </w:p>
    <w:p w14:paraId="707F3B52" w14:textId="77777777" w:rsidR="00A73BF8" w:rsidRDefault="00A73BF8" w:rsidP="00786FDA">
      <w:pPr>
        <w:spacing w:line="360" w:lineRule="auto"/>
        <w:jc w:val="both"/>
        <w:rPr>
          <w:rFonts w:ascii="Arial" w:hAnsi="Arial" w:cs="Arial"/>
          <w:sz w:val="24"/>
          <w:szCs w:val="24"/>
          <w:lang w:eastAsia="en-GB"/>
        </w:rPr>
      </w:pPr>
    </w:p>
    <w:p w14:paraId="77FDE470" w14:textId="77777777" w:rsidR="00A73BF8" w:rsidRDefault="00A73BF8" w:rsidP="00786FDA">
      <w:pPr>
        <w:spacing w:line="360" w:lineRule="auto"/>
        <w:jc w:val="both"/>
        <w:rPr>
          <w:rFonts w:ascii="Arial" w:hAnsi="Arial" w:cs="Arial"/>
          <w:sz w:val="24"/>
          <w:szCs w:val="24"/>
          <w:lang w:eastAsia="en-GB"/>
        </w:rPr>
      </w:pPr>
    </w:p>
    <w:p w14:paraId="506D29B3" w14:textId="77777777" w:rsidR="00A73BF8" w:rsidRDefault="00A73BF8" w:rsidP="00786FDA">
      <w:pPr>
        <w:spacing w:line="360" w:lineRule="auto"/>
        <w:jc w:val="both"/>
        <w:rPr>
          <w:rFonts w:ascii="Arial" w:hAnsi="Arial" w:cs="Arial"/>
          <w:sz w:val="24"/>
          <w:szCs w:val="24"/>
          <w:lang w:eastAsia="en-GB"/>
        </w:rPr>
      </w:pPr>
    </w:p>
    <w:p w14:paraId="3A267E9A" w14:textId="77777777" w:rsidR="00A73BF8" w:rsidRDefault="00A73BF8" w:rsidP="00786FDA">
      <w:pPr>
        <w:spacing w:line="360" w:lineRule="auto"/>
        <w:jc w:val="both"/>
        <w:rPr>
          <w:rFonts w:ascii="Arial" w:hAnsi="Arial" w:cs="Arial"/>
          <w:sz w:val="24"/>
          <w:szCs w:val="24"/>
          <w:lang w:eastAsia="en-GB"/>
        </w:rPr>
      </w:pPr>
    </w:p>
    <w:p w14:paraId="7E569A85" w14:textId="77777777" w:rsidR="00A73BF8" w:rsidRDefault="00A73BF8" w:rsidP="00786FDA">
      <w:pPr>
        <w:spacing w:line="360" w:lineRule="auto"/>
        <w:jc w:val="both"/>
        <w:rPr>
          <w:rFonts w:ascii="Arial" w:hAnsi="Arial" w:cs="Arial"/>
          <w:sz w:val="24"/>
          <w:szCs w:val="24"/>
          <w:lang w:eastAsia="en-GB"/>
        </w:rPr>
      </w:pPr>
    </w:p>
    <w:p w14:paraId="6B0CBA23" w14:textId="77777777" w:rsidR="00A73BF8" w:rsidRDefault="00A73BF8" w:rsidP="00786FDA">
      <w:pPr>
        <w:spacing w:line="360" w:lineRule="auto"/>
        <w:jc w:val="both"/>
        <w:rPr>
          <w:rFonts w:ascii="Arial" w:hAnsi="Arial" w:cs="Arial"/>
          <w:sz w:val="24"/>
          <w:szCs w:val="24"/>
          <w:lang w:eastAsia="en-GB"/>
        </w:rPr>
      </w:pPr>
    </w:p>
    <w:p w14:paraId="60C16BF7" w14:textId="0A45C105" w:rsidR="00786FDA" w:rsidRPr="007B5909" w:rsidRDefault="00786FDA" w:rsidP="007B5909">
      <w:pPr>
        <w:pStyle w:val="EU"/>
        <w:numPr>
          <w:ilvl w:val="0"/>
          <w:numId w:val="1"/>
        </w:numPr>
        <w:spacing w:line="360" w:lineRule="auto"/>
        <w:rPr>
          <w:color w:val="auto"/>
        </w:rPr>
      </w:pPr>
      <w:bookmarkStart w:id="9" w:name="_Toc182588854"/>
      <w:r w:rsidRPr="007B5909">
        <w:rPr>
          <w:color w:val="auto"/>
        </w:rPr>
        <w:lastRenderedPageBreak/>
        <w:t>References</w:t>
      </w:r>
      <w:bookmarkEnd w:id="9"/>
    </w:p>
    <w:p w14:paraId="495CE466" w14:textId="77777777"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 xml:space="preserve">Batabyal. (2018). Managing Sustainable Tourism Resources. IGI Global. </w:t>
      </w:r>
    </w:p>
    <w:p w14:paraId="3556419B" w14:textId="17739D0E" w:rsidR="00E90043"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Cooper, C. (2021) Essentials of tourism. Third edition. London: SAGE.</w:t>
      </w:r>
    </w:p>
    <w:p w14:paraId="5BB18B93" w14:textId="5DB50797" w:rsidR="007B5909" w:rsidRPr="007B5909" w:rsidRDefault="007B5909"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Costa, and Costa, C. (2022). Sustainability and competitiveness in the hospitality industry (Costa &amp; C. Costa, Eds.). Business Science Reference.</w:t>
      </w:r>
    </w:p>
    <w:p w14:paraId="7DDFB360" w14:textId="350210CB" w:rsidR="00A73BF8"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Ettinger, A., Grabner-Kräuter, S., Okazaki, S. and Terlutter, R., 2021. The desirability of CSR communication versus greenhushing in the hospitality industry: The customers’ perspective. Journal of Travel Research, 60(3), pp.618-638.</w:t>
      </w:r>
    </w:p>
    <w:p w14:paraId="4C5EEC7C" w14:textId="33128A3E"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 xml:space="preserve">European Union Agency for Fundamental Rights. (2024). Enforcing consumer rights to combat greenwashing. [online] Available at: </w:t>
      </w:r>
      <w:hyperlink r:id="rId7" w:history="1">
        <w:r w:rsidR="008E16A0" w:rsidRPr="007B5909">
          <w:rPr>
            <w:rStyle w:val="Hyperlink"/>
            <w:rFonts w:ascii="Arial" w:hAnsi="Arial" w:cs="Arial"/>
            <w:color w:val="auto"/>
            <w:sz w:val="24"/>
            <w:szCs w:val="24"/>
            <w:lang w:eastAsia="en-GB"/>
          </w:rPr>
          <w:t>https://fra.europa.eu/en/publication/2024/enforcing-consumer-rights-combat-greenwashing</w:t>
        </w:r>
      </w:hyperlink>
      <w:r w:rsidRPr="007B5909">
        <w:rPr>
          <w:rFonts w:ascii="Arial" w:hAnsi="Arial" w:cs="Arial"/>
          <w:sz w:val="24"/>
          <w:szCs w:val="24"/>
          <w:lang w:eastAsia="en-GB"/>
        </w:rPr>
        <w:t>.</w:t>
      </w:r>
    </w:p>
    <w:p w14:paraId="65C4621D" w14:textId="0551EA6D"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Four Seasons Press Room. (2024). Four Seasons Hotel Nashville Achieves Prestigious LEED Gold Certification. [online] Available at: https://press.fourseasons.com/nashville/hotel-news/2024/leed-gold-certification/ [Accessed 7 Nov. 2024].</w:t>
      </w:r>
    </w:p>
    <w:p w14:paraId="69EBB95B" w14:textId="6A5076EB"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Geerts, W., 2014. Environmental certification schemes: Hotel managers’ views and perceptions. International Journal of Hospitality Management, 39, pp.87-96.</w:t>
      </w:r>
    </w:p>
    <w:p w14:paraId="73380890" w14:textId="655F8D7D"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Gössling, S., Balas, M., Mayer, M. and Sun, Y.-Y. (2023). A review of tourism and climate change mitigation: The scales, scopes, stakeholders and strategies of carbon management. Tourism Management, [online] 95, p.104681. doi:https://doi.org/10.1016/j.tourman.2022.104681.</w:t>
      </w:r>
    </w:p>
    <w:p w14:paraId="167BE018" w14:textId="3A95E442"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GOV UK (2023). PM recommits UK to Net Zero by 2050 and pledges a ‘fairer’ path to achieving target to ease the financial burden on British families. [online] GOV.UK. Available at: https://www.gov.uk/government/news/pm-recommits-uk-to-net-zero-by-2050-and-pledges-a-fairer-path-to-achieving-target-to-ease-the-financial-burden-on-british-families.</w:t>
      </w:r>
    </w:p>
    <w:p w14:paraId="190BF7C7" w14:textId="45BBD418"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 xml:space="preserve">Green Globe (n.d.). Criteria &amp; Indicators —. [online] Available at: </w:t>
      </w:r>
      <w:hyperlink r:id="rId8" w:history="1">
        <w:r w:rsidR="008E16A0" w:rsidRPr="007B5909">
          <w:rPr>
            <w:rStyle w:val="Hyperlink"/>
            <w:rFonts w:ascii="Arial" w:hAnsi="Arial" w:cs="Arial"/>
            <w:color w:val="auto"/>
            <w:sz w:val="24"/>
            <w:szCs w:val="24"/>
            <w:lang w:eastAsia="en-GB"/>
          </w:rPr>
          <w:t>https://www.greenglobe.com/criteria-indicators</w:t>
        </w:r>
      </w:hyperlink>
      <w:r w:rsidRPr="007B5909">
        <w:rPr>
          <w:rFonts w:ascii="Arial" w:hAnsi="Arial" w:cs="Arial"/>
          <w:sz w:val="24"/>
          <w:szCs w:val="24"/>
          <w:lang w:eastAsia="en-GB"/>
        </w:rPr>
        <w:t>.</w:t>
      </w:r>
    </w:p>
    <w:p w14:paraId="4A7AE6FB" w14:textId="3624E385"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lastRenderedPageBreak/>
        <w:t>Haski-Leventhal, D. (2018) Strategic corporate social responsibility : tools &amp; theories for responsible management. London: SAGE.</w:t>
      </w:r>
    </w:p>
    <w:p w14:paraId="0B0B9029" w14:textId="040D6923"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Hutcheson, G. (2024). The Langham Estate achieves Planet Mark certification - The Langham Estate. [online] The Langham Estate. Available at: https://langhamestate.com/news/the-langham-estate-achieves-planet-mark-certification/ [Accessed 5 Nov. 2024].</w:t>
      </w:r>
    </w:p>
    <w:p w14:paraId="4F00601B" w14:textId="74A72495" w:rsidR="00A73BF8"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Jauhari, V (2021) ‘Managing Sustainability in the Hospitality and Tourism Industry: Paradigms and Directions for the Future’ 9th edn.Oakville: Apple Academic Press. Inc</w:t>
      </w:r>
    </w:p>
    <w:p w14:paraId="3754B4CD" w14:textId="66F82F3D"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Jones, P., Hillier, D. and Comfort, D., 2016. Sustainability in the hospitality industry: Some personal reflections on corporate challenges and research agendas. International Journal of Contemporary Hospitality Management, 28(1), pp.36-67.</w:t>
      </w:r>
    </w:p>
    <w:p w14:paraId="7657BD66" w14:textId="512BD812" w:rsidR="00A73BF8"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Jouhara, H. and Yang, J., 2018. Energy efficient HVAC systems. Energy and Buildings, 179, pp.83-85.</w:t>
      </w:r>
    </w:p>
    <w:p w14:paraId="18C81B6D" w14:textId="6CA6904F"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Kumar, R., Verma, A., Shome, A., Sinha, R., Sinha, S., Jha, P.K., Kumar, R., Kumar, P., Shubham, Das, S., Sharma, P. and Vara Prasad, P.V. (2021). Impacts of Plastic Pollution on Ecosystem Services, Sustainable Development Goals, and Need to Focus on Circular Economy and Policy Interventions. Sustainability, 13(17), p.9963.</w:t>
      </w:r>
    </w:p>
    <w:p w14:paraId="4D82F3D6" w14:textId="62201DA2"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Leyva, E.S. and Parra, D.P. (2021). Environmental approach in the hotel industry: Riding the wave of change. Sustainable Futures, [online] 3, p.100050. doi:https://doi.org/10.1016/j.sftr.2021.100050.</w:t>
      </w:r>
    </w:p>
    <w:p w14:paraId="1C6A18E0" w14:textId="6EE2F4D8"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Marriott (2024). Sustain responsible operations. [online] csr-marriott. Available at: https://serve360.marriott.com/sustain/.</w:t>
      </w:r>
    </w:p>
    <w:p w14:paraId="253AC7E6" w14:textId="7ECFAA02" w:rsidR="00A73BF8"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Majeed, S. and Kim, W.G., 2022. A reflection of greenwashing practices in the hospitality industry: a scoping review. International Journal of Contemporary Hospitality Management, 35(3), pp.1125-1146.</w:t>
      </w:r>
    </w:p>
    <w:p w14:paraId="23F988E3" w14:textId="423BE8E5"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Roberts, I. (2024). Navigating the tide of sustainability regulations: a guide for UK hospitality businesses - UKHospitality. [online] UKHospitality. Available at: https://www.ukhospitality.org.uk/navigating-the-tide-of-sustainability-regulations-a-guide-for-uk-hospitality-businesses/.</w:t>
      </w:r>
    </w:p>
    <w:p w14:paraId="3882A215" w14:textId="2AE8A761" w:rsidR="00A73BF8"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lastRenderedPageBreak/>
        <w:t xml:space="preserve">The Caterer. (2024). The Langham London introduces revolutionary food waste management system. [online] Available at: </w:t>
      </w:r>
      <w:hyperlink r:id="rId9" w:history="1">
        <w:r w:rsidRPr="007B5909">
          <w:rPr>
            <w:rStyle w:val="Hyperlink"/>
            <w:rFonts w:ascii="Arial" w:hAnsi="Arial" w:cs="Arial"/>
            <w:color w:val="auto"/>
            <w:sz w:val="24"/>
            <w:szCs w:val="24"/>
            <w:lang w:eastAsia="en-GB"/>
          </w:rPr>
          <w:t>https://www.thecaterer.com/news/the-langham-london-introduces-revolutionary-food-waste-management-system</w:t>
        </w:r>
      </w:hyperlink>
      <w:r w:rsidRPr="007B5909">
        <w:rPr>
          <w:rFonts w:ascii="Arial" w:hAnsi="Arial" w:cs="Arial"/>
          <w:sz w:val="24"/>
          <w:szCs w:val="24"/>
          <w:lang w:eastAsia="en-GB"/>
        </w:rPr>
        <w:t>.</w:t>
      </w:r>
    </w:p>
    <w:p w14:paraId="3F1A7DAB" w14:textId="31932EEF" w:rsidR="00AA17ED" w:rsidRPr="007B5909" w:rsidRDefault="00AA17ED"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The Savoy (2018). Iniciativas sostenibles del hotel | The Savoy. [online] The Savoy London. Available at: https://www.thesavoylondon.com/about-us/sustainability-initiatives/.</w:t>
      </w:r>
    </w:p>
    <w:p w14:paraId="58E8897A" w14:textId="3FAED070" w:rsidR="00A73BF8"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 xml:space="preserve">The Langham, (2024). Corporate Social Responsibility Statement. Available at: </w:t>
      </w:r>
      <w:hyperlink r:id="rId10" w:history="1">
        <w:r w:rsidR="008E16A0" w:rsidRPr="007B5909">
          <w:rPr>
            <w:rStyle w:val="Hyperlink"/>
            <w:rFonts w:ascii="Arial" w:hAnsi="Arial" w:cs="Arial"/>
            <w:color w:val="auto"/>
            <w:sz w:val="24"/>
            <w:szCs w:val="24"/>
            <w:lang w:eastAsia="en-GB"/>
          </w:rPr>
          <w:t>https://www.langhamhotels.com/content/dam/langhamhotels/tllon-pdfs/tllon_CSR_Policy_230924.pdf</w:t>
        </w:r>
      </w:hyperlink>
    </w:p>
    <w:p w14:paraId="5447D5D5" w14:textId="0582B869"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United Nations (2018). UN Works with Global Hotel Industry to Reduce Emissions | UNFCCC. [online] Unfccc.int. Available at: https://unfccc.int/news/un-works-with-global-hotel-industry-to-reduce-emissions.</w:t>
      </w:r>
    </w:p>
    <w:p w14:paraId="573708A7" w14:textId="69042A8A" w:rsidR="008E16A0" w:rsidRPr="007B5909" w:rsidRDefault="008E16A0"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UNEP (2021). How to Reduce the Impacts of single-use Plastic Products. [online] UNEP. Available at: https://www.unep.org/news-and-stories/story/how-reduce-impacts-single-use-plastic-products.</w:t>
      </w:r>
    </w:p>
    <w:p w14:paraId="644F892B" w14:textId="016653CB" w:rsidR="00A73BF8" w:rsidRPr="007B5909" w:rsidRDefault="00A73BF8" w:rsidP="007B5909">
      <w:pPr>
        <w:spacing w:line="360" w:lineRule="auto"/>
        <w:jc w:val="both"/>
        <w:rPr>
          <w:rFonts w:ascii="Arial" w:hAnsi="Arial" w:cs="Arial"/>
          <w:sz w:val="24"/>
          <w:szCs w:val="24"/>
          <w:lang w:eastAsia="en-GB"/>
        </w:rPr>
      </w:pPr>
      <w:r w:rsidRPr="007B5909">
        <w:rPr>
          <w:rFonts w:ascii="Arial" w:hAnsi="Arial" w:cs="Arial"/>
          <w:sz w:val="24"/>
          <w:szCs w:val="24"/>
          <w:lang w:eastAsia="en-GB"/>
        </w:rPr>
        <w:t>Wickham, M., Donnelly, T. and French, L., 2021. Strategic sustainability management in the event sector. Event Management, 25(3), pp.279-296.</w:t>
      </w:r>
    </w:p>
    <w:sectPr w:rsidR="00A73BF8" w:rsidRPr="007B590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1E264" w14:textId="77777777" w:rsidR="0056450E" w:rsidRDefault="0056450E" w:rsidP="00B6533E">
      <w:pPr>
        <w:spacing w:after="0" w:line="240" w:lineRule="auto"/>
      </w:pPr>
      <w:r>
        <w:separator/>
      </w:r>
    </w:p>
  </w:endnote>
  <w:endnote w:type="continuationSeparator" w:id="0">
    <w:p w14:paraId="1BD9BCEC" w14:textId="77777777" w:rsidR="0056450E" w:rsidRDefault="0056450E" w:rsidP="00B65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7545400"/>
      <w:docPartObj>
        <w:docPartGallery w:val="Page Numbers (Bottom of Page)"/>
        <w:docPartUnique/>
      </w:docPartObj>
    </w:sdtPr>
    <w:sdtContent>
      <w:p w14:paraId="2BE583D7" w14:textId="4CB70EFD" w:rsidR="00B6533E" w:rsidRDefault="00B6533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7459DB6" w14:textId="77777777" w:rsidR="00B6533E" w:rsidRDefault="00B65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5C97A5" w14:textId="77777777" w:rsidR="0056450E" w:rsidRDefault="0056450E" w:rsidP="00B6533E">
      <w:pPr>
        <w:spacing w:after="0" w:line="240" w:lineRule="auto"/>
      </w:pPr>
      <w:r>
        <w:separator/>
      </w:r>
    </w:p>
  </w:footnote>
  <w:footnote w:type="continuationSeparator" w:id="0">
    <w:p w14:paraId="03D85AE2" w14:textId="77777777" w:rsidR="0056450E" w:rsidRDefault="0056450E" w:rsidP="00B65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22151B"/>
    <w:multiLevelType w:val="multilevel"/>
    <w:tmpl w:val="F3244D80"/>
    <w:lvl w:ilvl="0">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49100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A79"/>
    <w:rsid w:val="00090607"/>
    <w:rsid w:val="000E2199"/>
    <w:rsid w:val="00257A79"/>
    <w:rsid w:val="0056450E"/>
    <w:rsid w:val="006D2CC7"/>
    <w:rsid w:val="00786FDA"/>
    <w:rsid w:val="007B0CC3"/>
    <w:rsid w:val="007B5909"/>
    <w:rsid w:val="008544F1"/>
    <w:rsid w:val="008E16A0"/>
    <w:rsid w:val="00A73BF8"/>
    <w:rsid w:val="00AA17ED"/>
    <w:rsid w:val="00B151A8"/>
    <w:rsid w:val="00B6533E"/>
    <w:rsid w:val="00C82D1F"/>
    <w:rsid w:val="00E519DF"/>
    <w:rsid w:val="00E90043"/>
    <w:rsid w:val="00EB7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2B74C"/>
  <w15:chartTrackingRefBased/>
  <w15:docId w15:val="{E11869E7-B5A5-4FAD-86CE-3FF0DFBF1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257A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A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A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A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A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A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A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A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257A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A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A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A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A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A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A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A79"/>
    <w:rPr>
      <w:rFonts w:eastAsiaTheme="majorEastAsia" w:cstheme="majorBidi"/>
      <w:color w:val="272727" w:themeColor="text1" w:themeTint="D8"/>
    </w:rPr>
  </w:style>
  <w:style w:type="paragraph" w:styleId="Title">
    <w:name w:val="Title"/>
    <w:basedOn w:val="Normal"/>
    <w:next w:val="Normal"/>
    <w:link w:val="TitleChar"/>
    <w:uiPriority w:val="10"/>
    <w:qFormat/>
    <w:rsid w:val="00257A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A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A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A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A79"/>
    <w:pPr>
      <w:spacing w:before="160"/>
      <w:jc w:val="center"/>
    </w:pPr>
    <w:rPr>
      <w:i/>
      <w:iCs/>
      <w:color w:val="404040" w:themeColor="text1" w:themeTint="BF"/>
    </w:rPr>
  </w:style>
  <w:style w:type="character" w:customStyle="1" w:styleId="QuoteChar">
    <w:name w:val="Quote Char"/>
    <w:basedOn w:val="DefaultParagraphFont"/>
    <w:link w:val="Quote"/>
    <w:uiPriority w:val="29"/>
    <w:rsid w:val="00257A79"/>
    <w:rPr>
      <w:i/>
      <w:iCs/>
      <w:color w:val="404040" w:themeColor="text1" w:themeTint="BF"/>
    </w:rPr>
  </w:style>
  <w:style w:type="paragraph" w:styleId="ListParagraph">
    <w:name w:val="List Paragraph"/>
    <w:basedOn w:val="Normal"/>
    <w:uiPriority w:val="34"/>
    <w:qFormat/>
    <w:rsid w:val="00257A79"/>
    <w:pPr>
      <w:ind w:left="720"/>
      <w:contextualSpacing/>
    </w:pPr>
  </w:style>
  <w:style w:type="character" w:styleId="IntenseEmphasis">
    <w:name w:val="Intense Emphasis"/>
    <w:basedOn w:val="DefaultParagraphFont"/>
    <w:uiPriority w:val="21"/>
    <w:qFormat/>
    <w:rsid w:val="00257A79"/>
    <w:rPr>
      <w:i/>
      <w:iCs/>
      <w:color w:val="0F4761" w:themeColor="accent1" w:themeShade="BF"/>
    </w:rPr>
  </w:style>
  <w:style w:type="paragraph" w:styleId="IntenseQuote">
    <w:name w:val="Intense Quote"/>
    <w:basedOn w:val="Normal"/>
    <w:next w:val="Normal"/>
    <w:link w:val="IntenseQuoteChar"/>
    <w:uiPriority w:val="30"/>
    <w:qFormat/>
    <w:rsid w:val="00257A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A79"/>
    <w:rPr>
      <w:i/>
      <w:iCs/>
      <w:color w:val="0F4761" w:themeColor="accent1" w:themeShade="BF"/>
    </w:rPr>
  </w:style>
  <w:style w:type="character" w:styleId="IntenseReference">
    <w:name w:val="Intense Reference"/>
    <w:basedOn w:val="DefaultParagraphFont"/>
    <w:uiPriority w:val="32"/>
    <w:qFormat/>
    <w:rsid w:val="00257A79"/>
    <w:rPr>
      <w:b/>
      <w:bCs/>
      <w:smallCaps/>
      <w:color w:val="0F4761" w:themeColor="accent1" w:themeShade="BF"/>
      <w:spacing w:val="5"/>
    </w:rPr>
  </w:style>
  <w:style w:type="paragraph" w:styleId="Header">
    <w:name w:val="header"/>
    <w:basedOn w:val="Normal"/>
    <w:link w:val="HeaderChar"/>
    <w:uiPriority w:val="99"/>
    <w:unhideWhenUsed/>
    <w:rsid w:val="00B65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33E"/>
  </w:style>
  <w:style w:type="paragraph" w:styleId="Footer">
    <w:name w:val="footer"/>
    <w:basedOn w:val="Normal"/>
    <w:link w:val="FooterChar"/>
    <w:uiPriority w:val="99"/>
    <w:unhideWhenUsed/>
    <w:rsid w:val="00B65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33E"/>
  </w:style>
  <w:style w:type="paragraph" w:styleId="TOCHeading">
    <w:name w:val="TOC Heading"/>
    <w:basedOn w:val="Heading1"/>
    <w:next w:val="Normal"/>
    <w:uiPriority w:val="39"/>
    <w:unhideWhenUsed/>
    <w:qFormat/>
    <w:rsid w:val="00786FDA"/>
    <w:pPr>
      <w:outlineLvl w:val="9"/>
    </w:pPr>
    <w:rPr>
      <w:kern w:val="0"/>
      <w:lang w:val="en-US"/>
      <w14:ligatures w14:val="none"/>
    </w:rPr>
  </w:style>
  <w:style w:type="paragraph" w:styleId="TOC1">
    <w:name w:val="toc 1"/>
    <w:basedOn w:val="Normal"/>
    <w:next w:val="Normal"/>
    <w:autoRedefine/>
    <w:uiPriority w:val="39"/>
    <w:unhideWhenUsed/>
    <w:rsid w:val="00786FDA"/>
    <w:pPr>
      <w:spacing w:after="100"/>
    </w:pPr>
  </w:style>
  <w:style w:type="character" w:styleId="Hyperlink">
    <w:name w:val="Hyperlink"/>
    <w:basedOn w:val="DefaultParagraphFont"/>
    <w:uiPriority w:val="99"/>
    <w:unhideWhenUsed/>
    <w:rsid w:val="00786FDA"/>
    <w:rPr>
      <w:color w:val="467886" w:themeColor="hyperlink"/>
      <w:u w:val="single"/>
    </w:rPr>
  </w:style>
  <w:style w:type="character" w:styleId="UnresolvedMention">
    <w:name w:val="Unresolved Mention"/>
    <w:basedOn w:val="DefaultParagraphFont"/>
    <w:uiPriority w:val="99"/>
    <w:semiHidden/>
    <w:unhideWhenUsed/>
    <w:rsid w:val="00A73B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globe.com/criteria-indicato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fra.europa.eu/en/publication/2024/enforcing-consumer-rights-combat-greenwash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anghamhotels.com/content/dam/langhamhotels/tllon-pdfs/tllon_CSR_Policy_230924.pdf" TargetMode="External"/><Relationship Id="rId4" Type="http://schemas.openxmlformats.org/officeDocument/2006/relationships/webSettings" Target="webSettings.xml"/><Relationship Id="rId9" Type="http://schemas.openxmlformats.org/officeDocument/2006/relationships/hyperlink" Target="https://www.thecaterer.com/news/the-langham-london-introduces-revolutionary-food-waste-management-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3420</Words>
  <Characters>19497</Characters>
  <Application>Microsoft Office Word</Application>
  <DocSecurity>0</DocSecurity>
  <Lines>162</Lines>
  <Paragraphs>45</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Executive Summary</vt:lpstr>
      <vt:lpstr>Introduction </vt:lpstr>
      <vt:lpstr>Main findings </vt:lpstr>
      <vt:lpstr>The Langham, London Existing Sustainability Efforts</vt:lpstr>
      <vt:lpstr>Discrepancies in Sustainability Practices</vt:lpstr>
      <vt:lpstr>Industry Benchmarks</vt:lpstr>
      <vt:lpstr>Regulations </vt:lpstr>
      <vt:lpstr>How to address the gaps</vt:lpstr>
      <vt:lpstr>Conclusion </vt:lpstr>
      <vt:lpstr>References</vt:lpstr>
    </vt:vector>
  </TitlesOfParts>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caradan</dc:creator>
  <cp:keywords/>
  <dc:description/>
  <cp:lastModifiedBy>mihaela caradan</cp:lastModifiedBy>
  <cp:revision>2</cp:revision>
  <dcterms:created xsi:type="dcterms:W3CDTF">2024-11-15T19:43:00Z</dcterms:created>
  <dcterms:modified xsi:type="dcterms:W3CDTF">2024-11-15T19:43:00Z</dcterms:modified>
</cp:coreProperties>
</file>