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358D4B" w14:textId="77777777" w:rsidR="00353BB5" w:rsidRDefault="00353BB5" w:rsidP="0002625C">
      <w:pPr>
        <w:spacing w:line="360" w:lineRule="auto"/>
        <w:rPr>
          <w:rFonts w:ascii="Times New Roman" w:hAnsi="Times New Roman" w:cs="Times New Roman"/>
          <w:b/>
          <w:b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393B061" w14:textId="77777777" w:rsidR="00353BB5" w:rsidRDefault="00353BB5" w:rsidP="0002625C">
      <w:pPr>
        <w:spacing w:line="360" w:lineRule="auto"/>
        <w:rPr>
          <w:rFonts w:ascii="Times New Roman" w:hAnsi="Times New Roman" w:cs="Times New Roman"/>
          <w:b/>
          <w:b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E992FA5" w14:textId="14505E31" w:rsidR="00840EA1" w:rsidRPr="00353BB5" w:rsidRDefault="00353BB5" w:rsidP="0002625C">
      <w:pPr>
        <w:spacing w:line="360" w:lineRule="auto"/>
        <w:rPr>
          <w:rFonts w:ascii="Times New Roman" w:hAnsi="Times New Roman" w:cs="Times New Roman"/>
          <w:b/>
          <w:b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53BB5">
        <w:rPr>
          <w:rFonts w:ascii="Times New Roman" w:hAnsi="Times New Roman" w:cs="Times New Roman"/>
          <w:b/>
          <w:b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CONTENTS</w:t>
      </w:r>
    </w:p>
    <w:p w14:paraId="3446E145" w14:textId="18365BDE" w:rsidR="00840EA1" w:rsidRDefault="00840EA1" w:rsidP="0002625C">
      <w:pPr>
        <w:spacing w:line="360" w:lineRule="auto"/>
        <w:rPr>
          <w:rFonts w:ascii="Times New Roman" w:hAnsi="Times New Roman" w:cs="Times New Roman"/>
        </w:rPr>
      </w:pPr>
    </w:p>
    <w:p w14:paraId="786F0F24" w14:textId="6DB4F151" w:rsidR="00353BB5" w:rsidRDefault="00353BB5" w:rsidP="0002625C">
      <w:pPr>
        <w:spacing w:line="360" w:lineRule="auto"/>
        <w:rPr>
          <w:rFonts w:ascii="Times New Roman" w:hAnsi="Times New Roman" w:cs="Times New Roman"/>
        </w:rPr>
      </w:pPr>
      <w:r>
        <w:rPr>
          <w:rFonts w:ascii="Times New Roman" w:hAnsi="Times New Roman" w:cs="Times New Roman"/>
        </w:rPr>
        <w:t>Intention to create legal relations…………………………………………………1</w:t>
      </w:r>
    </w:p>
    <w:p w14:paraId="519AAAA2" w14:textId="1AE0D481" w:rsidR="00353BB5" w:rsidRDefault="00353BB5" w:rsidP="0002625C">
      <w:pPr>
        <w:spacing w:line="360" w:lineRule="auto"/>
        <w:rPr>
          <w:rFonts w:ascii="Times New Roman" w:hAnsi="Times New Roman" w:cs="Times New Roman"/>
        </w:rPr>
      </w:pPr>
      <w:r>
        <w:rPr>
          <w:rFonts w:ascii="Times New Roman" w:hAnsi="Times New Roman" w:cs="Times New Roman"/>
        </w:rPr>
        <w:t>Introduction……………………………………………………………………….1</w:t>
      </w:r>
    </w:p>
    <w:p w14:paraId="3E451D0C" w14:textId="5075E9C9" w:rsidR="00353BB5" w:rsidRDefault="00353BB5" w:rsidP="0002625C">
      <w:pPr>
        <w:spacing w:line="360" w:lineRule="auto"/>
        <w:rPr>
          <w:rFonts w:ascii="Times New Roman" w:hAnsi="Times New Roman" w:cs="Times New Roman"/>
        </w:rPr>
      </w:pPr>
      <w:r>
        <w:rPr>
          <w:rFonts w:ascii="Times New Roman" w:hAnsi="Times New Roman" w:cs="Times New Roman"/>
        </w:rPr>
        <w:t xml:space="preserve">               Rebuttable presumption…………………………………………………2</w:t>
      </w:r>
    </w:p>
    <w:p w14:paraId="5696977D" w14:textId="5129725E" w:rsidR="00353BB5" w:rsidRDefault="00353BB5" w:rsidP="0002625C">
      <w:pPr>
        <w:spacing w:line="360" w:lineRule="auto"/>
        <w:rPr>
          <w:rFonts w:ascii="Times New Roman" w:hAnsi="Times New Roman" w:cs="Times New Roman"/>
        </w:rPr>
      </w:pPr>
      <w:r>
        <w:rPr>
          <w:rFonts w:ascii="Times New Roman" w:hAnsi="Times New Roman" w:cs="Times New Roman"/>
        </w:rPr>
        <w:t xml:space="preserve">               Domestic or Social agreements………………………………………..3-4</w:t>
      </w:r>
    </w:p>
    <w:p w14:paraId="53B8D9B3" w14:textId="380A1AAA" w:rsidR="00353BB5" w:rsidRDefault="00353BB5" w:rsidP="0002625C">
      <w:pPr>
        <w:spacing w:line="360" w:lineRule="auto"/>
        <w:rPr>
          <w:rFonts w:ascii="Times New Roman" w:hAnsi="Times New Roman" w:cs="Times New Roman"/>
        </w:rPr>
      </w:pPr>
      <w:r>
        <w:rPr>
          <w:rFonts w:ascii="Times New Roman" w:hAnsi="Times New Roman" w:cs="Times New Roman"/>
        </w:rPr>
        <w:t xml:space="preserve">               Agreements made with public bodies…………………………………...5</w:t>
      </w:r>
    </w:p>
    <w:p w14:paraId="6BFDDDAD" w14:textId="6E24D9FD" w:rsidR="00353BB5" w:rsidRDefault="00353BB5" w:rsidP="0002625C">
      <w:pPr>
        <w:spacing w:line="360" w:lineRule="auto"/>
        <w:rPr>
          <w:rFonts w:ascii="Times New Roman" w:hAnsi="Times New Roman" w:cs="Times New Roman"/>
        </w:rPr>
      </w:pPr>
      <w:r>
        <w:rPr>
          <w:rFonts w:ascii="Times New Roman" w:hAnsi="Times New Roman" w:cs="Times New Roman"/>
        </w:rPr>
        <w:t xml:space="preserve">                or those which affect public interest</w:t>
      </w:r>
    </w:p>
    <w:p w14:paraId="16CB9F0C" w14:textId="7C171C95" w:rsidR="00353BB5" w:rsidRDefault="0019112C" w:rsidP="0002625C">
      <w:pPr>
        <w:spacing w:line="360" w:lineRule="auto"/>
        <w:rPr>
          <w:rFonts w:ascii="Times New Roman" w:hAnsi="Times New Roman" w:cs="Times New Roman"/>
        </w:rPr>
      </w:pPr>
      <w:r>
        <w:rPr>
          <w:rFonts w:ascii="Times New Roman" w:hAnsi="Times New Roman" w:cs="Times New Roman"/>
        </w:rPr>
        <w:t>Case law</w:t>
      </w:r>
      <w:r w:rsidR="00353BB5">
        <w:rPr>
          <w:rFonts w:ascii="Times New Roman" w:hAnsi="Times New Roman" w:cs="Times New Roman"/>
        </w:rPr>
        <w:t>…………………………………………………………………………</w:t>
      </w:r>
      <w:r>
        <w:rPr>
          <w:rFonts w:ascii="Times New Roman" w:hAnsi="Times New Roman" w:cs="Times New Roman"/>
        </w:rPr>
        <w:t>….</w:t>
      </w:r>
      <w:r w:rsidR="00353BB5">
        <w:rPr>
          <w:rFonts w:ascii="Times New Roman" w:hAnsi="Times New Roman" w:cs="Times New Roman"/>
        </w:rPr>
        <w:t>6</w:t>
      </w:r>
    </w:p>
    <w:p w14:paraId="090BB111" w14:textId="7183C4AC" w:rsidR="00353BB5" w:rsidRPr="00353BB5" w:rsidRDefault="0019112C" w:rsidP="0002625C">
      <w:pPr>
        <w:spacing w:line="360" w:lineRule="auto"/>
        <w:rPr>
          <w:rFonts w:ascii="Times New Roman" w:hAnsi="Times New Roman" w:cs="Times New Roman"/>
        </w:rPr>
      </w:pPr>
      <w:r>
        <w:rPr>
          <w:rFonts w:ascii="Times New Roman" w:hAnsi="Times New Roman" w:cs="Times New Roman"/>
        </w:rPr>
        <w:t>References</w:t>
      </w:r>
      <w:r w:rsidR="00353BB5">
        <w:rPr>
          <w:rFonts w:ascii="Times New Roman" w:hAnsi="Times New Roman" w:cs="Times New Roman"/>
        </w:rPr>
        <w:t>…………………………………………………………………………</w:t>
      </w:r>
      <w:r>
        <w:rPr>
          <w:rFonts w:ascii="Times New Roman" w:hAnsi="Times New Roman" w:cs="Times New Roman"/>
        </w:rPr>
        <w:t>..</w:t>
      </w:r>
      <w:r w:rsidR="00353BB5">
        <w:rPr>
          <w:rFonts w:ascii="Times New Roman" w:hAnsi="Times New Roman" w:cs="Times New Roman"/>
        </w:rPr>
        <w:t>6</w:t>
      </w:r>
    </w:p>
    <w:p w14:paraId="2012CAE4" w14:textId="77777777" w:rsidR="00840EA1" w:rsidRDefault="00840EA1" w:rsidP="0002625C">
      <w:pPr>
        <w:spacing w:line="360" w:lineRule="auto"/>
        <w:rPr>
          <w:rFonts w:ascii="Times New Roman" w:hAnsi="Times New Roman" w:cs="Times New Roman"/>
          <w:u w:val="single"/>
        </w:rPr>
      </w:pPr>
    </w:p>
    <w:p w14:paraId="350F7556" w14:textId="77777777" w:rsidR="00840EA1" w:rsidRDefault="00840EA1" w:rsidP="0002625C">
      <w:pPr>
        <w:spacing w:line="360" w:lineRule="auto"/>
        <w:rPr>
          <w:rFonts w:ascii="Times New Roman" w:hAnsi="Times New Roman" w:cs="Times New Roman"/>
          <w:u w:val="single"/>
        </w:rPr>
      </w:pPr>
    </w:p>
    <w:p w14:paraId="1FE220FF" w14:textId="77777777" w:rsidR="00840EA1" w:rsidRDefault="00840EA1" w:rsidP="0002625C">
      <w:pPr>
        <w:spacing w:line="360" w:lineRule="auto"/>
        <w:rPr>
          <w:rFonts w:ascii="Times New Roman" w:hAnsi="Times New Roman" w:cs="Times New Roman"/>
          <w:u w:val="single"/>
        </w:rPr>
      </w:pPr>
    </w:p>
    <w:p w14:paraId="6920620B" w14:textId="77777777" w:rsidR="00840EA1" w:rsidRDefault="00840EA1" w:rsidP="0002625C">
      <w:pPr>
        <w:spacing w:line="360" w:lineRule="auto"/>
        <w:rPr>
          <w:rFonts w:ascii="Times New Roman" w:hAnsi="Times New Roman" w:cs="Times New Roman"/>
          <w:u w:val="single"/>
        </w:rPr>
      </w:pPr>
    </w:p>
    <w:p w14:paraId="2CA3B845" w14:textId="77777777" w:rsidR="00840EA1" w:rsidRDefault="00840EA1" w:rsidP="0002625C">
      <w:pPr>
        <w:spacing w:line="360" w:lineRule="auto"/>
        <w:rPr>
          <w:rFonts w:ascii="Times New Roman" w:hAnsi="Times New Roman" w:cs="Times New Roman"/>
          <w:u w:val="single"/>
        </w:rPr>
      </w:pPr>
    </w:p>
    <w:p w14:paraId="1570515B" w14:textId="77777777" w:rsidR="00840EA1" w:rsidRDefault="00840EA1" w:rsidP="0002625C">
      <w:pPr>
        <w:spacing w:line="360" w:lineRule="auto"/>
        <w:rPr>
          <w:rFonts w:ascii="Times New Roman" w:hAnsi="Times New Roman" w:cs="Times New Roman"/>
          <w:u w:val="single"/>
        </w:rPr>
      </w:pPr>
    </w:p>
    <w:p w14:paraId="0D08A9B8" w14:textId="77777777" w:rsidR="00840EA1" w:rsidRDefault="00840EA1" w:rsidP="0002625C">
      <w:pPr>
        <w:spacing w:line="360" w:lineRule="auto"/>
        <w:rPr>
          <w:rFonts w:ascii="Times New Roman" w:hAnsi="Times New Roman" w:cs="Times New Roman"/>
          <w:u w:val="single"/>
        </w:rPr>
      </w:pPr>
    </w:p>
    <w:p w14:paraId="2D005FD2" w14:textId="77777777" w:rsidR="00840EA1" w:rsidRDefault="00840EA1" w:rsidP="0002625C">
      <w:pPr>
        <w:spacing w:line="360" w:lineRule="auto"/>
        <w:rPr>
          <w:rFonts w:ascii="Times New Roman" w:hAnsi="Times New Roman" w:cs="Times New Roman"/>
          <w:u w:val="single"/>
        </w:rPr>
      </w:pPr>
    </w:p>
    <w:p w14:paraId="09F62DFA" w14:textId="77777777" w:rsidR="00840EA1" w:rsidRDefault="00840EA1" w:rsidP="0002625C">
      <w:pPr>
        <w:spacing w:line="360" w:lineRule="auto"/>
        <w:rPr>
          <w:rFonts w:ascii="Times New Roman" w:hAnsi="Times New Roman" w:cs="Times New Roman"/>
          <w:u w:val="single"/>
        </w:rPr>
      </w:pPr>
    </w:p>
    <w:p w14:paraId="1FFD7179" w14:textId="55814277" w:rsidR="00840EA1" w:rsidRDefault="00840EA1" w:rsidP="0002625C">
      <w:pPr>
        <w:spacing w:line="360" w:lineRule="auto"/>
        <w:rPr>
          <w:rFonts w:ascii="Times New Roman" w:hAnsi="Times New Roman" w:cs="Times New Roman"/>
          <w:u w:val="single"/>
        </w:rPr>
      </w:pPr>
    </w:p>
    <w:p w14:paraId="5ADFA89E" w14:textId="77777777" w:rsidR="00353BB5" w:rsidRDefault="00353BB5" w:rsidP="0002625C">
      <w:pPr>
        <w:spacing w:line="360" w:lineRule="auto"/>
        <w:rPr>
          <w:rFonts w:ascii="Times New Roman" w:hAnsi="Times New Roman" w:cs="Times New Roman"/>
          <w:u w:val="single"/>
        </w:rPr>
      </w:pPr>
    </w:p>
    <w:p w14:paraId="17615410" w14:textId="77777777" w:rsidR="00840EA1" w:rsidRDefault="00840EA1" w:rsidP="0002625C">
      <w:pPr>
        <w:spacing w:line="360" w:lineRule="auto"/>
        <w:rPr>
          <w:rFonts w:ascii="Times New Roman" w:hAnsi="Times New Roman" w:cs="Times New Roman"/>
          <w:u w:val="single"/>
        </w:rPr>
      </w:pPr>
    </w:p>
    <w:p w14:paraId="0EEFBA9C" w14:textId="77777777" w:rsidR="00840EA1" w:rsidRDefault="00840EA1" w:rsidP="0002625C">
      <w:pPr>
        <w:spacing w:line="360" w:lineRule="auto"/>
        <w:rPr>
          <w:rFonts w:ascii="Times New Roman" w:hAnsi="Times New Roman" w:cs="Times New Roman"/>
          <w:u w:val="single"/>
        </w:rPr>
      </w:pPr>
    </w:p>
    <w:p w14:paraId="519C2FDA" w14:textId="77777777" w:rsidR="00840EA1" w:rsidRDefault="00840EA1" w:rsidP="0002625C">
      <w:pPr>
        <w:spacing w:line="360" w:lineRule="auto"/>
        <w:rPr>
          <w:rFonts w:ascii="Times New Roman" w:hAnsi="Times New Roman" w:cs="Times New Roman"/>
          <w:u w:val="single"/>
        </w:rPr>
      </w:pPr>
    </w:p>
    <w:p w14:paraId="2FFF9F10" w14:textId="77777777" w:rsidR="00840EA1" w:rsidRDefault="00840EA1" w:rsidP="0002625C">
      <w:pPr>
        <w:spacing w:line="360" w:lineRule="auto"/>
        <w:rPr>
          <w:rFonts w:ascii="Times New Roman" w:hAnsi="Times New Roman" w:cs="Times New Roman"/>
          <w:u w:val="single"/>
        </w:rPr>
      </w:pPr>
    </w:p>
    <w:p w14:paraId="3AC7A1DC" w14:textId="77777777" w:rsidR="00840EA1" w:rsidRDefault="00840EA1" w:rsidP="0002625C">
      <w:pPr>
        <w:spacing w:line="360" w:lineRule="auto"/>
        <w:rPr>
          <w:rFonts w:ascii="Times New Roman" w:hAnsi="Times New Roman" w:cs="Times New Roman"/>
          <w:u w:val="single"/>
        </w:rPr>
      </w:pPr>
    </w:p>
    <w:p w14:paraId="6EC2E845" w14:textId="77777777" w:rsidR="00840EA1" w:rsidRDefault="00840EA1" w:rsidP="0002625C">
      <w:pPr>
        <w:spacing w:line="360" w:lineRule="auto"/>
        <w:rPr>
          <w:rFonts w:ascii="Times New Roman" w:hAnsi="Times New Roman" w:cs="Times New Roman"/>
          <w:u w:val="single"/>
        </w:rPr>
      </w:pPr>
    </w:p>
    <w:p w14:paraId="5A8A5151" w14:textId="77777777" w:rsidR="00840EA1" w:rsidRDefault="00840EA1" w:rsidP="0002625C">
      <w:pPr>
        <w:spacing w:line="360" w:lineRule="auto"/>
        <w:rPr>
          <w:rFonts w:ascii="Times New Roman" w:hAnsi="Times New Roman" w:cs="Times New Roman"/>
          <w:u w:val="single"/>
        </w:rPr>
      </w:pPr>
    </w:p>
    <w:p w14:paraId="4DF9CF09" w14:textId="77777777" w:rsidR="00840EA1" w:rsidRDefault="00840EA1" w:rsidP="0002625C">
      <w:pPr>
        <w:spacing w:line="360" w:lineRule="auto"/>
        <w:rPr>
          <w:rFonts w:ascii="Times New Roman" w:hAnsi="Times New Roman" w:cs="Times New Roman"/>
          <w:u w:val="single"/>
        </w:rPr>
      </w:pPr>
    </w:p>
    <w:p w14:paraId="24462063" w14:textId="77777777" w:rsidR="00840EA1" w:rsidRDefault="00840EA1" w:rsidP="0002625C">
      <w:pPr>
        <w:spacing w:line="360" w:lineRule="auto"/>
        <w:rPr>
          <w:rFonts w:ascii="Times New Roman" w:hAnsi="Times New Roman" w:cs="Times New Roman"/>
          <w:u w:val="single"/>
        </w:rPr>
      </w:pPr>
    </w:p>
    <w:p w14:paraId="2DEF6586" w14:textId="77777777" w:rsidR="00840EA1" w:rsidRDefault="00840EA1" w:rsidP="0002625C">
      <w:pPr>
        <w:spacing w:line="360" w:lineRule="auto"/>
        <w:rPr>
          <w:rFonts w:ascii="Times New Roman" w:hAnsi="Times New Roman" w:cs="Times New Roman"/>
          <w:u w:val="single"/>
        </w:rPr>
      </w:pPr>
    </w:p>
    <w:p w14:paraId="2D2914D9" w14:textId="31553C19" w:rsidR="0002625C" w:rsidRPr="00B332C5" w:rsidRDefault="0002625C" w:rsidP="0002625C">
      <w:pPr>
        <w:spacing w:line="360" w:lineRule="auto"/>
        <w:rPr>
          <w:rFonts w:ascii="Times New Roman" w:hAnsi="Times New Roman" w:cs="Times New Roman"/>
          <w:u w:val="single"/>
        </w:rPr>
      </w:pPr>
      <w:r w:rsidRPr="00B332C5">
        <w:rPr>
          <w:rFonts w:ascii="Times New Roman" w:hAnsi="Times New Roman" w:cs="Times New Roman"/>
          <w:u w:val="single"/>
        </w:rPr>
        <w:lastRenderedPageBreak/>
        <w:t>Introduction</w:t>
      </w:r>
    </w:p>
    <w:p w14:paraId="6B91D28B" w14:textId="77777777" w:rsidR="0002625C" w:rsidRPr="00B332C5" w:rsidRDefault="0002625C" w:rsidP="0002625C">
      <w:pPr>
        <w:spacing w:line="360" w:lineRule="auto"/>
        <w:rPr>
          <w:rFonts w:ascii="Times New Roman" w:hAnsi="Times New Roman" w:cs="Times New Roman"/>
        </w:rPr>
      </w:pPr>
    </w:p>
    <w:p w14:paraId="721AD829" w14:textId="05D4BD16" w:rsidR="00D65C40" w:rsidRPr="00B332C5" w:rsidRDefault="00AD0B2C" w:rsidP="0002625C">
      <w:pPr>
        <w:spacing w:line="360" w:lineRule="auto"/>
        <w:rPr>
          <w:rFonts w:ascii="Times New Roman" w:hAnsi="Times New Roman" w:cs="Times New Roman"/>
        </w:rPr>
      </w:pPr>
      <w:r w:rsidRPr="00AD0B2C">
        <w:rPr>
          <w:rFonts w:ascii="Times New Roman" w:hAnsi="Times New Roman" w:cs="Times New Roman"/>
        </w:rPr>
        <w:t>In order to weed out issues that are not really justifiable of legal action, it is essential in contract law to want to create a legal relationship. Every agreement does not always turn into a binding legal contract that may be maintained in court. You might have agreed to meet a friend at a bar, for instance. You could have a moral need to keep that agreement, but it isn't a formal legal necessity. This is because, usually speaking, neither party to a contract of this sort intended to be legally obligated, and the law seeks to reflect that. To determine which agreements are enforceable and meant to create legal relationships, the law makes a distinction between social and domestic agreements.</w:t>
      </w:r>
      <w:r w:rsidR="00113209" w:rsidRPr="00B332C5">
        <w:rPr>
          <w:rFonts w:ascii="Times New Roman" w:hAnsi="Times New Roman" w:cs="Times New Roman"/>
        </w:rPr>
        <w:t>.</w:t>
      </w:r>
    </w:p>
    <w:p w14:paraId="6F3E568E" w14:textId="458B6EA3" w:rsidR="00250C9D" w:rsidRPr="00B332C5" w:rsidRDefault="00250C9D" w:rsidP="0002625C">
      <w:pPr>
        <w:spacing w:line="360" w:lineRule="auto"/>
        <w:rPr>
          <w:rFonts w:ascii="Times New Roman" w:hAnsi="Times New Roman" w:cs="Times New Roman"/>
        </w:rPr>
      </w:pPr>
    </w:p>
    <w:p w14:paraId="10E989F4" w14:textId="43A42103" w:rsidR="00353BB5" w:rsidRDefault="00AD0B2C" w:rsidP="0002625C">
      <w:pPr>
        <w:spacing w:line="360" w:lineRule="auto"/>
        <w:rPr>
          <w:rFonts w:ascii="Times New Roman" w:hAnsi="Times New Roman" w:cs="Times New Roman"/>
        </w:rPr>
      </w:pPr>
      <w:r w:rsidRPr="00AD0B2C">
        <w:rPr>
          <w:rFonts w:ascii="Times New Roman" w:hAnsi="Times New Roman" w:cs="Times New Roman"/>
        </w:rPr>
        <w:t>The idea of establishing legal ties has many different interpretations. To aim to establish legal ties is to suggest that you want to take the significance of a contract seriously. When the parties to a contract sign it, it will be obvious what their intentions are. After two parties have made the decision to engage into a contract, they will be able to comprehend its conditions. This is because for a "intention" to be legitimate, both parties must be of a mind to consent. If neither party agrees to anything, the agreement may be void and unenforceable. The contract will therefore be able to be considered seriously by both parties. If there is no intent to create a legal relationship, a contract would not be binding, enforceable, or valid. The intention to create a legal relationship is one of the key elements of a contract. A contract is therefore presumed to be invalid if there is no intent to create a legal relationship. The agreement may not be enforceable because there was no intention to create a bond that would have subjected the parties to liability at the outset. If contracts are not made to create legally binding relationships, they risk becoming meaningless promises. Furthermore, since it doesn't serve to create formal connections, it will reduce every contract to a straightforward promise. Just verbal promises are made when there is no intention to create a legal partnership.</w:t>
      </w:r>
    </w:p>
    <w:p w14:paraId="3375724F" w14:textId="3BAF1D29" w:rsidR="00353BB5" w:rsidRDefault="00353BB5" w:rsidP="0002625C">
      <w:pPr>
        <w:spacing w:line="360" w:lineRule="auto"/>
        <w:rPr>
          <w:rFonts w:ascii="Times New Roman" w:hAnsi="Times New Roman" w:cs="Times New Roman"/>
        </w:rPr>
      </w:pPr>
    </w:p>
    <w:p w14:paraId="47FE8D47" w14:textId="0B7EBF67" w:rsidR="00353BB5" w:rsidRDefault="00353BB5" w:rsidP="0002625C">
      <w:pPr>
        <w:spacing w:line="360" w:lineRule="auto"/>
        <w:rPr>
          <w:rFonts w:ascii="Times New Roman" w:hAnsi="Times New Roman" w:cs="Times New Roman"/>
        </w:rPr>
      </w:pPr>
    </w:p>
    <w:p w14:paraId="18818765" w14:textId="0A93498F" w:rsidR="00353BB5" w:rsidRDefault="00353BB5" w:rsidP="0002625C">
      <w:pPr>
        <w:spacing w:line="360" w:lineRule="auto"/>
        <w:rPr>
          <w:rFonts w:ascii="Times New Roman" w:hAnsi="Times New Roman" w:cs="Times New Roman"/>
        </w:rPr>
      </w:pPr>
    </w:p>
    <w:p w14:paraId="4F79A1C7" w14:textId="08403D4B" w:rsidR="00AD0B2C" w:rsidRDefault="00AD0B2C" w:rsidP="0002625C">
      <w:pPr>
        <w:spacing w:line="360" w:lineRule="auto"/>
        <w:rPr>
          <w:rFonts w:ascii="Times New Roman" w:hAnsi="Times New Roman" w:cs="Times New Roman"/>
        </w:rPr>
      </w:pPr>
    </w:p>
    <w:p w14:paraId="237C0C3D" w14:textId="77777777" w:rsidR="00AD0B2C" w:rsidRDefault="00AD0B2C" w:rsidP="0002625C">
      <w:pPr>
        <w:spacing w:line="360" w:lineRule="auto"/>
        <w:rPr>
          <w:rFonts w:ascii="Times New Roman" w:hAnsi="Times New Roman" w:cs="Times New Roman"/>
        </w:rPr>
      </w:pPr>
    </w:p>
    <w:p w14:paraId="2FBC047D" w14:textId="5B050520" w:rsidR="00353BB5" w:rsidRDefault="00353BB5" w:rsidP="0002625C">
      <w:pPr>
        <w:spacing w:line="360" w:lineRule="auto"/>
        <w:rPr>
          <w:rFonts w:ascii="Times New Roman" w:hAnsi="Times New Roman" w:cs="Times New Roman"/>
        </w:rPr>
      </w:pPr>
    </w:p>
    <w:p w14:paraId="6AA29508" w14:textId="7A3C5022" w:rsidR="00353BB5" w:rsidRDefault="00353BB5" w:rsidP="0002625C">
      <w:pPr>
        <w:spacing w:line="360" w:lineRule="auto"/>
        <w:rPr>
          <w:rFonts w:ascii="Times New Roman" w:hAnsi="Times New Roman" w:cs="Times New Roman"/>
        </w:rPr>
      </w:pPr>
    </w:p>
    <w:p w14:paraId="76DB2EB2" w14:textId="77777777" w:rsidR="00353BB5" w:rsidRPr="00B332C5" w:rsidRDefault="00353BB5" w:rsidP="0002625C">
      <w:pPr>
        <w:spacing w:line="360" w:lineRule="auto"/>
        <w:rPr>
          <w:rFonts w:ascii="Times New Roman" w:hAnsi="Times New Roman" w:cs="Times New Roman"/>
        </w:rPr>
      </w:pPr>
    </w:p>
    <w:p w14:paraId="79640ABD" w14:textId="68EE3728" w:rsidR="00A01EA4" w:rsidRDefault="00B332C5" w:rsidP="0002625C">
      <w:pPr>
        <w:spacing w:line="360" w:lineRule="auto"/>
        <w:rPr>
          <w:rFonts w:ascii="Times New Roman" w:hAnsi="Times New Roman" w:cs="Times New Roman"/>
          <w:u w:val="single"/>
        </w:rPr>
      </w:pPr>
      <w:r w:rsidRPr="00B332C5">
        <w:rPr>
          <w:rFonts w:ascii="Times New Roman" w:hAnsi="Times New Roman" w:cs="Times New Roman"/>
          <w:u w:val="single"/>
        </w:rPr>
        <w:lastRenderedPageBreak/>
        <w:t>Rebuttable presumption</w:t>
      </w:r>
    </w:p>
    <w:p w14:paraId="15C6DFD0" w14:textId="77777777" w:rsidR="00AD0B2C" w:rsidRPr="00B332C5" w:rsidRDefault="00AD0B2C" w:rsidP="0002625C">
      <w:pPr>
        <w:spacing w:line="360" w:lineRule="auto"/>
        <w:rPr>
          <w:rFonts w:ascii="Times New Roman" w:hAnsi="Times New Roman" w:cs="Times New Roman"/>
          <w:u w:val="single"/>
        </w:rPr>
      </w:pPr>
    </w:p>
    <w:p w14:paraId="3F1DB324" w14:textId="2FB4B60C" w:rsidR="00A01EA4" w:rsidRPr="00B332C5" w:rsidRDefault="00A01EA4" w:rsidP="0002625C">
      <w:pPr>
        <w:spacing w:line="360" w:lineRule="auto"/>
        <w:rPr>
          <w:rFonts w:ascii="Times New Roman" w:hAnsi="Times New Roman" w:cs="Times New Roman"/>
        </w:rPr>
      </w:pPr>
      <w:r w:rsidRPr="00B332C5">
        <w:rPr>
          <w:rFonts w:ascii="Times New Roman" w:hAnsi="Times New Roman" w:cs="Times New Roman"/>
        </w:rPr>
        <w:t>A legal precedent or regulation that establishes the presumption in the first place is necessary for the creation of a rebuttable presumption. For instance, there is a rebuttable presumption that child support payments will continue up until a child reaches the age of majority in many jurisdictions (18 or 21, depending on the jurisdiction). If the parent paying child support can demonstrate that the child is no longer dependent, this presumption can be refuted.</w:t>
      </w:r>
      <w:r w:rsidR="0002625C" w:rsidRPr="00B332C5">
        <w:rPr>
          <w:rFonts w:ascii="Times New Roman" w:hAnsi="Times New Roman" w:cs="Times New Roman"/>
        </w:rPr>
        <w:t xml:space="preserve"> </w:t>
      </w:r>
      <w:r w:rsidRPr="00B332C5">
        <w:rPr>
          <w:rFonts w:ascii="Times New Roman" w:hAnsi="Times New Roman" w:cs="Times New Roman"/>
        </w:rPr>
        <w:t>Primarily and conclusively are both different forms of rebuttable presumptions. A prima facie assumption is one that can be refuted by providing opposing evidence. On the other hand, a conclusive inference cannot be refuted by evidence. A decisive presumption is one that is taken to be true regardless of the circumstances.</w:t>
      </w:r>
    </w:p>
    <w:p w14:paraId="77F1746A" w14:textId="77777777" w:rsidR="00BC7E65" w:rsidRPr="00B332C5" w:rsidRDefault="00BC7E65" w:rsidP="0002625C">
      <w:pPr>
        <w:spacing w:line="360" w:lineRule="auto"/>
        <w:rPr>
          <w:rFonts w:ascii="Times New Roman" w:hAnsi="Times New Roman" w:cs="Times New Roman"/>
        </w:rPr>
      </w:pPr>
    </w:p>
    <w:p w14:paraId="15EFBEAD" w14:textId="56BCBE23" w:rsidR="002A37AF" w:rsidRDefault="00B63FD9" w:rsidP="0002625C">
      <w:pPr>
        <w:spacing w:line="360" w:lineRule="auto"/>
        <w:rPr>
          <w:rFonts w:ascii="Times New Roman" w:hAnsi="Times New Roman" w:cs="Times New Roman"/>
        </w:rPr>
      </w:pPr>
      <w:r w:rsidRPr="00B63FD9">
        <w:rPr>
          <w:rFonts w:ascii="Times New Roman" w:hAnsi="Times New Roman" w:cs="Times New Roman"/>
        </w:rPr>
        <w:t>Balfour v. Balfour (case number 191) is the first. According to the appellant, it was a private arrangement rather than a binding contract. No official relationship or contract between the two was ever intended by Mr. Balfour. The defendant claimed that because the husband offered his wife £30 in exchange for her remaining in England, he created a domestic contract and the woman is deemed to be entitled to that figure. At the hearing of this case, Justices Atkins, Warrington, and Duke were the justices present. Close friends and family are not covered by contract law, according to Lord Justice Atkins. A formal connection was not desired, hence it is difficult to create a contract that has legal standing. If spouses were permitted to bring claims when a contract between two parties is broken, Atkins remarked that courts would be swamped with pointless lawsuits. Lord Justice Atkins received the backing of two other justices.</w:t>
      </w:r>
    </w:p>
    <w:p w14:paraId="21D71A83" w14:textId="77777777" w:rsidR="00B63FD9" w:rsidRPr="00B332C5" w:rsidRDefault="00B63FD9" w:rsidP="0002625C">
      <w:pPr>
        <w:spacing w:line="360" w:lineRule="auto"/>
        <w:rPr>
          <w:rFonts w:ascii="Times New Roman" w:hAnsi="Times New Roman" w:cs="Times New Roman"/>
        </w:rPr>
      </w:pPr>
    </w:p>
    <w:p w14:paraId="6225CB95" w14:textId="09BE8A59" w:rsidR="00AD0B2C" w:rsidRDefault="00EE3D70" w:rsidP="0002625C">
      <w:pPr>
        <w:spacing w:line="360" w:lineRule="auto"/>
        <w:rPr>
          <w:rFonts w:ascii="Times New Roman" w:hAnsi="Times New Roman" w:cs="Times New Roman"/>
        </w:rPr>
      </w:pPr>
      <w:r w:rsidRPr="00EE3D70">
        <w:rPr>
          <w:rFonts w:ascii="Times New Roman" w:hAnsi="Times New Roman" w:cs="Times New Roman"/>
        </w:rPr>
        <w:t>Owing to Mr. Balfour's successful appeal, the court determined that the wife and husband had no legal relationship or contract. The circumstances surrounding the drafting and signing of the contract can be used to determine whether the parties intended to establish a legal relationship. As a result, Mr. Balfour was not required by law to compensate Mrs. Balfour. It was made apparent in the Balfour v. Balfour case that social agreements forged in close ties, such those between family members, would not be upheld in court. It also emphasised how crucial for a contract to be enforced that there be established legal links. We now see contract validity differently as a result of the Balfour law.</w:t>
      </w:r>
    </w:p>
    <w:p w14:paraId="6DCE2CA1" w14:textId="77777777" w:rsidR="00EE3D70" w:rsidRDefault="00EE3D70" w:rsidP="0002625C">
      <w:pPr>
        <w:spacing w:line="360" w:lineRule="auto"/>
        <w:rPr>
          <w:rFonts w:ascii="Times New Roman" w:hAnsi="Times New Roman" w:cs="Times New Roman"/>
        </w:rPr>
      </w:pPr>
    </w:p>
    <w:p w14:paraId="1DAB1B51" w14:textId="6607CE71" w:rsidR="00AD0B2C" w:rsidRDefault="00AD0B2C" w:rsidP="0002625C">
      <w:pPr>
        <w:spacing w:line="360" w:lineRule="auto"/>
        <w:rPr>
          <w:rFonts w:ascii="Times New Roman" w:hAnsi="Times New Roman" w:cs="Times New Roman"/>
        </w:rPr>
      </w:pPr>
      <w:r w:rsidRPr="00AD0B2C">
        <w:rPr>
          <w:rFonts w:ascii="Times New Roman" w:hAnsi="Times New Roman" w:cs="Times New Roman"/>
        </w:rPr>
        <w:lastRenderedPageBreak/>
        <w:t xml:space="preserve">1969 case number for Jones v. </w:t>
      </w:r>
      <w:proofErr w:type="spellStart"/>
      <w:r w:rsidRPr="00AD0B2C">
        <w:rPr>
          <w:rFonts w:ascii="Times New Roman" w:hAnsi="Times New Roman" w:cs="Times New Roman"/>
        </w:rPr>
        <w:t>Padavatton</w:t>
      </w:r>
      <w:proofErr w:type="spellEnd"/>
      <w:r w:rsidRPr="00AD0B2C">
        <w:rPr>
          <w:rFonts w:ascii="Times New Roman" w:hAnsi="Times New Roman" w:cs="Times New Roman"/>
        </w:rPr>
        <w:t xml:space="preserve"> Facts: A mother and her daughter struck a bargain in which the mother agreed to support the daughter in exchange for her taking the bar examinations. The daughter's mother started providing her with a stipend when she began her education. The arrangement was modified later, and the mother agreed to give her daughter a place to reside while she attended school. After a fight between the mother and daughter over who should reside there, the mother requested possession. Following the ruling that the daughter could keep possession, the mother filed an appeal.</w:t>
      </w:r>
    </w:p>
    <w:p w14:paraId="5487C0D5" w14:textId="77777777" w:rsidR="00AD0B2C" w:rsidRDefault="00AD0B2C" w:rsidP="0002625C">
      <w:pPr>
        <w:spacing w:line="360" w:lineRule="auto"/>
        <w:rPr>
          <w:rFonts w:ascii="Times New Roman" w:hAnsi="Times New Roman" w:cs="Times New Roman"/>
        </w:rPr>
      </w:pPr>
    </w:p>
    <w:p w14:paraId="42B70558" w14:textId="5EFFFD73" w:rsidR="005D611F" w:rsidRPr="00B332C5" w:rsidRDefault="005D611F" w:rsidP="0002625C">
      <w:pPr>
        <w:spacing w:line="360" w:lineRule="auto"/>
        <w:rPr>
          <w:rFonts w:ascii="Times New Roman" w:hAnsi="Times New Roman" w:cs="Times New Roman"/>
        </w:rPr>
      </w:pPr>
      <w:r w:rsidRPr="00B332C5">
        <w:rPr>
          <w:rFonts w:ascii="Times New Roman" w:hAnsi="Times New Roman" w:cs="Times New Roman"/>
        </w:rPr>
        <w:t>Legal issues: According to the daughter, their agreement constituted a legally enforceable contract, and as a result, she should be allowed to continue residing in the home. She insisted that there had been a desire to establish legal ties and that by enrolling in bar school, she had given thought to her mother's upkeep. The mother claimed there was only an informal family arrangement and no plan to establish legal links, and as a result, she was qualified to regain possession of the home. She said that even if there were enforceable terms in the agreement, the court would not be able to enforce them.</w:t>
      </w:r>
    </w:p>
    <w:p w14:paraId="525A7AA3" w14:textId="741F9F7F" w:rsidR="005D611F" w:rsidRPr="00B332C5" w:rsidRDefault="005D611F" w:rsidP="0002625C">
      <w:pPr>
        <w:spacing w:line="360" w:lineRule="auto"/>
        <w:rPr>
          <w:rFonts w:ascii="Times New Roman" w:hAnsi="Times New Roman" w:cs="Times New Roman"/>
        </w:rPr>
      </w:pPr>
    </w:p>
    <w:p w14:paraId="7C36B4A2" w14:textId="37CF381A" w:rsidR="005D611F" w:rsidRPr="00B332C5" w:rsidRDefault="005D611F" w:rsidP="0002625C">
      <w:pPr>
        <w:spacing w:line="360" w:lineRule="auto"/>
        <w:rPr>
          <w:rFonts w:ascii="Times New Roman" w:hAnsi="Times New Roman" w:cs="Times New Roman"/>
        </w:rPr>
      </w:pPr>
      <w:r w:rsidRPr="00B332C5">
        <w:rPr>
          <w:rFonts w:ascii="Times New Roman" w:hAnsi="Times New Roman" w:cs="Times New Roman"/>
        </w:rPr>
        <w:t>The mother's appeal was granted possession following the court's ruling. There is a presumption that family arrangements are founded on trust, familial relationships, and affection, and that no attempt has been made to construct enforceable contracts that can be enforced in court. The absence of formality in the mother-daughter agreement strongly suggested that there was no such purpose, and the daughter had no way to challenge her mother's claim to the house, even though this inference can be refuted.</w:t>
      </w:r>
    </w:p>
    <w:p w14:paraId="23A7FC50" w14:textId="7E874BBF" w:rsidR="005D611F" w:rsidRPr="00B332C5" w:rsidRDefault="005D611F" w:rsidP="0002625C">
      <w:pPr>
        <w:spacing w:line="360" w:lineRule="auto"/>
        <w:rPr>
          <w:rFonts w:ascii="Times New Roman" w:hAnsi="Times New Roman" w:cs="Times New Roman"/>
        </w:rPr>
      </w:pPr>
    </w:p>
    <w:p w14:paraId="2771D18E" w14:textId="1B806F77" w:rsidR="005D611F" w:rsidRPr="00B332C5" w:rsidRDefault="005D611F" w:rsidP="0002625C">
      <w:pPr>
        <w:spacing w:line="360" w:lineRule="auto"/>
        <w:rPr>
          <w:rFonts w:ascii="Times New Roman" w:hAnsi="Times New Roman" w:cs="Times New Roman"/>
        </w:rPr>
      </w:pPr>
      <w:r w:rsidRPr="00B332C5">
        <w:rPr>
          <w:rFonts w:ascii="Times New Roman" w:hAnsi="Times New Roman" w:cs="Times New Roman"/>
        </w:rPr>
        <w:t>Reasoning/ratio: The court reached this conclusion because the contract's specifics were too ambiguous (for instance, the mother should have specified when she would receive the house, a specific date, how long the daughter would be residing in the house, etc.). It would be challenging for the court to hold the mother accountable because this contract was verbal rather than written and because family agreements are typically made informally and with a lot of affection. There is therefore a great deal of subjectivity, and judges typically do not tolerate it.</w:t>
      </w:r>
    </w:p>
    <w:p w14:paraId="2940E5C0" w14:textId="39BAAF19" w:rsidR="002130EE" w:rsidRPr="00B332C5" w:rsidRDefault="002130EE" w:rsidP="0002625C">
      <w:pPr>
        <w:spacing w:line="360" w:lineRule="auto"/>
        <w:rPr>
          <w:rFonts w:ascii="Times New Roman" w:hAnsi="Times New Roman" w:cs="Times New Roman"/>
        </w:rPr>
      </w:pPr>
    </w:p>
    <w:p w14:paraId="16113C6C" w14:textId="57E9C5CC" w:rsidR="00AD0B2C" w:rsidRDefault="00EE3D70" w:rsidP="00AD0B2C">
      <w:pPr>
        <w:spacing w:line="360" w:lineRule="auto"/>
        <w:rPr>
          <w:rFonts w:ascii="Times New Roman" w:hAnsi="Times New Roman" w:cs="Times New Roman"/>
        </w:rPr>
      </w:pPr>
      <w:r w:rsidRPr="00EE3D70">
        <w:rPr>
          <w:rFonts w:ascii="Times New Roman" w:hAnsi="Times New Roman" w:cs="Times New Roman"/>
        </w:rPr>
        <w:t xml:space="preserve">Customers at the petrol station Esso received a free World Cup coin for every four litres of gasoline they purchased. The World Cup coins, which were created as a sales gimmick, had the head of the 1970 English football player "Esso" on one side. advertisements for Esso The </w:t>
      </w:r>
      <w:r w:rsidRPr="00EE3D70">
        <w:rPr>
          <w:rFonts w:ascii="Times New Roman" w:hAnsi="Times New Roman" w:cs="Times New Roman"/>
        </w:rPr>
        <w:lastRenderedPageBreak/>
        <w:t>coins were classified as goods "made in quantity for general sale" under Purchase Tax Act of 1963, Section 1, Group 25, and as a result were subject to purchase duty, according to the Customs and Excise Commissioners. According to Exxon, the coins were free gifts, thus no transaction was made with the goal of forging a legal relationship or triggering legal repercussions.</w:t>
      </w:r>
    </w:p>
    <w:p w14:paraId="3E56056A" w14:textId="77777777" w:rsidR="00EE3D70" w:rsidRPr="00AD0B2C" w:rsidRDefault="00EE3D70" w:rsidP="00AD0B2C">
      <w:pPr>
        <w:spacing w:line="360" w:lineRule="auto"/>
        <w:rPr>
          <w:rFonts w:ascii="Times New Roman" w:hAnsi="Times New Roman" w:cs="Times New Roman"/>
        </w:rPr>
      </w:pPr>
    </w:p>
    <w:p w14:paraId="2831ABCB" w14:textId="30F5563C" w:rsidR="002130EE" w:rsidRDefault="00AD0B2C" w:rsidP="00AD0B2C">
      <w:pPr>
        <w:spacing w:line="360" w:lineRule="auto"/>
        <w:rPr>
          <w:rFonts w:ascii="Times New Roman" w:hAnsi="Times New Roman" w:cs="Times New Roman"/>
        </w:rPr>
      </w:pPr>
      <w:r w:rsidRPr="00AD0B2C">
        <w:rPr>
          <w:rFonts w:ascii="Times New Roman" w:hAnsi="Times New Roman" w:cs="Times New Roman"/>
        </w:rPr>
        <w:t>The question arose as to whether the distribution of the coins met the legal definition of "goods for general sale" and was thus offered for sale in accordance with Esso's contractual obligation to provide the coins to customers.</w:t>
      </w:r>
    </w:p>
    <w:p w14:paraId="4EFA0EBE" w14:textId="77777777" w:rsidR="00624F81" w:rsidRDefault="00624F81" w:rsidP="00AD0B2C">
      <w:pPr>
        <w:spacing w:line="360" w:lineRule="auto"/>
        <w:rPr>
          <w:rFonts w:ascii="Times New Roman" w:hAnsi="Times New Roman" w:cs="Times New Roman"/>
        </w:rPr>
      </w:pPr>
    </w:p>
    <w:p w14:paraId="73FE5F52" w14:textId="14703D88" w:rsidR="00624F81" w:rsidRDefault="00624F81" w:rsidP="00AD0B2C">
      <w:pPr>
        <w:spacing w:line="360" w:lineRule="auto"/>
        <w:rPr>
          <w:rFonts w:ascii="Times New Roman" w:hAnsi="Times New Roman" w:cs="Times New Roman"/>
        </w:rPr>
      </w:pPr>
      <w:r w:rsidRPr="00624F81">
        <w:rPr>
          <w:rFonts w:ascii="Times New Roman" w:hAnsi="Times New Roman" w:cs="Times New Roman"/>
        </w:rPr>
        <w:t>The Court initially discovered that Esso planned to hold itself legally responsible for supplying the coins. The arrangement was made formally, went beyond mere "fluff" (p. 5), gave Esso business advantages, and was warmly welcomed by the audience. Second, the Court found that the creation of a contract of sale requires a transfer of the commodities in exchange for money. According to the court's findings, even though there was an intention to establish a legal duty, there was no consideration for the transfer of the coins because they were provided in accordance with a distinct contract for the sale of the petrol. This led the Court to rule that there was a contract, not a sale by Esso.</w:t>
      </w:r>
    </w:p>
    <w:p w14:paraId="6D0EB051" w14:textId="77777777" w:rsidR="00AD0B2C" w:rsidRDefault="00AD0B2C" w:rsidP="00AD0B2C">
      <w:pPr>
        <w:spacing w:line="360" w:lineRule="auto"/>
        <w:rPr>
          <w:rFonts w:ascii="Times New Roman" w:hAnsi="Times New Roman" w:cs="Times New Roman"/>
        </w:rPr>
      </w:pPr>
    </w:p>
    <w:p w14:paraId="048C4405" w14:textId="77777777" w:rsidR="00E4540D" w:rsidRPr="00E4540D" w:rsidRDefault="00E4540D" w:rsidP="00E4540D">
      <w:pPr>
        <w:spacing w:line="360" w:lineRule="auto"/>
        <w:rPr>
          <w:rFonts w:ascii="Times New Roman" w:hAnsi="Times New Roman" w:cs="Times New Roman"/>
        </w:rPr>
      </w:pPr>
      <w:r w:rsidRPr="00E4540D">
        <w:rPr>
          <w:rFonts w:ascii="Times New Roman" w:hAnsi="Times New Roman" w:cs="Times New Roman"/>
        </w:rPr>
        <w:t xml:space="preserve">The plaintiff contributed to the defendant corporation's pension plan as a pilot. According to this fund's regulations, if a worker leaves the defendant firm before retirement age, he can either withdraw his own contributions or receive a paid-up pension. The defendant firm informed the plaintiff and others in a January 1962 letter that a pilot redundancy announcement affecting 15% of the defendant company's pilot strength was necessary and that he had three months to depart. Authorized officials of the defendant firm and </w:t>
      </w:r>
      <w:proofErr w:type="spellStart"/>
      <w:r w:rsidRPr="00E4540D">
        <w:rPr>
          <w:rFonts w:ascii="Times New Roman" w:hAnsi="Times New Roman" w:cs="Times New Roman"/>
        </w:rPr>
        <w:t>Balpa</w:t>
      </w:r>
      <w:proofErr w:type="spellEnd"/>
      <w:r w:rsidRPr="00E4540D">
        <w:rPr>
          <w:rFonts w:ascii="Times New Roman" w:hAnsi="Times New Roman" w:cs="Times New Roman"/>
        </w:rPr>
        <w:t xml:space="preserve">, the plaintiff's trade association, agreed on February 8, 1962, that pilots who left the defendant company would receive an ex gratia payment equal to the defendant's pension fund contributions. </w:t>
      </w:r>
    </w:p>
    <w:p w14:paraId="141A251F" w14:textId="77777777" w:rsidR="00E4540D" w:rsidRPr="00E4540D" w:rsidRDefault="00E4540D" w:rsidP="00E4540D">
      <w:pPr>
        <w:spacing w:line="360" w:lineRule="auto"/>
        <w:rPr>
          <w:rFonts w:ascii="Times New Roman" w:hAnsi="Times New Roman" w:cs="Times New Roman"/>
        </w:rPr>
      </w:pPr>
    </w:p>
    <w:p w14:paraId="5203346D" w14:textId="375AC6EF" w:rsidR="00EE3D70" w:rsidRDefault="00E4540D" w:rsidP="00E4540D">
      <w:pPr>
        <w:spacing w:line="360" w:lineRule="auto"/>
        <w:rPr>
          <w:rFonts w:ascii="Times New Roman" w:hAnsi="Times New Roman" w:cs="Times New Roman"/>
        </w:rPr>
      </w:pPr>
      <w:r w:rsidRPr="00E4540D">
        <w:rPr>
          <w:rFonts w:ascii="Times New Roman" w:hAnsi="Times New Roman" w:cs="Times New Roman"/>
        </w:rPr>
        <w:t xml:space="preserve">During the discussion, the defendant firm's representative said it would make ex gratia payments "approximating" its contributions. The plaintiff stopped contributing to the pension fund after learning of the arrangement, finding a new job, and quitting the defendant corporation in March 1962. He took the defendant corporation's ex-gratia payment on May 1, 1962. ц The defendant business compensated the plaintiff for his gifts. The plaintiff's pension </w:t>
      </w:r>
      <w:r w:rsidRPr="00E4540D">
        <w:rPr>
          <w:rFonts w:ascii="Times New Roman" w:hAnsi="Times New Roman" w:cs="Times New Roman"/>
        </w:rPr>
        <w:lastRenderedPageBreak/>
        <w:t>fund payments from the defendant corporation are sought in this lawsuit. The accused corporation claimed that the recorded agreement was unclear and did not constitute a legally enforceable relationship. The defendant corporation followed the February 8th agreement, while the plaintiff wanted to move.</w:t>
      </w:r>
    </w:p>
    <w:p w14:paraId="308E8230" w14:textId="77777777" w:rsidR="00E4540D" w:rsidRPr="00B332C5" w:rsidRDefault="00E4540D" w:rsidP="00E4540D">
      <w:pPr>
        <w:spacing w:line="360" w:lineRule="auto"/>
        <w:rPr>
          <w:rFonts w:ascii="Times New Roman" w:hAnsi="Times New Roman" w:cs="Times New Roman"/>
        </w:rPr>
      </w:pPr>
    </w:p>
    <w:p w14:paraId="3BE335FF" w14:textId="633A2122" w:rsidR="0002625C" w:rsidRPr="00B332C5" w:rsidRDefault="0002625C" w:rsidP="0002625C">
      <w:pPr>
        <w:spacing w:line="360" w:lineRule="auto"/>
        <w:rPr>
          <w:rFonts w:ascii="Times New Roman" w:hAnsi="Times New Roman" w:cs="Times New Roman"/>
          <w:u w:val="single"/>
        </w:rPr>
      </w:pPr>
      <w:r w:rsidRPr="00B332C5">
        <w:rPr>
          <w:rFonts w:ascii="Times New Roman" w:hAnsi="Times New Roman" w:cs="Times New Roman"/>
          <w:u w:val="single"/>
        </w:rPr>
        <w:t>Agreements made with public bodies or those which affect public interest:</w:t>
      </w:r>
    </w:p>
    <w:p w14:paraId="14B09B7B" w14:textId="77777777" w:rsidR="00BC45AC" w:rsidRDefault="00BC45AC" w:rsidP="00BC45AC">
      <w:pPr>
        <w:spacing w:line="360" w:lineRule="auto"/>
        <w:rPr>
          <w:rFonts w:ascii="Times New Roman" w:hAnsi="Times New Roman" w:cs="Times New Roman"/>
        </w:rPr>
      </w:pPr>
    </w:p>
    <w:p w14:paraId="36C69069" w14:textId="77777777" w:rsidR="00B63FD9" w:rsidRPr="00B63FD9" w:rsidRDefault="00B63FD9" w:rsidP="00B63FD9">
      <w:pPr>
        <w:spacing w:line="360" w:lineRule="auto"/>
        <w:rPr>
          <w:rFonts w:ascii="Times New Roman" w:hAnsi="Times New Roman" w:cs="Times New Roman"/>
        </w:rPr>
      </w:pPr>
      <w:r w:rsidRPr="00B63FD9">
        <w:rPr>
          <w:rFonts w:ascii="Times New Roman" w:hAnsi="Times New Roman" w:cs="Times New Roman"/>
        </w:rPr>
        <w:t xml:space="preserve">Exchanging anything of value is enough to prove the parties' willingness to form a legally binding relationship, according to one school of thinking. It's good that these individuals don't need more proof. The claim purpose notion has sparked great debate. A contract's legal enforceability does not require intent to establish legal relations due to consideration. Even if the parties didn't intend to develop a formal connection, a contract can be made. Though they mean distinct things, "consideration" and "the purpose of developing legal linkages" are often used interchangeably. So, it is not always evident if a court's judgement was made without contemplation or without making correlations between the facts. The court disregarded a vital factor: a desire to build formal connections. Due to the absence of a common law presumption that the parties intended to form a formal link. Because it employs one legal link requirement instead of another, the court's ruling is wrong. </w:t>
      </w:r>
    </w:p>
    <w:p w14:paraId="7A9ED8CB" w14:textId="77777777" w:rsidR="00B63FD9" w:rsidRPr="00B63FD9" w:rsidRDefault="00B63FD9" w:rsidP="00B63FD9">
      <w:pPr>
        <w:spacing w:line="360" w:lineRule="auto"/>
        <w:rPr>
          <w:rFonts w:ascii="Times New Roman" w:hAnsi="Times New Roman" w:cs="Times New Roman"/>
        </w:rPr>
      </w:pPr>
    </w:p>
    <w:p w14:paraId="6814D1C5" w14:textId="3AEFDCFB" w:rsidR="00B332C5" w:rsidRDefault="00B63FD9" w:rsidP="00B63FD9">
      <w:pPr>
        <w:spacing w:line="360" w:lineRule="auto"/>
        <w:rPr>
          <w:rFonts w:ascii="Times New Roman" w:hAnsi="Times New Roman" w:cs="Times New Roman"/>
        </w:rPr>
      </w:pPr>
      <w:r w:rsidRPr="00B63FD9">
        <w:rPr>
          <w:rFonts w:ascii="Times New Roman" w:hAnsi="Times New Roman" w:cs="Times New Roman"/>
        </w:rPr>
        <w:t>The common law gave offers, acceptances, and consideration deals a lot of weight because they are empirical assessments of parties' intents. A contract resulting from an offer, acceptance, and consideration was given more weight by the courts. The parties' intent to make a legal link is reinforced by this Declaration. The need for intent to form legal relations should be eliminated in common law states where consideration is needed to enforce a contract. In jurisdictions lacking consideration, contracts are unenforceable. It has been criticised for reducing family commitment. Yet, closer inspection disproves the grounds for giving up. Contemplation and purpose can achieve similar goals, according to another theory. This should be considered even if only a minimal level of purpose is needed to build a legal link. The concept of purpose to form legal connections continues to shape legal contracts and social agreements, as illustrated by the court's decision to declare several agreements illegal since the parties did not intend to establish legal relations. This reinforces the view that good teamwork is a virtue.</w:t>
      </w:r>
    </w:p>
    <w:p w14:paraId="12BDF4BA" w14:textId="1D451CC4" w:rsidR="00D63A41" w:rsidRDefault="00D63A41" w:rsidP="0002625C">
      <w:pPr>
        <w:spacing w:line="360" w:lineRule="auto"/>
        <w:rPr>
          <w:rFonts w:ascii="Times New Roman" w:hAnsi="Times New Roman" w:cs="Times New Roman"/>
          <w:u w:val="single"/>
        </w:rPr>
      </w:pPr>
    </w:p>
    <w:p w14:paraId="7F6D4E8F" w14:textId="77777777" w:rsidR="00310876" w:rsidRPr="00D63A41" w:rsidRDefault="00310876" w:rsidP="0002625C">
      <w:pPr>
        <w:spacing w:line="360" w:lineRule="auto"/>
        <w:rPr>
          <w:rFonts w:ascii="Times New Roman" w:hAnsi="Times New Roman" w:cs="Times New Roman"/>
          <w:u w:val="single"/>
        </w:rPr>
      </w:pPr>
    </w:p>
    <w:p w14:paraId="0A02A9F1" w14:textId="644C1DF1" w:rsidR="00D63A41" w:rsidRPr="00840EA1" w:rsidRDefault="00840EA1" w:rsidP="0002625C">
      <w:pPr>
        <w:spacing w:line="360" w:lineRule="auto"/>
        <w:rPr>
          <w:rFonts w:ascii="Times New Roman" w:hAnsi="Times New Roman" w:cs="Times New Roman"/>
          <w:u w:val="single"/>
        </w:rPr>
      </w:pPr>
      <w:r w:rsidRPr="00840EA1">
        <w:rPr>
          <w:rFonts w:ascii="Times New Roman" w:hAnsi="Times New Roman" w:cs="Times New Roman"/>
          <w:u w:val="single"/>
        </w:rPr>
        <w:lastRenderedPageBreak/>
        <w:t>Case law</w:t>
      </w:r>
    </w:p>
    <w:p w14:paraId="236F4A71" w14:textId="7F87A365" w:rsidR="00D63A41" w:rsidRPr="00840EA1" w:rsidRDefault="00D63A41" w:rsidP="0002625C">
      <w:pPr>
        <w:spacing w:line="360" w:lineRule="auto"/>
        <w:rPr>
          <w:rFonts w:ascii="Times New Roman" w:hAnsi="Times New Roman" w:cs="Times New Roman"/>
        </w:rPr>
      </w:pPr>
    </w:p>
    <w:p w14:paraId="11944B70" w14:textId="51C986F3" w:rsidR="00D63A41" w:rsidRDefault="00840EA1" w:rsidP="00840EA1">
      <w:pPr>
        <w:pStyle w:val="ListParagraph"/>
        <w:numPr>
          <w:ilvl w:val="0"/>
          <w:numId w:val="1"/>
        </w:numPr>
        <w:spacing w:line="360" w:lineRule="auto"/>
        <w:rPr>
          <w:sz w:val="24"/>
          <w:szCs w:val="24"/>
        </w:rPr>
      </w:pPr>
      <w:r w:rsidRPr="00840EA1">
        <w:rPr>
          <w:sz w:val="24"/>
          <w:szCs w:val="24"/>
        </w:rPr>
        <w:t>Bal</w:t>
      </w:r>
      <w:r>
        <w:rPr>
          <w:sz w:val="24"/>
          <w:szCs w:val="24"/>
        </w:rPr>
        <w:t>four v Balfour [1919]</w:t>
      </w:r>
    </w:p>
    <w:p w14:paraId="3B4AE89A" w14:textId="3D66B7CB" w:rsidR="00840EA1" w:rsidRDefault="00840EA1" w:rsidP="00840EA1">
      <w:pPr>
        <w:pStyle w:val="ListParagraph"/>
        <w:numPr>
          <w:ilvl w:val="0"/>
          <w:numId w:val="1"/>
        </w:numPr>
        <w:spacing w:line="360" w:lineRule="auto"/>
        <w:rPr>
          <w:sz w:val="24"/>
          <w:szCs w:val="24"/>
        </w:rPr>
      </w:pPr>
      <w:r>
        <w:rPr>
          <w:sz w:val="24"/>
          <w:szCs w:val="24"/>
        </w:rPr>
        <w:t xml:space="preserve">Jones v </w:t>
      </w:r>
      <w:proofErr w:type="spellStart"/>
      <w:r>
        <w:rPr>
          <w:sz w:val="24"/>
          <w:szCs w:val="24"/>
        </w:rPr>
        <w:t>Pada</w:t>
      </w:r>
      <w:r w:rsidR="00BE2668">
        <w:rPr>
          <w:sz w:val="24"/>
          <w:szCs w:val="24"/>
        </w:rPr>
        <w:t>vatton</w:t>
      </w:r>
      <w:proofErr w:type="spellEnd"/>
      <w:r>
        <w:rPr>
          <w:sz w:val="24"/>
          <w:szCs w:val="24"/>
        </w:rPr>
        <w:t xml:space="preserve"> [1969]</w:t>
      </w:r>
    </w:p>
    <w:p w14:paraId="0ABCC6DA" w14:textId="175D49EE" w:rsidR="00840EA1" w:rsidRDefault="00840EA1" w:rsidP="00840EA1">
      <w:pPr>
        <w:pStyle w:val="ListParagraph"/>
        <w:numPr>
          <w:ilvl w:val="0"/>
          <w:numId w:val="1"/>
        </w:numPr>
        <w:spacing w:line="360" w:lineRule="auto"/>
        <w:rPr>
          <w:sz w:val="24"/>
          <w:szCs w:val="24"/>
        </w:rPr>
      </w:pPr>
      <w:r>
        <w:rPr>
          <w:sz w:val="24"/>
          <w:szCs w:val="24"/>
        </w:rPr>
        <w:t>Es</w:t>
      </w:r>
      <w:r w:rsidR="00E63BCA">
        <w:rPr>
          <w:sz w:val="24"/>
          <w:szCs w:val="24"/>
        </w:rPr>
        <w:t>so Petroleum Co v Customs &amp; Excise Commissioners</w:t>
      </w:r>
    </w:p>
    <w:p w14:paraId="2E2C6E4A" w14:textId="3E37CD4E" w:rsidR="00840EA1" w:rsidRPr="00427304" w:rsidRDefault="00C561B3" w:rsidP="00C561B3">
      <w:pPr>
        <w:pStyle w:val="ListParagraph"/>
        <w:numPr>
          <w:ilvl w:val="0"/>
          <w:numId w:val="1"/>
        </w:numPr>
        <w:spacing w:line="360" w:lineRule="auto"/>
      </w:pPr>
      <w:r>
        <w:rPr>
          <w:sz w:val="24"/>
          <w:szCs w:val="24"/>
        </w:rPr>
        <w:t>Edwards v Skyways Ltd</w:t>
      </w:r>
      <w:r w:rsidR="00310876">
        <w:rPr>
          <w:sz w:val="24"/>
          <w:szCs w:val="24"/>
        </w:rPr>
        <w:t xml:space="preserve"> [1964]</w:t>
      </w:r>
    </w:p>
    <w:p w14:paraId="7DCBEE57" w14:textId="77777777" w:rsidR="00427304" w:rsidRPr="00C561B3" w:rsidRDefault="00427304" w:rsidP="00427304">
      <w:pPr>
        <w:pStyle w:val="ListParagraph"/>
        <w:spacing w:line="360" w:lineRule="auto"/>
      </w:pPr>
    </w:p>
    <w:p w14:paraId="154F4F40" w14:textId="0920B8F0" w:rsidR="00310876" w:rsidRDefault="00310876" w:rsidP="00310876">
      <w:pPr>
        <w:pStyle w:val="ListParagraph"/>
        <w:spacing w:line="360" w:lineRule="auto"/>
      </w:pPr>
    </w:p>
    <w:p w14:paraId="524C61A7" w14:textId="1F6BCF78" w:rsidR="00310876" w:rsidRDefault="00310876" w:rsidP="00310876">
      <w:pPr>
        <w:spacing w:line="360" w:lineRule="auto"/>
        <w:rPr>
          <w:rFonts w:ascii="Times New Roman" w:hAnsi="Times New Roman" w:cs="Times New Roman"/>
          <w:u w:val="single"/>
        </w:rPr>
      </w:pPr>
      <w:r w:rsidRPr="00D63A41">
        <w:rPr>
          <w:rFonts w:ascii="Times New Roman" w:hAnsi="Times New Roman" w:cs="Times New Roman"/>
          <w:u w:val="single"/>
        </w:rPr>
        <w:t>REFERENCES:</w:t>
      </w:r>
    </w:p>
    <w:p w14:paraId="574B2B98" w14:textId="77777777" w:rsidR="00310876" w:rsidRPr="00C561B3" w:rsidRDefault="00310876" w:rsidP="00310876">
      <w:pPr>
        <w:pStyle w:val="NormalWeb"/>
        <w:ind w:left="567" w:hanging="567"/>
        <w:rPr>
          <w:color w:val="000000"/>
        </w:rPr>
      </w:pPr>
      <w:r w:rsidRPr="00C561B3">
        <w:rPr>
          <w:color w:val="000000"/>
        </w:rPr>
        <w:t>Evans, G. (no date)</w:t>
      </w:r>
      <w:r w:rsidRPr="00C561B3">
        <w:rPr>
          <w:rStyle w:val="apple-converted-space"/>
          <w:color w:val="000000"/>
        </w:rPr>
        <w:t> </w:t>
      </w:r>
      <w:r w:rsidRPr="00C561B3">
        <w:rPr>
          <w:i/>
          <w:iCs/>
          <w:color w:val="000000"/>
        </w:rPr>
        <w:t>Intention to create legal relations: Digestible notes</w:t>
      </w:r>
      <w:r w:rsidRPr="00C561B3">
        <w:rPr>
          <w:color w:val="000000"/>
        </w:rPr>
        <w:t>. Available at: https://digestiblenotes.com/law/contract/legal_relations.php (Accessed: March 10, 2023).</w:t>
      </w:r>
      <w:r w:rsidRPr="00C561B3">
        <w:rPr>
          <w:rStyle w:val="apple-converted-space"/>
          <w:color w:val="000000"/>
        </w:rPr>
        <w:t> </w:t>
      </w:r>
    </w:p>
    <w:p w14:paraId="79D43D95" w14:textId="77777777" w:rsidR="00310876" w:rsidRPr="00E63BCA" w:rsidRDefault="00310876" w:rsidP="00310876">
      <w:pPr>
        <w:pStyle w:val="NormalWeb"/>
        <w:shd w:val="clear" w:color="auto" w:fill="FFFFFF"/>
        <w:spacing w:before="0" w:beforeAutospacing="0" w:after="0" w:afterAutospacing="0" w:line="360" w:lineRule="atLeast"/>
        <w:rPr>
          <w:color w:val="000000"/>
        </w:rPr>
      </w:pPr>
      <w:proofErr w:type="spellStart"/>
      <w:r w:rsidRPr="00E63BCA">
        <w:rPr>
          <w:color w:val="000000"/>
        </w:rPr>
        <w:t>Studocu</w:t>
      </w:r>
      <w:proofErr w:type="spellEnd"/>
      <w:r w:rsidRPr="00E63BCA">
        <w:rPr>
          <w:color w:val="000000"/>
        </w:rPr>
        <w:t>. (n.d.).</w:t>
      </w:r>
      <w:r w:rsidRPr="00E63BCA">
        <w:rPr>
          <w:rStyle w:val="apple-converted-space"/>
          <w:color w:val="000000"/>
        </w:rPr>
        <w:t> </w:t>
      </w:r>
      <w:r w:rsidRPr="00E63BCA">
        <w:rPr>
          <w:color w:val="000000"/>
        </w:rPr>
        <w:t xml:space="preserve">Intention to Create Legal Relations Case Facts - Case Facts Edwards v Skyways Ltd - [1964] 1 All ER - </w:t>
      </w:r>
      <w:proofErr w:type="spellStart"/>
      <w:r w:rsidRPr="00E63BCA">
        <w:rPr>
          <w:color w:val="000000"/>
        </w:rPr>
        <w:t>Studocu</w:t>
      </w:r>
      <w:proofErr w:type="spellEnd"/>
      <w:r w:rsidRPr="00E63BCA">
        <w:rPr>
          <w:color w:val="000000"/>
        </w:rPr>
        <w:t>. [online] Available at: https://www.studocu.com/row/document/the-university-of-the-west-indies-cave-hill-campus/contract-law-1/intention-to-create-legal-relations-case-facts/11415334 [Accessed 10 Mar. 2023].</w:t>
      </w:r>
    </w:p>
    <w:p w14:paraId="5E4B7563" w14:textId="77777777" w:rsidR="00310876" w:rsidRPr="00E63BCA" w:rsidRDefault="00310876" w:rsidP="00310876">
      <w:pPr>
        <w:pStyle w:val="NormalWeb"/>
        <w:shd w:val="clear" w:color="auto" w:fill="FFFFFF"/>
        <w:spacing w:before="0" w:beforeAutospacing="0" w:after="0" w:afterAutospacing="0" w:line="360" w:lineRule="atLeast"/>
        <w:rPr>
          <w:color w:val="000000"/>
        </w:rPr>
      </w:pPr>
    </w:p>
    <w:p w14:paraId="0FE34556" w14:textId="77777777" w:rsidR="00310876" w:rsidRPr="00E63BCA" w:rsidRDefault="00310876" w:rsidP="00310876">
      <w:pPr>
        <w:pStyle w:val="NormalWeb"/>
        <w:shd w:val="clear" w:color="auto" w:fill="FFFFFF"/>
        <w:spacing w:before="0" w:beforeAutospacing="0" w:after="0" w:afterAutospacing="0" w:line="360" w:lineRule="atLeast"/>
        <w:rPr>
          <w:color w:val="000000"/>
        </w:rPr>
      </w:pPr>
      <w:r w:rsidRPr="00E63BCA">
        <w:rPr>
          <w:color w:val="000000"/>
        </w:rPr>
        <w:t>‌Lawteacher.net. (2020).</w:t>
      </w:r>
      <w:r w:rsidRPr="00E63BCA">
        <w:rPr>
          <w:rStyle w:val="apple-converted-space"/>
          <w:color w:val="000000"/>
        </w:rPr>
        <w:t> </w:t>
      </w:r>
      <w:r w:rsidRPr="00E63BCA">
        <w:rPr>
          <w:color w:val="000000"/>
        </w:rPr>
        <w:t>Edwards v Skyways Ltd. [online] Available at: https://www.lawteacher.net/cases/edwards-v-skyways.php.</w:t>
      </w:r>
    </w:p>
    <w:p w14:paraId="1CE7BD13" w14:textId="77777777" w:rsidR="00310876" w:rsidRPr="00E63BCA" w:rsidRDefault="00310876" w:rsidP="00310876">
      <w:pPr>
        <w:pStyle w:val="NormalWeb"/>
        <w:ind w:left="567" w:hanging="567"/>
        <w:rPr>
          <w:color w:val="000000"/>
        </w:rPr>
      </w:pPr>
      <w:r w:rsidRPr="00E63BCA">
        <w:rPr>
          <w:color w:val="000000"/>
        </w:rPr>
        <w:t>‌ CB, B. (2022)</w:t>
      </w:r>
      <w:r w:rsidRPr="00E63BCA">
        <w:rPr>
          <w:rStyle w:val="apple-converted-space"/>
          <w:color w:val="000000"/>
        </w:rPr>
        <w:t> </w:t>
      </w:r>
      <w:r w:rsidRPr="00E63BCA">
        <w:rPr>
          <w:color w:val="000000"/>
        </w:rPr>
        <w:t>Balfour vs Balfour Case Summary (1919),</w:t>
      </w:r>
      <w:r w:rsidRPr="00E63BCA">
        <w:rPr>
          <w:rStyle w:val="apple-converted-space"/>
          <w:color w:val="000000"/>
        </w:rPr>
        <w:t> </w:t>
      </w:r>
      <w:r w:rsidRPr="00E63BCA">
        <w:rPr>
          <w:color w:val="000000"/>
        </w:rPr>
        <w:t>Law Planet - Legal News, Law Updates &amp; Law Exams Preparation. Available at: https://lawplanet.in/balfour-vs-balfour-case-summary-1919/ (Accessed: March 10, 2023).</w:t>
      </w:r>
      <w:r w:rsidRPr="00E63BCA">
        <w:rPr>
          <w:rStyle w:val="apple-converted-space"/>
          <w:color w:val="000000"/>
        </w:rPr>
        <w:t> </w:t>
      </w:r>
    </w:p>
    <w:p w14:paraId="014D4AA9" w14:textId="77777777" w:rsidR="00310876" w:rsidRPr="00E63BCA" w:rsidRDefault="00310876" w:rsidP="00310876">
      <w:pPr>
        <w:pStyle w:val="NormalWeb"/>
        <w:ind w:left="567" w:hanging="567"/>
        <w:rPr>
          <w:color w:val="000000"/>
        </w:rPr>
      </w:pPr>
      <w:r w:rsidRPr="00E63BCA">
        <w:rPr>
          <w:color w:val="000000"/>
        </w:rPr>
        <w:t xml:space="preserve">Jus Corpus, Jus Corpus / About </w:t>
      </w:r>
      <w:proofErr w:type="spellStart"/>
      <w:r w:rsidRPr="00E63BCA">
        <w:rPr>
          <w:color w:val="000000"/>
        </w:rPr>
        <w:t>AuthorMore</w:t>
      </w:r>
      <w:proofErr w:type="spellEnd"/>
      <w:r w:rsidRPr="00E63BCA">
        <w:rPr>
          <w:color w:val="000000"/>
        </w:rPr>
        <w:t xml:space="preserve"> posts by Jus Corpus and Corpus, </w:t>
      </w:r>
      <w:proofErr w:type="spellStart"/>
      <w:r w:rsidRPr="00E63BCA">
        <w:rPr>
          <w:color w:val="000000"/>
        </w:rPr>
        <w:t>M.posts</w:t>
      </w:r>
      <w:proofErr w:type="spellEnd"/>
      <w:r w:rsidRPr="00E63BCA">
        <w:rPr>
          <w:color w:val="000000"/>
        </w:rPr>
        <w:t xml:space="preserve"> by J. (2022)</w:t>
      </w:r>
      <w:r w:rsidRPr="00E63BCA">
        <w:rPr>
          <w:rStyle w:val="apple-converted-space"/>
          <w:color w:val="000000"/>
        </w:rPr>
        <w:t> </w:t>
      </w:r>
      <w:r w:rsidRPr="00E63BCA">
        <w:rPr>
          <w:color w:val="000000"/>
        </w:rPr>
        <w:t xml:space="preserve">Jones v. </w:t>
      </w:r>
      <w:proofErr w:type="spellStart"/>
      <w:r w:rsidRPr="00E63BCA">
        <w:rPr>
          <w:color w:val="000000"/>
        </w:rPr>
        <w:t>padavatton</w:t>
      </w:r>
      <w:proofErr w:type="spellEnd"/>
      <w:r w:rsidRPr="00E63BCA">
        <w:rPr>
          <w:color w:val="000000"/>
        </w:rPr>
        <w:t>- A case study,</w:t>
      </w:r>
      <w:r w:rsidRPr="00E63BCA">
        <w:rPr>
          <w:rStyle w:val="apple-converted-space"/>
          <w:color w:val="000000"/>
        </w:rPr>
        <w:t> </w:t>
      </w:r>
      <w:r w:rsidRPr="00E63BCA">
        <w:rPr>
          <w:color w:val="000000"/>
        </w:rPr>
        <w:t>Jus Corpus. Available at: https://www.juscorpus.com/jones-v-padavatton-a-case-study/ (Accessed: March 10, 2023).</w:t>
      </w:r>
      <w:r w:rsidRPr="00E63BCA">
        <w:rPr>
          <w:rStyle w:val="apple-converted-space"/>
          <w:color w:val="000000"/>
        </w:rPr>
        <w:t> </w:t>
      </w:r>
    </w:p>
    <w:p w14:paraId="0D35F72F" w14:textId="77777777" w:rsidR="00310876" w:rsidRPr="00C561B3" w:rsidRDefault="00310876" w:rsidP="00310876">
      <w:pPr>
        <w:pStyle w:val="NormalWeb"/>
        <w:ind w:left="567" w:hanging="567"/>
        <w:rPr>
          <w:color w:val="000000"/>
        </w:rPr>
      </w:pPr>
      <w:r w:rsidRPr="00E63BCA">
        <w:rPr>
          <w:color w:val="000000"/>
        </w:rPr>
        <w:t>Esso Petroleum Co v Customs &amp; Excise Commissioners - Case Summary</w:t>
      </w:r>
      <w:r w:rsidRPr="00E63BCA">
        <w:rPr>
          <w:rStyle w:val="apple-converted-space"/>
          <w:color w:val="000000"/>
        </w:rPr>
        <w:t> </w:t>
      </w:r>
      <w:r w:rsidRPr="00E63BCA">
        <w:rPr>
          <w:color w:val="000000"/>
        </w:rPr>
        <w:t>(2020)</w:t>
      </w:r>
      <w:r w:rsidRPr="00E63BCA">
        <w:rPr>
          <w:rStyle w:val="apple-converted-space"/>
          <w:color w:val="000000"/>
        </w:rPr>
        <w:t> </w:t>
      </w:r>
      <w:r w:rsidRPr="00E63BCA">
        <w:rPr>
          <w:color w:val="000000"/>
        </w:rPr>
        <w:t>IPSA LOQUITUR. Available at: https://ipsaloquitur.com/contract-law/cases/esso-petroleum-v-customs-excise-commissioners/ (Accessed: March 10, 2023</w:t>
      </w:r>
      <w:r w:rsidRPr="00C561B3">
        <w:rPr>
          <w:color w:val="000000"/>
        </w:rPr>
        <w:t>).</w:t>
      </w:r>
      <w:r w:rsidRPr="00C561B3">
        <w:rPr>
          <w:rStyle w:val="apple-converted-space"/>
          <w:color w:val="000000"/>
        </w:rPr>
        <w:t> </w:t>
      </w:r>
    </w:p>
    <w:p w14:paraId="47638F7A" w14:textId="77777777" w:rsidR="00310876" w:rsidRPr="00C561B3" w:rsidRDefault="00310876" w:rsidP="00310876">
      <w:pPr>
        <w:pStyle w:val="ListParagraph"/>
        <w:spacing w:line="360" w:lineRule="auto"/>
      </w:pPr>
    </w:p>
    <w:p w14:paraId="35275E1B" w14:textId="77777777" w:rsidR="00E4540D" w:rsidRPr="00C561B3" w:rsidRDefault="00E4540D">
      <w:pPr>
        <w:pStyle w:val="ListParagraph"/>
        <w:spacing w:line="360" w:lineRule="auto"/>
      </w:pPr>
    </w:p>
    <w:sectPr w:rsidR="00E4540D" w:rsidRPr="00C561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6E4E63"/>
    <w:multiLevelType w:val="hybridMultilevel"/>
    <w:tmpl w:val="6EEE0C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25088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209"/>
    <w:rsid w:val="0002625C"/>
    <w:rsid w:val="00113209"/>
    <w:rsid w:val="0019112C"/>
    <w:rsid w:val="002130EE"/>
    <w:rsid w:val="002235BE"/>
    <w:rsid w:val="00250C9D"/>
    <w:rsid w:val="002A37AF"/>
    <w:rsid w:val="00310876"/>
    <w:rsid w:val="00353BB5"/>
    <w:rsid w:val="00427304"/>
    <w:rsid w:val="004D0EB7"/>
    <w:rsid w:val="0055599E"/>
    <w:rsid w:val="005D611F"/>
    <w:rsid w:val="005F3E0C"/>
    <w:rsid w:val="00624F81"/>
    <w:rsid w:val="00840EA1"/>
    <w:rsid w:val="0095317C"/>
    <w:rsid w:val="009E0041"/>
    <w:rsid w:val="009F1F18"/>
    <w:rsid w:val="00A01EA4"/>
    <w:rsid w:val="00A515A3"/>
    <w:rsid w:val="00AB337A"/>
    <w:rsid w:val="00AD0B2C"/>
    <w:rsid w:val="00B20175"/>
    <w:rsid w:val="00B332C5"/>
    <w:rsid w:val="00B63FD9"/>
    <w:rsid w:val="00BA6F95"/>
    <w:rsid w:val="00BC45AC"/>
    <w:rsid w:val="00BC7E65"/>
    <w:rsid w:val="00BE2668"/>
    <w:rsid w:val="00C561B3"/>
    <w:rsid w:val="00CD7506"/>
    <w:rsid w:val="00D63A41"/>
    <w:rsid w:val="00D65C40"/>
    <w:rsid w:val="00D678A2"/>
    <w:rsid w:val="00E4540D"/>
    <w:rsid w:val="00E63BCA"/>
    <w:rsid w:val="00EE3D70"/>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decimalSymbol w:val="."/>
  <w:listSeparator w:val=","/>
  <w14:docId w14:val="59F48F7B"/>
  <w15:chartTrackingRefBased/>
  <w15:docId w15:val="{1C24288C-F1F7-6747-9EE2-4AB4E8A4E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MY"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678A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678A2"/>
  </w:style>
  <w:style w:type="character" w:styleId="Hyperlink">
    <w:name w:val="Hyperlink"/>
    <w:basedOn w:val="DefaultParagraphFont"/>
    <w:uiPriority w:val="99"/>
    <w:unhideWhenUsed/>
    <w:rsid w:val="002235BE"/>
    <w:rPr>
      <w:color w:val="0563C1" w:themeColor="hyperlink"/>
      <w:u w:val="single"/>
    </w:rPr>
  </w:style>
  <w:style w:type="character" w:styleId="UnresolvedMention">
    <w:name w:val="Unresolved Mention"/>
    <w:basedOn w:val="DefaultParagraphFont"/>
    <w:uiPriority w:val="99"/>
    <w:semiHidden/>
    <w:unhideWhenUsed/>
    <w:rsid w:val="002235BE"/>
    <w:rPr>
      <w:color w:val="605E5C"/>
      <w:shd w:val="clear" w:color="auto" w:fill="E1DFDD"/>
    </w:rPr>
  </w:style>
  <w:style w:type="paragraph" w:styleId="ListParagraph">
    <w:name w:val="List Paragraph"/>
    <w:basedOn w:val="Normal"/>
    <w:uiPriority w:val="34"/>
    <w:qFormat/>
    <w:rsid w:val="00CD7506"/>
    <w:pPr>
      <w:ind w:left="720"/>
      <w:contextualSpacing/>
    </w:pPr>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809904">
      <w:bodyDiv w:val="1"/>
      <w:marLeft w:val="0"/>
      <w:marRight w:val="0"/>
      <w:marTop w:val="0"/>
      <w:marBottom w:val="0"/>
      <w:divBdr>
        <w:top w:val="none" w:sz="0" w:space="0" w:color="auto"/>
        <w:left w:val="none" w:sz="0" w:space="0" w:color="auto"/>
        <w:bottom w:val="none" w:sz="0" w:space="0" w:color="auto"/>
        <w:right w:val="none" w:sz="0" w:space="0" w:color="auto"/>
      </w:divBdr>
    </w:div>
    <w:div w:id="343283914">
      <w:bodyDiv w:val="1"/>
      <w:marLeft w:val="0"/>
      <w:marRight w:val="0"/>
      <w:marTop w:val="0"/>
      <w:marBottom w:val="0"/>
      <w:divBdr>
        <w:top w:val="none" w:sz="0" w:space="0" w:color="auto"/>
        <w:left w:val="none" w:sz="0" w:space="0" w:color="auto"/>
        <w:bottom w:val="none" w:sz="0" w:space="0" w:color="auto"/>
        <w:right w:val="none" w:sz="0" w:space="0" w:color="auto"/>
      </w:divBdr>
    </w:div>
    <w:div w:id="568884768">
      <w:bodyDiv w:val="1"/>
      <w:marLeft w:val="0"/>
      <w:marRight w:val="0"/>
      <w:marTop w:val="0"/>
      <w:marBottom w:val="0"/>
      <w:divBdr>
        <w:top w:val="none" w:sz="0" w:space="0" w:color="auto"/>
        <w:left w:val="none" w:sz="0" w:space="0" w:color="auto"/>
        <w:bottom w:val="none" w:sz="0" w:space="0" w:color="auto"/>
        <w:right w:val="none" w:sz="0" w:space="0" w:color="auto"/>
      </w:divBdr>
    </w:div>
    <w:div w:id="711152028">
      <w:bodyDiv w:val="1"/>
      <w:marLeft w:val="0"/>
      <w:marRight w:val="0"/>
      <w:marTop w:val="0"/>
      <w:marBottom w:val="0"/>
      <w:divBdr>
        <w:top w:val="none" w:sz="0" w:space="0" w:color="auto"/>
        <w:left w:val="none" w:sz="0" w:space="0" w:color="auto"/>
        <w:bottom w:val="none" w:sz="0" w:space="0" w:color="auto"/>
        <w:right w:val="none" w:sz="0" w:space="0" w:color="auto"/>
      </w:divBdr>
    </w:div>
    <w:div w:id="826245066">
      <w:bodyDiv w:val="1"/>
      <w:marLeft w:val="0"/>
      <w:marRight w:val="0"/>
      <w:marTop w:val="0"/>
      <w:marBottom w:val="0"/>
      <w:divBdr>
        <w:top w:val="none" w:sz="0" w:space="0" w:color="auto"/>
        <w:left w:val="none" w:sz="0" w:space="0" w:color="auto"/>
        <w:bottom w:val="none" w:sz="0" w:space="0" w:color="auto"/>
        <w:right w:val="none" w:sz="0" w:space="0" w:color="auto"/>
      </w:divBdr>
    </w:div>
    <w:div w:id="1141852108">
      <w:bodyDiv w:val="1"/>
      <w:marLeft w:val="0"/>
      <w:marRight w:val="0"/>
      <w:marTop w:val="0"/>
      <w:marBottom w:val="0"/>
      <w:divBdr>
        <w:top w:val="none" w:sz="0" w:space="0" w:color="auto"/>
        <w:left w:val="none" w:sz="0" w:space="0" w:color="auto"/>
        <w:bottom w:val="none" w:sz="0" w:space="0" w:color="auto"/>
        <w:right w:val="none" w:sz="0" w:space="0" w:color="auto"/>
      </w:divBdr>
    </w:div>
    <w:div w:id="1336765427">
      <w:bodyDiv w:val="1"/>
      <w:marLeft w:val="0"/>
      <w:marRight w:val="0"/>
      <w:marTop w:val="0"/>
      <w:marBottom w:val="0"/>
      <w:divBdr>
        <w:top w:val="none" w:sz="0" w:space="0" w:color="auto"/>
        <w:left w:val="none" w:sz="0" w:space="0" w:color="auto"/>
        <w:bottom w:val="none" w:sz="0" w:space="0" w:color="auto"/>
        <w:right w:val="none" w:sz="0" w:space="0" w:color="auto"/>
      </w:divBdr>
    </w:div>
    <w:div w:id="1571962092">
      <w:bodyDiv w:val="1"/>
      <w:marLeft w:val="0"/>
      <w:marRight w:val="0"/>
      <w:marTop w:val="0"/>
      <w:marBottom w:val="0"/>
      <w:divBdr>
        <w:top w:val="none" w:sz="0" w:space="0" w:color="auto"/>
        <w:left w:val="none" w:sz="0" w:space="0" w:color="auto"/>
        <w:bottom w:val="none" w:sz="0" w:space="0" w:color="auto"/>
        <w:right w:val="none" w:sz="0" w:space="0" w:color="auto"/>
      </w:divBdr>
    </w:div>
    <w:div w:id="1865895266">
      <w:bodyDiv w:val="1"/>
      <w:marLeft w:val="0"/>
      <w:marRight w:val="0"/>
      <w:marTop w:val="0"/>
      <w:marBottom w:val="0"/>
      <w:divBdr>
        <w:top w:val="none" w:sz="0" w:space="0" w:color="auto"/>
        <w:left w:val="none" w:sz="0" w:space="0" w:color="auto"/>
        <w:bottom w:val="none" w:sz="0" w:space="0" w:color="auto"/>
        <w:right w:val="none" w:sz="0" w:space="0" w:color="auto"/>
      </w:divBdr>
    </w:div>
    <w:div w:id="2079933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272</TotalTime>
  <Pages>7</Pages>
  <Words>2102</Words>
  <Characters>11983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MANIESA MANIAM</dc:creator>
  <cp:keywords/>
  <dc:description/>
  <cp:lastModifiedBy>MANIESA MANIAM</cp:lastModifiedBy>
  <cp:revision>33</cp:revision>
  <dcterms:created xsi:type="dcterms:W3CDTF">2023-03-01T20:10:00Z</dcterms:created>
  <dcterms:modified xsi:type="dcterms:W3CDTF">2023-03-10T15:36:00Z</dcterms:modified>
</cp:coreProperties>
</file>