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350171F" w14:textId="1775627C" w:rsidR="00340CE7" w:rsidRPr="00FF538A" w:rsidRDefault="00340CE7" w:rsidP="00340CE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Academic Discussion one </w:t>
      </w:r>
    </w:p>
    <w:p w14:paraId="0293BA56" w14:textId="389C2AA6" w:rsidR="00340CE7" w:rsidRDefault="00340CE7" w:rsidP="00340CE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Module:  </w:t>
      </w:r>
      <w:r>
        <w:rPr>
          <w:rFonts w:ascii="Arial" w:hAnsi="Arial" w:cs="Arial"/>
          <w:sz w:val="24"/>
          <w:szCs w:val="24"/>
        </w:rPr>
        <w:t xml:space="preserve">Clinical Decision Making for Therapy Assistant Practitioners </w:t>
      </w:r>
    </w:p>
    <w:p w14:paraId="78601FF3" w14:textId="46EE68F4" w:rsidR="00340CE7" w:rsidRDefault="00340CE7" w:rsidP="00340CE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Module code:  </w:t>
      </w:r>
      <w:r>
        <w:rPr>
          <w:rFonts w:ascii="Arial" w:hAnsi="Arial" w:cs="Arial"/>
          <w:sz w:val="24"/>
          <w:szCs w:val="24"/>
        </w:rPr>
        <w:t>BMAC4018 / PJ14CY012: CD0558</w:t>
      </w:r>
    </w:p>
    <w:p w14:paraId="1AB69BA7" w14:textId="451C7844" w:rsidR="00340CE7" w:rsidRDefault="00340CE7" w:rsidP="00340CE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Assignment Title:  Academic Discussion one </w:t>
      </w:r>
    </w:p>
    <w:p w14:paraId="6A7E0F23" w14:textId="77777777" w:rsidR="00340CE7" w:rsidRDefault="00340CE7" w:rsidP="00340CE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Name:  Eleri Edwards </w:t>
      </w:r>
    </w:p>
    <w:p w14:paraId="011797C5" w14:textId="77777777" w:rsidR="00340CE7" w:rsidRDefault="00340CE7" w:rsidP="00340CE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Student number:  2127399 </w:t>
      </w:r>
    </w:p>
    <w:p w14:paraId="068837C6" w14:textId="77777777" w:rsidR="00340CE7" w:rsidRDefault="00340CE7" w:rsidP="00340CE7">
      <w:pPr>
        <w:spacing w:line="360" w:lineRule="auto"/>
        <w:rPr>
          <w:rFonts w:ascii="Arial" w:hAnsi="Arial" w:cs="Arial"/>
          <w:sz w:val="24"/>
          <w:szCs w:val="24"/>
        </w:rPr>
      </w:pPr>
    </w:p>
    <w:p w14:paraId="003A01A9" w14:textId="77777777" w:rsidR="00340CE7" w:rsidRDefault="00340CE7" w:rsidP="00340CE7">
      <w:pPr>
        <w:spacing w:line="360" w:lineRule="auto"/>
        <w:rPr>
          <w:rFonts w:ascii="Arial" w:hAnsi="Arial" w:cs="Arial"/>
          <w:sz w:val="24"/>
          <w:szCs w:val="24"/>
        </w:rPr>
      </w:pPr>
    </w:p>
    <w:p w14:paraId="5D71E4F1" w14:textId="77777777" w:rsidR="00340CE7" w:rsidRDefault="00340CE7" w:rsidP="00340CE7">
      <w:pPr>
        <w:spacing w:line="360" w:lineRule="auto"/>
        <w:rPr>
          <w:rFonts w:ascii="Arial" w:hAnsi="Arial" w:cs="Arial"/>
          <w:sz w:val="24"/>
          <w:szCs w:val="24"/>
        </w:rPr>
      </w:pPr>
    </w:p>
    <w:p w14:paraId="50FC053D" w14:textId="77777777" w:rsidR="00340CE7" w:rsidRDefault="00340CE7" w:rsidP="00340CE7">
      <w:pPr>
        <w:spacing w:line="360" w:lineRule="auto"/>
        <w:rPr>
          <w:rFonts w:ascii="Arial" w:hAnsi="Arial" w:cs="Arial"/>
          <w:sz w:val="24"/>
          <w:szCs w:val="24"/>
        </w:rPr>
      </w:pPr>
    </w:p>
    <w:p w14:paraId="1973E077" w14:textId="77777777" w:rsidR="00340CE7" w:rsidRDefault="00340CE7" w:rsidP="00340CE7">
      <w:pPr>
        <w:spacing w:line="360" w:lineRule="auto"/>
        <w:rPr>
          <w:rFonts w:ascii="Arial" w:hAnsi="Arial" w:cs="Arial"/>
          <w:sz w:val="24"/>
          <w:szCs w:val="24"/>
        </w:rPr>
      </w:pPr>
    </w:p>
    <w:p w14:paraId="254BBF1E" w14:textId="77777777" w:rsidR="00340CE7" w:rsidRDefault="00340CE7" w:rsidP="00340CE7">
      <w:pPr>
        <w:spacing w:line="360" w:lineRule="auto"/>
        <w:rPr>
          <w:rFonts w:ascii="Arial" w:hAnsi="Arial" w:cs="Arial"/>
          <w:sz w:val="24"/>
          <w:szCs w:val="24"/>
        </w:rPr>
      </w:pPr>
    </w:p>
    <w:p w14:paraId="375E6637" w14:textId="77777777" w:rsidR="00340CE7" w:rsidRDefault="00340CE7" w:rsidP="00340CE7">
      <w:pPr>
        <w:spacing w:line="360" w:lineRule="auto"/>
        <w:rPr>
          <w:rFonts w:ascii="Arial" w:hAnsi="Arial" w:cs="Arial"/>
          <w:sz w:val="24"/>
          <w:szCs w:val="24"/>
        </w:rPr>
      </w:pPr>
    </w:p>
    <w:p w14:paraId="55C8D0B0" w14:textId="77777777" w:rsidR="00340CE7" w:rsidRDefault="00340CE7" w:rsidP="00340CE7">
      <w:pPr>
        <w:spacing w:line="360" w:lineRule="auto"/>
        <w:rPr>
          <w:rFonts w:ascii="Arial" w:hAnsi="Arial" w:cs="Arial"/>
          <w:sz w:val="24"/>
          <w:szCs w:val="24"/>
        </w:rPr>
      </w:pPr>
    </w:p>
    <w:p w14:paraId="174F66A4" w14:textId="77777777" w:rsidR="00340CE7" w:rsidRDefault="00340CE7" w:rsidP="00340CE7">
      <w:pPr>
        <w:spacing w:line="360" w:lineRule="auto"/>
        <w:rPr>
          <w:rFonts w:ascii="Arial" w:hAnsi="Arial" w:cs="Arial"/>
          <w:sz w:val="24"/>
          <w:szCs w:val="24"/>
        </w:rPr>
      </w:pPr>
    </w:p>
    <w:p w14:paraId="06194824" w14:textId="77777777" w:rsidR="00340CE7" w:rsidRDefault="00340CE7" w:rsidP="00340CE7">
      <w:pPr>
        <w:spacing w:line="360" w:lineRule="auto"/>
        <w:rPr>
          <w:rFonts w:ascii="Arial" w:hAnsi="Arial" w:cs="Arial"/>
          <w:sz w:val="24"/>
          <w:szCs w:val="24"/>
        </w:rPr>
      </w:pPr>
    </w:p>
    <w:p w14:paraId="4C299A8D" w14:textId="77777777" w:rsidR="00340CE7" w:rsidRDefault="00340CE7" w:rsidP="00340CE7">
      <w:pPr>
        <w:spacing w:line="360" w:lineRule="auto"/>
        <w:rPr>
          <w:rFonts w:ascii="Arial" w:hAnsi="Arial" w:cs="Arial"/>
          <w:sz w:val="24"/>
          <w:szCs w:val="24"/>
        </w:rPr>
      </w:pPr>
    </w:p>
    <w:p w14:paraId="6B614C58" w14:textId="77777777" w:rsidR="00340CE7" w:rsidRDefault="00340CE7" w:rsidP="00340CE7">
      <w:pPr>
        <w:spacing w:line="360" w:lineRule="auto"/>
        <w:rPr>
          <w:rFonts w:ascii="Arial" w:hAnsi="Arial" w:cs="Arial"/>
          <w:sz w:val="24"/>
          <w:szCs w:val="24"/>
        </w:rPr>
      </w:pPr>
    </w:p>
    <w:p w14:paraId="2CA82338" w14:textId="77777777" w:rsidR="00340CE7" w:rsidRDefault="00340CE7" w:rsidP="00340CE7">
      <w:pPr>
        <w:spacing w:line="360" w:lineRule="auto"/>
        <w:rPr>
          <w:rFonts w:ascii="Arial" w:hAnsi="Arial" w:cs="Arial"/>
          <w:sz w:val="24"/>
          <w:szCs w:val="24"/>
        </w:rPr>
      </w:pPr>
    </w:p>
    <w:p w14:paraId="65E8941E" w14:textId="77777777" w:rsidR="00340CE7" w:rsidRDefault="00340CE7" w:rsidP="00340CE7">
      <w:pPr>
        <w:spacing w:line="360" w:lineRule="auto"/>
        <w:rPr>
          <w:rFonts w:ascii="Arial" w:hAnsi="Arial" w:cs="Arial"/>
          <w:sz w:val="24"/>
          <w:szCs w:val="24"/>
        </w:rPr>
      </w:pPr>
    </w:p>
    <w:p w14:paraId="2BB08A71" w14:textId="77777777" w:rsidR="00340CE7" w:rsidRDefault="00340CE7" w:rsidP="00340CE7">
      <w:pPr>
        <w:spacing w:line="360" w:lineRule="auto"/>
        <w:rPr>
          <w:rFonts w:ascii="Arial" w:hAnsi="Arial" w:cs="Arial"/>
          <w:sz w:val="24"/>
          <w:szCs w:val="24"/>
        </w:rPr>
      </w:pPr>
    </w:p>
    <w:p w14:paraId="77633EB3" w14:textId="77777777" w:rsidR="00340CE7" w:rsidRDefault="00340CE7" w:rsidP="00340CE7">
      <w:pPr>
        <w:spacing w:line="360" w:lineRule="auto"/>
        <w:rPr>
          <w:rFonts w:ascii="Arial" w:hAnsi="Arial" w:cs="Arial"/>
          <w:sz w:val="24"/>
          <w:szCs w:val="24"/>
        </w:rPr>
      </w:pPr>
    </w:p>
    <w:p w14:paraId="240CEF91" w14:textId="77777777" w:rsidR="00340CE7" w:rsidRDefault="00340CE7" w:rsidP="00340CE7">
      <w:pPr>
        <w:spacing w:line="360" w:lineRule="auto"/>
        <w:rPr>
          <w:rFonts w:ascii="Arial" w:hAnsi="Arial" w:cs="Arial"/>
          <w:sz w:val="24"/>
          <w:szCs w:val="24"/>
        </w:rPr>
      </w:pPr>
    </w:p>
    <w:p w14:paraId="20979C42" w14:textId="77777777" w:rsidR="00340CE7" w:rsidRDefault="00340CE7" w:rsidP="00340CE7">
      <w:pPr>
        <w:spacing w:line="360" w:lineRule="auto"/>
        <w:rPr>
          <w:rFonts w:ascii="Arial" w:hAnsi="Arial" w:cs="Arial"/>
          <w:sz w:val="24"/>
          <w:szCs w:val="24"/>
        </w:rPr>
      </w:pPr>
    </w:p>
    <w:p w14:paraId="2E9E29F7" w14:textId="77777777" w:rsidR="0067367D" w:rsidRDefault="0067367D" w:rsidP="0067367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References </w:t>
      </w:r>
    </w:p>
    <w:p w14:paraId="5E52B206" w14:textId="77777777" w:rsidR="00321D7E" w:rsidRDefault="00ED22CD" w:rsidP="00092EF7">
      <w:pPr>
        <w:rPr>
          <w:rFonts w:ascii="Arial" w:hAnsi="Arial" w:cs="Arial"/>
          <w:sz w:val="24"/>
          <w:szCs w:val="24"/>
        </w:rPr>
      </w:pPr>
      <w:r w:rsidRPr="00863631">
        <w:rPr>
          <w:rFonts w:ascii="Arial" w:hAnsi="Arial" w:cs="Arial"/>
          <w:sz w:val="24"/>
          <w:szCs w:val="24"/>
        </w:rPr>
        <w:t>Elwyn, G., Frosch, D., Thomson, R., Joseph-Williams, N., Lloyd, A., Kinnersley, P., Cording, E., Tomson, D., Dodd, C., Rollnick, S., Edwards, A. and Barry, M. (2012). Shared Decision Making: a Model for Clinical Practice. </w:t>
      </w:r>
      <w:r w:rsidRPr="00863631">
        <w:rPr>
          <w:rFonts w:ascii="Arial" w:hAnsi="Arial" w:cs="Arial"/>
          <w:i/>
          <w:iCs/>
          <w:sz w:val="24"/>
          <w:szCs w:val="24"/>
        </w:rPr>
        <w:t>Journal of General Internal Medicine</w:t>
      </w:r>
      <w:r w:rsidRPr="00863631">
        <w:rPr>
          <w:rFonts w:ascii="Arial" w:hAnsi="Arial" w:cs="Arial"/>
          <w:sz w:val="24"/>
          <w:szCs w:val="24"/>
        </w:rPr>
        <w:t xml:space="preserve">, 27(10), pp.1361–1367. </w:t>
      </w:r>
      <w:r>
        <w:rPr>
          <w:rFonts w:ascii="Arial" w:hAnsi="Arial" w:cs="Arial"/>
          <w:sz w:val="24"/>
          <w:szCs w:val="24"/>
        </w:rPr>
        <w:t xml:space="preserve">Available at: </w:t>
      </w:r>
      <w:r w:rsidRPr="00ED22CD">
        <w:rPr>
          <w:rFonts w:ascii="Arial" w:hAnsi="Arial" w:cs="Arial"/>
          <w:sz w:val="24"/>
          <w:szCs w:val="24"/>
        </w:rPr>
        <w:t>https://doi.org/10.1007/s11606-012-2077-6</w:t>
      </w:r>
      <w:r w:rsidRPr="00863631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</w:p>
    <w:p w14:paraId="6628B95D" w14:textId="77777777" w:rsidR="00321D7E" w:rsidRDefault="00321D7E" w:rsidP="00092EF7">
      <w:pPr>
        <w:rPr>
          <w:rFonts w:ascii="Arial" w:hAnsi="Arial" w:cs="Arial"/>
          <w:sz w:val="24"/>
          <w:szCs w:val="24"/>
        </w:rPr>
      </w:pPr>
    </w:p>
    <w:p w14:paraId="32CDF5C0" w14:textId="3CED7EA8" w:rsidR="00946587" w:rsidRDefault="00321D7E" w:rsidP="00092EF7">
      <w:pPr>
        <w:rPr>
          <w:rFonts w:ascii="Arial" w:hAnsi="Arial" w:cs="Arial"/>
          <w:sz w:val="24"/>
          <w:szCs w:val="24"/>
        </w:rPr>
      </w:pPr>
      <w:r w:rsidRPr="00321D7E">
        <w:rPr>
          <w:rFonts w:ascii="Arial" w:hAnsi="Arial" w:cs="Arial"/>
          <w:sz w:val="24"/>
          <w:szCs w:val="24"/>
        </w:rPr>
        <w:t>Muscat, D.M., Shepherd, H.L., Nutbeam, D., Trevena, L. and McCaffery, K.J. (2020). Health Literacy and Shared Decision-making: Exploring the Relationship to Enable Meaningful Patient Engagement in Healthcare. </w:t>
      </w:r>
      <w:r w:rsidRPr="00321D7E">
        <w:rPr>
          <w:rFonts w:ascii="Arial" w:hAnsi="Arial" w:cs="Arial"/>
          <w:i/>
          <w:iCs/>
          <w:sz w:val="24"/>
          <w:szCs w:val="24"/>
        </w:rPr>
        <w:t>Journal of General Internal Medicine</w:t>
      </w:r>
      <w:r w:rsidRPr="00321D7E">
        <w:rPr>
          <w:rFonts w:ascii="Arial" w:hAnsi="Arial" w:cs="Arial"/>
          <w:sz w:val="24"/>
          <w:szCs w:val="24"/>
        </w:rPr>
        <w:t xml:space="preserve">, 36(2), pp.521–524. </w:t>
      </w:r>
      <w:r>
        <w:rPr>
          <w:rFonts w:ascii="Arial" w:hAnsi="Arial" w:cs="Arial"/>
          <w:sz w:val="24"/>
          <w:szCs w:val="24"/>
        </w:rPr>
        <w:t xml:space="preserve">Available at: </w:t>
      </w:r>
      <w:r w:rsidRPr="00321D7E">
        <w:rPr>
          <w:rFonts w:ascii="Arial" w:hAnsi="Arial" w:cs="Arial"/>
          <w:sz w:val="24"/>
          <w:szCs w:val="24"/>
        </w:rPr>
        <w:t>https://doi.org/10.1007/s11606-020-05912-0.</w:t>
      </w:r>
      <w:r>
        <w:rPr>
          <w:rFonts w:ascii="Arial" w:hAnsi="Arial" w:cs="Arial"/>
          <w:sz w:val="24"/>
          <w:szCs w:val="24"/>
        </w:rPr>
        <w:t xml:space="preserve"> </w:t>
      </w:r>
    </w:p>
    <w:p w14:paraId="62B7BAEF" w14:textId="57D00AAB" w:rsidR="00946587" w:rsidRPr="004333FE" w:rsidRDefault="00946587" w:rsidP="00946587">
      <w:pPr>
        <w:rPr>
          <w:rFonts w:ascii="Arial" w:hAnsi="Arial" w:cs="Arial"/>
          <w:sz w:val="24"/>
          <w:szCs w:val="24"/>
        </w:rPr>
      </w:pPr>
      <w:r w:rsidRPr="00946587">
        <w:rPr>
          <w:rFonts w:ascii="Arial" w:hAnsi="Arial" w:cs="Arial"/>
          <w:sz w:val="24"/>
          <w:szCs w:val="24"/>
        </w:rPr>
        <w:t> </w:t>
      </w:r>
    </w:p>
    <w:sectPr w:rsidR="00946587" w:rsidRPr="004333F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40CE7"/>
    <w:rsid w:val="00092EF7"/>
    <w:rsid w:val="000B3A26"/>
    <w:rsid w:val="001F3C19"/>
    <w:rsid w:val="00267631"/>
    <w:rsid w:val="00321D7E"/>
    <w:rsid w:val="00324271"/>
    <w:rsid w:val="00340CE7"/>
    <w:rsid w:val="003A0730"/>
    <w:rsid w:val="00424267"/>
    <w:rsid w:val="004333FE"/>
    <w:rsid w:val="00665EE9"/>
    <w:rsid w:val="0067367D"/>
    <w:rsid w:val="006A7DCD"/>
    <w:rsid w:val="00863631"/>
    <w:rsid w:val="00946587"/>
    <w:rsid w:val="009D679F"/>
    <w:rsid w:val="00A96571"/>
    <w:rsid w:val="00AA3981"/>
    <w:rsid w:val="00B648BB"/>
    <w:rsid w:val="00ED22CD"/>
    <w:rsid w:val="00FE03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7BABFB"/>
  <w15:chartTrackingRefBased/>
  <w15:docId w15:val="{4EDAB847-2477-4301-8DA0-0EE0FF9710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40CE7"/>
  </w:style>
  <w:style w:type="paragraph" w:styleId="Heading1">
    <w:name w:val="heading 1"/>
    <w:basedOn w:val="Normal"/>
    <w:next w:val="Normal"/>
    <w:link w:val="Heading1Char"/>
    <w:uiPriority w:val="9"/>
    <w:qFormat/>
    <w:rsid w:val="00340CE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40CE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40CE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40CE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40CE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40CE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40CE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40CE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40CE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40CE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40CE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40CE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40CE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40CE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40CE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40CE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40CE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40CE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40CE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40CE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40CE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40CE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40CE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40CE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40CE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40CE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40CE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40CE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40CE7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092EF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92EF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54</TotalTime>
  <Pages>2</Pages>
  <Words>138</Words>
  <Characters>791</Characters>
  <Application>Microsoft Office Word</Application>
  <DocSecurity>0</DocSecurity>
  <Lines>6</Lines>
  <Paragraphs>1</Paragraphs>
  <ScaleCrop>false</ScaleCrop>
  <Company/>
  <LinksUpToDate>false</LinksUpToDate>
  <CharactersWithSpaces>928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Eleri Edwards (Hywel Dda UHB - Generic Therapy Practitioner Assistant)</dc:creator>
  <cp:keywords/>
  <dc:description/>
  <cp:lastModifiedBy>Eleri Edwards (Hywel Dda UHB - Generic Therapy Practitioner Assistant)</cp:lastModifiedBy>
  <cp:revision>20</cp:revision>
  <dcterms:created xsi:type="dcterms:W3CDTF">2025-10-14T08:46:00Z</dcterms:created>
  <dcterms:modified xsi:type="dcterms:W3CDTF">2025-10-14T11:26:00Z</dcterms:modified>
</cp:coreProperties>
</file>