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7D59D" w14:textId="77777777" w:rsidR="00F03687" w:rsidRPr="00105882" w:rsidRDefault="00E65F38" w:rsidP="00105882">
      <w:pPr>
        <w:spacing w:line="360" w:lineRule="auto"/>
        <w:jc w:val="center"/>
        <w:rPr>
          <w:rFonts w:ascii="Calibri" w:eastAsia="Times New Roman" w:hAnsi="Calibri" w:cs="Calibri"/>
          <w:lang w:val="en-GB"/>
        </w:rPr>
      </w:pPr>
      <w:r w:rsidRPr="00105882">
        <w:rPr>
          <w:rFonts w:ascii="Calibri" w:eastAsia="Times New Roman" w:hAnsi="Calibri" w:cs="Calibri"/>
          <w:lang w:val="en-GB"/>
        </w:rPr>
        <w:t>Integrating Cybersecurity into Business Processes and Organisational Culture: A Lean Sociotechnical Framework for IT SMEs</w:t>
      </w:r>
    </w:p>
    <w:p w14:paraId="360AC971" w14:textId="77777777" w:rsidR="00F03687" w:rsidRPr="00105882" w:rsidRDefault="00F03687" w:rsidP="00105882">
      <w:pPr>
        <w:spacing w:line="360" w:lineRule="auto"/>
        <w:jc w:val="both"/>
        <w:rPr>
          <w:rFonts w:ascii="Calibri" w:eastAsia="Times New Roman" w:hAnsi="Calibri" w:cs="Calibri"/>
          <w:lang w:val="en-GB"/>
        </w:rPr>
      </w:pPr>
    </w:p>
    <w:p w14:paraId="56DED2FC" w14:textId="77777777" w:rsidR="00F03687" w:rsidRPr="00105882" w:rsidRDefault="00E65F38" w:rsidP="00105882">
      <w:pPr>
        <w:spacing w:line="360" w:lineRule="auto"/>
        <w:jc w:val="both"/>
        <w:rPr>
          <w:rFonts w:ascii="Calibri" w:eastAsia="Times New Roman" w:hAnsi="Calibri" w:cs="Calibri"/>
          <w:b/>
          <w:bCs/>
          <w:lang w:val="en-GB"/>
        </w:rPr>
      </w:pPr>
      <w:r w:rsidRPr="00105882">
        <w:rPr>
          <w:rFonts w:ascii="Calibri" w:eastAsia="Times New Roman" w:hAnsi="Calibri" w:cs="Calibri"/>
          <w:b/>
          <w:bCs/>
          <w:lang w:val="en-GB"/>
        </w:rPr>
        <w:t xml:space="preserve">Abstract </w:t>
      </w:r>
    </w:p>
    <w:p w14:paraId="3D50ECB5"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There was an era when cybersecurity was treated as a technical afterthought. With the increasing digitalisation of business operations, things have changed, and </w:t>
      </w:r>
      <w:r w:rsidR="002D1AFE" w:rsidRPr="00105882">
        <w:rPr>
          <w:rFonts w:ascii="Calibri" w:eastAsia="Times New Roman" w:hAnsi="Calibri" w:cs="Calibri"/>
          <w:lang w:val="en-GB"/>
        </w:rPr>
        <w:t>it</w:t>
      </w:r>
      <w:r w:rsidRPr="00105882">
        <w:rPr>
          <w:rFonts w:ascii="Calibri" w:eastAsia="Times New Roman" w:hAnsi="Calibri" w:cs="Calibri"/>
          <w:lang w:val="en-GB"/>
        </w:rPr>
        <w:t xml:space="preserve"> is now perceived as a strategic organisational imperative. This is especially the case for Small and Medium-Sized Enterprises (SMEs) in the IT sector. Even though they play a central role in supply chains, IT SMEs are still facing challenges related to the effective integration of cybersecurity into organisational culture, processes, and strategic workflows. This study draws on a systematic qualitative document analysis of peer-reviewed academic studies, government cybersecurity surveys, and industry threat intelligence reports to demonstrate that the unrelenting “integration gap” does not primarily represent a strategic failure, but rather a profoundly embedded sociotechnical challenge. Current frameworks, including ISO 27001, COBIT, NIST CSF, and the Technology-Organisation-Environment (TOE) model, depend on enterprise-capacity assumptions that are counter to SME agility, resource constraints, and realities related to usability. Five recurrent integration breakdown </w:t>
      </w:r>
      <w:r w:rsidR="002C79E3" w:rsidRPr="00105882">
        <w:rPr>
          <w:rFonts w:ascii="Calibri" w:eastAsia="Times New Roman" w:hAnsi="Calibri" w:cs="Calibri"/>
          <w:lang w:val="en-GB"/>
        </w:rPr>
        <w:t>mechanisms</w:t>
      </w:r>
      <w:r w:rsidRPr="00105882">
        <w:rPr>
          <w:rFonts w:ascii="Calibri" w:eastAsia="Times New Roman" w:hAnsi="Calibri" w:cs="Calibri"/>
          <w:lang w:val="en-GB"/>
        </w:rPr>
        <w:t xml:space="preserve"> are identified by the analysis: resource–risk asymmetry, governance–agility conflict, usability-driven security fatigue, supply-chain dependency pressure, and security tool fragmentation. Using these insights derived from the analysis, the study established the Lean Sociotechnical Cybersecurity Integration Framework (LSCIF). This framework is a theory-building extension of TOE, consisting of Lean Governance, Human-Centric Usability, and Commercial Trust </w:t>
      </w:r>
      <w:r w:rsidR="002C79E3" w:rsidRPr="00105882">
        <w:rPr>
          <w:rFonts w:ascii="Calibri" w:eastAsia="Times New Roman" w:hAnsi="Calibri" w:cs="Calibri"/>
          <w:lang w:val="en-GB"/>
        </w:rPr>
        <w:t>Alignment. The study contributes</w:t>
      </w:r>
      <w:r w:rsidRPr="00105882">
        <w:rPr>
          <w:rFonts w:ascii="Calibri" w:eastAsia="Times New Roman" w:hAnsi="Calibri" w:cs="Calibri"/>
          <w:lang w:val="en-GB"/>
        </w:rPr>
        <w:t xml:space="preserve"> to the advancement of information management and cybersecurity theory by extending TOE for adversarial settings</w:t>
      </w:r>
      <w:r w:rsidR="002D1AFE" w:rsidRPr="00105882">
        <w:rPr>
          <w:rFonts w:ascii="Calibri" w:eastAsia="Times New Roman" w:hAnsi="Calibri" w:cs="Calibri"/>
          <w:lang w:val="en-GB"/>
        </w:rPr>
        <w:t>, assimilating</w:t>
      </w:r>
      <w:r w:rsidRPr="00105882">
        <w:rPr>
          <w:rFonts w:ascii="Calibri" w:eastAsia="Times New Roman" w:hAnsi="Calibri" w:cs="Calibri"/>
          <w:lang w:val="en-GB"/>
        </w:rPr>
        <w:t xml:space="preserve"> human-computer interaction doctrines into cybersecurity integration theory, which reframes cybersecurity as an embedded societal and commercial capability. The study has real-life implications for leaders of SMEs, supply chain partners, and policymakers. It ends with acknowledging limitations and suggesting directions for future empirical validation.</w:t>
      </w:r>
    </w:p>
    <w:p w14:paraId="6495A974" w14:textId="77777777" w:rsidR="00F03687" w:rsidRPr="00105882" w:rsidRDefault="00F03687" w:rsidP="00105882">
      <w:pPr>
        <w:spacing w:line="360" w:lineRule="auto"/>
        <w:jc w:val="both"/>
        <w:rPr>
          <w:rFonts w:ascii="Calibri" w:eastAsia="Times New Roman" w:hAnsi="Calibri" w:cs="Calibri"/>
          <w:lang w:val="en-GB"/>
        </w:rPr>
      </w:pPr>
    </w:p>
    <w:p w14:paraId="5C92AED7" w14:textId="3E9C1EDF"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b/>
          <w:bCs/>
          <w:lang w:val="en-GB"/>
        </w:rPr>
        <w:t>Keywords</w:t>
      </w:r>
      <w:r w:rsidRPr="00105882">
        <w:rPr>
          <w:rFonts w:ascii="Calibri" w:eastAsia="Times New Roman" w:hAnsi="Calibri" w:cs="Calibri"/>
          <w:lang w:val="en-GB"/>
        </w:rPr>
        <w:t xml:space="preserve">: </w:t>
      </w:r>
      <w:r w:rsidRPr="00105882">
        <w:rPr>
          <w:rFonts w:ascii="Calibri" w:eastAsia="Times New Roman" w:hAnsi="Calibri" w:cs="Calibri"/>
          <w:i/>
          <w:iCs/>
          <w:lang w:val="en-GB"/>
        </w:rPr>
        <w:t>Cybersecurity integration</w:t>
      </w:r>
      <w:r w:rsidRPr="00105882">
        <w:rPr>
          <w:rFonts w:ascii="Calibri" w:eastAsia="Times New Roman" w:hAnsi="Calibri" w:cs="Calibri"/>
          <w:lang w:val="en-GB"/>
        </w:rPr>
        <w:t xml:space="preserve">; </w:t>
      </w:r>
      <w:r w:rsidRPr="00105882">
        <w:rPr>
          <w:rFonts w:ascii="Calibri" w:eastAsia="Times New Roman" w:hAnsi="Calibri" w:cs="Calibri"/>
          <w:i/>
          <w:iCs/>
          <w:lang w:val="en-GB"/>
        </w:rPr>
        <w:t>information management</w:t>
      </w:r>
      <w:r w:rsidRPr="00105882">
        <w:rPr>
          <w:rFonts w:ascii="Calibri" w:eastAsia="Times New Roman" w:hAnsi="Calibri" w:cs="Calibri"/>
          <w:lang w:val="en-GB"/>
        </w:rPr>
        <w:t xml:space="preserve">; </w:t>
      </w:r>
      <w:r w:rsidRPr="00105882">
        <w:rPr>
          <w:rFonts w:ascii="Calibri" w:eastAsia="Times New Roman" w:hAnsi="Calibri" w:cs="Calibri"/>
          <w:i/>
          <w:iCs/>
          <w:lang w:val="en-GB"/>
        </w:rPr>
        <w:t>SMEs</w:t>
      </w:r>
      <w:r w:rsidRPr="00105882">
        <w:rPr>
          <w:rFonts w:ascii="Calibri" w:eastAsia="Times New Roman" w:hAnsi="Calibri" w:cs="Calibri"/>
          <w:lang w:val="en-GB"/>
        </w:rPr>
        <w:t xml:space="preserve">; </w:t>
      </w:r>
      <w:r w:rsidRPr="00105882">
        <w:rPr>
          <w:rFonts w:ascii="Calibri" w:eastAsia="Times New Roman" w:hAnsi="Calibri" w:cs="Calibri"/>
          <w:i/>
          <w:iCs/>
          <w:lang w:val="en-GB"/>
        </w:rPr>
        <w:t>sociotechnical systems</w:t>
      </w:r>
      <w:r w:rsidRPr="00105882">
        <w:rPr>
          <w:rFonts w:ascii="Calibri" w:eastAsia="Times New Roman" w:hAnsi="Calibri" w:cs="Calibri"/>
          <w:lang w:val="en-GB"/>
        </w:rPr>
        <w:t xml:space="preserve">; </w:t>
      </w:r>
      <w:r w:rsidRPr="00105882">
        <w:rPr>
          <w:rFonts w:ascii="Calibri" w:eastAsia="Times New Roman" w:hAnsi="Calibri" w:cs="Calibri"/>
          <w:i/>
          <w:iCs/>
          <w:lang w:val="en-GB"/>
        </w:rPr>
        <w:t>TOE framework</w:t>
      </w:r>
      <w:r w:rsidRPr="00105882">
        <w:rPr>
          <w:rFonts w:ascii="Calibri" w:eastAsia="Times New Roman" w:hAnsi="Calibri" w:cs="Calibri"/>
          <w:lang w:val="en-GB"/>
        </w:rPr>
        <w:t xml:space="preserve">; </w:t>
      </w:r>
      <w:r w:rsidRPr="00105882">
        <w:rPr>
          <w:rFonts w:ascii="Calibri" w:eastAsia="Times New Roman" w:hAnsi="Calibri" w:cs="Calibri"/>
          <w:i/>
          <w:iCs/>
          <w:lang w:val="en-GB"/>
        </w:rPr>
        <w:t>Lean Governance</w:t>
      </w:r>
      <w:r w:rsidRPr="00105882">
        <w:rPr>
          <w:rFonts w:ascii="Calibri" w:eastAsia="Times New Roman" w:hAnsi="Calibri" w:cs="Calibri"/>
          <w:lang w:val="en-GB"/>
        </w:rPr>
        <w:t xml:space="preserve">; </w:t>
      </w:r>
      <w:r w:rsidRPr="00105882">
        <w:rPr>
          <w:rFonts w:ascii="Calibri" w:eastAsia="Times New Roman" w:hAnsi="Calibri" w:cs="Calibri"/>
          <w:i/>
          <w:iCs/>
          <w:lang w:val="en-GB"/>
        </w:rPr>
        <w:t>digital resilience</w:t>
      </w:r>
      <w:r w:rsidRPr="00105882">
        <w:rPr>
          <w:rFonts w:ascii="Calibri" w:eastAsia="Times New Roman" w:hAnsi="Calibri" w:cs="Calibri"/>
          <w:lang w:val="en-GB"/>
        </w:rPr>
        <w:t>.</w:t>
      </w:r>
    </w:p>
    <w:p w14:paraId="024A56EF" w14:textId="77777777" w:rsidR="00F03687" w:rsidRDefault="00F03687" w:rsidP="00105882">
      <w:pPr>
        <w:spacing w:line="360" w:lineRule="auto"/>
        <w:jc w:val="both"/>
        <w:rPr>
          <w:rFonts w:ascii="Calibri" w:eastAsia="Times New Roman" w:hAnsi="Calibri" w:cs="Calibri"/>
          <w:lang w:val="en-GB"/>
        </w:rPr>
      </w:pPr>
    </w:p>
    <w:p w14:paraId="2AFE4852" w14:textId="77777777" w:rsidR="00105882" w:rsidRDefault="00105882" w:rsidP="00105882">
      <w:pPr>
        <w:spacing w:line="360" w:lineRule="auto"/>
        <w:jc w:val="both"/>
        <w:rPr>
          <w:rFonts w:ascii="Calibri" w:eastAsia="Times New Roman" w:hAnsi="Calibri" w:cs="Calibri"/>
          <w:lang w:val="en-GB"/>
        </w:rPr>
      </w:pPr>
    </w:p>
    <w:p w14:paraId="6394CDAB" w14:textId="77777777" w:rsidR="00105882" w:rsidRPr="00105882" w:rsidRDefault="00105882" w:rsidP="00105882">
      <w:pPr>
        <w:spacing w:line="360" w:lineRule="auto"/>
        <w:jc w:val="both"/>
        <w:rPr>
          <w:rFonts w:ascii="Calibri" w:eastAsia="Times New Roman" w:hAnsi="Calibri" w:cs="Calibri"/>
          <w:lang w:val="en-GB"/>
        </w:rPr>
      </w:pPr>
    </w:p>
    <w:p w14:paraId="78F5C6B8" w14:textId="77777777" w:rsidR="00F03687" w:rsidRPr="00105882" w:rsidRDefault="00E65F38" w:rsidP="00105882">
      <w:pPr>
        <w:numPr>
          <w:ilvl w:val="0"/>
          <w:numId w:val="1"/>
        </w:numPr>
        <w:spacing w:line="360" w:lineRule="auto"/>
        <w:jc w:val="both"/>
        <w:rPr>
          <w:rFonts w:ascii="Calibri" w:eastAsia="Times New Roman" w:hAnsi="Calibri" w:cs="Calibri"/>
          <w:b/>
          <w:lang w:val="en-GB"/>
        </w:rPr>
      </w:pPr>
      <w:r w:rsidRPr="00105882">
        <w:rPr>
          <w:rFonts w:ascii="Calibri" w:eastAsia="Times New Roman" w:hAnsi="Calibri" w:cs="Calibri"/>
          <w:b/>
          <w:lang w:val="en-GB"/>
        </w:rPr>
        <w:lastRenderedPageBreak/>
        <w:t>Introduction</w:t>
      </w:r>
    </w:p>
    <w:p w14:paraId="3A46235D" w14:textId="5EA2F668"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In an era where digitalisation, cloud computing, and distributed architectures are becoming more common, sophisticated threats are also following suit. It is within this setting that organisations that value resilience are finding that cybersecurity is becoming a foundational requirement (Bharadwaj et al., 2013). For these organisations, cybersecurity is shifting from a peripheral technical safeguard into a central strategic concern closely associated with competitiveness, trust, and continuity (Vial, 2019; Wamba et al., 2020). While all this may be well acknowledged, an analysis of literature shows that there is a persistent gap between accepting the vital role of </w:t>
      </w:r>
      <w:r w:rsidR="002C79E3" w:rsidRPr="00105882">
        <w:rPr>
          <w:rFonts w:ascii="Calibri" w:eastAsia="Times New Roman" w:hAnsi="Calibri" w:cs="Calibri"/>
          <w:lang w:val="en-GB"/>
        </w:rPr>
        <w:t>cybersecurity and taking</w:t>
      </w:r>
      <w:r w:rsidRPr="00105882">
        <w:rPr>
          <w:rFonts w:ascii="Calibri" w:eastAsia="Times New Roman" w:hAnsi="Calibri" w:cs="Calibri"/>
          <w:lang w:val="en-GB"/>
        </w:rPr>
        <w:t xml:space="preserve"> action</w:t>
      </w:r>
      <w:r w:rsidR="002C79E3" w:rsidRPr="00105882">
        <w:rPr>
          <w:rFonts w:ascii="Calibri" w:eastAsia="Times New Roman" w:hAnsi="Calibri" w:cs="Calibri"/>
          <w:lang w:val="en-GB"/>
        </w:rPr>
        <w:t>s that lead</w:t>
      </w:r>
      <w:r w:rsidRPr="00105882">
        <w:rPr>
          <w:rFonts w:ascii="Calibri" w:eastAsia="Times New Roman" w:hAnsi="Calibri" w:cs="Calibri"/>
          <w:lang w:val="en-GB"/>
        </w:rPr>
        <w:t xml:space="preserve"> to its assimilation into day-to-day organisational practices (World Economic Forum, 2023). One area where this gap in integration is especially palpable is the Small and Medium-Sized Enterprises (SMEs) doing business in the IT sector (Wamba et al., 2020). </w:t>
      </w:r>
    </w:p>
    <w:p w14:paraId="14FCFC06" w14:textId="2CD3D31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Within the economy, the position occupied by SMEs reveals a dichotomy (Sophos, 2023). While they are digitally mature entities involved in designing, building, and maintaining critical information systems, they also find themselves constrained by a shortage of governance, human, and financial resources (ENISA, 2021). An analysis of both government and industry reports reveals the reality that cyber attackers disproportionately target SMEs. This reality is acknowledged by Verizon (2024), which adds that this reality cannot be attributed to the intrinsic asset values of these SMEs, but rather because they represent high-value access points to more extensive digital supply chains. Worsening this exposure is the escalation of ransomware-as-a-service ecosystems, attacks assisted by AI, and the exploitation of human and usability weaknesses (DSIT, 2023). </w:t>
      </w:r>
    </w:p>
    <w:p w14:paraId="485D2129"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From a practical perspective, the response of many IT SMEs to these challenges is the adoption of security tools or superficial compliance with external requirements (Rusu et al., 2022). Nonetheless, the implementation of these measures is often siloed, leading to security controls that are isolated from organisational culture and workflows (Furnell et al., 2021). This leads to friction in operations, resistance from employees, and shadow IT behaviour, which eventually leads to restricted enhancements in security outcomes. Prevailing frameworks and cybersecurity outcomes such </w:t>
      </w:r>
      <w:r w:rsidR="002D1AFE" w:rsidRPr="00105882">
        <w:rPr>
          <w:rFonts w:ascii="Calibri" w:eastAsia="Times New Roman" w:hAnsi="Calibri" w:cs="Calibri"/>
          <w:lang w:val="en-GB"/>
        </w:rPr>
        <w:t>as COBIT</w:t>
      </w:r>
      <w:r w:rsidRPr="00105882">
        <w:rPr>
          <w:rFonts w:ascii="Calibri" w:eastAsia="Times New Roman" w:hAnsi="Calibri" w:cs="Calibri"/>
          <w:lang w:val="en-GB"/>
        </w:rPr>
        <w:t>, ISO 27001, and NIST CSF, together with conceptual models like the Technology–Organisation–Environment (TOE) framework, make available crucial guidance even though mostly designed for large enterprises (Rusu et al., 2022). They take on the role of official governance structures, specialised roles, and resource redundancy that are not often found in SMEs (ENISA, 2023; Calder, 2020; ISACA, 2022).</w:t>
      </w:r>
    </w:p>
    <w:p w14:paraId="37CDF777" w14:textId="77777777" w:rsidR="00F03687" w:rsidRPr="00105882" w:rsidRDefault="00F03687" w:rsidP="00105882">
      <w:pPr>
        <w:spacing w:line="360" w:lineRule="auto"/>
        <w:jc w:val="both"/>
        <w:rPr>
          <w:rFonts w:ascii="Calibri" w:eastAsia="Times New Roman" w:hAnsi="Calibri" w:cs="Calibri"/>
          <w:lang w:val="en-GB"/>
        </w:rPr>
      </w:pPr>
    </w:p>
    <w:p w14:paraId="739B5456"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lastRenderedPageBreak/>
        <w:t xml:space="preserve">This study seeks to address the gap described above by developing </w:t>
      </w:r>
      <w:r w:rsidR="002D1AFE" w:rsidRPr="00105882">
        <w:rPr>
          <w:rFonts w:ascii="Calibri" w:eastAsia="Times New Roman" w:hAnsi="Calibri" w:cs="Calibri"/>
          <w:lang w:val="en-GB"/>
        </w:rPr>
        <w:t>the Lean</w:t>
      </w:r>
      <w:r w:rsidRPr="00105882">
        <w:rPr>
          <w:rFonts w:ascii="Calibri" w:eastAsia="Times New Roman" w:hAnsi="Calibri" w:cs="Calibri"/>
          <w:lang w:val="en-GB"/>
        </w:rPr>
        <w:t xml:space="preserve"> Sociotechnical Cybersecurity Integration Framework (LSCIF) (Hadžiosmanović &amp; Rindell, 2023; NIST, 2024). Instead of producing a report based on an empirical analysis of primary data, the study embraces a qualitative theory-building design on a systematic analysis of secondary sources. The aim is to elucidate the reasons behind the failure of cybersecurity integration in IT SMEs and to suggest a context-sensitive framework applicable for subsequent empirical validation. This study is done as a response to recent calls in information management research for theoretically grounded, data-informed conceptual models able to explain failures in organisational migration in SMEs that are digitally intensive.</w:t>
      </w:r>
    </w:p>
    <w:p w14:paraId="0B778327" w14:textId="77777777" w:rsidR="002C79E3" w:rsidRPr="00105882" w:rsidRDefault="002C79E3" w:rsidP="00105882">
      <w:pPr>
        <w:spacing w:line="360" w:lineRule="auto"/>
        <w:jc w:val="both"/>
        <w:rPr>
          <w:rFonts w:ascii="Calibri" w:eastAsia="Times New Roman" w:hAnsi="Calibri" w:cs="Calibri"/>
          <w:lang w:val="en-GB"/>
        </w:rPr>
      </w:pPr>
    </w:p>
    <w:p w14:paraId="02EF2C63" w14:textId="77777777" w:rsidR="00F03687" w:rsidRPr="00105882" w:rsidRDefault="00E65F38" w:rsidP="00105882">
      <w:pPr>
        <w:numPr>
          <w:ilvl w:val="0"/>
          <w:numId w:val="1"/>
        </w:num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Literature Review </w:t>
      </w:r>
    </w:p>
    <w:p w14:paraId="42075737" w14:textId="5555F4FE"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An analysis of the literature reveals a recognition of the reality that cybersecurity is evolving from being a purely technical challenge to an organisational and managerial one (Bharadwaj et al., 2013). With regards to SMEs, failures in cybersecurity tend to have disproportionate consequences. Grover et al. (2018) acknowledge this reality and add that these</w:t>
      </w:r>
      <w:r w:rsidR="00D319BC" w:rsidRPr="00105882">
        <w:rPr>
          <w:rFonts w:ascii="Calibri" w:eastAsia="Times New Roman" w:hAnsi="Calibri" w:cs="Calibri"/>
          <w:lang w:val="en-GB"/>
        </w:rPr>
        <w:t xml:space="preserve"> consequences</w:t>
      </w:r>
      <w:r w:rsidRPr="00105882">
        <w:rPr>
          <w:rFonts w:ascii="Calibri" w:eastAsia="Times New Roman" w:hAnsi="Calibri" w:cs="Calibri"/>
          <w:lang w:val="en-GB"/>
        </w:rPr>
        <w:t xml:space="preserve"> include reputational damage, financial loss, and business closure. SMEs differ from large enterprises in that they typically do not have the tenacity to absorb cyber incidents. Furnell et al. (2021) posit that this renders integration into everyday practices a matter of organisational survival as opposed to regulatory compliance. </w:t>
      </w:r>
    </w:p>
    <w:p w14:paraId="3CBFD0AC" w14:textId="5DA493BB"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The literature reveals a critical distinction between cybersecurity adoption and cybersecurity integration (Vial, 2019). The idea of adoption denotes acquiring the policies, certifications, and tools, while integration involves entrenching security into organisational culture, processes involved in decision-making, routines, and workflows</w:t>
      </w:r>
      <w:r w:rsidR="0069417B" w:rsidRPr="00105882">
        <w:rPr>
          <w:rFonts w:ascii="Calibri" w:eastAsia="Times New Roman" w:hAnsi="Calibri" w:cs="Calibri"/>
          <w:lang w:val="en-GB"/>
        </w:rPr>
        <w:t xml:space="preserve"> (Oliveira et al., 2019). Empirical studies reveal</w:t>
      </w:r>
      <w:r w:rsidRPr="00105882">
        <w:rPr>
          <w:rFonts w:ascii="Calibri" w:eastAsia="Times New Roman" w:hAnsi="Calibri" w:cs="Calibri"/>
          <w:lang w:val="en-GB"/>
        </w:rPr>
        <w:t xml:space="preserve"> that SMEs have a tendency to embrace security technologies, even though they struggle when it comes to integrating them effectively, leading to tools that remain unused, misconfigurations, and failures in compliance (Thong et al., 2011). This is an essential distinction for anyone attempting to understand the reason conventional adoption-focused frameworks fail to explain security weakness in SMEs (Awa et al., 2017). </w:t>
      </w:r>
    </w:p>
    <w:p w14:paraId="321A3CB0" w14:textId="0DC45683"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Numerous structural challenges undermining integration in IT SMEs are identified in the literature. A shortage of resources leads to unrelenting resourc</w:t>
      </w:r>
      <w:r w:rsidR="0069417B" w:rsidRPr="00105882">
        <w:rPr>
          <w:rFonts w:ascii="Calibri" w:eastAsia="Times New Roman" w:hAnsi="Calibri" w:cs="Calibri"/>
          <w:lang w:val="en-GB"/>
        </w:rPr>
        <w:t>e risk asymmetry, characteris</w:t>
      </w:r>
      <w:r w:rsidRPr="00105882">
        <w:rPr>
          <w:rFonts w:ascii="Calibri" w:eastAsia="Times New Roman" w:hAnsi="Calibri" w:cs="Calibri"/>
          <w:lang w:val="en-GB"/>
        </w:rPr>
        <w:t xml:space="preserve">ed by SMEs </w:t>
      </w:r>
      <w:r w:rsidR="0069417B" w:rsidRPr="00105882">
        <w:rPr>
          <w:rFonts w:ascii="Calibri" w:eastAsia="Times New Roman" w:hAnsi="Calibri" w:cs="Calibri"/>
          <w:lang w:val="en-GB"/>
        </w:rPr>
        <w:t>plagued</w:t>
      </w:r>
      <w:r w:rsidRPr="00105882">
        <w:rPr>
          <w:rFonts w:ascii="Calibri" w:eastAsia="Times New Roman" w:hAnsi="Calibri" w:cs="Calibri"/>
          <w:lang w:val="en-GB"/>
        </w:rPr>
        <w:t xml:space="preserve"> enterprise-resource challenges </w:t>
      </w:r>
      <w:r w:rsidR="0069417B" w:rsidRPr="00105882">
        <w:rPr>
          <w:rFonts w:ascii="Calibri" w:eastAsia="Times New Roman" w:hAnsi="Calibri" w:cs="Calibri"/>
          <w:lang w:val="en-GB"/>
        </w:rPr>
        <w:t>and</w:t>
      </w:r>
      <w:r w:rsidRPr="00105882">
        <w:rPr>
          <w:rFonts w:ascii="Calibri" w:eastAsia="Times New Roman" w:hAnsi="Calibri" w:cs="Calibri"/>
          <w:lang w:val="en-GB"/>
        </w:rPr>
        <w:t xml:space="preserve"> threats (Rusu et al., 2022). </w:t>
      </w:r>
      <w:r w:rsidR="0069417B" w:rsidRPr="00105882">
        <w:rPr>
          <w:rFonts w:ascii="Calibri" w:eastAsia="Times New Roman" w:hAnsi="Calibri" w:cs="Calibri"/>
          <w:lang w:val="en-GB"/>
        </w:rPr>
        <w:t>Struggling to</w:t>
      </w:r>
      <w:r w:rsidRPr="00105882">
        <w:rPr>
          <w:rFonts w:ascii="Calibri" w:eastAsia="Times New Roman" w:hAnsi="Calibri" w:cs="Calibri"/>
          <w:lang w:val="en-GB"/>
        </w:rPr>
        <w:t xml:space="preserve"> </w:t>
      </w:r>
      <w:r w:rsidR="0069417B" w:rsidRPr="00105882">
        <w:rPr>
          <w:rFonts w:ascii="Calibri" w:eastAsia="Times New Roman" w:hAnsi="Calibri" w:cs="Calibri"/>
          <w:lang w:val="en-GB"/>
        </w:rPr>
        <w:t>attract</w:t>
      </w:r>
      <w:r w:rsidRPr="00105882">
        <w:rPr>
          <w:rFonts w:ascii="Calibri" w:eastAsia="Times New Roman" w:hAnsi="Calibri" w:cs="Calibri"/>
          <w:lang w:val="en-GB"/>
        </w:rPr>
        <w:t xml:space="preserve"> talent, SMEs </w:t>
      </w:r>
      <w:r w:rsidR="0069417B" w:rsidRPr="00105882">
        <w:rPr>
          <w:rFonts w:ascii="Calibri" w:eastAsia="Times New Roman" w:hAnsi="Calibri" w:cs="Calibri"/>
          <w:lang w:val="en-GB"/>
        </w:rPr>
        <w:t>still</w:t>
      </w:r>
      <w:r w:rsidRPr="00105882">
        <w:rPr>
          <w:rFonts w:ascii="Calibri" w:eastAsia="Times New Roman" w:hAnsi="Calibri" w:cs="Calibri"/>
          <w:lang w:val="en-GB"/>
        </w:rPr>
        <w:t xml:space="preserve"> rely on generalist IT staff, </w:t>
      </w:r>
      <w:r w:rsidR="0069417B" w:rsidRPr="00105882">
        <w:rPr>
          <w:rFonts w:ascii="Calibri" w:eastAsia="Times New Roman" w:hAnsi="Calibri" w:cs="Calibri"/>
          <w:lang w:val="en-GB"/>
        </w:rPr>
        <w:t>weakening</w:t>
      </w:r>
      <w:r w:rsidRPr="00105882">
        <w:rPr>
          <w:rFonts w:ascii="Calibri" w:eastAsia="Times New Roman" w:hAnsi="Calibri" w:cs="Calibri"/>
          <w:lang w:val="en-GB"/>
        </w:rPr>
        <w:t xml:space="preserve"> their capability for ongoing governance and </w:t>
      </w:r>
      <w:r w:rsidR="002D1AFE" w:rsidRPr="00105882">
        <w:rPr>
          <w:rFonts w:ascii="Calibri" w:eastAsia="Times New Roman" w:hAnsi="Calibri" w:cs="Calibri"/>
          <w:lang w:val="en-GB"/>
        </w:rPr>
        <w:t>monitoring (</w:t>
      </w:r>
      <w:r w:rsidRPr="00105882">
        <w:rPr>
          <w:rFonts w:ascii="Calibri" w:eastAsia="Times New Roman" w:hAnsi="Calibri" w:cs="Calibri"/>
          <w:lang w:val="en-GB"/>
        </w:rPr>
        <w:t xml:space="preserve">Hadžiosmanović &amp; Rindell, 2023). Even though agile organisational cultures enable innovation, they tend to be in conflict with documentation-heavy security frameworks, resulting in a tension between governance and agility </w:t>
      </w:r>
      <w:r w:rsidRPr="00105882">
        <w:rPr>
          <w:rFonts w:ascii="Calibri" w:eastAsia="Times New Roman" w:hAnsi="Calibri" w:cs="Calibri"/>
          <w:lang w:val="en-GB"/>
        </w:rPr>
        <w:lastRenderedPageBreak/>
        <w:t xml:space="preserve">(Sophos, 2023). Ultimately, adopting multiple security tools in a reactive manner leads to complexity and fragmentation, escalating vulnerability as opposed to decreasing it (Sophos, 2023). </w:t>
      </w:r>
    </w:p>
    <w:p w14:paraId="43D6B430" w14:textId="40379072"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Technology adoption models, including the Technology Acceptance Model (TAM) and Diffusion of Innovations (DOI), provide limited insights but under-theorise organisational constraints and adversarial pressure (Davis, 1989). A useful conceptual foundation is offered by the sociotechnical systems theory, which emphasises the joint optimisation of social and technical subsystems, even though the prescriptive guidance it offers for organisations faced with a shortage of resources is limited (Ktorza &amp; Bace, 2022). In this regard, a more holistic lens is provided by the </w:t>
      </w:r>
      <w:r w:rsidR="0069417B" w:rsidRPr="00105882">
        <w:rPr>
          <w:rFonts w:ascii="Calibri" w:eastAsia="Times New Roman" w:hAnsi="Calibri" w:cs="Calibri"/>
          <w:lang w:val="en-GB"/>
        </w:rPr>
        <w:t>TOE</w:t>
      </w:r>
      <w:r w:rsidRPr="00105882">
        <w:rPr>
          <w:rFonts w:ascii="Calibri" w:eastAsia="Times New Roman" w:hAnsi="Calibri" w:cs="Calibri"/>
          <w:lang w:val="en-GB"/>
        </w:rPr>
        <w:t xml:space="preserve"> framework, which incorporates organisational and environmental factors, leading to its wide application in information systems research (Tornatzky &amp; Fleischer, 1990). Nonetheless, TOE is still adoption-oriented, based on the assumption that the organisation has capacity, treats usability implicitly, and conceptualises the environment as generally static and non-adversarial (Sasse et al., 2016).  </w:t>
      </w:r>
    </w:p>
    <w:p w14:paraId="1ECB7C77"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Together, the literature brings to the fore an explicit gap showing that there is currently no framework that sufficiently elucidates </w:t>
      </w:r>
      <w:r w:rsidR="0069417B" w:rsidRPr="00105882">
        <w:rPr>
          <w:rFonts w:ascii="Calibri" w:eastAsia="Times New Roman" w:hAnsi="Calibri" w:cs="Calibri"/>
          <w:lang w:val="en-GB"/>
        </w:rPr>
        <w:t>how</w:t>
      </w:r>
      <w:r w:rsidRPr="00105882">
        <w:rPr>
          <w:rFonts w:ascii="Calibri" w:eastAsia="Times New Roman" w:hAnsi="Calibri" w:cs="Calibri"/>
          <w:lang w:val="en-GB"/>
        </w:rPr>
        <w:t xml:space="preserve"> cybersecurity can be integrated into day-to-day practices of IT SMEs operating in an environment of hostile supply chains, organisational agility, and faced with a scarcity of resources. This is the gap that inspires the development of a new theory-building framework extending TOE while explicitly integrating commercial and sociotechnical realities. </w:t>
      </w:r>
    </w:p>
    <w:p w14:paraId="7F72B1B3" w14:textId="77777777" w:rsidR="00F03687" w:rsidRPr="00105882" w:rsidRDefault="00F03687" w:rsidP="00105882">
      <w:pPr>
        <w:spacing w:line="360" w:lineRule="auto"/>
        <w:jc w:val="both"/>
        <w:rPr>
          <w:rFonts w:ascii="Calibri" w:eastAsia="Times New Roman" w:hAnsi="Calibri" w:cs="Calibri"/>
          <w:lang w:val="en-GB"/>
        </w:rPr>
      </w:pPr>
    </w:p>
    <w:p w14:paraId="6E182360" w14:textId="77777777" w:rsidR="00F03687" w:rsidRPr="00105882" w:rsidRDefault="00E65F38" w:rsidP="00105882">
      <w:pPr>
        <w:numPr>
          <w:ilvl w:val="0"/>
          <w:numId w:val="1"/>
        </w:num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Research Design and Methodology </w:t>
      </w:r>
      <w:r w:rsidRPr="00105882">
        <w:rPr>
          <w:rFonts w:ascii="Calibri" w:eastAsia="Times New Roman" w:hAnsi="Calibri" w:cs="Calibri"/>
          <w:lang w:val="en-GB"/>
        </w:rPr>
        <w:t xml:space="preserve">       </w:t>
      </w:r>
    </w:p>
    <w:p w14:paraId="6126A98D" w14:textId="2EAD2960"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This study is based on a qualitative theory-building design whose basis is systematic document analysis as opposed to primary empirical data collection (Awa et al., 2017). In keeping with qualitative analysis and conceptual development customs in research involving information management, the analysis will draw on government cybersecurity surveys, studies published in peer-reviewed journals, and industry threat intelligence with the aim of identifying recurring integration breakdown </w:t>
      </w:r>
      <w:r w:rsidR="0069417B" w:rsidRPr="00105882">
        <w:rPr>
          <w:rFonts w:ascii="Calibri" w:eastAsia="Times New Roman" w:hAnsi="Calibri" w:cs="Calibri"/>
          <w:lang w:val="en-GB"/>
        </w:rPr>
        <w:t>mechanisms</w:t>
      </w:r>
      <w:r w:rsidRPr="00105882">
        <w:rPr>
          <w:rFonts w:ascii="Calibri" w:eastAsia="Times New Roman" w:hAnsi="Calibri" w:cs="Calibri"/>
          <w:lang w:val="en-GB"/>
        </w:rPr>
        <w:t xml:space="preserve"> across organisational settings (Hadžiosmanović &amp; Rindell, 2023). This methodology is adopted not with the aim of establishing empirical generalisation, but rather to create an analytical explanation and develo</w:t>
      </w:r>
      <w:r w:rsidR="0069417B" w:rsidRPr="00105882">
        <w:rPr>
          <w:rFonts w:ascii="Calibri" w:eastAsia="Times New Roman" w:hAnsi="Calibri" w:cs="Calibri"/>
          <w:lang w:val="en-GB"/>
        </w:rPr>
        <w:t xml:space="preserve">p a framework, making available </w:t>
      </w:r>
      <w:r w:rsidRPr="00105882">
        <w:rPr>
          <w:rFonts w:ascii="Calibri" w:eastAsia="Times New Roman" w:hAnsi="Calibri" w:cs="Calibri"/>
          <w:lang w:val="en-GB"/>
        </w:rPr>
        <w:t xml:space="preserve">a theoretically grounded foundation for succeeding empirical validation (OECD, 2023). </w:t>
      </w:r>
    </w:p>
    <w:p w14:paraId="6BD46B74" w14:textId="4419180C"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An interpretivist paradigm adopted </w:t>
      </w:r>
      <w:r w:rsidR="00376342" w:rsidRPr="00105882">
        <w:rPr>
          <w:rFonts w:ascii="Calibri" w:eastAsia="Times New Roman" w:hAnsi="Calibri" w:cs="Calibri"/>
          <w:lang w:val="en-GB"/>
        </w:rPr>
        <w:t>in</w:t>
      </w:r>
      <w:r w:rsidRPr="00105882">
        <w:rPr>
          <w:rFonts w:ascii="Calibri" w:eastAsia="Times New Roman" w:hAnsi="Calibri" w:cs="Calibri"/>
          <w:lang w:val="en-GB"/>
        </w:rPr>
        <w:t xml:space="preserve"> this study</w:t>
      </w:r>
      <w:r w:rsidR="0069417B" w:rsidRPr="00105882">
        <w:rPr>
          <w:rFonts w:ascii="Calibri" w:eastAsia="Times New Roman" w:hAnsi="Calibri" w:cs="Calibri"/>
          <w:lang w:val="en-GB"/>
        </w:rPr>
        <w:t xml:space="preserve"> as a</w:t>
      </w:r>
      <w:r w:rsidRPr="00105882">
        <w:rPr>
          <w:rFonts w:ascii="Calibri" w:eastAsia="Times New Roman" w:hAnsi="Calibri" w:cs="Calibri"/>
          <w:lang w:val="en-GB"/>
        </w:rPr>
        <w:t xml:space="preserve"> recognition of that cybersecurity is influenced by contextual constraints, organisational culture, and human behaviour. The study is unambiguously positioned as qualitative theory-building as opposed to empirical analysis of primary data. It uses a systematic documentary analysis with the aim of synthesising insights from available sources and </w:t>
      </w:r>
      <w:r w:rsidRPr="00105882">
        <w:rPr>
          <w:rFonts w:ascii="Calibri" w:eastAsia="Times New Roman" w:hAnsi="Calibri" w:cs="Calibri"/>
          <w:lang w:val="en-GB"/>
        </w:rPr>
        <w:lastRenderedPageBreak/>
        <w:t>developing analytically grounded theoretical constructs (Awa et al., 2017). The documents included in the data co</w:t>
      </w:r>
      <w:r w:rsidR="0077522C" w:rsidRPr="00105882">
        <w:rPr>
          <w:rFonts w:ascii="Calibri" w:eastAsia="Times New Roman" w:hAnsi="Calibri" w:cs="Calibri"/>
          <w:lang w:val="en-GB"/>
        </w:rPr>
        <w:t>rpus were published between 2015</w:t>
      </w:r>
      <w:r w:rsidRPr="00105882">
        <w:rPr>
          <w:rFonts w:ascii="Calibri" w:eastAsia="Times New Roman" w:hAnsi="Calibri" w:cs="Calibri"/>
          <w:lang w:val="en-GB"/>
        </w:rPr>
        <w:t xml:space="preserve"> and 2025. The purposive selection of the documents is based on applicability to SME cybersecurity, source credibility, and explicit discussion of challenges associated with integration. This approach was chosen with the aim of ensuring analytical depth while ensuring relevance and transparency (Hadžiosmanović &amp; Rindell, 2023). </w:t>
      </w:r>
    </w:p>
    <w:p w14:paraId="787028D1" w14:textId="11BC6BD7" w:rsidR="00F03687" w:rsidRDefault="0077522C"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The document</w:t>
      </w:r>
      <w:r w:rsidR="00E65F38" w:rsidRPr="00105882">
        <w:rPr>
          <w:rFonts w:ascii="Calibri" w:eastAsia="Times New Roman" w:hAnsi="Calibri" w:cs="Calibri"/>
          <w:lang w:val="en-GB"/>
        </w:rPr>
        <w:t xml:space="preserve"> analysis was conducted based on a multi-stage qualitative synthesis process. The process started with document familiarisation, followed by open coding of issues associated with integration, aggregation of recurring mechanisms across sources, analytical mapping into and beyond the TOE framework, and iterative theory construction (OECD, 2023). </w:t>
      </w:r>
      <w:r w:rsidRPr="00105882">
        <w:rPr>
          <w:rFonts w:ascii="Calibri" w:eastAsia="Times New Roman" w:hAnsi="Calibri" w:cs="Calibri"/>
          <w:lang w:val="en-GB"/>
        </w:rPr>
        <w:t>This</w:t>
      </w:r>
      <w:r w:rsidR="00E65F38" w:rsidRPr="00105882">
        <w:rPr>
          <w:rFonts w:ascii="Calibri" w:eastAsia="Times New Roman" w:hAnsi="Calibri" w:cs="Calibri"/>
          <w:lang w:val="en-GB"/>
        </w:rPr>
        <w:t xml:space="preserve"> made it possible to identify consistent patterns explaining why integration failed, establishing the empirical-analytical foundation for the development of a framework. </w:t>
      </w:r>
    </w:p>
    <w:p w14:paraId="01627206" w14:textId="77777777" w:rsidR="00105882" w:rsidRPr="00105882" w:rsidRDefault="00105882" w:rsidP="00105882">
      <w:pPr>
        <w:spacing w:line="360" w:lineRule="auto"/>
        <w:jc w:val="both"/>
        <w:rPr>
          <w:rFonts w:ascii="Calibri" w:eastAsia="Times New Roman" w:hAnsi="Calibri" w:cs="Calibri"/>
          <w:lang w:val="en-GB"/>
        </w:rPr>
      </w:pPr>
    </w:p>
    <w:p w14:paraId="01DAC5E7" w14:textId="77777777" w:rsidR="00F03687" w:rsidRPr="00105882" w:rsidRDefault="00E65F38" w:rsidP="00105882">
      <w:pPr>
        <w:numPr>
          <w:ilvl w:val="0"/>
          <w:numId w:val="1"/>
        </w:num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Findings: Integration Breakdown Machine </w:t>
      </w:r>
    </w:p>
    <w:p w14:paraId="40E6D8A7"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In this section, the core analytical findings from the synthetic qualitative document analysis are presented (ENISA, 2021). Instead of presenting firm-level empirical results, these findings will synthesise recurrent integration breakdown mechanisms able to reliably elucidate why the adoption of cybersecurity in IT sector SMEs does not always translate into continuous organisational integration (Verizon, 2024). Pattern cross-source matching and analytical abstraction were used to identify these mechanisms. They represent structural, sociotechnical failures as opposed to isolated errors associated with implementation (Sophos, 2023). Across the sources analysed, five interconnected breakdown mechanisms, discussed in greater detail in the sections below, emerged with high consistency. Together, these mechanisms elucidate the manner in which misalignment in the environmental, technological, and organisational aspects of an organisation can systematically undermine the integration of cybersecurity in agile SME contexts where resources represent a major constraint. </w:t>
      </w:r>
    </w:p>
    <w:p w14:paraId="22DA3065"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4.1 Resource-Risk Asymmetry</w:t>
      </w:r>
    </w:p>
    <w:p w14:paraId="59D3245C" w14:textId="38BCEF80"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Across the literature, a dominant mechanism is resource-risk asymmetry. In this context, IT SMEs are faced with threats </w:t>
      </w:r>
      <w:r w:rsidR="00F759B8" w:rsidRPr="00105882">
        <w:rPr>
          <w:rFonts w:ascii="Calibri" w:eastAsia="Times New Roman" w:hAnsi="Calibri" w:cs="Calibri"/>
          <w:lang w:val="en-GB"/>
        </w:rPr>
        <w:t>comparable</w:t>
      </w:r>
      <w:r w:rsidRPr="00105882">
        <w:rPr>
          <w:rFonts w:ascii="Calibri" w:eastAsia="Times New Roman" w:hAnsi="Calibri" w:cs="Calibri"/>
          <w:lang w:val="en-GB"/>
        </w:rPr>
        <w:t xml:space="preserve"> in scale and complexity to those </w:t>
      </w:r>
      <w:r w:rsidR="00F759B8" w:rsidRPr="00105882">
        <w:rPr>
          <w:rFonts w:ascii="Calibri" w:eastAsia="Times New Roman" w:hAnsi="Calibri" w:cs="Calibri"/>
          <w:lang w:val="en-GB"/>
        </w:rPr>
        <w:t>of</w:t>
      </w:r>
      <w:r w:rsidRPr="00105882">
        <w:rPr>
          <w:rFonts w:ascii="Calibri" w:eastAsia="Times New Roman" w:hAnsi="Calibri" w:cs="Calibri"/>
          <w:lang w:val="en-GB"/>
        </w:rPr>
        <w:t xml:space="preserve"> large enterprises, yet the former do not have the same resources (ENISA, 2021). From industry reports and government breach surveys, it can be noted that the targeting of SMEs is not because of their intrinsic value, but because th</w:t>
      </w:r>
      <w:r w:rsidR="00F759B8" w:rsidRPr="00105882">
        <w:rPr>
          <w:rFonts w:ascii="Calibri" w:eastAsia="Times New Roman" w:hAnsi="Calibri" w:cs="Calibri"/>
          <w:lang w:val="en-GB"/>
        </w:rPr>
        <w:t>ey are a cost-effective point of</w:t>
      </w:r>
      <w:r w:rsidRPr="00105882">
        <w:rPr>
          <w:rFonts w:ascii="Calibri" w:eastAsia="Times New Roman" w:hAnsi="Calibri" w:cs="Calibri"/>
          <w:lang w:val="en-GB"/>
        </w:rPr>
        <w:t xml:space="preserve"> entry to larger digital supply chains (DSIT, 2023). This resource-risk asymmetry leads to lingering under-investment in preventative security measures, forcing SMEs into reactive postures. The lack of resources leads these organisations to use generalist staff or operational managers. This explains the </w:t>
      </w:r>
      <w:r w:rsidRPr="00105882">
        <w:rPr>
          <w:rFonts w:ascii="Calibri" w:eastAsia="Times New Roman" w:hAnsi="Calibri" w:cs="Calibri"/>
          <w:lang w:val="en-GB"/>
        </w:rPr>
        <w:lastRenderedPageBreak/>
        <w:t xml:space="preserve">consequent strategic oversight and erratic execution (Sophos, 2023). Looked at from this integration point of view, resource-risk symmetry weakens the capability of organisations to sustain security controls over time, entrenching cybersecurity as a periodic response as opposed to an ongoing organisational capability (DSIT, 2023). </w:t>
      </w:r>
    </w:p>
    <w:p w14:paraId="1426C0B4"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4.2 Governance – Agility Conflict </w:t>
      </w:r>
    </w:p>
    <w:p w14:paraId="0E2C05B5" w14:textId="433CD87E"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Governance-agility conflict represents the second breakdown. This breakdown emanates from the misalignment between formal cybersecurity governance models and the agile operating structures of IT SMEs (Calder, 2020). Leading frameworks are based on the assumption that certain conditions exist: extensive documentation, role specialisation, and hierarchical governance. With regards to SMEs, these assumptions are in conflict with informal communication channels, rapid decision-making, and flat organisational structures (ISACA, 2022).</w:t>
      </w:r>
    </w:p>
    <w:p w14:paraId="3CB5E1E4" w14:textId="104A3AA9" w:rsidR="00F03687" w:rsidRPr="00105882" w:rsidRDefault="00F759B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The</w:t>
      </w:r>
      <w:r w:rsidR="00E65F38" w:rsidRPr="00105882">
        <w:rPr>
          <w:rFonts w:ascii="Calibri" w:eastAsia="Times New Roman" w:hAnsi="Calibri" w:cs="Calibri"/>
          <w:lang w:val="en-GB"/>
        </w:rPr>
        <w:t xml:space="preserve"> literature</w:t>
      </w:r>
      <w:r w:rsidRPr="00105882">
        <w:rPr>
          <w:rFonts w:ascii="Calibri" w:eastAsia="Times New Roman" w:hAnsi="Calibri" w:cs="Calibri"/>
          <w:lang w:val="en-GB"/>
        </w:rPr>
        <w:t xml:space="preserve"> shows</w:t>
      </w:r>
      <w:r w:rsidR="00E65F38" w:rsidRPr="00105882">
        <w:rPr>
          <w:rFonts w:ascii="Calibri" w:eastAsia="Times New Roman" w:hAnsi="Calibri" w:cs="Calibri"/>
          <w:lang w:val="en-GB"/>
        </w:rPr>
        <w:t xml:space="preserve"> that when excessive procedural overheads are imposed by governance frameworks, the response from SMEs is to selectively bypass controls or see governance artefacts as compliance theatre as opposed to operational tools (Weill &amp; Ross, 2004). The consequence of this is government structures existing nominally but failing to make an impact on everyday behaviour. It is not resistance to security per se that leads to the breakdown in integration but rather models of governance that are not compatible with SME agility and workflow realities (Hadžiosmanović &amp; </w:t>
      </w:r>
      <w:proofErr w:type="spellStart"/>
      <w:r w:rsidR="00E65F38" w:rsidRPr="00105882">
        <w:rPr>
          <w:rFonts w:ascii="Calibri" w:eastAsia="Times New Roman" w:hAnsi="Calibri" w:cs="Calibri"/>
          <w:lang w:val="en-GB"/>
        </w:rPr>
        <w:t>Rindell</w:t>
      </w:r>
      <w:proofErr w:type="spellEnd"/>
      <w:r w:rsidR="00E65F38" w:rsidRPr="00105882">
        <w:rPr>
          <w:rFonts w:ascii="Calibri" w:eastAsia="Times New Roman" w:hAnsi="Calibri" w:cs="Calibri"/>
          <w:lang w:val="en-GB"/>
        </w:rPr>
        <w:t>, 2023).</w:t>
      </w:r>
    </w:p>
    <w:p w14:paraId="28A7C03F"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4.3 Usability-Driven Security Fatigue </w:t>
      </w:r>
    </w:p>
    <w:p w14:paraId="4686F140"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Usability-driven security fatigue represents the third recurring mechanism. This reflects the aggregate operational and cognitive burden </w:t>
      </w:r>
      <w:r w:rsidR="00627B09" w:rsidRPr="00105882">
        <w:rPr>
          <w:rFonts w:ascii="Calibri" w:eastAsia="Times New Roman" w:hAnsi="Calibri" w:cs="Calibri"/>
          <w:lang w:val="en-GB"/>
        </w:rPr>
        <w:t>attributable</w:t>
      </w:r>
      <w:r w:rsidRPr="00105882">
        <w:rPr>
          <w:rFonts w:ascii="Calibri" w:eastAsia="Times New Roman" w:hAnsi="Calibri" w:cs="Calibri"/>
          <w:lang w:val="en-GB"/>
        </w:rPr>
        <w:t xml:space="preserve"> to security controls that are poorly integrated (Sasse et al., 2016). Both industry reports and academic studies shed light on the reality that multiple security tools are deployed by SMEs, usually as they attempt to respond to specific incidents or requirements from clients, without taking into account usability, interoperability, or workflow alignment (Furnell et al., 2021). This is a situation that results in an escalation of alert volume, intricate authentication processes, and frequent interruptions in workflow, in turn leading to frustration, disengagement, and informal workarounds (Lowry et al., 2015). Such contexts are characterised by employees attempting to disable controls, reuse credentials, or depending on shadow IT solutions as a method of maintaining productivity. Notably, this mechanism illustrates that usability does not represent a secondary concern, but rather a core determining factor relating to sustaining cybersecurity controls in practice (D’Arcy et al., 2020). The failure of integration occurs </w:t>
      </w:r>
      <w:r w:rsidR="00627B09" w:rsidRPr="00105882">
        <w:rPr>
          <w:rFonts w:ascii="Calibri" w:eastAsia="Times New Roman" w:hAnsi="Calibri" w:cs="Calibri"/>
          <w:lang w:val="en-GB"/>
        </w:rPr>
        <w:t>when</w:t>
      </w:r>
      <w:r w:rsidRPr="00105882">
        <w:rPr>
          <w:rFonts w:ascii="Calibri" w:eastAsia="Times New Roman" w:hAnsi="Calibri" w:cs="Calibri"/>
          <w:lang w:val="en-GB"/>
        </w:rPr>
        <w:t xml:space="preserve"> security leads to an increase in friction beyond tolerable operational thresholds (Furnell et al., 2021). </w:t>
      </w:r>
    </w:p>
    <w:p w14:paraId="41E1FF37" w14:textId="77777777" w:rsidR="00F03687" w:rsidRPr="00105882" w:rsidRDefault="00F03687" w:rsidP="00105882">
      <w:pPr>
        <w:spacing w:line="360" w:lineRule="auto"/>
        <w:jc w:val="both"/>
        <w:rPr>
          <w:rFonts w:ascii="Calibri" w:eastAsia="Times New Roman" w:hAnsi="Calibri" w:cs="Calibri"/>
          <w:lang w:val="en-GB"/>
        </w:rPr>
      </w:pPr>
    </w:p>
    <w:p w14:paraId="1608A817"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lastRenderedPageBreak/>
        <w:t>4.4 Supply-Chain Dependency Pressure</w:t>
      </w:r>
    </w:p>
    <w:p w14:paraId="65253C4A"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From the analysis, it is also revealed that another critical environmental mechanism impacting cybersecurity integration is supply chain dependency pressure. Increasingly, before contracts are signed, partnerships are entered into, or permission to participate in platforms is granted, IT SMEs are being asked to show cybersecurity capability (ENISA, 2023). Within this environment, audits by clients, questionnaires collecting data related to assurance, and risk assessments by third parties are becoming common, usually transcending regulatory requirements in both intensity and scope (DSIT, 2023). Even though these pressures provide an incentive for the adoption of cybersecurity, they also tend to result in high-level compliance as opposed to deep integration. Characterising this context is a situation where the priority of SMEs becomes visible controls satisfying external stakeholders, in certain instances, at the expense of internally coherent security practices. This results in a tension between signalling that is externally oriented and internally embedded integration, worsening fragmentation and reinforcing performative security (World Economic Forum, 2023).    </w:t>
      </w:r>
    </w:p>
    <w:p w14:paraId="30DC9F03" w14:textId="0AB9138E"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lang w:val="en-GB"/>
        </w:rPr>
        <w:t xml:space="preserve"> </w:t>
      </w:r>
      <w:r w:rsidRPr="00105882">
        <w:rPr>
          <w:rFonts w:ascii="Calibri" w:eastAsia="Times New Roman" w:hAnsi="Calibri" w:cs="Calibri"/>
          <w:b/>
          <w:lang w:val="en-GB"/>
        </w:rPr>
        <w:t>4.5 Security Tool Fragmentation</w:t>
      </w:r>
    </w:p>
    <w:p w14:paraId="1ACCFFE6" w14:textId="77777777" w:rsidR="00F03687"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Security tool fragmentation is the final mechanism identified. </w:t>
      </w:r>
      <w:r w:rsidR="00627B09" w:rsidRPr="00105882">
        <w:rPr>
          <w:rFonts w:ascii="Calibri" w:eastAsia="Times New Roman" w:hAnsi="Calibri" w:cs="Calibri"/>
          <w:lang w:val="en-GB"/>
        </w:rPr>
        <w:t>It</w:t>
      </w:r>
      <w:r w:rsidRPr="00105882">
        <w:rPr>
          <w:rFonts w:ascii="Calibri" w:eastAsia="Times New Roman" w:hAnsi="Calibri" w:cs="Calibri"/>
          <w:lang w:val="en-GB"/>
        </w:rPr>
        <w:t xml:space="preserve"> emerges as both a cause and a consequence of integration failure. It is common for SMEs to accumulate security tools incrementally, including firewalls, endpoint protection, identity management, and backup solutions, without a unifying architectural or governance strategy. Rusu et al. (2022) posit that this fragmentation escalates system complexity, administrative overhead, and integration burden. Ecosystems consisting of fragmented tools make usability challenges worse, weaken accountability, and obscure risk visibility. Instead of making security stronger, tool proliferation tends to escalate the potential for misconfiguration and delayed response. From the literature, it can be noted that integration failure is not necessarily </w:t>
      </w:r>
      <w:r w:rsidR="00FD0C21" w:rsidRPr="00105882">
        <w:rPr>
          <w:rFonts w:ascii="Calibri" w:eastAsia="Times New Roman" w:hAnsi="Calibri" w:cs="Calibri"/>
          <w:lang w:val="en-GB"/>
        </w:rPr>
        <w:t xml:space="preserve">a result of </w:t>
      </w:r>
      <w:r w:rsidRPr="00105882">
        <w:rPr>
          <w:rFonts w:ascii="Calibri" w:eastAsia="Times New Roman" w:hAnsi="Calibri" w:cs="Calibri"/>
          <w:lang w:val="en-GB"/>
        </w:rPr>
        <w:t xml:space="preserve">inadequate tooling but the </w:t>
      </w:r>
      <w:r w:rsidR="00FD0C21" w:rsidRPr="00105882">
        <w:rPr>
          <w:rFonts w:ascii="Calibri" w:eastAsia="Times New Roman" w:hAnsi="Calibri" w:cs="Calibri"/>
          <w:lang w:val="en-GB"/>
        </w:rPr>
        <w:t>in</w:t>
      </w:r>
      <w:r w:rsidRPr="00105882">
        <w:rPr>
          <w:rFonts w:ascii="Calibri" w:eastAsia="Times New Roman" w:hAnsi="Calibri" w:cs="Calibri"/>
          <w:lang w:val="en-GB"/>
        </w:rPr>
        <w:t xml:space="preserve">ability to orchestrate tools </w:t>
      </w:r>
      <w:r w:rsidR="00FD0C21" w:rsidRPr="00105882">
        <w:rPr>
          <w:rFonts w:ascii="Calibri" w:eastAsia="Times New Roman" w:hAnsi="Calibri" w:cs="Calibri"/>
          <w:lang w:val="en-GB"/>
        </w:rPr>
        <w:t>coherently</w:t>
      </w:r>
      <w:r w:rsidRPr="00105882">
        <w:rPr>
          <w:rFonts w:ascii="Calibri" w:eastAsia="Times New Roman" w:hAnsi="Calibri" w:cs="Calibri"/>
          <w:lang w:val="en-GB"/>
        </w:rPr>
        <w:t xml:space="preserve"> within organisational workflows (Henfridsson &amp; Bygstad, 2013). </w:t>
      </w:r>
    </w:p>
    <w:p w14:paraId="35EA8DF0" w14:textId="77777777" w:rsidR="00105882" w:rsidRPr="00105882" w:rsidRDefault="00105882" w:rsidP="00105882">
      <w:pPr>
        <w:spacing w:line="360" w:lineRule="auto"/>
        <w:jc w:val="both"/>
        <w:rPr>
          <w:rFonts w:ascii="Calibri" w:eastAsia="Times New Roman" w:hAnsi="Calibri" w:cs="Calibri"/>
          <w:lang w:val="en-GB"/>
        </w:rPr>
      </w:pPr>
    </w:p>
    <w:p w14:paraId="1F4E4024"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4.6 Synthesis of Integration Breakdown Mechanisms </w:t>
      </w:r>
    </w:p>
    <w:p w14:paraId="3AF98620" w14:textId="77777777" w:rsid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Together, the five mechanisms presented above showcase the reality that cybersecurity failure in IT SMES is not accidental, but rather systematic. The mechanisms reinforce each other. Resource constraints make governance tensions worse; misalignment in governance worsens usability fatigue; usability failures lead to tool fragmentation, and pressures related to supply chain encourage surface-level adoption over real integration (ENISA, 2023).  This analysis delivers the analytical basis for developing the LSCIF. The framework explicitly responds to these mechanisms by suggesting an integration logic aligning </w:t>
      </w:r>
      <w:r w:rsidRPr="00105882">
        <w:rPr>
          <w:rFonts w:ascii="Calibri" w:eastAsia="Times New Roman" w:hAnsi="Calibri" w:cs="Calibri"/>
          <w:lang w:val="en-GB"/>
        </w:rPr>
        <w:lastRenderedPageBreak/>
        <w:t xml:space="preserve">governance with agility, prioritising usability as a security control, and reframing environmental pressures as commercial trust relationships as opposed to compliance burdens (Henfridsson &amp; </w:t>
      </w:r>
      <w:proofErr w:type="spellStart"/>
      <w:r w:rsidRPr="00105882">
        <w:rPr>
          <w:rFonts w:ascii="Calibri" w:eastAsia="Times New Roman" w:hAnsi="Calibri" w:cs="Calibri"/>
          <w:lang w:val="en-GB"/>
        </w:rPr>
        <w:t>Bygstad</w:t>
      </w:r>
      <w:proofErr w:type="spellEnd"/>
      <w:r w:rsidRPr="00105882">
        <w:rPr>
          <w:rFonts w:ascii="Calibri" w:eastAsia="Times New Roman" w:hAnsi="Calibri" w:cs="Calibri"/>
          <w:lang w:val="en-GB"/>
        </w:rPr>
        <w:t>, 2013).</w:t>
      </w:r>
    </w:p>
    <w:p w14:paraId="3D73090A" w14:textId="20DF8B8E"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     </w:t>
      </w:r>
    </w:p>
    <w:p w14:paraId="012E8E5E"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5. Development of the Lean Sociotechnical Cybersecurity Integration Framework (LSCIF) </w:t>
      </w:r>
    </w:p>
    <w:p w14:paraId="7218556E"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The LSCIF is developed as an extension of the TOE framework, re-engineered to reflect the sociotechnical, resource-constrained, and adversarial setting of IT SMEs. Instead of focusing on the determinants of adoption, the LSCIF explicitly focuses on integration mechanisms. Cybersecurity governance is reframed by Lean Governance to align with the agility of SMEs. It stresses the minimal friction, embedding controls into existing workflows</w:t>
      </w:r>
      <w:r w:rsidR="002D1AFE" w:rsidRPr="00105882">
        <w:rPr>
          <w:rFonts w:ascii="Calibri" w:eastAsia="Times New Roman" w:hAnsi="Calibri" w:cs="Calibri"/>
          <w:lang w:val="en-GB"/>
        </w:rPr>
        <w:t>, automation</w:t>
      </w:r>
      <w:r w:rsidRPr="00105882">
        <w:rPr>
          <w:rFonts w:ascii="Calibri" w:eastAsia="Times New Roman" w:hAnsi="Calibri" w:cs="Calibri"/>
          <w:lang w:val="en-GB"/>
        </w:rPr>
        <w:t xml:space="preserve">-first enforcement, decentralised responsibility, and iterative improvement. Instead of becoming a bureaucratic constraint, governance becomes an enabling function (Tiwana et al., 2013; Henfridsson &amp; Bygstad, 2013; Weill &amp; Ross, 2004). Human-Centric Usability raises usability to a primary security determinant. Security controls are designed to lessen cognitive load, be in alignment with user workflows, and disincentivise insecure workarounds. This construct integrates principles from human-computer interaction into cybersecurity integration theory (Ktorza &amp; Bace, 2022; Sasse et al., 2016; Furnell et al., 2021). Commercial Trust Alignment reframes the environmental element as a commercially and </w:t>
      </w:r>
      <w:r w:rsidR="002D1AFE" w:rsidRPr="00105882">
        <w:rPr>
          <w:rFonts w:ascii="Calibri" w:eastAsia="Times New Roman" w:hAnsi="Calibri" w:cs="Calibri"/>
          <w:lang w:val="en-GB"/>
        </w:rPr>
        <w:t>adversarial</w:t>
      </w:r>
      <w:r w:rsidRPr="00105882">
        <w:rPr>
          <w:rFonts w:ascii="Calibri" w:eastAsia="Times New Roman" w:hAnsi="Calibri" w:cs="Calibri"/>
          <w:lang w:val="en-GB"/>
        </w:rPr>
        <w:t xml:space="preserve"> driven (Pavlou, 2003; Riggins &amp; Weber, 2017). It turns cybersecurity into a trust signal in supply chains, market access, partnerships, and procurement. Therefore, integration is positioned as a strategic economic capability (Cennamo et al., 2020; Constantinides et al., 2018).         </w:t>
      </w:r>
    </w:p>
    <w:p w14:paraId="299D094E" w14:textId="1B44D82C" w:rsidR="003A79FE" w:rsidRPr="00105882" w:rsidRDefault="00E65F38" w:rsidP="00105882">
      <w:pPr>
        <w:spacing w:line="360" w:lineRule="auto"/>
        <w:jc w:val="both"/>
        <w:rPr>
          <w:rFonts w:ascii="Calibri" w:hAnsi="Calibri" w:cs="Calibri"/>
        </w:rPr>
      </w:pPr>
      <w:r w:rsidRPr="00105882">
        <w:rPr>
          <w:rFonts w:ascii="Calibri" w:eastAsia="Times New Roman" w:hAnsi="Calibri" w:cs="Calibri"/>
          <w:lang w:val="en-GB"/>
        </w:rPr>
        <w:t xml:space="preserve">      </w:t>
      </w:r>
      <w:r w:rsidR="003A79FE" w:rsidRPr="00105882">
        <w:rPr>
          <w:rFonts w:ascii="Calibri" w:eastAsia="Times New Roman" w:hAnsi="Calibri" w:cs="Calibri"/>
          <w:noProof/>
          <w:lang w:val="en-ZA"/>
        </w:rPr>
        <w:drawing>
          <wp:inline distT="0" distB="0" distL="0" distR="0" wp14:anchorId="005A7C99" wp14:editId="2A6AB5FA">
            <wp:extent cx="5725160" cy="255333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5160" cy="2553335"/>
                    </a:xfrm>
                    <a:prstGeom prst="rect">
                      <a:avLst/>
                    </a:prstGeom>
                    <a:noFill/>
                  </pic:spPr>
                </pic:pic>
              </a:graphicData>
            </a:graphic>
          </wp:inline>
        </w:drawing>
      </w:r>
    </w:p>
    <w:p w14:paraId="087AB015" w14:textId="2D83F7B2" w:rsidR="00F03687" w:rsidRPr="00105882" w:rsidRDefault="003A79FE" w:rsidP="00105882">
      <w:pPr>
        <w:pStyle w:val="Caption"/>
        <w:spacing w:after="0" w:line="360" w:lineRule="auto"/>
        <w:jc w:val="center"/>
        <w:rPr>
          <w:rFonts w:ascii="Calibri" w:eastAsia="Times New Roman" w:hAnsi="Calibri" w:cs="Calibri"/>
          <w:i w:val="0"/>
          <w:color w:val="auto"/>
          <w:sz w:val="22"/>
          <w:szCs w:val="22"/>
          <w:lang w:val="en-GB"/>
        </w:rPr>
      </w:pPr>
      <w:r w:rsidRPr="00105882">
        <w:rPr>
          <w:rFonts w:ascii="Calibri" w:hAnsi="Calibri" w:cs="Calibri"/>
          <w:b/>
          <w:bCs/>
          <w:i w:val="0"/>
          <w:color w:val="auto"/>
          <w:sz w:val="22"/>
          <w:szCs w:val="22"/>
        </w:rPr>
        <w:t xml:space="preserve">Figure </w:t>
      </w:r>
      <w:r w:rsidRPr="00105882">
        <w:rPr>
          <w:rFonts w:ascii="Calibri" w:hAnsi="Calibri" w:cs="Calibri"/>
          <w:b/>
          <w:bCs/>
          <w:i w:val="0"/>
          <w:color w:val="auto"/>
          <w:sz w:val="22"/>
          <w:szCs w:val="22"/>
        </w:rPr>
        <w:fldChar w:fldCharType="begin"/>
      </w:r>
      <w:r w:rsidRPr="00105882">
        <w:rPr>
          <w:rFonts w:ascii="Calibri" w:hAnsi="Calibri" w:cs="Calibri"/>
          <w:b/>
          <w:bCs/>
          <w:i w:val="0"/>
          <w:color w:val="auto"/>
          <w:sz w:val="22"/>
          <w:szCs w:val="22"/>
        </w:rPr>
        <w:instrText xml:space="preserve"> SEQ Figure \* ARABIC </w:instrText>
      </w:r>
      <w:r w:rsidRPr="00105882">
        <w:rPr>
          <w:rFonts w:ascii="Calibri" w:hAnsi="Calibri" w:cs="Calibri"/>
          <w:b/>
          <w:bCs/>
          <w:i w:val="0"/>
          <w:color w:val="auto"/>
          <w:sz w:val="22"/>
          <w:szCs w:val="22"/>
        </w:rPr>
        <w:fldChar w:fldCharType="separate"/>
      </w:r>
      <w:r w:rsidRPr="00105882">
        <w:rPr>
          <w:rFonts w:ascii="Calibri" w:hAnsi="Calibri" w:cs="Calibri"/>
          <w:b/>
          <w:bCs/>
          <w:i w:val="0"/>
          <w:noProof/>
          <w:color w:val="auto"/>
          <w:sz w:val="22"/>
          <w:szCs w:val="22"/>
        </w:rPr>
        <w:t>1</w:t>
      </w:r>
      <w:r w:rsidRPr="00105882">
        <w:rPr>
          <w:rFonts w:ascii="Calibri" w:hAnsi="Calibri" w:cs="Calibri"/>
          <w:b/>
          <w:bCs/>
          <w:i w:val="0"/>
          <w:color w:val="auto"/>
          <w:sz w:val="22"/>
          <w:szCs w:val="22"/>
        </w:rPr>
        <w:fldChar w:fldCharType="end"/>
      </w:r>
      <w:r w:rsidRPr="00105882">
        <w:rPr>
          <w:rFonts w:ascii="Calibri" w:hAnsi="Calibri" w:cs="Calibri"/>
          <w:b/>
          <w:bCs/>
          <w:i w:val="0"/>
          <w:color w:val="auto"/>
          <w:sz w:val="22"/>
          <w:szCs w:val="22"/>
        </w:rPr>
        <w:t>:</w:t>
      </w:r>
      <w:r w:rsidRPr="00105882">
        <w:rPr>
          <w:rFonts w:ascii="Calibri" w:hAnsi="Calibri" w:cs="Calibri"/>
          <w:i w:val="0"/>
          <w:color w:val="auto"/>
          <w:sz w:val="22"/>
          <w:szCs w:val="22"/>
        </w:rPr>
        <w:t xml:space="preserve"> The LSCIF as a solution to the cybersecurity integration in IT SME (source: designed by the author</w:t>
      </w:r>
      <w:r w:rsidR="00357FE1" w:rsidRPr="00105882">
        <w:rPr>
          <w:rFonts w:ascii="Calibri" w:hAnsi="Calibri" w:cs="Calibri"/>
          <w:i w:val="0"/>
          <w:color w:val="auto"/>
          <w:sz w:val="22"/>
          <w:szCs w:val="22"/>
        </w:rPr>
        <w:t>s</w:t>
      </w:r>
      <w:r w:rsidRPr="00105882">
        <w:rPr>
          <w:rFonts w:ascii="Calibri" w:hAnsi="Calibri" w:cs="Calibri"/>
          <w:i w:val="0"/>
          <w:color w:val="auto"/>
          <w:sz w:val="22"/>
          <w:szCs w:val="22"/>
        </w:rPr>
        <w:t>)</w:t>
      </w:r>
    </w:p>
    <w:p w14:paraId="65C1D8B0" w14:textId="77777777" w:rsidR="003A79FE" w:rsidRDefault="003A79FE" w:rsidP="00105882">
      <w:pPr>
        <w:spacing w:line="360" w:lineRule="auto"/>
        <w:jc w:val="both"/>
        <w:rPr>
          <w:rFonts w:ascii="Calibri" w:eastAsia="Times New Roman" w:hAnsi="Calibri" w:cs="Calibri"/>
          <w:b/>
          <w:lang w:val="en-GB"/>
        </w:rPr>
      </w:pPr>
    </w:p>
    <w:p w14:paraId="33B9CCAD" w14:textId="77777777" w:rsidR="00105882" w:rsidRPr="00105882" w:rsidRDefault="00105882" w:rsidP="00105882">
      <w:pPr>
        <w:spacing w:line="360" w:lineRule="auto"/>
        <w:jc w:val="both"/>
        <w:rPr>
          <w:rFonts w:ascii="Calibri" w:eastAsia="Times New Roman" w:hAnsi="Calibri" w:cs="Calibri"/>
          <w:b/>
          <w:lang w:val="en-GB"/>
        </w:rPr>
      </w:pPr>
    </w:p>
    <w:p w14:paraId="58A2C794"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lastRenderedPageBreak/>
        <w:t>6. Discussion: Theoretical Implications of the LSCIF</w:t>
      </w:r>
    </w:p>
    <w:p w14:paraId="77CF6B54"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6.1 Cybersecurity Integration as an Information Management Capability</w:t>
      </w:r>
    </w:p>
    <w:p w14:paraId="4702577E" w14:textId="02540709"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In keeping with prevailing discussions in information management academic discourse, this study’s findings validate the conclusion that cybersecurity needs to be conceptualised as an organisational information management capability as opposed to a disconnected compliance or technical function. From the literature, IT SMEs consistently illustrated that they are aware of the risks involved in cybersecurity, leading to a broad adoption of security tools. However, it can also be noted that integration into organisational routines is still weak. This empirical-analytical dichotomy reflects wider concerns related to information management research related to the gap between digital investment and realised organisational value (Bharadwaj et al., 2013; Wamba et al., 2020). </w:t>
      </w:r>
    </w:p>
    <w:p w14:paraId="6229FC2B" w14:textId="42BEE9A9" w:rsidR="00F03687"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gap described in the above paragraph is explained by the LSCIF. It accomplished this by illustrating that the failure in cybersecurity integration is a product of sociotechnical misalignment as opposed to inadequate technological sophistication. Furthermore, the framework reframes cybersecurity, presenting it as a capability emanating through the synchronised configuration of governance, usability, and environmental trust demands. From this perspective, cybersecurity is positioned alongside other information management capabilities like data governance, digital platform orchestration, and analytics capability that generate value only when embedded into the organisation (Grover et al., 2018).  </w:t>
      </w:r>
    </w:p>
    <w:p w14:paraId="54DC6A56" w14:textId="77777777" w:rsidR="00105882" w:rsidRPr="00105882" w:rsidRDefault="00105882" w:rsidP="00105882">
      <w:pPr>
        <w:spacing w:line="360" w:lineRule="auto"/>
        <w:jc w:val="both"/>
        <w:rPr>
          <w:rFonts w:ascii="Calibri" w:eastAsia="Times New Roman" w:hAnsi="Calibri" w:cs="Calibri"/>
          <w:lang w:val="en-GB"/>
        </w:rPr>
      </w:pPr>
    </w:p>
    <w:p w14:paraId="7FBBE744"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6.2 Extending the </w:t>
      </w:r>
      <w:r w:rsidR="00DD6FEA" w:rsidRPr="00105882">
        <w:rPr>
          <w:rFonts w:ascii="Calibri" w:eastAsia="Times New Roman" w:hAnsi="Calibri" w:cs="Calibri"/>
          <w:b/>
          <w:lang w:val="en-GB"/>
        </w:rPr>
        <w:t>TOE</w:t>
      </w:r>
      <w:r w:rsidRPr="00105882">
        <w:rPr>
          <w:rFonts w:ascii="Calibri" w:eastAsia="Times New Roman" w:hAnsi="Calibri" w:cs="Calibri"/>
          <w:b/>
          <w:lang w:val="en-GB"/>
        </w:rPr>
        <w:t xml:space="preserve"> Framework for Cybersecurity Integration </w:t>
      </w:r>
    </w:p>
    <w:p w14:paraId="41761D87" w14:textId="26E84F31"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From this study, a core theoretical contribution is the extension of the TOE framework, transcending its traditional application in research related to the adoption of innovation. Even though TOE is broadly employed in examining technology uptake determinants, when it comes to cybersecurity, its application has mostly been static, non-adversarial, and adoption-oriented (Awa et al., 2017; Oliveira et al., 2019). The LSCIF advances TOE in three ways that have a direct alignment with theory development. </w:t>
      </w:r>
    </w:p>
    <w:p w14:paraId="6B579B8F"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first is that LSCIF turns away the focus of the analysis from adoption to integration. This responds to escalating calls in information systems for research to move past binary adoption outcomes and start examining the manner in which digital technologies become part of routines, maintained, and entrenched in organisations (Zhu et al., 2017; Vial, 2019). The LSCIF explicitly theorised the organisational </w:t>
      </w:r>
      <w:r w:rsidR="00676C84" w:rsidRPr="00105882">
        <w:rPr>
          <w:rFonts w:ascii="Calibri" w:eastAsia="Times New Roman" w:hAnsi="Calibri" w:cs="Calibri"/>
          <w:lang w:val="en-GB"/>
        </w:rPr>
        <w:t>mechanism</w:t>
      </w:r>
      <w:r w:rsidRPr="00105882">
        <w:rPr>
          <w:rFonts w:ascii="Calibri" w:eastAsia="Times New Roman" w:hAnsi="Calibri" w:cs="Calibri"/>
          <w:lang w:val="en-GB"/>
        </w:rPr>
        <w:t xml:space="preserve"> enabling the embedding or bypassing of cybersecurity controls. Secondly, the framework reconceptualises the environmental aspect as trust-based and adversarial as opposed to merely competitive or regulatory. This extension is aligned with emerging IJIM studies on digital ecosystems, inter-organisational dependence, and the platform risk, characterised by external actors that actively </w:t>
      </w:r>
      <w:r w:rsidRPr="00105882">
        <w:rPr>
          <w:rFonts w:ascii="Calibri" w:eastAsia="Times New Roman" w:hAnsi="Calibri" w:cs="Calibri"/>
          <w:lang w:val="en-GB"/>
        </w:rPr>
        <w:lastRenderedPageBreak/>
        <w:t xml:space="preserve">shape the information practices of organisations (Cennamo et al., 2020; Constantinides et al., 2018). Its incorporation of trust asymmetries, supply-chain audits, and threat actors enables the LSCIF to make TOE analytically applicable to cybersecurity settings. Thirdly, the LSCIF reverses the implicit assumption in TOE relating to organisational capacity. Rather than assume formal governance structures and role specialisation, informality, role overlap, and resource scarcity are perceived as structural conditions. This is in alignment with the growing focus on context-sensitive theorising and avoids the common danger of forcing SME behaviour into models that are only suitable for </w:t>
      </w:r>
      <w:r w:rsidR="009A27C7" w:rsidRPr="00105882">
        <w:rPr>
          <w:rFonts w:ascii="Calibri" w:eastAsia="Times New Roman" w:hAnsi="Calibri" w:cs="Calibri"/>
          <w:lang w:val="en-GB"/>
        </w:rPr>
        <w:t xml:space="preserve">large </w:t>
      </w:r>
      <w:r w:rsidRPr="00105882">
        <w:rPr>
          <w:rFonts w:ascii="Calibri" w:eastAsia="Times New Roman" w:hAnsi="Calibri" w:cs="Calibri"/>
          <w:lang w:val="en-GB"/>
        </w:rPr>
        <w:t xml:space="preserve">enterprises (Thong et al., 2011; Rusu et al., 2022).              </w:t>
      </w:r>
    </w:p>
    <w:p w14:paraId="1AF79CC9"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      </w:t>
      </w:r>
    </w:p>
    <w:p w14:paraId="28468AC9"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6.3 Lean Governance and the Re-theorisation of Information Governance in SMEs </w:t>
      </w:r>
    </w:p>
    <w:p w14:paraId="016E77A9" w14:textId="3932DE7F"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Introducing Lean Governance represents a major theoretical contribution to research related to information governance. Prevailing models explaining information governance stress hierarchical accountability, documentation, and formal controls, all assumptions reflecting large-enterprise settings (Khatri &amp; Brown, 2010). Notwithstanding, the findings that this study has synthesised show that these models methodically fail in IT SMEs by producing governance-agility conflict. </w:t>
      </w:r>
    </w:p>
    <w:p w14:paraId="1530A5E7" w14:textId="19E8E0D0" w:rsidR="00F03687"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Governance is reframed by Lean Governance into a sociotechnical enabler as opposed to an institutional constraint. This framing is in alignment with studies that conceptualise governance effectiveness as depending on alignment with organisational workflows and digital infrastructures (Tiwana et al., 2013). In its embedding governance into platforms, pipelines, and defaults, Lean Governance converts control from a managerial overlap into an infrastructural property of information systems. From a theoretical perspective, this challenges the prevailing assumption that greater procedural density is the bedrock of stronger governance. Rather, the LSCIF validates a developing perspective in information management based on the assumption that automation, integration, and visibility of controls have the potential to improve the effectiveness of governance, especially in organisations that are agile (Weill &amp; Ross, 2004; Henfridsson &amp; </w:t>
      </w:r>
      <w:proofErr w:type="spellStart"/>
      <w:r w:rsidRPr="00105882">
        <w:rPr>
          <w:rFonts w:ascii="Calibri" w:eastAsia="Times New Roman" w:hAnsi="Calibri" w:cs="Calibri"/>
          <w:lang w:val="en-GB"/>
        </w:rPr>
        <w:t>Bygstad</w:t>
      </w:r>
      <w:proofErr w:type="spellEnd"/>
      <w:r w:rsidRPr="00105882">
        <w:rPr>
          <w:rFonts w:ascii="Calibri" w:eastAsia="Times New Roman" w:hAnsi="Calibri" w:cs="Calibri"/>
          <w:lang w:val="en-GB"/>
        </w:rPr>
        <w:t>, 2013).</w:t>
      </w:r>
    </w:p>
    <w:p w14:paraId="65751017" w14:textId="77777777" w:rsidR="00105882" w:rsidRPr="00105882" w:rsidRDefault="00105882" w:rsidP="00105882">
      <w:pPr>
        <w:spacing w:line="360" w:lineRule="auto"/>
        <w:jc w:val="both"/>
        <w:rPr>
          <w:rFonts w:ascii="Calibri" w:eastAsia="Times New Roman" w:hAnsi="Calibri" w:cs="Calibri"/>
          <w:lang w:val="en-GB"/>
        </w:rPr>
      </w:pPr>
    </w:p>
    <w:p w14:paraId="06593CBC"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6.4 Human-Centric Usability as a Foundational Security Construct</w:t>
      </w:r>
    </w:p>
    <w:p w14:paraId="287BBA24"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Another primary LSCIF contribution is that it elevates Human-Centric Usability into a first-order theoretical construct in cybersecurity integration. Even though previous studies recognise the role played by human error, they have a tendency to treat usability as a subordinate design concern as opposed to a structural determinant of security outcomes (Sasse et al., 2016). As it draws from human–computer interaction and information behaviour research insights, the LSCIF locates usability as a precondition for sustainable </w:t>
      </w:r>
      <w:r w:rsidRPr="00105882">
        <w:rPr>
          <w:rFonts w:ascii="Calibri" w:eastAsia="Times New Roman" w:hAnsi="Calibri" w:cs="Calibri"/>
          <w:lang w:val="en-GB"/>
        </w:rPr>
        <w:lastRenderedPageBreak/>
        <w:t>cybersecurity integration, as opposed to a trade-off against technical strength. This is in alignment with the research that demonstrates that information systems exposing excessive cognitive load or disruption of workflows are methodically circumvented, irrespective of their technical robustness (Lowry et al., 2015; Furnell et al., 2021). Theoretically, the insinuation is that security cont</w:t>
      </w:r>
      <w:r w:rsidR="009A27C7" w:rsidRPr="00105882">
        <w:rPr>
          <w:rFonts w:ascii="Calibri" w:eastAsia="Times New Roman" w:hAnsi="Calibri" w:cs="Calibri"/>
          <w:lang w:val="en-GB"/>
        </w:rPr>
        <w:t>rols, which intensify friction actively undermine</w:t>
      </w:r>
      <w:r w:rsidRPr="00105882">
        <w:rPr>
          <w:rFonts w:ascii="Calibri" w:eastAsia="Times New Roman" w:hAnsi="Calibri" w:cs="Calibri"/>
          <w:lang w:val="en-GB"/>
        </w:rPr>
        <w:t xml:space="preserve"> information management objectives by encouraging shadow IT and informal workarounds. Through its formalisation of this connection, the LSCIF assimilates behavioural realism into cybersecurity theory and advances a more empirically grounded understanding of </w:t>
      </w:r>
      <w:r w:rsidR="009A27C7" w:rsidRPr="00105882">
        <w:rPr>
          <w:rFonts w:ascii="Calibri" w:eastAsia="Times New Roman" w:hAnsi="Calibri" w:cs="Calibri"/>
          <w:lang w:val="en-GB"/>
        </w:rPr>
        <w:t>how</w:t>
      </w:r>
      <w:r w:rsidRPr="00105882">
        <w:rPr>
          <w:rFonts w:ascii="Calibri" w:eastAsia="Times New Roman" w:hAnsi="Calibri" w:cs="Calibri"/>
          <w:lang w:val="en-GB"/>
        </w:rPr>
        <w:t xml:space="preserve"> information systems are actually employed in SMEs.  </w:t>
      </w:r>
    </w:p>
    <w:p w14:paraId="2DA0CBCE" w14:textId="77777777" w:rsidR="00F03687" w:rsidRPr="00105882" w:rsidRDefault="00F03687" w:rsidP="00105882">
      <w:pPr>
        <w:spacing w:line="360" w:lineRule="auto"/>
        <w:jc w:val="both"/>
        <w:rPr>
          <w:rFonts w:ascii="Calibri" w:eastAsia="Times New Roman" w:hAnsi="Calibri" w:cs="Calibri"/>
          <w:lang w:val="en-GB"/>
        </w:rPr>
      </w:pPr>
    </w:p>
    <w:p w14:paraId="0CB769E4"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6.5 Commercial Trust Alignment and the </w:t>
      </w:r>
      <w:r w:rsidR="002D1AFE" w:rsidRPr="00105882">
        <w:rPr>
          <w:rFonts w:ascii="Calibri" w:eastAsia="Times New Roman" w:hAnsi="Calibri" w:cs="Calibri"/>
          <w:b/>
          <w:lang w:val="en-GB"/>
        </w:rPr>
        <w:t>Marketization</w:t>
      </w:r>
      <w:r w:rsidRPr="00105882">
        <w:rPr>
          <w:rFonts w:ascii="Calibri" w:eastAsia="Times New Roman" w:hAnsi="Calibri" w:cs="Calibri"/>
          <w:b/>
          <w:lang w:val="en-GB"/>
        </w:rPr>
        <w:t xml:space="preserve"> of Cybersecurity</w:t>
      </w:r>
    </w:p>
    <w:p w14:paraId="73661150"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Information management theory is extended by the Commercial Trust Alignment construct. It achieves this through explicitly connecting cybersecurity integration into market legitimacy and inter-organisational trust. Progressively, this research acknowledges the reality that, other than internal optimisation, several other elements shape information practices. These influencing elements include ecosystem participation, signalling, and trust relationships (Pavlou, 2003; van der Aalst et al., 2016). For IT SMEs, the LSCIF demonstrates that cybersecurity plays the role of a market-facing trust signal entrenched within decisions relating to partnerships, audits by clients, and processes involved in procurement. This perspective changes cybersecurity from a compliance logic to an institutional legitimacy logic, in keeping with theories of signalling and reputation in digital markets (Riggins &amp; Weber, 2017). </w:t>
      </w:r>
    </w:p>
    <w:p w14:paraId="2DB320D3" w14:textId="77777777" w:rsidR="00F03687" w:rsidRPr="00105882" w:rsidRDefault="00F03687" w:rsidP="00105882">
      <w:pPr>
        <w:spacing w:line="360" w:lineRule="auto"/>
        <w:jc w:val="both"/>
        <w:rPr>
          <w:rFonts w:ascii="Calibri" w:eastAsia="Times New Roman" w:hAnsi="Calibri" w:cs="Calibri"/>
          <w:lang w:val="en-GB"/>
        </w:rPr>
      </w:pPr>
    </w:p>
    <w:p w14:paraId="4BFF14BF" w14:textId="1196F8A8"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explicit theorisation of this shift by the LSCIF enables the framework to elucidate why SMEs tend to perceive visible, auditable integration practices as a priority, often overlooking abstract maturity claims. It also explains why superficial compliance usually fails to meet the demands of supply chain partners. This denotes a new contribution to research in information management in relation to digital trust and ecosystem governance. Table 1 presents a comparison between cybersecurity integration theories. </w:t>
      </w:r>
    </w:p>
    <w:p w14:paraId="13CBB1EA" w14:textId="77777777" w:rsidR="00F03687" w:rsidRPr="00105882" w:rsidRDefault="00F03687" w:rsidP="00105882">
      <w:pPr>
        <w:spacing w:line="360" w:lineRule="auto"/>
        <w:jc w:val="both"/>
        <w:rPr>
          <w:rFonts w:ascii="Calibri" w:eastAsia="Times New Roman" w:hAnsi="Calibri" w:cs="Calibri"/>
          <w:lang w:val="en-GB"/>
        </w:rPr>
      </w:pPr>
    </w:p>
    <w:p w14:paraId="08751F46" w14:textId="77777777" w:rsidR="002F4B0C" w:rsidRPr="00105882" w:rsidRDefault="002F4B0C" w:rsidP="00105882">
      <w:pPr>
        <w:spacing w:line="360" w:lineRule="auto"/>
        <w:jc w:val="both"/>
        <w:rPr>
          <w:rFonts w:ascii="Calibri" w:eastAsia="Times New Roman" w:hAnsi="Calibri" w:cs="Calibri"/>
          <w:lang w:val="en-GB"/>
        </w:rPr>
      </w:pPr>
    </w:p>
    <w:p w14:paraId="21C7EF1E" w14:textId="5B4866BB" w:rsidR="002F4B0C" w:rsidRDefault="002F4B0C" w:rsidP="00105882">
      <w:pPr>
        <w:spacing w:line="360" w:lineRule="auto"/>
        <w:rPr>
          <w:rFonts w:ascii="Calibri" w:hAnsi="Calibri" w:cs="Calibri"/>
          <w:iCs/>
        </w:rPr>
      </w:pPr>
    </w:p>
    <w:p w14:paraId="663CFF91" w14:textId="77777777" w:rsidR="00105882" w:rsidRPr="00105882" w:rsidRDefault="00105882" w:rsidP="00105882">
      <w:pPr>
        <w:spacing w:line="360" w:lineRule="auto"/>
        <w:rPr>
          <w:rFonts w:ascii="Calibri" w:hAnsi="Calibri" w:cs="Calibri"/>
          <w:iCs/>
        </w:rPr>
      </w:pPr>
    </w:p>
    <w:tbl>
      <w:tblPr>
        <w:tblStyle w:val="a"/>
        <w:tblW w:w="9598"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1518"/>
        <w:gridCol w:w="1843"/>
        <w:gridCol w:w="1984"/>
        <w:gridCol w:w="1985"/>
        <w:gridCol w:w="2268"/>
      </w:tblGrid>
      <w:tr w:rsidR="00F03687" w:rsidRPr="00105882" w14:paraId="7DD96223" w14:textId="77777777" w:rsidTr="00357FE1">
        <w:trPr>
          <w:trHeight w:val="900"/>
        </w:trPr>
        <w:tc>
          <w:tcPr>
            <w:tcW w:w="151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E2D1856" w14:textId="77777777" w:rsidR="00F03687" w:rsidRPr="00105882" w:rsidRDefault="00E65F38" w:rsidP="00105882">
            <w:pPr>
              <w:spacing w:line="240" w:lineRule="auto"/>
              <w:jc w:val="center"/>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lastRenderedPageBreak/>
              <w:t>Dimension</w:t>
            </w:r>
          </w:p>
        </w:tc>
        <w:tc>
          <w:tcPr>
            <w:tcW w:w="184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30B44D3" w14:textId="77777777" w:rsidR="00F03687" w:rsidRPr="00105882" w:rsidRDefault="00E65F38" w:rsidP="00105882">
            <w:pPr>
              <w:spacing w:line="240" w:lineRule="auto"/>
              <w:jc w:val="center"/>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TAM</w:t>
            </w:r>
          </w:p>
        </w:tc>
        <w:tc>
          <w:tcPr>
            <w:tcW w:w="198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25C4B97" w14:textId="77777777" w:rsidR="00F03687" w:rsidRPr="00105882" w:rsidRDefault="00E65F38" w:rsidP="00105882">
            <w:pPr>
              <w:spacing w:line="240" w:lineRule="auto"/>
              <w:jc w:val="center"/>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TOE</w:t>
            </w:r>
          </w:p>
        </w:tc>
        <w:tc>
          <w:tcPr>
            <w:tcW w:w="198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9CC99EC" w14:textId="77777777" w:rsidR="00F03687" w:rsidRPr="00105882" w:rsidRDefault="00E65F38" w:rsidP="00105882">
            <w:pPr>
              <w:spacing w:line="240" w:lineRule="auto"/>
              <w:jc w:val="center"/>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STS</w:t>
            </w:r>
          </w:p>
        </w:tc>
        <w:tc>
          <w:tcPr>
            <w:tcW w:w="226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939EA2C" w14:textId="77777777" w:rsidR="00F03687" w:rsidRPr="00105882" w:rsidRDefault="00E65F38" w:rsidP="00105882">
            <w:pPr>
              <w:spacing w:line="240" w:lineRule="auto"/>
              <w:jc w:val="center"/>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LSCIF (This Study)</w:t>
            </w:r>
          </w:p>
        </w:tc>
      </w:tr>
      <w:tr w:rsidR="00F03687" w:rsidRPr="00105882" w14:paraId="0AED3203" w14:textId="77777777" w:rsidTr="00357FE1">
        <w:trPr>
          <w:trHeight w:val="1190"/>
        </w:trPr>
        <w:tc>
          <w:tcPr>
            <w:tcW w:w="151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796D5D9" w14:textId="3102AD26" w:rsidR="00F03687" w:rsidRPr="00105882" w:rsidRDefault="00357FE1" w:rsidP="00105882">
            <w:pPr>
              <w:spacing w:line="240" w:lineRule="auto"/>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Principal</w:t>
            </w:r>
            <w:r w:rsidR="00E65F38" w:rsidRPr="00105882">
              <w:rPr>
                <w:rFonts w:ascii="Calibri" w:eastAsia="Times New Roman" w:hAnsi="Calibri" w:cs="Calibri"/>
                <w:b/>
                <w:bCs/>
                <w:sz w:val="20"/>
                <w:szCs w:val="20"/>
                <w:lang w:val="en-GB"/>
              </w:rPr>
              <w:t xml:space="preserve"> </w:t>
            </w:r>
            <w:r w:rsidRPr="00105882">
              <w:rPr>
                <w:rFonts w:ascii="Calibri" w:eastAsia="Times New Roman" w:hAnsi="Calibri" w:cs="Calibri"/>
                <w:b/>
                <w:bCs/>
                <w:sz w:val="20"/>
                <w:szCs w:val="20"/>
                <w:lang w:val="en-GB"/>
              </w:rPr>
              <w:t>Focal point</w:t>
            </w:r>
          </w:p>
        </w:tc>
        <w:tc>
          <w:tcPr>
            <w:tcW w:w="1843" w:type="dxa"/>
            <w:tcBorders>
              <w:top w:val="nil"/>
              <w:left w:val="nil"/>
              <w:bottom w:val="single" w:sz="6" w:space="0" w:color="000000"/>
              <w:right w:val="single" w:sz="6" w:space="0" w:color="000000"/>
            </w:tcBorders>
            <w:tcMar>
              <w:top w:w="0" w:type="dxa"/>
              <w:left w:w="100" w:type="dxa"/>
              <w:bottom w:w="0" w:type="dxa"/>
              <w:right w:w="100" w:type="dxa"/>
            </w:tcMar>
          </w:tcPr>
          <w:p w14:paraId="1096A680" w14:textId="0EC31793"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Individualistic</w:t>
            </w:r>
            <w:r w:rsidR="00E65F38" w:rsidRPr="00105882">
              <w:rPr>
                <w:rFonts w:ascii="Calibri" w:eastAsia="Times New Roman" w:hAnsi="Calibri" w:cs="Calibri"/>
                <w:sz w:val="20"/>
                <w:szCs w:val="20"/>
                <w:lang w:val="en-GB"/>
              </w:rPr>
              <w:t xml:space="preserve"> technology </w:t>
            </w:r>
            <w:r w:rsidRPr="00105882">
              <w:rPr>
                <w:rFonts w:ascii="Calibri" w:eastAsia="Times New Roman" w:hAnsi="Calibri" w:cs="Calibri"/>
                <w:sz w:val="20"/>
                <w:szCs w:val="20"/>
                <w:lang w:val="en-GB"/>
              </w:rPr>
              <w:t>tolerance</w:t>
            </w:r>
          </w:p>
        </w:tc>
        <w:tc>
          <w:tcPr>
            <w:tcW w:w="1984" w:type="dxa"/>
            <w:tcBorders>
              <w:top w:val="nil"/>
              <w:left w:val="nil"/>
              <w:bottom w:val="single" w:sz="6" w:space="0" w:color="000000"/>
              <w:right w:val="single" w:sz="6" w:space="0" w:color="000000"/>
            </w:tcBorders>
            <w:tcMar>
              <w:top w:w="0" w:type="dxa"/>
              <w:left w:w="100" w:type="dxa"/>
              <w:bottom w:w="0" w:type="dxa"/>
              <w:right w:w="100" w:type="dxa"/>
            </w:tcMar>
          </w:tcPr>
          <w:p w14:paraId="7E7E269B" w14:textId="66DCC134" w:rsidR="00F03687" w:rsidRPr="00105882" w:rsidRDefault="00E65F38"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 xml:space="preserve">Organisational adoption </w:t>
            </w:r>
            <w:r w:rsidR="00357FE1" w:rsidRPr="00105882">
              <w:rPr>
                <w:rFonts w:ascii="Calibri" w:eastAsia="Times New Roman" w:hAnsi="Calibri" w:cs="Calibri"/>
                <w:sz w:val="20"/>
                <w:szCs w:val="20"/>
                <w:lang w:val="en-GB"/>
              </w:rPr>
              <w:t>factors</w:t>
            </w:r>
          </w:p>
        </w:tc>
        <w:tc>
          <w:tcPr>
            <w:tcW w:w="1985" w:type="dxa"/>
            <w:tcBorders>
              <w:top w:val="nil"/>
              <w:left w:val="nil"/>
              <w:bottom w:val="single" w:sz="6" w:space="0" w:color="000000"/>
              <w:right w:val="single" w:sz="6" w:space="0" w:color="000000"/>
            </w:tcBorders>
            <w:tcMar>
              <w:top w:w="0" w:type="dxa"/>
              <w:left w:w="100" w:type="dxa"/>
              <w:bottom w:w="0" w:type="dxa"/>
              <w:right w:w="100" w:type="dxa"/>
            </w:tcMar>
          </w:tcPr>
          <w:p w14:paraId="489C0BA8" w14:textId="0DB4599A"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Mutual</w:t>
            </w:r>
            <w:r w:rsidR="00E65F38" w:rsidRPr="00105882">
              <w:rPr>
                <w:rFonts w:ascii="Calibri" w:eastAsia="Times New Roman" w:hAnsi="Calibri" w:cs="Calibri"/>
                <w:sz w:val="20"/>
                <w:szCs w:val="20"/>
                <w:lang w:val="en-GB"/>
              </w:rPr>
              <w:t xml:space="preserve"> social–technical system </w:t>
            </w:r>
            <w:r w:rsidRPr="00105882">
              <w:rPr>
                <w:rFonts w:ascii="Calibri" w:eastAsia="Times New Roman" w:hAnsi="Calibri" w:cs="Calibri"/>
                <w:sz w:val="20"/>
                <w:szCs w:val="20"/>
                <w:lang w:val="en-GB"/>
              </w:rPr>
              <w:t>operation</w:t>
            </w:r>
          </w:p>
        </w:tc>
        <w:tc>
          <w:tcPr>
            <w:tcW w:w="2268" w:type="dxa"/>
            <w:tcBorders>
              <w:top w:val="nil"/>
              <w:left w:val="nil"/>
              <w:bottom w:val="single" w:sz="6" w:space="0" w:color="000000"/>
              <w:right w:val="single" w:sz="6" w:space="0" w:color="000000"/>
            </w:tcBorders>
            <w:tcMar>
              <w:top w:w="0" w:type="dxa"/>
              <w:left w:w="100" w:type="dxa"/>
              <w:bottom w:w="0" w:type="dxa"/>
              <w:right w:w="100" w:type="dxa"/>
            </w:tcMar>
          </w:tcPr>
          <w:p w14:paraId="257815E8" w14:textId="35267C9E" w:rsidR="00F03687" w:rsidRPr="00105882" w:rsidRDefault="00E65F38"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 xml:space="preserve">Organisational cybersecurity </w:t>
            </w:r>
            <w:r w:rsidR="00357FE1" w:rsidRPr="00105882">
              <w:rPr>
                <w:rFonts w:ascii="Calibri" w:eastAsia="Times New Roman" w:hAnsi="Calibri" w:cs="Calibri"/>
                <w:sz w:val="20"/>
                <w:szCs w:val="20"/>
                <w:lang w:val="en-GB"/>
              </w:rPr>
              <w:t>amalgamation</w:t>
            </w:r>
          </w:p>
        </w:tc>
      </w:tr>
      <w:tr w:rsidR="00F03687" w:rsidRPr="00105882" w14:paraId="5C33073E" w14:textId="77777777" w:rsidTr="00357FE1">
        <w:trPr>
          <w:trHeight w:val="1252"/>
        </w:trPr>
        <w:tc>
          <w:tcPr>
            <w:tcW w:w="151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8A45091" w14:textId="1632411F" w:rsidR="00F03687" w:rsidRPr="00105882" w:rsidRDefault="00357FE1" w:rsidP="00105882">
            <w:pPr>
              <w:spacing w:line="240" w:lineRule="auto"/>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Stage</w:t>
            </w:r>
            <w:r w:rsidR="00E65F38" w:rsidRPr="00105882">
              <w:rPr>
                <w:rFonts w:ascii="Calibri" w:eastAsia="Times New Roman" w:hAnsi="Calibri" w:cs="Calibri"/>
                <w:b/>
                <w:bCs/>
                <w:sz w:val="20"/>
                <w:szCs w:val="20"/>
                <w:lang w:val="en-GB"/>
              </w:rPr>
              <w:t xml:space="preserve"> of </w:t>
            </w:r>
            <w:r w:rsidRPr="00105882">
              <w:rPr>
                <w:rFonts w:ascii="Calibri" w:eastAsia="Times New Roman" w:hAnsi="Calibri" w:cs="Calibri"/>
                <w:b/>
                <w:bCs/>
                <w:sz w:val="20"/>
                <w:szCs w:val="20"/>
                <w:lang w:val="en-GB"/>
              </w:rPr>
              <w:t>Examination</w:t>
            </w:r>
          </w:p>
        </w:tc>
        <w:tc>
          <w:tcPr>
            <w:tcW w:w="1843" w:type="dxa"/>
            <w:tcBorders>
              <w:top w:val="nil"/>
              <w:left w:val="nil"/>
              <w:bottom w:val="single" w:sz="6" w:space="0" w:color="000000"/>
              <w:right w:val="single" w:sz="6" w:space="0" w:color="000000"/>
            </w:tcBorders>
            <w:tcMar>
              <w:top w:w="0" w:type="dxa"/>
              <w:left w:w="100" w:type="dxa"/>
              <w:bottom w:w="0" w:type="dxa"/>
              <w:right w:w="100" w:type="dxa"/>
            </w:tcMar>
          </w:tcPr>
          <w:p w14:paraId="62B39C59" w14:textId="01C6533B"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Single</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customer</w:t>
            </w:r>
          </w:p>
        </w:tc>
        <w:tc>
          <w:tcPr>
            <w:tcW w:w="1984" w:type="dxa"/>
            <w:tcBorders>
              <w:top w:val="nil"/>
              <w:left w:val="nil"/>
              <w:bottom w:val="single" w:sz="6" w:space="0" w:color="000000"/>
              <w:right w:val="single" w:sz="6" w:space="0" w:color="000000"/>
            </w:tcBorders>
            <w:tcMar>
              <w:top w:w="0" w:type="dxa"/>
              <w:left w:w="100" w:type="dxa"/>
              <w:bottom w:w="0" w:type="dxa"/>
              <w:right w:w="100" w:type="dxa"/>
            </w:tcMar>
          </w:tcPr>
          <w:p w14:paraId="1F81DBB9" w14:textId="77777777" w:rsidR="00F03687" w:rsidRPr="00105882" w:rsidRDefault="00E65F38"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Organisational</w:t>
            </w:r>
          </w:p>
        </w:tc>
        <w:tc>
          <w:tcPr>
            <w:tcW w:w="1985" w:type="dxa"/>
            <w:tcBorders>
              <w:top w:val="nil"/>
              <w:left w:val="nil"/>
              <w:bottom w:val="single" w:sz="6" w:space="0" w:color="000000"/>
              <w:right w:val="single" w:sz="6" w:space="0" w:color="000000"/>
            </w:tcBorders>
            <w:tcMar>
              <w:top w:w="0" w:type="dxa"/>
              <w:left w:w="100" w:type="dxa"/>
              <w:bottom w:w="0" w:type="dxa"/>
              <w:right w:w="100" w:type="dxa"/>
            </w:tcMar>
          </w:tcPr>
          <w:p w14:paraId="53D7166E" w14:textId="22445FE9" w:rsidR="00F03687" w:rsidRPr="00105882" w:rsidRDefault="00E65F38"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Multi-level (</w:t>
            </w:r>
            <w:r w:rsidR="00357FE1" w:rsidRPr="00105882">
              <w:rPr>
                <w:rFonts w:ascii="Calibri" w:eastAsia="Times New Roman" w:hAnsi="Calibri" w:cs="Calibri"/>
                <w:sz w:val="20"/>
                <w:szCs w:val="20"/>
                <w:lang w:val="en-GB"/>
              </w:rPr>
              <w:t>communal</w:t>
            </w:r>
            <w:r w:rsidRPr="00105882">
              <w:rPr>
                <w:rFonts w:ascii="Calibri" w:eastAsia="Times New Roman" w:hAnsi="Calibri" w:cs="Calibri"/>
                <w:sz w:val="20"/>
                <w:szCs w:val="20"/>
                <w:lang w:val="en-GB"/>
              </w:rPr>
              <w:t xml:space="preserve"> &amp; </w:t>
            </w:r>
            <w:r w:rsidR="00357FE1" w:rsidRPr="00105882">
              <w:rPr>
                <w:rFonts w:ascii="Calibri" w:eastAsia="Times New Roman" w:hAnsi="Calibri" w:cs="Calibri"/>
                <w:sz w:val="20"/>
                <w:szCs w:val="20"/>
                <w:lang w:val="en-GB"/>
              </w:rPr>
              <w:t>technological</w:t>
            </w:r>
            <w:r w:rsidRPr="00105882">
              <w:rPr>
                <w:rFonts w:ascii="Calibri" w:eastAsia="Times New Roman" w:hAnsi="Calibri" w:cs="Calibri"/>
                <w:sz w:val="20"/>
                <w:szCs w:val="20"/>
                <w:lang w:val="en-GB"/>
              </w:rPr>
              <w:t>)</w:t>
            </w:r>
          </w:p>
        </w:tc>
        <w:tc>
          <w:tcPr>
            <w:tcW w:w="2268" w:type="dxa"/>
            <w:tcBorders>
              <w:top w:val="nil"/>
              <w:left w:val="nil"/>
              <w:bottom w:val="single" w:sz="6" w:space="0" w:color="000000"/>
              <w:right w:val="single" w:sz="6" w:space="0" w:color="000000"/>
            </w:tcBorders>
            <w:tcMar>
              <w:top w:w="0" w:type="dxa"/>
              <w:left w:w="100" w:type="dxa"/>
              <w:bottom w:w="0" w:type="dxa"/>
              <w:right w:w="100" w:type="dxa"/>
            </w:tcMar>
          </w:tcPr>
          <w:p w14:paraId="7D846C13" w14:textId="09696903" w:rsidR="00F03687" w:rsidRPr="00105882" w:rsidRDefault="00E65F38"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Multi-level (</w:t>
            </w:r>
            <w:r w:rsidR="00357FE1" w:rsidRPr="00105882">
              <w:rPr>
                <w:rFonts w:ascii="Calibri" w:eastAsia="Times New Roman" w:hAnsi="Calibri" w:cs="Calibri"/>
                <w:sz w:val="20"/>
                <w:szCs w:val="20"/>
                <w:lang w:val="en-GB"/>
              </w:rPr>
              <w:t>interactive</w:t>
            </w:r>
            <w:r w:rsidRPr="00105882">
              <w:rPr>
                <w:rFonts w:ascii="Calibri" w:eastAsia="Times New Roman" w:hAnsi="Calibri" w:cs="Calibri"/>
                <w:sz w:val="20"/>
                <w:szCs w:val="20"/>
                <w:lang w:val="en-GB"/>
              </w:rPr>
              <w:t xml:space="preserve">, organisational, </w:t>
            </w:r>
            <w:r w:rsidR="00357FE1" w:rsidRPr="00105882">
              <w:rPr>
                <w:rFonts w:ascii="Calibri" w:eastAsia="Times New Roman" w:hAnsi="Calibri" w:cs="Calibri"/>
                <w:sz w:val="20"/>
                <w:szCs w:val="20"/>
                <w:lang w:val="en-GB"/>
              </w:rPr>
              <w:t>eco-friendly</w:t>
            </w:r>
            <w:r w:rsidRPr="00105882">
              <w:rPr>
                <w:rFonts w:ascii="Calibri" w:eastAsia="Times New Roman" w:hAnsi="Calibri" w:cs="Calibri"/>
                <w:sz w:val="20"/>
                <w:szCs w:val="20"/>
                <w:lang w:val="en-GB"/>
              </w:rPr>
              <w:t>)</w:t>
            </w:r>
          </w:p>
        </w:tc>
      </w:tr>
      <w:tr w:rsidR="00F03687" w:rsidRPr="00105882" w14:paraId="47CAB11F" w14:textId="77777777" w:rsidTr="00357FE1">
        <w:trPr>
          <w:trHeight w:val="1033"/>
        </w:trPr>
        <w:tc>
          <w:tcPr>
            <w:tcW w:w="151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CA9B68F" w14:textId="725C8E3F" w:rsidR="00F03687" w:rsidRPr="00105882" w:rsidRDefault="00357FE1" w:rsidP="00105882">
            <w:pPr>
              <w:spacing w:line="240" w:lineRule="auto"/>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Remedy</w:t>
            </w:r>
            <w:r w:rsidR="00E65F38" w:rsidRPr="00105882">
              <w:rPr>
                <w:rFonts w:ascii="Calibri" w:eastAsia="Times New Roman" w:hAnsi="Calibri" w:cs="Calibri"/>
                <w:b/>
                <w:bCs/>
                <w:sz w:val="20"/>
                <w:szCs w:val="20"/>
                <w:lang w:val="en-GB"/>
              </w:rPr>
              <w:t xml:space="preserve"> of Cybersecurity</w:t>
            </w:r>
          </w:p>
        </w:tc>
        <w:tc>
          <w:tcPr>
            <w:tcW w:w="1843" w:type="dxa"/>
            <w:tcBorders>
              <w:top w:val="nil"/>
              <w:left w:val="nil"/>
              <w:bottom w:val="single" w:sz="6" w:space="0" w:color="000000"/>
              <w:right w:val="single" w:sz="6" w:space="0" w:color="000000"/>
            </w:tcBorders>
            <w:tcMar>
              <w:top w:w="0" w:type="dxa"/>
              <w:left w:w="100" w:type="dxa"/>
              <w:bottom w:w="0" w:type="dxa"/>
              <w:right w:w="100" w:type="dxa"/>
            </w:tcMar>
          </w:tcPr>
          <w:p w14:paraId="05CD480C" w14:textId="6D8620F0"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Embedded</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volunteer</w:t>
            </w:r>
            <w:r w:rsidR="00E65F38" w:rsidRPr="00105882">
              <w:rPr>
                <w:rFonts w:ascii="Calibri" w:eastAsia="Times New Roman" w:hAnsi="Calibri" w:cs="Calibri"/>
                <w:sz w:val="20"/>
                <w:szCs w:val="20"/>
                <w:lang w:val="en-GB"/>
              </w:rPr>
              <w:t xml:space="preserve"> technology </w:t>
            </w:r>
            <w:r w:rsidRPr="00105882">
              <w:rPr>
                <w:rFonts w:ascii="Calibri" w:eastAsia="Times New Roman" w:hAnsi="Calibri" w:cs="Calibri"/>
                <w:sz w:val="20"/>
                <w:szCs w:val="20"/>
                <w:lang w:val="en-GB"/>
              </w:rPr>
              <w:t>utilization</w:t>
            </w:r>
          </w:p>
        </w:tc>
        <w:tc>
          <w:tcPr>
            <w:tcW w:w="1984" w:type="dxa"/>
            <w:tcBorders>
              <w:top w:val="nil"/>
              <w:left w:val="nil"/>
              <w:bottom w:val="single" w:sz="6" w:space="0" w:color="000000"/>
              <w:right w:val="single" w:sz="6" w:space="0" w:color="000000"/>
            </w:tcBorders>
            <w:tcMar>
              <w:top w:w="0" w:type="dxa"/>
              <w:left w:w="100" w:type="dxa"/>
              <w:bottom w:w="0" w:type="dxa"/>
              <w:right w:w="100" w:type="dxa"/>
            </w:tcMar>
          </w:tcPr>
          <w:p w14:paraId="2F519B66" w14:textId="6C98BF18"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Improvement</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approval</w:t>
            </w:r>
            <w:r w:rsidR="00E65F38" w:rsidRPr="00105882">
              <w:rPr>
                <w:rFonts w:ascii="Calibri" w:eastAsia="Times New Roman" w:hAnsi="Calibri" w:cs="Calibri"/>
                <w:sz w:val="20"/>
                <w:szCs w:val="20"/>
                <w:lang w:val="en-GB"/>
              </w:rPr>
              <w:t xml:space="preserve"> (tools, </w:t>
            </w:r>
            <w:r w:rsidRPr="00105882">
              <w:rPr>
                <w:rFonts w:ascii="Calibri" w:eastAsia="Times New Roman" w:hAnsi="Calibri" w:cs="Calibri"/>
                <w:sz w:val="20"/>
                <w:szCs w:val="20"/>
                <w:lang w:val="en-GB"/>
              </w:rPr>
              <w:t>principles</w:t>
            </w:r>
            <w:r w:rsidR="00E65F38" w:rsidRPr="00105882">
              <w:rPr>
                <w:rFonts w:ascii="Calibri" w:eastAsia="Times New Roman" w:hAnsi="Calibri" w:cs="Calibri"/>
                <w:sz w:val="20"/>
                <w:szCs w:val="20"/>
                <w:lang w:val="en-GB"/>
              </w:rPr>
              <w:t>)</w:t>
            </w:r>
          </w:p>
        </w:tc>
        <w:tc>
          <w:tcPr>
            <w:tcW w:w="1985" w:type="dxa"/>
            <w:tcBorders>
              <w:top w:val="nil"/>
              <w:left w:val="nil"/>
              <w:bottom w:val="single" w:sz="6" w:space="0" w:color="000000"/>
              <w:right w:val="single" w:sz="6" w:space="0" w:color="000000"/>
            </w:tcBorders>
            <w:tcMar>
              <w:top w:w="0" w:type="dxa"/>
              <w:left w:w="100" w:type="dxa"/>
              <w:bottom w:w="0" w:type="dxa"/>
              <w:right w:w="100" w:type="dxa"/>
            </w:tcMar>
          </w:tcPr>
          <w:p w14:paraId="68C363E1" w14:textId="69BC87CF" w:rsidR="00F03687" w:rsidRPr="00105882" w:rsidRDefault="00E65F38"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 xml:space="preserve">Sociotechnical </w:t>
            </w:r>
            <w:r w:rsidR="00357FE1" w:rsidRPr="00105882">
              <w:rPr>
                <w:rFonts w:ascii="Calibri" w:eastAsia="Times New Roman" w:hAnsi="Calibri" w:cs="Calibri"/>
                <w:sz w:val="20"/>
                <w:szCs w:val="20"/>
                <w:lang w:val="en-GB"/>
              </w:rPr>
              <w:t>threat</w:t>
            </w:r>
            <w:r w:rsidRPr="00105882">
              <w:rPr>
                <w:rFonts w:ascii="Calibri" w:eastAsia="Times New Roman" w:hAnsi="Calibri" w:cs="Calibri"/>
                <w:sz w:val="20"/>
                <w:szCs w:val="20"/>
                <w:lang w:val="en-GB"/>
              </w:rPr>
              <w:t xml:space="preserve"> </w:t>
            </w:r>
            <w:r w:rsidR="00357FE1" w:rsidRPr="00105882">
              <w:rPr>
                <w:rFonts w:ascii="Calibri" w:eastAsia="Times New Roman" w:hAnsi="Calibri" w:cs="Calibri"/>
                <w:sz w:val="20"/>
                <w:szCs w:val="20"/>
                <w:lang w:val="en-GB"/>
              </w:rPr>
              <w:t>collaboration</w:t>
            </w:r>
          </w:p>
        </w:tc>
        <w:tc>
          <w:tcPr>
            <w:tcW w:w="2268" w:type="dxa"/>
            <w:tcBorders>
              <w:top w:val="nil"/>
              <w:left w:val="nil"/>
              <w:bottom w:val="single" w:sz="6" w:space="0" w:color="000000"/>
              <w:right w:val="single" w:sz="6" w:space="0" w:color="000000"/>
            </w:tcBorders>
            <w:tcMar>
              <w:top w:w="0" w:type="dxa"/>
              <w:left w:w="100" w:type="dxa"/>
              <w:bottom w:w="0" w:type="dxa"/>
              <w:right w:w="100" w:type="dxa"/>
            </w:tcMar>
          </w:tcPr>
          <w:p w14:paraId="2ADBA80C" w14:textId="67550696"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Rooted</w:t>
            </w:r>
            <w:r w:rsidR="00E65F38" w:rsidRPr="00105882">
              <w:rPr>
                <w:rFonts w:ascii="Calibri" w:eastAsia="Times New Roman" w:hAnsi="Calibri" w:cs="Calibri"/>
                <w:sz w:val="20"/>
                <w:szCs w:val="20"/>
                <w:lang w:val="en-GB"/>
              </w:rPr>
              <w:t xml:space="preserve"> sociotechnical </w:t>
            </w:r>
            <w:r w:rsidRPr="00105882">
              <w:rPr>
                <w:rFonts w:ascii="Calibri" w:eastAsia="Times New Roman" w:hAnsi="Calibri" w:cs="Calibri"/>
                <w:sz w:val="20"/>
                <w:szCs w:val="20"/>
                <w:lang w:val="en-GB"/>
              </w:rPr>
              <w:t>capacity</w:t>
            </w:r>
          </w:p>
        </w:tc>
      </w:tr>
      <w:tr w:rsidR="00F03687" w:rsidRPr="00105882" w14:paraId="40CFC153" w14:textId="77777777" w:rsidTr="00357FE1">
        <w:trPr>
          <w:trHeight w:val="900"/>
        </w:trPr>
        <w:tc>
          <w:tcPr>
            <w:tcW w:w="151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5F9C728" w14:textId="78F974A0" w:rsidR="00F03687" w:rsidRPr="00105882" w:rsidRDefault="00357FE1" w:rsidP="00105882">
            <w:pPr>
              <w:spacing w:line="240" w:lineRule="auto"/>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Acceptance</w:t>
            </w:r>
            <w:r w:rsidR="00E65F38" w:rsidRPr="00105882">
              <w:rPr>
                <w:rFonts w:ascii="Calibri" w:eastAsia="Times New Roman" w:hAnsi="Calibri" w:cs="Calibri"/>
                <w:b/>
                <w:bCs/>
                <w:sz w:val="20"/>
                <w:szCs w:val="20"/>
                <w:lang w:val="en-GB"/>
              </w:rPr>
              <w:t xml:space="preserve"> </w:t>
            </w:r>
            <w:r w:rsidR="002F4B0C" w:rsidRPr="00105882">
              <w:rPr>
                <w:rFonts w:ascii="Calibri" w:eastAsia="Times New Roman" w:hAnsi="Calibri" w:cs="Calibri"/>
                <w:b/>
                <w:bCs/>
                <w:sz w:val="20"/>
                <w:szCs w:val="20"/>
                <w:lang w:val="en-GB"/>
              </w:rPr>
              <w:t>vs.</w:t>
            </w:r>
            <w:r w:rsidR="00E65F38" w:rsidRPr="00105882">
              <w:rPr>
                <w:rFonts w:ascii="Calibri" w:eastAsia="Times New Roman" w:hAnsi="Calibri" w:cs="Calibri"/>
                <w:b/>
                <w:bCs/>
                <w:sz w:val="20"/>
                <w:szCs w:val="20"/>
                <w:lang w:val="en-GB"/>
              </w:rPr>
              <w:t xml:space="preserve"> </w:t>
            </w:r>
            <w:r w:rsidRPr="00105882">
              <w:rPr>
                <w:rFonts w:ascii="Calibri" w:eastAsia="Times New Roman" w:hAnsi="Calibri" w:cs="Calibri"/>
                <w:b/>
                <w:bCs/>
                <w:sz w:val="20"/>
                <w:szCs w:val="20"/>
                <w:lang w:val="en-GB"/>
              </w:rPr>
              <w:t>Amalgamation</w:t>
            </w:r>
          </w:p>
        </w:tc>
        <w:tc>
          <w:tcPr>
            <w:tcW w:w="1843" w:type="dxa"/>
            <w:tcBorders>
              <w:top w:val="nil"/>
              <w:left w:val="nil"/>
              <w:bottom w:val="single" w:sz="6" w:space="0" w:color="000000"/>
              <w:right w:val="single" w:sz="6" w:space="0" w:color="000000"/>
            </w:tcBorders>
            <w:tcMar>
              <w:top w:w="0" w:type="dxa"/>
              <w:left w:w="100" w:type="dxa"/>
              <w:bottom w:w="0" w:type="dxa"/>
              <w:right w:w="100" w:type="dxa"/>
            </w:tcMar>
          </w:tcPr>
          <w:p w14:paraId="1A5A1BA8" w14:textId="60DFC4BA"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Acceptance</w:t>
            </w:r>
            <w:r w:rsidR="00E65F38" w:rsidRPr="00105882">
              <w:rPr>
                <w:rFonts w:ascii="Calibri" w:eastAsia="Times New Roman" w:hAnsi="Calibri" w:cs="Calibri"/>
                <w:sz w:val="20"/>
                <w:szCs w:val="20"/>
                <w:lang w:val="en-GB"/>
              </w:rPr>
              <w:t xml:space="preserve"> only</w:t>
            </w:r>
          </w:p>
        </w:tc>
        <w:tc>
          <w:tcPr>
            <w:tcW w:w="1984" w:type="dxa"/>
            <w:tcBorders>
              <w:top w:val="nil"/>
              <w:left w:val="nil"/>
              <w:bottom w:val="single" w:sz="6" w:space="0" w:color="000000"/>
              <w:right w:val="single" w:sz="6" w:space="0" w:color="000000"/>
            </w:tcBorders>
            <w:tcMar>
              <w:top w:w="0" w:type="dxa"/>
              <w:left w:w="100" w:type="dxa"/>
              <w:bottom w:w="0" w:type="dxa"/>
              <w:right w:w="100" w:type="dxa"/>
            </w:tcMar>
          </w:tcPr>
          <w:p w14:paraId="0DE3B282" w14:textId="3BFA3129"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Assumption</w:t>
            </w:r>
            <w:r w:rsidR="00E65F38" w:rsidRPr="00105882">
              <w:rPr>
                <w:rFonts w:ascii="Calibri" w:eastAsia="Times New Roman" w:hAnsi="Calibri" w:cs="Calibri"/>
                <w:sz w:val="20"/>
                <w:szCs w:val="20"/>
                <w:lang w:val="en-GB"/>
              </w:rPr>
              <w:t xml:space="preserve"> only</w:t>
            </w:r>
          </w:p>
        </w:tc>
        <w:tc>
          <w:tcPr>
            <w:tcW w:w="1985" w:type="dxa"/>
            <w:tcBorders>
              <w:top w:val="nil"/>
              <w:left w:val="nil"/>
              <w:bottom w:val="single" w:sz="6" w:space="0" w:color="000000"/>
              <w:right w:val="single" w:sz="6" w:space="0" w:color="000000"/>
            </w:tcBorders>
            <w:tcMar>
              <w:top w:w="0" w:type="dxa"/>
              <w:left w:w="100" w:type="dxa"/>
              <w:bottom w:w="0" w:type="dxa"/>
              <w:right w:w="100" w:type="dxa"/>
            </w:tcMar>
          </w:tcPr>
          <w:p w14:paraId="7343DAB9" w14:textId="2D6CB92C"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Theoretical</w:t>
            </w:r>
            <w:r w:rsidR="00E65F38" w:rsidRPr="00105882">
              <w:rPr>
                <w:rFonts w:ascii="Calibri" w:eastAsia="Times New Roman" w:hAnsi="Calibri" w:cs="Calibri"/>
                <w:sz w:val="20"/>
                <w:szCs w:val="20"/>
                <w:lang w:val="en-GB"/>
              </w:rPr>
              <w:t xml:space="preserve"> (non-</w:t>
            </w:r>
            <w:r w:rsidRPr="00105882">
              <w:rPr>
                <w:rFonts w:ascii="Calibri" w:eastAsia="Times New Roman" w:hAnsi="Calibri" w:cs="Calibri"/>
                <w:sz w:val="20"/>
                <w:szCs w:val="20"/>
                <w:lang w:val="en-GB"/>
              </w:rPr>
              <w:t>rigid</w:t>
            </w:r>
            <w:r w:rsidR="00E65F38" w:rsidRPr="00105882">
              <w:rPr>
                <w:rFonts w:ascii="Calibri" w:eastAsia="Times New Roman" w:hAnsi="Calibri" w:cs="Calibri"/>
                <w:sz w:val="20"/>
                <w:szCs w:val="20"/>
                <w:lang w:val="en-GB"/>
              </w:rPr>
              <w:t>)</w:t>
            </w:r>
          </w:p>
        </w:tc>
        <w:tc>
          <w:tcPr>
            <w:tcW w:w="2268" w:type="dxa"/>
            <w:tcBorders>
              <w:top w:val="nil"/>
              <w:left w:val="nil"/>
              <w:bottom w:val="single" w:sz="6" w:space="0" w:color="000000"/>
              <w:right w:val="single" w:sz="6" w:space="0" w:color="000000"/>
            </w:tcBorders>
            <w:tcMar>
              <w:top w:w="0" w:type="dxa"/>
              <w:left w:w="100" w:type="dxa"/>
              <w:bottom w:w="0" w:type="dxa"/>
              <w:right w:w="100" w:type="dxa"/>
            </w:tcMar>
          </w:tcPr>
          <w:p w14:paraId="0D2ADF93" w14:textId="1F4D67DF"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Definite</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emphasis</w:t>
            </w:r>
            <w:r w:rsidR="00E65F38" w:rsidRPr="00105882">
              <w:rPr>
                <w:rFonts w:ascii="Calibri" w:eastAsia="Times New Roman" w:hAnsi="Calibri" w:cs="Calibri"/>
                <w:sz w:val="20"/>
                <w:szCs w:val="20"/>
                <w:lang w:val="en-GB"/>
              </w:rPr>
              <w:t xml:space="preserve"> on </w:t>
            </w:r>
            <w:r w:rsidRPr="00105882">
              <w:rPr>
                <w:rFonts w:ascii="Calibri" w:eastAsia="Times New Roman" w:hAnsi="Calibri" w:cs="Calibri"/>
                <w:sz w:val="20"/>
                <w:szCs w:val="20"/>
                <w:lang w:val="en-GB"/>
              </w:rPr>
              <w:t>assimilation</w:t>
            </w:r>
          </w:p>
        </w:tc>
      </w:tr>
      <w:tr w:rsidR="00F03687" w:rsidRPr="00105882" w14:paraId="4B95A46B" w14:textId="77777777" w:rsidTr="00357FE1">
        <w:trPr>
          <w:trHeight w:val="900"/>
        </w:trPr>
        <w:tc>
          <w:tcPr>
            <w:tcW w:w="151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D386C75" w14:textId="785092DD" w:rsidR="00F03687" w:rsidRPr="00105882" w:rsidRDefault="00357FE1" w:rsidP="00105882">
            <w:pPr>
              <w:spacing w:line="240" w:lineRule="auto"/>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Individual</w:t>
            </w:r>
            <w:r w:rsidR="00E65F38" w:rsidRPr="00105882">
              <w:rPr>
                <w:rFonts w:ascii="Calibri" w:eastAsia="Times New Roman" w:hAnsi="Calibri" w:cs="Calibri"/>
                <w:b/>
                <w:bCs/>
                <w:sz w:val="20"/>
                <w:szCs w:val="20"/>
                <w:lang w:val="en-GB"/>
              </w:rPr>
              <w:t xml:space="preserve"> Factors / </w:t>
            </w:r>
            <w:r w:rsidRPr="00105882">
              <w:rPr>
                <w:rFonts w:ascii="Calibri" w:eastAsia="Times New Roman" w:hAnsi="Calibri" w:cs="Calibri"/>
                <w:b/>
                <w:bCs/>
                <w:sz w:val="20"/>
                <w:szCs w:val="20"/>
                <w:lang w:val="en-GB"/>
              </w:rPr>
              <w:t>Serviceability</w:t>
            </w:r>
          </w:p>
        </w:tc>
        <w:tc>
          <w:tcPr>
            <w:tcW w:w="1843" w:type="dxa"/>
            <w:tcBorders>
              <w:top w:val="nil"/>
              <w:left w:val="nil"/>
              <w:bottom w:val="single" w:sz="6" w:space="0" w:color="000000"/>
              <w:right w:val="single" w:sz="6" w:space="0" w:color="000000"/>
            </w:tcBorders>
            <w:tcMar>
              <w:top w:w="0" w:type="dxa"/>
              <w:left w:w="100" w:type="dxa"/>
              <w:bottom w:w="0" w:type="dxa"/>
              <w:right w:w="100" w:type="dxa"/>
            </w:tcMar>
          </w:tcPr>
          <w:p w14:paraId="78A5C680" w14:textId="0020D8FB"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Recognized</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smooth</w:t>
            </w:r>
            <w:r w:rsidR="00E65F38" w:rsidRPr="00105882">
              <w:rPr>
                <w:rFonts w:ascii="Calibri" w:eastAsia="Times New Roman" w:hAnsi="Calibri" w:cs="Calibri"/>
                <w:sz w:val="20"/>
                <w:szCs w:val="20"/>
                <w:lang w:val="en-GB"/>
              </w:rPr>
              <w:t xml:space="preserve"> of </w:t>
            </w:r>
            <w:r w:rsidRPr="00105882">
              <w:rPr>
                <w:rFonts w:ascii="Calibri" w:eastAsia="Times New Roman" w:hAnsi="Calibri" w:cs="Calibri"/>
                <w:sz w:val="20"/>
                <w:szCs w:val="20"/>
                <w:lang w:val="en-GB"/>
              </w:rPr>
              <w:t>usage</w:t>
            </w:r>
          </w:p>
        </w:tc>
        <w:tc>
          <w:tcPr>
            <w:tcW w:w="1984" w:type="dxa"/>
            <w:tcBorders>
              <w:top w:val="nil"/>
              <w:left w:val="nil"/>
              <w:bottom w:val="single" w:sz="6" w:space="0" w:color="000000"/>
              <w:right w:val="single" w:sz="6" w:space="0" w:color="000000"/>
            </w:tcBorders>
            <w:tcMar>
              <w:top w:w="0" w:type="dxa"/>
              <w:left w:w="100" w:type="dxa"/>
              <w:bottom w:w="0" w:type="dxa"/>
              <w:right w:w="100" w:type="dxa"/>
            </w:tcMar>
          </w:tcPr>
          <w:p w14:paraId="0ABD2267" w14:textId="3B1554CB"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Indirect</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subordinate</w:t>
            </w:r>
          </w:p>
        </w:tc>
        <w:tc>
          <w:tcPr>
            <w:tcW w:w="1985" w:type="dxa"/>
            <w:tcBorders>
              <w:top w:val="nil"/>
              <w:left w:val="nil"/>
              <w:bottom w:val="single" w:sz="6" w:space="0" w:color="000000"/>
              <w:right w:val="single" w:sz="6" w:space="0" w:color="000000"/>
            </w:tcBorders>
            <w:tcMar>
              <w:top w:w="0" w:type="dxa"/>
              <w:left w:w="100" w:type="dxa"/>
              <w:bottom w:w="0" w:type="dxa"/>
              <w:right w:w="100" w:type="dxa"/>
            </w:tcMar>
          </w:tcPr>
          <w:p w14:paraId="14DD6D50" w14:textId="5E5F8694"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Documented</w:t>
            </w:r>
            <w:r w:rsidR="00E65F38" w:rsidRPr="00105882">
              <w:rPr>
                <w:rFonts w:ascii="Calibri" w:eastAsia="Times New Roman" w:hAnsi="Calibri" w:cs="Calibri"/>
                <w:sz w:val="20"/>
                <w:szCs w:val="20"/>
                <w:lang w:val="en-GB"/>
              </w:rPr>
              <w:t xml:space="preserve"> but </w:t>
            </w:r>
            <w:r w:rsidRPr="00105882">
              <w:rPr>
                <w:rFonts w:ascii="Calibri" w:eastAsia="Times New Roman" w:hAnsi="Calibri" w:cs="Calibri"/>
                <w:sz w:val="20"/>
                <w:szCs w:val="20"/>
                <w:lang w:val="en-GB"/>
              </w:rPr>
              <w:t>conceptual</w:t>
            </w:r>
          </w:p>
        </w:tc>
        <w:tc>
          <w:tcPr>
            <w:tcW w:w="2268" w:type="dxa"/>
            <w:tcBorders>
              <w:top w:val="nil"/>
              <w:left w:val="nil"/>
              <w:bottom w:val="single" w:sz="6" w:space="0" w:color="000000"/>
              <w:right w:val="single" w:sz="6" w:space="0" w:color="000000"/>
            </w:tcBorders>
            <w:tcMar>
              <w:top w:w="0" w:type="dxa"/>
              <w:left w:w="100" w:type="dxa"/>
              <w:bottom w:w="0" w:type="dxa"/>
              <w:right w:w="100" w:type="dxa"/>
            </w:tcMar>
          </w:tcPr>
          <w:p w14:paraId="0DB749C4" w14:textId="120892DB" w:rsidR="00F03687" w:rsidRPr="00105882" w:rsidRDefault="00357FE1"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Foremost</w:t>
            </w:r>
            <w:r w:rsidR="00E65F38" w:rsidRPr="00105882">
              <w:rPr>
                <w:rFonts w:ascii="Calibri" w:eastAsia="Times New Roman" w:hAnsi="Calibri" w:cs="Calibri"/>
                <w:sz w:val="20"/>
                <w:szCs w:val="20"/>
                <w:lang w:val="en-GB"/>
              </w:rPr>
              <w:t xml:space="preserve"> </w:t>
            </w:r>
            <w:proofErr w:type="spellStart"/>
            <w:r w:rsidRPr="00105882">
              <w:rPr>
                <w:rFonts w:ascii="Calibri" w:eastAsia="Times New Roman" w:hAnsi="Calibri" w:cs="Calibri"/>
                <w:sz w:val="20"/>
                <w:szCs w:val="20"/>
                <w:lang w:val="en-GB"/>
              </w:rPr>
              <w:t>defense</w:t>
            </w:r>
            <w:proofErr w:type="spellEnd"/>
            <w:r w:rsidR="00E65F38" w:rsidRPr="00105882">
              <w:rPr>
                <w:rFonts w:ascii="Calibri" w:eastAsia="Times New Roman" w:hAnsi="Calibri" w:cs="Calibri"/>
                <w:sz w:val="20"/>
                <w:szCs w:val="20"/>
                <w:lang w:val="en-GB"/>
              </w:rPr>
              <w:t xml:space="preserve"> </w:t>
            </w:r>
            <w:r w:rsidR="001A1FEE" w:rsidRPr="00105882">
              <w:rPr>
                <w:rFonts w:ascii="Calibri" w:eastAsia="Times New Roman" w:hAnsi="Calibri" w:cs="Calibri"/>
                <w:sz w:val="20"/>
                <w:szCs w:val="20"/>
                <w:lang w:val="en-GB"/>
              </w:rPr>
              <w:t>factor</w:t>
            </w:r>
          </w:p>
        </w:tc>
      </w:tr>
      <w:tr w:rsidR="00F03687" w:rsidRPr="00105882" w14:paraId="2666A647" w14:textId="77777777" w:rsidTr="00357FE1">
        <w:trPr>
          <w:trHeight w:val="1335"/>
        </w:trPr>
        <w:tc>
          <w:tcPr>
            <w:tcW w:w="151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6D169E6" w14:textId="141552DE" w:rsidR="00F03687" w:rsidRPr="00105882" w:rsidRDefault="00E65F38" w:rsidP="00105882">
            <w:pPr>
              <w:spacing w:line="240" w:lineRule="auto"/>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 xml:space="preserve">Governance </w:t>
            </w:r>
            <w:r w:rsidR="001A1FEE" w:rsidRPr="00105882">
              <w:rPr>
                <w:rFonts w:ascii="Calibri" w:eastAsia="Times New Roman" w:hAnsi="Calibri" w:cs="Calibri"/>
                <w:b/>
                <w:bCs/>
                <w:sz w:val="20"/>
                <w:szCs w:val="20"/>
                <w:lang w:val="en-GB"/>
              </w:rPr>
              <w:t>Expectations</w:t>
            </w:r>
          </w:p>
        </w:tc>
        <w:tc>
          <w:tcPr>
            <w:tcW w:w="1843" w:type="dxa"/>
            <w:tcBorders>
              <w:top w:val="nil"/>
              <w:left w:val="nil"/>
              <w:bottom w:val="single" w:sz="6" w:space="0" w:color="000000"/>
              <w:right w:val="single" w:sz="6" w:space="0" w:color="000000"/>
            </w:tcBorders>
            <w:tcMar>
              <w:top w:w="0" w:type="dxa"/>
              <w:left w:w="100" w:type="dxa"/>
              <w:bottom w:w="0" w:type="dxa"/>
              <w:right w:w="100" w:type="dxa"/>
            </w:tcMar>
          </w:tcPr>
          <w:p w14:paraId="6AD86BE7" w14:textId="33254FB4" w:rsidR="00F03687" w:rsidRPr="00105882" w:rsidRDefault="00E65F38"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 xml:space="preserve">Not </w:t>
            </w:r>
            <w:r w:rsidR="001A1FEE" w:rsidRPr="00105882">
              <w:rPr>
                <w:rFonts w:ascii="Calibri" w:eastAsia="Times New Roman" w:hAnsi="Calibri" w:cs="Calibri"/>
                <w:sz w:val="20"/>
                <w:szCs w:val="20"/>
                <w:lang w:val="en-GB"/>
              </w:rPr>
              <w:t>directed</w:t>
            </w:r>
          </w:p>
        </w:tc>
        <w:tc>
          <w:tcPr>
            <w:tcW w:w="1984" w:type="dxa"/>
            <w:tcBorders>
              <w:top w:val="nil"/>
              <w:left w:val="nil"/>
              <w:bottom w:val="single" w:sz="6" w:space="0" w:color="000000"/>
              <w:right w:val="single" w:sz="6" w:space="0" w:color="000000"/>
            </w:tcBorders>
            <w:tcMar>
              <w:top w:w="0" w:type="dxa"/>
              <w:left w:w="100" w:type="dxa"/>
              <w:bottom w:w="0" w:type="dxa"/>
              <w:right w:w="100" w:type="dxa"/>
            </w:tcMar>
          </w:tcPr>
          <w:p w14:paraId="0BB06479" w14:textId="5C31EE66"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Innovativeness</w:t>
            </w:r>
            <w:r w:rsidR="00E65F38" w:rsidRPr="00105882">
              <w:rPr>
                <w:rFonts w:ascii="Calibri" w:eastAsia="Times New Roman" w:hAnsi="Calibri" w:cs="Calibri"/>
                <w:sz w:val="20"/>
                <w:szCs w:val="20"/>
                <w:lang w:val="en-GB"/>
              </w:rPr>
              <w:t xml:space="preserve">-capacity </w:t>
            </w:r>
            <w:r w:rsidRPr="00105882">
              <w:rPr>
                <w:rFonts w:ascii="Calibri" w:eastAsia="Times New Roman" w:hAnsi="Calibri" w:cs="Calibri"/>
                <w:sz w:val="20"/>
                <w:szCs w:val="20"/>
                <w:lang w:val="en-GB"/>
              </w:rPr>
              <w:t>supremacy</w:t>
            </w:r>
          </w:p>
        </w:tc>
        <w:tc>
          <w:tcPr>
            <w:tcW w:w="1985" w:type="dxa"/>
            <w:tcBorders>
              <w:top w:val="nil"/>
              <w:left w:val="nil"/>
              <w:bottom w:val="single" w:sz="6" w:space="0" w:color="000000"/>
              <w:right w:val="single" w:sz="6" w:space="0" w:color="000000"/>
            </w:tcBorders>
            <w:tcMar>
              <w:top w:w="0" w:type="dxa"/>
              <w:left w:w="100" w:type="dxa"/>
              <w:bottom w:w="0" w:type="dxa"/>
              <w:right w:w="100" w:type="dxa"/>
            </w:tcMar>
          </w:tcPr>
          <w:p w14:paraId="090B2AA3" w14:textId="34DADBFE"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Believes</w:t>
            </w:r>
            <w:r w:rsidR="00E65F38" w:rsidRPr="00105882">
              <w:rPr>
                <w:rFonts w:ascii="Calibri" w:eastAsia="Times New Roman" w:hAnsi="Calibri" w:cs="Calibri"/>
                <w:sz w:val="20"/>
                <w:szCs w:val="20"/>
                <w:lang w:val="en-GB"/>
              </w:rPr>
              <w:t xml:space="preserve"> organisational </w:t>
            </w:r>
            <w:r w:rsidRPr="00105882">
              <w:rPr>
                <w:rFonts w:ascii="Calibri" w:eastAsia="Times New Roman" w:hAnsi="Calibri" w:cs="Calibri"/>
                <w:sz w:val="20"/>
                <w:szCs w:val="20"/>
                <w:lang w:val="en-GB"/>
              </w:rPr>
              <w:t>slacken</w:t>
            </w:r>
          </w:p>
        </w:tc>
        <w:tc>
          <w:tcPr>
            <w:tcW w:w="2268" w:type="dxa"/>
            <w:tcBorders>
              <w:top w:val="nil"/>
              <w:left w:val="nil"/>
              <w:bottom w:val="single" w:sz="6" w:space="0" w:color="000000"/>
              <w:right w:val="single" w:sz="6" w:space="0" w:color="000000"/>
            </w:tcBorders>
            <w:tcMar>
              <w:top w:w="0" w:type="dxa"/>
              <w:left w:w="100" w:type="dxa"/>
              <w:bottom w:w="0" w:type="dxa"/>
              <w:right w:w="100" w:type="dxa"/>
            </w:tcMar>
          </w:tcPr>
          <w:p w14:paraId="0C6F56EE" w14:textId="7F88A996" w:rsidR="00F03687" w:rsidRPr="00105882" w:rsidRDefault="00E65F38"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Lean, embedded, SME-</w:t>
            </w:r>
            <w:r w:rsidR="001A1FEE" w:rsidRPr="00105882">
              <w:rPr>
                <w:rFonts w:ascii="Calibri" w:eastAsia="Times New Roman" w:hAnsi="Calibri" w:cs="Calibri"/>
                <w:sz w:val="20"/>
                <w:szCs w:val="20"/>
                <w:lang w:val="en-GB"/>
              </w:rPr>
              <w:t>suitable</w:t>
            </w:r>
            <w:r w:rsidRPr="00105882">
              <w:rPr>
                <w:rFonts w:ascii="Calibri" w:eastAsia="Times New Roman" w:hAnsi="Calibri" w:cs="Calibri"/>
                <w:sz w:val="20"/>
                <w:szCs w:val="20"/>
                <w:lang w:val="en-GB"/>
              </w:rPr>
              <w:t xml:space="preserve"> </w:t>
            </w:r>
            <w:r w:rsidR="001A1FEE" w:rsidRPr="00105882">
              <w:rPr>
                <w:rFonts w:ascii="Calibri" w:eastAsia="Times New Roman" w:hAnsi="Calibri" w:cs="Calibri"/>
                <w:sz w:val="20"/>
                <w:szCs w:val="20"/>
                <w:lang w:val="en-GB"/>
              </w:rPr>
              <w:t>domination</w:t>
            </w:r>
          </w:p>
        </w:tc>
      </w:tr>
      <w:tr w:rsidR="00F03687" w:rsidRPr="00105882" w14:paraId="676AD7FF" w14:textId="77777777" w:rsidTr="00357FE1">
        <w:trPr>
          <w:trHeight w:val="900"/>
        </w:trPr>
        <w:tc>
          <w:tcPr>
            <w:tcW w:w="151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B05C603" w14:textId="5971FED3" w:rsidR="00F03687" w:rsidRPr="00105882" w:rsidRDefault="001A1FEE" w:rsidP="00105882">
            <w:pPr>
              <w:spacing w:line="240" w:lineRule="auto"/>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Ecological</w:t>
            </w:r>
            <w:r w:rsidR="00E65F38" w:rsidRPr="00105882">
              <w:rPr>
                <w:rFonts w:ascii="Calibri" w:eastAsia="Times New Roman" w:hAnsi="Calibri" w:cs="Calibri"/>
                <w:b/>
                <w:bCs/>
                <w:sz w:val="20"/>
                <w:szCs w:val="20"/>
                <w:lang w:val="en-GB"/>
              </w:rPr>
              <w:t xml:space="preserve"> Context</w:t>
            </w:r>
          </w:p>
        </w:tc>
        <w:tc>
          <w:tcPr>
            <w:tcW w:w="1843" w:type="dxa"/>
            <w:tcBorders>
              <w:top w:val="nil"/>
              <w:left w:val="nil"/>
              <w:bottom w:val="single" w:sz="6" w:space="0" w:color="000000"/>
              <w:right w:val="single" w:sz="6" w:space="0" w:color="000000"/>
            </w:tcBorders>
            <w:tcMar>
              <w:top w:w="0" w:type="dxa"/>
              <w:left w:w="100" w:type="dxa"/>
              <w:bottom w:w="0" w:type="dxa"/>
              <w:right w:w="100" w:type="dxa"/>
            </w:tcMar>
          </w:tcPr>
          <w:p w14:paraId="378A4139" w14:textId="44D6C6A0"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Mostly</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overlooked</w:t>
            </w:r>
          </w:p>
        </w:tc>
        <w:tc>
          <w:tcPr>
            <w:tcW w:w="1984" w:type="dxa"/>
            <w:tcBorders>
              <w:top w:val="nil"/>
              <w:left w:val="nil"/>
              <w:bottom w:val="single" w:sz="6" w:space="0" w:color="000000"/>
              <w:right w:val="single" w:sz="6" w:space="0" w:color="000000"/>
            </w:tcBorders>
            <w:tcMar>
              <w:top w:w="0" w:type="dxa"/>
              <w:left w:w="100" w:type="dxa"/>
              <w:bottom w:w="0" w:type="dxa"/>
              <w:right w:w="100" w:type="dxa"/>
            </w:tcMar>
          </w:tcPr>
          <w:p w14:paraId="4DF50345" w14:textId="01F1C172"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Governing</w:t>
            </w:r>
            <w:r w:rsidR="00E65F38" w:rsidRPr="00105882">
              <w:rPr>
                <w:rFonts w:ascii="Calibri" w:eastAsia="Times New Roman" w:hAnsi="Calibri" w:cs="Calibri"/>
                <w:sz w:val="20"/>
                <w:szCs w:val="20"/>
                <w:lang w:val="en-GB"/>
              </w:rPr>
              <w:t xml:space="preserve"> / market </w:t>
            </w:r>
            <w:r w:rsidRPr="00105882">
              <w:rPr>
                <w:rFonts w:ascii="Calibri" w:eastAsia="Times New Roman" w:hAnsi="Calibri" w:cs="Calibri"/>
                <w:sz w:val="20"/>
                <w:szCs w:val="20"/>
                <w:lang w:val="en-GB"/>
              </w:rPr>
              <w:t>force</w:t>
            </w:r>
          </w:p>
        </w:tc>
        <w:tc>
          <w:tcPr>
            <w:tcW w:w="1985" w:type="dxa"/>
            <w:tcBorders>
              <w:top w:val="nil"/>
              <w:left w:val="nil"/>
              <w:bottom w:val="single" w:sz="6" w:space="0" w:color="000000"/>
              <w:right w:val="single" w:sz="6" w:space="0" w:color="000000"/>
            </w:tcBorders>
            <w:tcMar>
              <w:top w:w="0" w:type="dxa"/>
              <w:left w:w="100" w:type="dxa"/>
              <w:bottom w:w="0" w:type="dxa"/>
              <w:right w:w="100" w:type="dxa"/>
            </w:tcMar>
          </w:tcPr>
          <w:p w14:paraId="4B8B468E" w14:textId="6DB74518"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Softly</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hypothesised</w:t>
            </w:r>
          </w:p>
        </w:tc>
        <w:tc>
          <w:tcPr>
            <w:tcW w:w="2268" w:type="dxa"/>
            <w:tcBorders>
              <w:top w:val="nil"/>
              <w:left w:val="nil"/>
              <w:bottom w:val="single" w:sz="6" w:space="0" w:color="000000"/>
              <w:right w:val="single" w:sz="6" w:space="0" w:color="000000"/>
            </w:tcBorders>
            <w:tcMar>
              <w:top w:w="0" w:type="dxa"/>
              <w:left w:w="100" w:type="dxa"/>
              <w:bottom w:w="0" w:type="dxa"/>
              <w:right w:w="100" w:type="dxa"/>
            </w:tcMar>
          </w:tcPr>
          <w:p w14:paraId="391EA348" w14:textId="0155876B"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Antagonistic</w:t>
            </w:r>
            <w:r w:rsidR="00E65F38" w:rsidRPr="00105882">
              <w:rPr>
                <w:rFonts w:ascii="Calibri" w:eastAsia="Times New Roman" w:hAnsi="Calibri" w:cs="Calibri"/>
                <w:sz w:val="20"/>
                <w:szCs w:val="20"/>
                <w:lang w:val="en-GB"/>
              </w:rPr>
              <w:t>, supply-chain, trust-based</w:t>
            </w:r>
          </w:p>
        </w:tc>
      </w:tr>
      <w:tr w:rsidR="00F03687" w:rsidRPr="00105882" w14:paraId="566E94F8" w14:textId="77777777" w:rsidTr="00357FE1">
        <w:trPr>
          <w:trHeight w:val="893"/>
        </w:trPr>
        <w:tc>
          <w:tcPr>
            <w:tcW w:w="151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8ED3F7C" w14:textId="2369A5D1" w:rsidR="00F03687" w:rsidRPr="00105882" w:rsidRDefault="001A1FEE" w:rsidP="00105882">
            <w:pPr>
              <w:spacing w:line="240" w:lineRule="auto"/>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Pertinence</w:t>
            </w:r>
            <w:r w:rsidR="00E65F38" w:rsidRPr="00105882">
              <w:rPr>
                <w:rFonts w:ascii="Calibri" w:eastAsia="Times New Roman" w:hAnsi="Calibri" w:cs="Calibri"/>
                <w:b/>
                <w:bCs/>
                <w:sz w:val="20"/>
                <w:szCs w:val="20"/>
                <w:lang w:val="en-GB"/>
              </w:rPr>
              <w:t xml:space="preserve"> to SMEs</w:t>
            </w:r>
          </w:p>
        </w:tc>
        <w:tc>
          <w:tcPr>
            <w:tcW w:w="1843" w:type="dxa"/>
            <w:tcBorders>
              <w:top w:val="nil"/>
              <w:left w:val="nil"/>
              <w:bottom w:val="single" w:sz="6" w:space="0" w:color="000000"/>
              <w:right w:val="single" w:sz="6" w:space="0" w:color="000000"/>
            </w:tcBorders>
            <w:tcMar>
              <w:top w:w="0" w:type="dxa"/>
              <w:left w:w="100" w:type="dxa"/>
              <w:bottom w:w="0" w:type="dxa"/>
              <w:right w:w="100" w:type="dxa"/>
            </w:tcMar>
          </w:tcPr>
          <w:p w14:paraId="10A93677" w14:textId="6C81693B"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Partial</w:t>
            </w:r>
          </w:p>
        </w:tc>
        <w:tc>
          <w:tcPr>
            <w:tcW w:w="1984" w:type="dxa"/>
            <w:tcBorders>
              <w:top w:val="nil"/>
              <w:left w:val="nil"/>
              <w:bottom w:val="single" w:sz="6" w:space="0" w:color="000000"/>
              <w:right w:val="single" w:sz="6" w:space="0" w:color="000000"/>
            </w:tcBorders>
            <w:tcMar>
              <w:top w:w="0" w:type="dxa"/>
              <w:left w:w="100" w:type="dxa"/>
              <w:bottom w:w="0" w:type="dxa"/>
              <w:right w:w="100" w:type="dxa"/>
            </w:tcMar>
          </w:tcPr>
          <w:p w14:paraId="469B3278" w14:textId="390299D3"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Incomplete</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creativity</w:t>
            </w:r>
            <w:r w:rsidR="00E65F38" w:rsidRPr="00105882">
              <w:rPr>
                <w:rFonts w:ascii="Calibri" w:eastAsia="Times New Roman" w:hAnsi="Calibri" w:cs="Calibri"/>
                <w:sz w:val="20"/>
                <w:szCs w:val="20"/>
                <w:lang w:val="en-GB"/>
              </w:rPr>
              <w:t>-</w:t>
            </w:r>
            <w:r w:rsidRPr="00105882">
              <w:rPr>
                <w:rFonts w:ascii="Calibri" w:eastAsia="Times New Roman" w:hAnsi="Calibri" w:cs="Calibri"/>
                <w:sz w:val="20"/>
                <w:szCs w:val="20"/>
                <w:lang w:val="en-GB"/>
              </w:rPr>
              <w:t>prejudiced</w:t>
            </w:r>
          </w:p>
        </w:tc>
        <w:tc>
          <w:tcPr>
            <w:tcW w:w="1985" w:type="dxa"/>
            <w:tcBorders>
              <w:top w:val="nil"/>
              <w:left w:val="nil"/>
              <w:bottom w:val="single" w:sz="6" w:space="0" w:color="000000"/>
              <w:right w:val="single" w:sz="6" w:space="0" w:color="000000"/>
            </w:tcBorders>
            <w:tcMar>
              <w:top w:w="0" w:type="dxa"/>
              <w:left w:w="100" w:type="dxa"/>
              <w:bottom w:w="0" w:type="dxa"/>
              <w:right w:w="100" w:type="dxa"/>
            </w:tcMar>
          </w:tcPr>
          <w:p w14:paraId="4AEC0B1F" w14:textId="02691F4D"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Theoretically</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applicable</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except</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unreasonable</w:t>
            </w:r>
          </w:p>
        </w:tc>
        <w:tc>
          <w:tcPr>
            <w:tcW w:w="2268" w:type="dxa"/>
            <w:tcBorders>
              <w:top w:val="nil"/>
              <w:left w:val="nil"/>
              <w:bottom w:val="single" w:sz="6" w:space="0" w:color="000000"/>
              <w:right w:val="single" w:sz="6" w:space="0" w:color="000000"/>
            </w:tcBorders>
            <w:tcMar>
              <w:top w:w="0" w:type="dxa"/>
              <w:left w:w="100" w:type="dxa"/>
              <w:bottom w:w="0" w:type="dxa"/>
              <w:right w:w="100" w:type="dxa"/>
            </w:tcMar>
          </w:tcPr>
          <w:p w14:paraId="5C7382D2" w14:textId="7C61B38E"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Openly</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constructed</w:t>
            </w:r>
            <w:r w:rsidR="00E65F38" w:rsidRPr="00105882">
              <w:rPr>
                <w:rFonts w:ascii="Calibri" w:eastAsia="Times New Roman" w:hAnsi="Calibri" w:cs="Calibri"/>
                <w:sz w:val="20"/>
                <w:szCs w:val="20"/>
                <w:lang w:val="en-GB"/>
              </w:rPr>
              <w:t xml:space="preserve"> for IT SMEs</w:t>
            </w:r>
          </w:p>
        </w:tc>
      </w:tr>
      <w:tr w:rsidR="00F03687" w:rsidRPr="00105882" w14:paraId="468129A3" w14:textId="77777777" w:rsidTr="00357FE1">
        <w:trPr>
          <w:trHeight w:val="1335"/>
        </w:trPr>
        <w:tc>
          <w:tcPr>
            <w:tcW w:w="151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55D066" w14:textId="25D45A34" w:rsidR="00F03687" w:rsidRPr="00105882" w:rsidRDefault="001A1FEE" w:rsidP="00105882">
            <w:pPr>
              <w:spacing w:line="240" w:lineRule="auto"/>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Narrow</w:t>
            </w:r>
            <w:r w:rsidR="00E65F38" w:rsidRPr="00105882">
              <w:rPr>
                <w:rFonts w:ascii="Calibri" w:eastAsia="Times New Roman" w:hAnsi="Calibri" w:cs="Calibri"/>
                <w:b/>
                <w:bCs/>
                <w:sz w:val="20"/>
                <w:szCs w:val="20"/>
                <w:lang w:val="en-GB"/>
              </w:rPr>
              <w:t xml:space="preserve"> </w:t>
            </w:r>
            <w:r w:rsidRPr="00105882">
              <w:rPr>
                <w:rFonts w:ascii="Calibri" w:eastAsia="Times New Roman" w:hAnsi="Calibri" w:cs="Calibri"/>
                <w:b/>
                <w:bCs/>
                <w:sz w:val="20"/>
                <w:szCs w:val="20"/>
                <w:lang w:val="en-GB"/>
              </w:rPr>
              <w:t>Control</w:t>
            </w:r>
          </w:p>
        </w:tc>
        <w:tc>
          <w:tcPr>
            <w:tcW w:w="1843" w:type="dxa"/>
            <w:tcBorders>
              <w:top w:val="nil"/>
              <w:left w:val="nil"/>
              <w:bottom w:val="single" w:sz="6" w:space="0" w:color="000000"/>
              <w:right w:val="single" w:sz="6" w:space="0" w:color="000000"/>
            </w:tcBorders>
            <w:tcMar>
              <w:top w:w="0" w:type="dxa"/>
              <w:left w:w="100" w:type="dxa"/>
              <w:bottom w:w="0" w:type="dxa"/>
              <w:right w:w="100" w:type="dxa"/>
            </w:tcMar>
          </w:tcPr>
          <w:p w14:paraId="5628BEE2" w14:textId="09CC3145"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Little</w:t>
            </w:r>
          </w:p>
        </w:tc>
        <w:tc>
          <w:tcPr>
            <w:tcW w:w="1984" w:type="dxa"/>
            <w:tcBorders>
              <w:top w:val="nil"/>
              <w:left w:val="nil"/>
              <w:bottom w:val="single" w:sz="6" w:space="0" w:color="000000"/>
              <w:right w:val="single" w:sz="6" w:space="0" w:color="000000"/>
            </w:tcBorders>
            <w:tcMar>
              <w:top w:w="0" w:type="dxa"/>
              <w:left w:w="100" w:type="dxa"/>
              <w:bottom w:w="0" w:type="dxa"/>
              <w:right w:w="100" w:type="dxa"/>
            </w:tcMar>
          </w:tcPr>
          <w:p w14:paraId="742FB83E" w14:textId="1815ED7D"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Reasonable</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acceptance</w:t>
            </w:r>
            <w:r w:rsidR="00E65F38" w:rsidRPr="00105882">
              <w:rPr>
                <w:rFonts w:ascii="Calibri" w:eastAsia="Times New Roman" w:hAnsi="Calibri" w:cs="Calibri"/>
                <w:sz w:val="20"/>
                <w:szCs w:val="20"/>
                <w:lang w:val="en-GB"/>
              </w:rPr>
              <w:t>-</w:t>
            </w:r>
            <w:r w:rsidRPr="00105882">
              <w:rPr>
                <w:rFonts w:ascii="Calibri" w:eastAsia="Times New Roman" w:hAnsi="Calibri" w:cs="Calibri"/>
                <w:sz w:val="20"/>
                <w:szCs w:val="20"/>
                <w:lang w:val="en-GB"/>
              </w:rPr>
              <w:t>absorbed</w:t>
            </w:r>
            <w:r w:rsidR="00E65F38" w:rsidRPr="00105882">
              <w:rPr>
                <w:rFonts w:ascii="Calibri" w:eastAsia="Times New Roman" w:hAnsi="Calibri" w:cs="Calibri"/>
                <w:sz w:val="20"/>
                <w:szCs w:val="20"/>
                <w:lang w:val="en-GB"/>
              </w:rPr>
              <w:t>)</w:t>
            </w:r>
          </w:p>
        </w:tc>
        <w:tc>
          <w:tcPr>
            <w:tcW w:w="1985" w:type="dxa"/>
            <w:tcBorders>
              <w:top w:val="nil"/>
              <w:left w:val="nil"/>
              <w:bottom w:val="single" w:sz="6" w:space="0" w:color="000000"/>
              <w:right w:val="single" w:sz="6" w:space="0" w:color="000000"/>
            </w:tcBorders>
            <w:tcMar>
              <w:top w:w="0" w:type="dxa"/>
              <w:left w:w="100" w:type="dxa"/>
              <w:bottom w:w="0" w:type="dxa"/>
              <w:right w:w="100" w:type="dxa"/>
            </w:tcMar>
          </w:tcPr>
          <w:p w14:paraId="65BC220D" w14:textId="24799643"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Little</w:t>
            </w:r>
          </w:p>
        </w:tc>
        <w:tc>
          <w:tcPr>
            <w:tcW w:w="2268" w:type="dxa"/>
            <w:tcBorders>
              <w:top w:val="nil"/>
              <w:left w:val="nil"/>
              <w:bottom w:val="single" w:sz="6" w:space="0" w:color="000000"/>
              <w:right w:val="single" w:sz="6" w:space="0" w:color="000000"/>
            </w:tcBorders>
            <w:tcMar>
              <w:top w:w="0" w:type="dxa"/>
              <w:left w:w="100" w:type="dxa"/>
              <w:bottom w:w="0" w:type="dxa"/>
              <w:right w:w="100" w:type="dxa"/>
            </w:tcMar>
          </w:tcPr>
          <w:p w14:paraId="7D732C8D" w14:textId="3D95F007" w:rsidR="00F03687" w:rsidRPr="00105882" w:rsidRDefault="00E65F38"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High (</w:t>
            </w:r>
            <w:r w:rsidR="001A1FEE" w:rsidRPr="00105882">
              <w:rPr>
                <w:rFonts w:ascii="Calibri" w:eastAsia="Times New Roman" w:hAnsi="Calibri" w:cs="Calibri"/>
                <w:sz w:val="20"/>
                <w:szCs w:val="20"/>
                <w:lang w:val="en-GB"/>
              </w:rPr>
              <w:t>incorporation</w:t>
            </w:r>
            <w:r w:rsidRPr="00105882">
              <w:rPr>
                <w:rFonts w:ascii="Calibri" w:eastAsia="Times New Roman" w:hAnsi="Calibri" w:cs="Calibri"/>
                <w:sz w:val="20"/>
                <w:szCs w:val="20"/>
                <w:lang w:val="en-GB"/>
              </w:rPr>
              <w:t xml:space="preserve"> </w:t>
            </w:r>
            <w:r w:rsidR="001A1FEE" w:rsidRPr="00105882">
              <w:rPr>
                <w:rFonts w:ascii="Calibri" w:eastAsia="Times New Roman" w:hAnsi="Calibri" w:cs="Calibri"/>
                <w:sz w:val="20"/>
                <w:szCs w:val="20"/>
                <w:lang w:val="en-GB"/>
              </w:rPr>
              <w:t>processes</w:t>
            </w:r>
            <w:r w:rsidRPr="00105882">
              <w:rPr>
                <w:rFonts w:ascii="Calibri" w:eastAsia="Times New Roman" w:hAnsi="Calibri" w:cs="Calibri"/>
                <w:sz w:val="20"/>
                <w:szCs w:val="20"/>
                <w:lang w:val="en-GB"/>
              </w:rPr>
              <w:t>)</w:t>
            </w:r>
          </w:p>
        </w:tc>
      </w:tr>
      <w:tr w:rsidR="00F03687" w:rsidRPr="00105882" w14:paraId="0AFB56F5" w14:textId="77777777" w:rsidTr="00357FE1">
        <w:trPr>
          <w:trHeight w:val="978"/>
        </w:trPr>
        <w:tc>
          <w:tcPr>
            <w:tcW w:w="151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4273B56" w14:textId="3F50E269" w:rsidR="00F03687" w:rsidRPr="00105882" w:rsidRDefault="001A1FEE" w:rsidP="00105882">
            <w:pPr>
              <w:spacing w:line="240" w:lineRule="auto"/>
              <w:rPr>
                <w:rFonts w:ascii="Calibri" w:eastAsia="Times New Roman" w:hAnsi="Calibri" w:cs="Calibri"/>
                <w:b/>
                <w:bCs/>
                <w:sz w:val="20"/>
                <w:szCs w:val="20"/>
                <w:lang w:val="en-GB"/>
              </w:rPr>
            </w:pPr>
            <w:r w:rsidRPr="00105882">
              <w:rPr>
                <w:rFonts w:ascii="Calibri" w:eastAsia="Times New Roman" w:hAnsi="Calibri" w:cs="Calibri"/>
                <w:b/>
                <w:bCs/>
                <w:sz w:val="20"/>
                <w:szCs w:val="20"/>
                <w:lang w:val="en-GB"/>
              </w:rPr>
              <w:t>Academic</w:t>
            </w:r>
            <w:r w:rsidR="00E65F38" w:rsidRPr="00105882">
              <w:rPr>
                <w:rFonts w:ascii="Calibri" w:eastAsia="Times New Roman" w:hAnsi="Calibri" w:cs="Calibri"/>
                <w:b/>
                <w:bCs/>
                <w:sz w:val="20"/>
                <w:szCs w:val="20"/>
                <w:lang w:val="en-GB"/>
              </w:rPr>
              <w:t xml:space="preserve"> </w:t>
            </w:r>
            <w:r w:rsidRPr="00105882">
              <w:rPr>
                <w:rFonts w:ascii="Calibri" w:eastAsia="Times New Roman" w:hAnsi="Calibri" w:cs="Calibri"/>
                <w:b/>
                <w:bCs/>
                <w:sz w:val="20"/>
                <w:szCs w:val="20"/>
                <w:lang w:val="en-GB"/>
              </w:rPr>
              <w:t>Involvement</w:t>
            </w:r>
          </w:p>
        </w:tc>
        <w:tc>
          <w:tcPr>
            <w:tcW w:w="1843" w:type="dxa"/>
            <w:tcBorders>
              <w:top w:val="nil"/>
              <w:left w:val="nil"/>
              <w:bottom w:val="single" w:sz="6" w:space="0" w:color="000000"/>
              <w:right w:val="single" w:sz="6" w:space="0" w:color="000000"/>
            </w:tcBorders>
            <w:tcMar>
              <w:top w:w="0" w:type="dxa"/>
              <w:left w:w="100" w:type="dxa"/>
              <w:bottom w:w="0" w:type="dxa"/>
              <w:right w:w="100" w:type="dxa"/>
            </w:tcMar>
          </w:tcPr>
          <w:p w14:paraId="501C4C60" w14:textId="6BA5D93C"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Supports</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approval</w:t>
            </w:r>
          </w:p>
        </w:tc>
        <w:tc>
          <w:tcPr>
            <w:tcW w:w="1984" w:type="dxa"/>
            <w:tcBorders>
              <w:top w:val="nil"/>
              <w:left w:val="nil"/>
              <w:bottom w:val="single" w:sz="6" w:space="0" w:color="000000"/>
              <w:right w:val="single" w:sz="6" w:space="0" w:color="000000"/>
            </w:tcBorders>
            <w:tcMar>
              <w:top w:w="0" w:type="dxa"/>
              <w:left w:w="100" w:type="dxa"/>
              <w:bottom w:w="0" w:type="dxa"/>
              <w:right w:w="100" w:type="dxa"/>
            </w:tcMar>
          </w:tcPr>
          <w:p w14:paraId="68AADB8F" w14:textId="5229C440"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Supports</w:t>
            </w:r>
            <w:r w:rsidR="00E65F38" w:rsidRPr="00105882">
              <w:rPr>
                <w:rFonts w:ascii="Calibri" w:eastAsia="Times New Roman" w:hAnsi="Calibri" w:cs="Calibri"/>
                <w:sz w:val="20"/>
                <w:szCs w:val="20"/>
                <w:lang w:val="en-GB"/>
              </w:rPr>
              <w:t xml:space="preserve"> </w:t>
            </w:r>
            <w:r w:rsidRPr="00105882">
              <w:rPr>
                <w:rFonts w:ascii="Calibri" w:eastAsia="Times New Roman" w:hAnsi="Calibri" w:cs="Calibri"/>
                <w:sz w:val="20"/>
                <w:szCs w:val="20"/>
                <w:lang w:val="en-GB"/>
              </w:rPr>
              <w:t>embracing</w:t>
            </w:r>
          </w:p>
        </w:tc>
        <w:tc>
          <w:tcPr>
            <w:tcW w:w="1985" w:type="dxa"/>
            <w:tcBorders>
              <w:top w:val="nil"/>
              <w:left w:val="nil"/>
              <w:bottom w:val="single" w:sz="6" w:space="0" w:color="000000"/>
              <w:right w:val="single" w:sz="6" w:space="0" w:color="000000"/>
            </w:tcBorders>
            <w:tcMar>
              <w:top w:w="0" w:type="dxa"/>
              <w:left w:w="100" w:type="dxa"/>
              <w:bottom w:w="0" w:type="dxa"/>
              <w:right w:w="100" w:type="dxa"/>
            </w:tcMar>
          </w:tcPr>
          <w:p w14:paraId="7DB5F13C" w14:textId="40973F0C"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Describes</w:t>
            </w:r>
            <w:r w:rsidR="00E65F38" w:rsidRPr="00105882">
              <w:rPr>
                <w:rFonts w:ascii="Calibri" w:eastAsia="Times New Roman" w:hAnsi="Calibri" w:cs="Calibri"/>
                <w:sz w:val="20"/>
                <w:szCs w:val="20"/>
                <w:lang w:val="en-GB"/>
              </w:rPr>
              <w:t xml:space="preserve"> sociotechnical </w:t>
            </w:r>
            <w:r w:rsidRPr="00105882">
              <w:rPr>
                <w:rFonts w:ascii="Calibri" w:eastAsia="Times New Roman" w:hAnsi="Calibri" w:cs="Calibri"/>
                <w:sz w:val="20"/>
                <w:szCs w:val="20"/>
                <w:lang w:val="en-GB"/>
              </w:rPr>
              <w:t>density</w:t>
            </w:r>
          </w:p>
        </w:tc>
        <w:tc>
          <w:tcPr>
            <w:tcW w:w="2268" w:type="dxa"/>
            <w:tcBorders>
              <w:top w:val="nil"/>
              <w:left w:val="nil"/>
              <w:bottom w:val="single" w:sz="6" w:space="0" w:color="000000"/>
              <w:right w:val="single" w:sz="6" w:space="0" w:color="000000"/>
            </w:tcBorders>
            <w:tcMar>
              <w:top w:w="0" w:type="dxa"/>
              <w:left w:w="100" w:type="dxa"/>
              <w:bottom w:w="0" w:type="dxa"/>
              <w:right w:w="100" w:type="dxa"/>
            </w:tcMar>
          </w:tcPr>
          <w:p w14:paraId="47F48767" w14:textId="1AD63749" w:rsidR="00F03687" w:rsidRPr="00105882" w:rsidRDefault="001A1FEE" w:rsidP="00105882">
            <w:pPr>
              <w:spacing w:line="240" w:lineRule="auto"/>
              <w:rPr>
                <w:rFonts w:ascii="Calibri" w:eastAsia="Times New Roman" w:hAnsi="Calibri" w:cs="Calibri"/>
                <w:sz w:val="20"/>
                <w:szCs w:val="20"/>
                <w:lang w:val="en-GB"/>
              </w:rPr>
            </w:pPr>
            <w:r w:rsidRPr="00105882">
              <w:rPr>
                <w:rFonts w:ascii="Calibri" w:eastAsia="Times New Roman" w:hAnsi="Calibri" w:cs="Calibri"/>
                <w:sz w:val="20"/>
                <w:szCs w:val="20"/>
                <w:lang w:val="en-GB"/>
              </w:rPr>
              <w:t>Expounds</w:t>
            </w:r>
            <w:r w:rsidR="00E65F38" w:rsidRPr="00105882">
              <w:rPr>
                <w:rFonts w:ascii="Calibri" w:eastAsia="Times New Roman" w:hAnsi="Calibri" w:cs="Calibri"/>
                <w:sz w:val="20"/>
                <w:szCs w:val="20"/>
                <w:lang w:val="en-GB"/>
              </w:rPr>
              <w:t xml:space="preserve"> and </w:t>
            </w:r>
            <w:r w:rsidRPr="00105882">
              <w:rPr>
                <w:rFonts w:ascii="Calibri" w:eastAsia="Times New Roman" w:hAnsi="Calibri" w:cs="Calibri"/>
                <w:sz w:val="20"/>
                <w:szCs w:val="20"/>
                <w:lang w:val="en-GB"/>
              </w:rPr>
              <w:t>directs</w:t>
            </w:r>
            <w:r w:rsidR="00E65F38" w:rsidRPr="00105882">
              <w:rPr>
                <w:rFonts w:ascii="Calibri" w:eastAsia="Times New Roman" w:hAnsi="Calibri" w:cs="Calibri"/>
                <w:sz w:val="20"/>
                <w:szCs w:val="20"/>
                <w:lang w:val="en-GB"/>
              </w:rPr>
              <w:t xml:space="preserve"> cybersecurity </w:t>
            </w:r>
            <w:r w:rsidRPr="00105882">
              <w:rPr>
                <w:rFonts w:ascii="Calibri" w:eastAsia="Times New Roman" w:hAnsi="Calibri" w:cs="Calibri"/>
                <w:sz w:val="20"/>
                <w:szCs w:val="20"/>
                <w:lang w:val="en-GB"/>
              </w:rPr>
              <w:t>amalgamation</w:t>
            </w:r>
          </w:p>
        </w:tc>
      </w:tr>
    </w:tbl>
    <w:p w14:paraId="6743B4FE" w14:textId="212EC42D" w:rsidR="00F03687" w:rsidRPr="00105882" w:rsidRDefault="00357FE1" w:rsidP="00105882">
      <w:pPr>
        <w:spacing w:line="360" w:lineRule="auto"/>
        <w:jc w:val="center"/>
        <w:rPr>
          <w:rFonts w:ascii="Calibri" w:hAnsi="Calibri" w:cs="Calibri"/>
          <w:iCs/>
        </w:rPr>
      </w:pPr>
      <w:r w:rsidRPr="00105882">
        <w:rPr>
          <w:rFonts w:ascii="Calibri" w:hAnsi="Calibri" w:cs="Calibri"/>
          <w:b/>
          <w:bCs/>
        </w:rPr>
        <w:t xml:space="preserve">Table </w:t>
      </w:r>
      <w:r w:rsidRPr="00105882">
        <w:rPr>
          <w:rFonts w:ascii="Calibri" w:hAnsi="Calibri" w:cs="Calibri"/>
          <w:b/>
          <w:bCs/>
        </w:rPr>
        <w:fldChar w:fldCharType="begin"/>
      </w:r>
      <w:r w:rsidRPr="00105882">
        <w:rPr>
          <w:rFonts w:ascii="Calibri" w:hAnsi="Calibri" w:cs="Calibri"/>
          <w:b/>
          <w:bCs/>
        </w:rPr>
        <w:instrText xml:space="preserve"> SEQ Table \* ARABIC </w:instrText>
      </w:r>
      <w:r w:rsidRPr="00105882">
        <w:rPr>
          <w:rFonts w:ascii="Calibri" w:hAnsi="Calibri" w:cs="Calibri"/>
          <w:b/>
          <w:bCs/>
        </w:rPr>
        <w:fldChar w:fldCharType="separate"/>
      </w:r>
      <w:r w:rsidRPr="00105882">
        <w:rPr>
          <w:rFonts w:ascii="Calibri" w:hAnsi="Calibri" w:cs="Calibri"/>
          <w:b/>
          <w:bCs/>
          <w:noProof/>
        </w:rPr>
        <w:t>1</w:t>
      </w:r>
      <w:r w:rsidRPr="00105882">
        <w:rPr>
          <w:rFonts w:ascii="Calibri" w:hAnsi="Calibri" w:cs="Calibri"/>
          <w:b/>
          <w:bCs/>
        </w:rPr>
        <w:fldChar w:fldCharType="end"/>
      </w:r>
      <w:r w:rsidRPr="00105882">
        <w:rPr>
          <w:rFonts w:ascii="Calibri" w:hAnsi="Calibri" w:cs="Calibri"/>
          <w:b/>
          <w:bCs/>
        </w:rPr>
        <w:t>:</w:t>
      </w:r>
      <w:r w:rsidRPr="00105882">
        <w:rPr>
          <w:rFonts w:ascii="Calibri" w:hAnsi="Calibri" w:cs="Calibri"/>
        </w:rPr>
        <w:t xml:space="preserve"> </w:t>
      </w:r>
      <w:r w:rsidRPr="00105882">
        <w:rPr>
          <w:rFonts w:ascii="Calibri" w:hAnsi="Calibri" w:cs="Calibri"/>
          <w:iCs/>
        </w:rPr>
        <w:t>Table: Comparison of Cybersecurity Integration Theories (source: created by the author</w:t>
      </w:r>
      <w:r w:rsidRPr="00105882">
        <w:rPr>
          <w:rFonts w:ascii="Calibri" w:hAnsi="Calibri" w:cs="Calibri"/>
          <w:iCs/>
        </w:rPr>
        <w:t>s</w:t>
      </w:r>
      <w:r w:rsidRPr="00105882">
        <w:rPr>
          <w:rFonts w:ascii="Calibri" w:hAnsi="Calibri" w:cs="Calibri"/>
          <w:iCs/>
        </w:rPr>
        <w:t>).</w:t>
      </w:r>
    </w:p>
    <w:p w14:paraId="0DEB8C2A" w14:textId="77777777" w:rsidR="00105882" w:rsidRDefault="00105882" w:rsidP="00105882">
      <w:pPr>
        <w:spacing w:line="360" w:lineRule="auto"/>
        <w:jc w:val="both"/>
        <w:rPr>
          <w:rFonts w:ascii="Calibri" w:eastAsia="Times New Roman" w:hAnsi="Calibri" w:cs="Calibri"/>
          <w:b/>
          <w:lang w:val="en-GB"/>
        </w:rPr>
      </w:pPr>
    </w:p>
    <w:p w14:paraId="0A66979A" w14:textId="77777777" w:rsidR="00105882" w:rsidRDefault="00105882" w:rsidP="00105882">
      <w:pPr>
        <w:spacing w:line="360" w:lineRule="auto"/>
        <w:jc w:val="both"/>
        <w:rPr>
          <w:rFonts w:ascii="Calibri" w:eastAsia="Times New Roman" w:hAnsi="Calibri" w:cs="Calibri"/>
          <w:b/>
          <w:lang w:val="en-GB"/>
        </w:rPr>
      </w:pPr>
    </w:p>
    <w:p w14:paraId="2B8352C2" w14:textId="206CD651"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lastRenderedPageBreak/>
        <w:t xml:space="preserve">7. </w:t>
      </w:r>
      <w:r w:rsidR="001A1FEE" w:rsidRPr="00105882">
        <w:rPr>
          <w:rFonts w:ascii="Calibri" w:eastAsia="Times New Roman" w:hAnsi="Calibri" w:cs="Calibri"/>
          <w:b/>
          <w:lang w:val="en-GB"/>
        </w:rPr>
        <w:t>Speculative</w:t>
      </w:r>
      <w:r w:rsidRPr="00105882">
        <w:rPr>
          <w:rFonts w:ascii="Calibri" w:eastAsia="Times New Roman" w:hAnsi="Calibri" w:cs="Calibri"/>
          <w:b/>
          <w:lang w:val="en-GB"/>
        </w:rPr>
        <w:t xml:space="preserve"> </w:t>
      </w:r>
      <w:r w:rsidR="001A1FEE" w:rsidRPr="00105882">
        <w:rPr>
          <w:rFonts w:ascii="Calibri" w:eastAsia="Times New Roman" w:hAnsi="Calibri" w:cs="Calibri"/>
          <w:b/>
          <w:lang w:val="en-GB"/>
        </w:rPr>
        <w:t>Justification</w:t>
      </w:r>
      <w:r w:rsidRPr="00105882">
        <w:rPr>
          <w:rFonts w:ascii="Calibri" w:eastAsia="Times New Roman" w:hAnsi="Calibri" w:cs="Calibri"/>
          <w:b/>
          <w:lang w:val="en-GB"/>
        </w:rPr>
        <w:t xml:space="preserve"> for </w:t>
      </w:r>
      <w:r w:rsidR="001A1FEE" w:rsidRPr="00105882">
        <w:rPr>
          <w:rFonts w:ascii="Calibri" w:eastAsia="Times New Roman" w:hAnsi="Calibri" w:cs="Calibri"/>
          <w:b/>
          <w:lang w:val="en-GB"/>
        </w:rPr>
        <w:t>Building</w:t>
      </w:r>
      <w:r w:rsidRPr="00105882">
        <w:rPr>
          <w:rFonts w:ascii="Calibri" w:eastAsia="Times New Roman" w:hAnsi="Calibri" w:cs="Calibri"/>
          <w:b/>
          <w:lang w:val="en-GB"/>
        </w:rPr>
        <w:t xml:space="preserve"> the LSCIF</w:t>
      </w:r>
      <w:r w:rsidRPr="00105882">
        <w:rPr>
          <w:rFonts w:ascii="Calibri" w:eastAsia="Times New Roman" w:hAnsi="Calibri" w:cs="Calibri"/>
          <w:lang w:val="en-GB"/>
        </w:rPr>
        <w:t xml:space="preserve">      </w:t>
      </w:r>
    </w:p>
    <w:p w14:paraId="680AB830"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7.1 LSCIF </w:t>
      </w:r>
      <w:r w:rsidR="002D1AFE" w:rsidRPr="00105882">
        <w:rPr>
          <w:rFonts w:ascii="Calibri" w:eastAsia="Times New Roman" w:hAnsi="Calibri" w:cs="Calibri"/>
          <w:b/>
          <w:lang w:val="en-GB"/>
        </w:rPr>
        <w:t>vs.</w:t>
      </w:r>
      <w:r w:rsidRPr="00105882">
        <w:rPr>
          <w:rFonts w:ascii="Calibri" w:eastAsia="Times New Roman" w:hAnsi="Calibri" w:cs="Calibri"/>
          <w:b/>
          <w:lang w:val="en-GB"/>
        </w:rPr>
        <w:t xml:space="preserve"> TAM</w:t>
      </w:r>
    </w:p>
    <w:p w14:paraId="7E48EFDC"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LSCIF differs from the TAM, which conceptualises technology use as a function of perceived usefulness and ease of use (Davis, 1989). The former illustrates that the integration of cybersecurity in SMEs is not usually a voluntary action, and this cannot be explained solely on the basis of individual acceptance. Frequently, it is the threat of exposure, regulators, or clients that mandate security controls, which renders individual intention inadequate as an explanatory mechanism. This TAM limitation in settings involving cybersecurity has been broadly recognised (von Solms &amp; von Solms, 2018). This is a critique extended by the LSCIF, which reveals that usability failures operate at the level of the organisation, creating systematic workarounds as opposed to isolated cases of non-compliance. </w:t>
      </w:r>
    </w:p>
    <w:p w14:paraId="4F26D6BD" w14:textId="77777777" w:rsidR="00F03687" w:rsidRPr="00105882" w:rsidRDefault="00F03687" w:rsidP="00105882">
      <w:pPr>
        <w:spacing w:line="360" w:lineRule="auto"/>
        <w:jc w:val="both"/>
        <w:rPr>
          <w:rFonts w:ascii="Calibri" w:eastAsia="Times New Roman" w:hAnsi="Calibri" w:cs="Calibri"/>
          <w:lang w:val="en-GB"/>
        </w:rPr>
      </w:pPr>
    </w:p>
    <w:p w14:paraId="2008E867"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7.2 LSCIF </w:t>
      </w:r>
      <w:r w:rsidR="002D1AFE" w:rsidRPr="00105882">
        <w:rPr>
          <w:rFonts w:ascii="Calibri" w:eastAsia="Times New Roman" w:hAnsi="Calibri" w:cs="Calibri"/>
          <w:b/>
          <w:lang w:val="en-GB"/>
        </w:rPr>
        <w:t>vs.</w:t>
      </w:r>
      <w:r w:rsidRPr="00105882">
        <w:rPr>
          <w:rFonts w:ascii="Calibri" w:eastAsia="Times New Roman" w:hAnsi="Calibri" w:cs="Calibri"/>
          <w:b/>
          <w:lang w:val="en-GB"/>
        </w:rPr>
        <w:t xml:space="preserve"> TOE </w:t>
      </w:r>
    </w:p>
    <w:p w14:paraId="10C885CC"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TOE framework </w:t>
      </w:r>
      <w:r w:rsidR="001C222F" w:rsidRPr="00105882">
        <w:rPr>
          <w:rFonts w:ascii="Calibri" w:eastAsia="Times New Roman" w:hAnsi="Calibri" w:cs="Calibri"/>
          <w:lang w:val="en-GB"/>
        </w:rPr>
        <w:t>provides</w:t>
      </w:r>
      <w:r w:rsidRPr="00105882">
        <w:rPr>
          <w:rFonts w:ascii="Calibri" w:eastAsia="Times New Roman" w:hAnsi="Calibri" w:cs="Calibri"/>
          <w:lang w:val="en-GB"/>
        </w:rPr>
        <w:t xml:space="preserve"> an lens for comprehending technology adoption (Tornatzky &amp; Fleischer, 1990). However, it remains inadequate when it comes to explaining cybersecurity integration. As has been illustrated by past studies, the assumption behind TOE is that the environments are generally non-adversarial, governance structures are stable, and the organisation has capacity (Hadžiosmanović &amp; Rindell, 2023). The LSCIF extends TOE by overtly modelling hostile threat actors, pressures related to supply chain trust, and constrained resources in SMEs. Consequently, it transforms TOE from an adoption model into a sociotechnical integration framework applicable to cybersecurity research. </w:t>
      </w:r>
    </w:p>
    <w:p w14:paraId="77C1966F" w14:textId="77777777" w:rsidR="00F03687" w:rsidRPr="00105882" w:rsidRDefault="00F03687" w:rsidP="00105882">
      <w:pPr>
        <w:spacing w:line="360" w:lineRule="auto"/>
        <w:jc w:val="both"/>
        <w:rPr>
          <w:rFonts w:ascii="Calibri" w:eastAsia="Times New Roman" w:hAnsi="Calibri" w:cs="Calibri"/>
          <w:lang w:val="en-GB"/>
        </w:rPr>
      </w:pPr>
    </w:p>
    <w:p w14:paraId="58B50A6C"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7.3 LSCIF </w:t>
      </w:r>
      <w:r w:rsidR="002D1AFE" w:rsidRPr="00105882">
        <w:rPr>
          <w:rFonts w:ascii="Calibri" w:eastAsia="Times New Roman" w:hAnsi="Calibri" w:cs="Calibri"/>
          <w:b/>
          <w:lang w:val="en-GB"/>
        </w:rPr>
        <w:t>vs.</w:t>
      </w:r>
      <w:r w:rsidRPr="00105882">
        <w:rPr>
          <w:rFonts w:ascii="Calibri" w:eastAsia="Times New Roman" w:hAnsi="Calibri" w:cs="Calibri"/>
          <w:b/>
          <w:lang w:val="en-GB"/>
        </w:rPr>
        <w:t xml:space="preserve"> STS</w:t>
      </w:r>
    </w:p>
    <w:p w14:paraId="345DB2DE"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sociotechnical systems theory (STS) appropriately recognises cybersecurity as a joint outcome of several elements, including technological systems, organisational processes, and human behaviour (Ktorza &amp; Bace, 2022). Nonetheless, STS is still mainly descriptive and fails to present prescriptive guidance for organisations that operate under severe resource constraints. Through its operationalisation of sociotechnical principles into three actionable constructs, the LSCIF advances STS, rendering </w:t>
      </w:r>
      <w:r w:rsidR="008C50DC" w:rsidRPr="00105882">
        <w:rPr>
          <w:rFonts w:ascii="Calibri" w:eastAsia="Times New Roman" w:hAnsi="Calibri" w:cs="Calibri"/>
          <w:lang w:val="en-GB"/>
        </w:rPr>
        <w:t>it</w:t>
      </w:r>
      <w:r w:rsidRPr="00105882">
        <w:rPr>
          <w:rFonts w:ascii="Calibri" w:eastAsia="Times New Roman" w:hAnsi="Calibri" w:cs="Calibri"/>
          <w:lang w:val="en-GB"/>
        </w:rPr>
        <w:t xml:space="preserve"> practically applicable. These actionable constructs include Lean Governance, Human-Centric Usability, and Commercial Trust Alignment.  </w:t>
      </w:r>
    </w:p>
    <w:p w14:paraId="09A3BC21" w14:textId="77777777" w:rsidR="00F03687" w:rsidRPr="00105882" w:rsidRDefault="00F03687" w:rsidP="00105882">
      <w:pPr>
        <w:spacing w:line="360" w:lineRule="auto"/>
        <w:jc w:val="both"/>
        <w:rPr>
          <w:rFonts w:ascii="Calibri" w:eastAsia="Times New Roman" w:hAnsi="Calibri" w:cs="Calibri"/>
          <w:lang w:val="en-GB"/>
        </w:rPr>
      </w:pPr>
    </w:p>
    <w:p w14:paraId="6974EA6B" w14:textId="551F86F3"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7.4 </w:t>
      </w:r>
      <w:r w:rsidR="001A1FEE" w:rsidRPr="00105882">
        <w:rPr>
          <w:rFonts w:ascii="Calibri" w:eastAsia="Times New Roman" w:hAnsi="Calibri" w:cs="Calibri"/>
          <w:b/>
          <w:lang w:val="en-GB"/>
        </w:rPr>
        <w:t>Serviceability</w:t>
      </w:r>
      <w:r w:rsidRPr="00105882">
        <w:rPr>
          <w:rFonts w:ascii="Calibri" w:eastAsia="Times New Roman" w:hAnsi="Calibri" w:cs="Calibri"/>
          <w:b/>
          <w:lang w:val="en-GB"/>
        </w:rPr>
        <w:t xml:space="preserve"> as a </w:t>
      </w:r>
      <w:r w:rsidR="001A1FEE" w:rsidRPr="00105882">
        <w:rPr>
          <w:rFonts w:ascii="Calibri" w:eastAsia="Times New Roman" w:hAnsi="Calibri" w:cs="Calibri"/>
          <w:b/>
          <w:lang w:val="en-GB"/>
        </w:rPr>
        <w:t>Central</w:t>
      </w:r>
      <w:r w:rsidRPr="00105882">
        <w:rPr>
          <w:rFonts w:ascii="Calibri" w:eastAsia="Times New Roman" w:hAnsi="Calibri" w:cs="Calibri"/>
          <w:b/>
          <w:lang w:val="en-GB"/>
        </w:rPr>
        <w:t xml:space="preserve"> </w:t>
      </w:r>
      <w:r w:rsidR="001A1FEE" w:rsidRPr="00105882">
        <w:rPr>
          <w:rFonts w:ascii="Calibri" w:eastAsia="Times New Roman" w:hAnsi="Calibri" w:cs="Calibri"/>
          <w:b/>
          <w:lang w:val="en-GB"/>
        </w:rPr>
        <w:t>Determining factor</w:t>
      </w:r>
      <w:r w:rsidRPr="00105882">
        <w:rPr>
          <w:rFonts w:ascii="Calibri" w:eastAsia="Times New Roman" w:hAnsi="Calibri" w:cs="Calibri"/>
          <w:b/>
          <w:lang w:val="en-GB"/>
        </w:rPr>
        <w:t xml:space="preserve"> </w:t>
      </w:r>
    </w:p>
    <w:p w14:paraId="0DBC943D" w14:textId="598DE54F" w:rsidR="001A1FEE"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In alignment with evidence that human error and usability breakdowns remain leading breach vectors (Verizon, 2025; Sophos, 2023), the LSCIF raises usability from a subordinate design concern to a primary </w:t>
      </w:r>
      <w:r w:rsidRPr="00105882">
        <w:rPr>
          <w:rFonts w:ascii="Calibri" w:eastAsia="Times New Roman" w:hAnsi="Calibri" w:cs="Calibri"/>
          <w:lang w:val="en-GB"/>
        </w:rPr>
        <w:lastRenderedPageBreak/>
        <w:t xml:space="preserve">security determinant. Such a finding validates </w:t>
      </w:r>
      <w:r w:rsidR="008C50DC" w:rsidRPr="00105882">
        <w:rPr>
          <w:rFonts w:ascii="Calibri" w:eastAsia="Times New Roman" w:hAnsi="Calibri" w:cs="Calibri"/>
          <w:lang w:val="en-GB"/>
        </w:rPr>
        <w:t>and extends</w:t>
      </w:r>
      <w:r w:rsidRPr="00105882">
        <w:rPr>
          <w:rFonts w:ascii="Calibri" w:eastAsia="Times New Roman" w:hAnsi="Calibri" w:cs="Calibri"/>
          <w:lang w:val="en-GB"/>
        </w:rPr>
        <w:t xml:space="preserve"> previous studies assimilating human-computer interaction into cybersecurity analysis (Ktorza &amp; Bace, 2022). It also presents a challenge to traditional security models, framing usability as a trade-off, as opposed to an enabler. </w:t>
      </w:r>
    </w:p>
    <w:p w14:paraId="0AFB1993" w14:textId="77777777" w:rsidR="00105882" w:rsidRPr="00105882" w:rsidRDefault="00105882" w:rsidP="00105882">
      <w:pPr>
        <w:spacing w:line="360" w:lineRule="auto"/>
        <w:jc w:val="both"/>
        <w:rPr>
          <w:rFonts w:ascii="Calibri" w:eastAsia="Times New Roman" w:hAnsi="Calibri" w:cs="Calibri"/>
          <w:lang w:val="en-GB"/>
        </w:rPr>
      </w:pPr>
    </w:p>
    <w:p w14:paraId="252A77DE" w14:textId="64DE98F2" w:rsidR="00F03687" w:rsidRPr="00105882" w:rsidRDefault="002D1AFE"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7.5 </w:t>
      </w:r>
      <w:r w:rsidR="001A1FEE" w:rsidRPr="00105882">
        <w:rPr>
          <w:rFonts w:ascii="Calibri" w:eastAsia="Times New Roman" w:hAnsi="Calibri" w:cs="Calibri"/>
          <w:b/>
          <w:lang w:val="en-GB"/>
        </w:rPr>
        <w:t>Industrial</w:t>
      </w:r>
      <w:r w:rsidR="00E65F38" w:rsidRPr="00105882">
        <w:rPr>
          <w:rFonts w:ascii="Calibri" w:eastAsia="Times New Roman" w:hAnsi="Calibri" w:cs="Calibri"/>
          <w:b/>
          <w:lang w:val="en-GB"/>
        </w:rPr>
        <w:t xml:space="preserve"> </w:t>
      </w:r>
      <w:r w:rsidR="001A1FEE" w:rsidRPr="00105882">
        <w:rPr>
          <w:rFonts w:ascii="Calibri" w:eastAsia="Times New Roman" w:hAnsi="Calibri" w:cs="Calibri"/>
          <w:b/>
          <w:lang w:val="en-GB"/>
        </w:rPr>
        <w:t>Entrust</w:t>
      </w:r>
      <w:r w:rsidR="00E65F38" w:rsidRPr="00105882">
        <w:rPr>
          <w:rFonts w:ascii="Calibri" w:eastAsia="Times New Roman" w:hAnsi="Calibri" w:cs="Calibri"/>
          <w:b/>
          <w:lang w:val="en-GB"/>
        </w:rPr>
        <w:t xml:space="preserve"> </w:t>
      </w:r>
      <w:r w:rsidR="001A1FEE" w:rsidRPr="00105882">
        <w:rPr>
          <w:rFonts w:ascii="Calibri" w:eastAsia="Times New Roman" w:hAnsi="Calibri" w:cs="Calibri"/>
          <w:b/>
          <w:lang w:val="en-GB"/>
        </w:rPr>
        <w:t>Orientation</w:t>
      </w:r>
    </w:p>
    <w:p w14:paraId="69453D50"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environmental aspect of cybersecurity integration is progressively influenced by supply chain dependence and the requirements of the client with regard to trust. From industry and government reports, it is confirmed that SMEs are regularly targeted as easier points for accessing larger ecosystems (ENISA, 2021; DSIT, 2023). This shift is formalised by the LSCIF, through conceptualising cybersecurity as a commercial trust capability as opposed to a regulatory obligation. This is in alignment with evidence showing that client assurance demands and procurement audits now surpass regulation as drivers of integration.   </w:t>
      </w:r>
    </w:p>
    <w:p w14:paraId="204E12B6" w14:textId="77777777" w:rsidR="00F03687" w:rsidRPr="00105882" w:rsidRDefault="00F03687" w:rsidP="00105882">
      <w:pPr>
        <w:spacing w:line="360" w:lineRule="auto"/>
        <w:jc w:val="both"/>
        <w:rPr>
          <w:rFonts w:ascii="Calibri" w:eastAsia="Times New Roman" w:hAnsi="Calibri" w:cs="Calibri"/>
          <w:lang w:val="en-GB"/>
        </w:rPr>
      </w:pPr>
    </w:p>
    <w:p w14:paraId="6E309220" w14:textId="392CA930" w:rsidR="00F03687" w:rsidRPr="00105882" w:rsidRDefault="002D1AFE"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8. </w:t>
      </w:r>
      <w:r w:rsidR="00E65F38" w:rsidRPr="00105882">
        <w:rPr>
          <w:rFonts w:ascii="Calibri" w:eastAsia="Times New Roman" w:hAnsi="Calibri" w:cs="Calibri"/>
          <w:b/>
          <w:lang w:val="en-GB"/>
        </w:rPr>
        <w:t xml:space="preserve">Theoretical </w:t>
      </w:r>
      <w:r w:rsidR="001A1FEE" w:rsidRPr="00105882">
        <w:rPr>
          <w:rFonts w:ascii="Calibri" w:eastAsia="Times New Roman" w:hAnsi="Calibri" w:cs="Calibri"/>
          <w:b/>
          <w:lang w:val="en-GB"/>
        </w:rPr>
        <w:t>Influences</w:t>
      </w:r>
      <w:r w:rsidR="00E65F38" w:rsidRPr="00105882">
        <w:rPr>
          <w:rFonts w:ascii="Calibri" w:eastAsia="Times New Roman" w:hAnsi="Calibri" w:cs="Calibri"/>
          <w:b/>
          <w:lang w:val="en-GB"/>
        </w:rPr>
        <w:t xml:space="preserve"> and Insights </w:t>
      </w:r>
    </w:p>
    <w:p w14:paraId="5862D6CD" w14:textId="7E32DCAA" w:rsidR="00F03687" w:rsidRPr="00105882" w:rsidRDefault="002D1AFE"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8.1</w:t>
      </w:r>
      <w:r w:rsidR="00E65F38" w:rsidRPr="00105882">
        <w:rPr>
          <w:rFonts w:ascii="Calibri" w:eastAsia="Times New Roman" w:hAnsi="Calibri" w:cs="Calibri"/>
          <w:b/>
          <w:lang w:val="en-GB"/>
        </w:rPr>
        <w:t xml:space="preserve"> Reframing Cybersecurity from </w:t>
      </w:r>
      <w:r w:rsidR="001A1FEE" w:rsidRPr="00105882">
        <w:rPr>
          <w:rFonts w:ascii="Calibri" w:eastAsia="Times New Roman" w:hAnsi="Calibri" w:cs="Calibri"/>
          <w:b/>
          <w:lang w:val="en-GB"/>
        </w:rPr>
        <w:t>Embracing</w:t>
      </w:r>
      <w:r w:rsidR="00E65F38" w:rsidRPr="00105882">
        <w:rPr>
          <w:rFonts w:ascii="Calibri" w:eastAsia="Times New Roman" w:hAnsi="Calibri" w:cs="Calibri"/>
          <w:b/>
          <w:lang w:val="en-GB"/>
        </w:rPr>
        <w:t xml:space="preserve"> to Organisational </w:t>
      </w:r>
      <w:r w:rsidR="001A1FEE" w:rsidRPr="00105882">
        <w:rPr>
          <w:rFonts w:ascii="Calibri" w:eastAsia="Times New Roman" w:hAnsi="Calibri" w:cs="Calibri"/>
          <w:b/>
          <w:lang w:val="en-GB"/>
        </w:rPr>
        <w:t>Amalgamation</w:t>
      </w:r>
    </w:p>
    <w:p w14:paraId="62D75601"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This study produces a foundational theoretical contribution. It accomplished this by overtly differentiating between cybersecurity integration and cybersecurity adoption. </w:t>
      </w:r>
      <w:r w:rsidR="007C28B7" w:rsidRPr="00105882">
        <w:rPr>
          <w:rFonts w:ascii="Calibri" w:eastAsia="Times New Roman" w:hAnsi="Calibri" w:cs="Calibri"/>
          <w:lang w:val="en-GB"/>
        </w:rPr>
        <w:t xml:space="preserve">Even though the leading models </w:t>
      </w:r>
      <w:r w:rsidRPr="00105882">
        <w:rPr>
          <w:rFonts w:ascii="Calibri" w:eastAsia="Times New Roman" w:hAnsi="Calibri" w:cs="Calibri"/>
          <w:lang w:val="en-GB"/>
        </w:rPr>
        <w:t xml:space="preserve">focus on whether technologies are adopted, this study illustrates that adoption is not a strong proxy for effective cybersecurity outcomes in IT SMEs. As it theorises integration as the embedding of cybersecurity into workflows, routines, and organisational culture, this study contributes to the advancement of the information management theory to transcend binary adoption logic and deal with an enduring explanatory gap.       </w:t>
      </w:r>
    </w:p>
    <w:p w14:paraId="7A0B54E7" w14:textId="77777777" w:rsidR="00F03687" w:rsidRPr="00105882" w:rsidRDefault="00F03687" w:rsidP="00105882">
      <w:pPr>
        <w:spacing w:line="360" w:lineRule="auto"/>
        <w:jc w:val="both"/>
        <w:rPr>
          <w:rFonts w:ascii="Calibri" w:eastAsia="Times New Roman" w:hAnsi="Calibri" w:cs="Calibri"/>
          <w:lang w:val="en-GB"/>
        </w:rPr>
      </w:pPr>
    </w:p>
    <w:p w14:paraId="1FC51B61" w14:textId="25114A25"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b/>
          <w:bCs/>
          <w:lang w:val="en-GB"/>
        </w:rPr>
        <w:t>8.2</w:t>
      </w:r>
      <w:r w:rsidRPr="00105882">
        <w:rPr>
          <w:rFonts w:ascii="Calibri" w:eastAsia="Times New Roman" w:hAnsi="Calibri" w:cs="Calibri"/>
          <w:lang w:val="en-GB"/>
        </w:rPr>
        <w:t xml:space="preserve"> </w:t>
      </w:r>
      <w:r w:rsidR="0071271C" w:rsidRPr="00105882">
        <w:rPr>
          <w:rFonts w:ascii="Calibri" w:eastAsia="Times New Roman" w:hAnsi="Calibri" w:cs="Calibri"/>
          <w:b/>
          <w:bCs/>
          <w:lang w:val="en-GB"/>
        </w:rPr>
        <w:t>Encompassing</w:t>
      </w:r>
      <w:r w:rsidRPr="00105882">
        <w:rPr>
          <w:rFonts w:ascii="Calibri" w:eastAsia="Times New Roman" w:hAnsi="Calibri" w:cs="Calibri"/>
          <w:b/>
          <w:bCs/>
          <w:lang w:val="en-GB"/>
        </w:rPr>
        <w:t xml:space="preserve"> the TOE Framework for </w:t>
      </w:r>
      <w:r w:rsidR="0071271C" w:rsidRPr="00105882">
        <w:rPr>
          <w:rFonts w:ascii="Calibri" w:eastAsia="Times New Roman" w:hAnsi="Calibri" w:cs="Calibri"/>
          <w:b/>
          <w:bCs/>
          <w:lang w:val="en-GB"/>
        </w:rPr>
        <w:t>Confrontational</w:t>
      </w:r>
      <w:r w:rsidRPr="00105882">
        <w:rPr>
          <w:rFonts w:ascii="Calibri" w:eastAsia="Times New Roman" w:hAnsi="Calibri" w:cs="Calibri"/>
          <w:b/>
          <w:bCs/>
          <w:lang w:val="en-GB"/>
        </w:rPr>
        <w:t xml:space="preserve"> </w:t>
      </w:r>
      <w:r w:rsidR="0071271C" w:rsidRPr="00105882">
        <w:rPr>
          <w:rFonts w:ascii="Calibri" w:eastAsia="Times New Roman" w:hAnsi="Calibri" w:cs="Calibri"/>
          <w:b/>
          <w:bCs/>
          <w:lang w:val="en-GB"/>
        </w:rPr>
        <w:t>Setting</w:t>
      </w:r>
    </w:p>
    <w:p w14:paraId="67B81CA5"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A key theoretical contribution can be found in the extension of the TOE framework to environments that are adversarial or resource-constrained. This study illustrates that the traditional assumptions held by the TOE, like non-hostile contexts, organisational capacity, and stable environments, are not analytically sufficient for cybersecurity. TOE is reengineered by the LSCIF to explicitly account for SME constraints, pressures related to supply chains, and hostile threat actors, which transforms TOE from an adoption model into an integration-oriented cybersecurity theory. </w:t>
      </w:r>
    </w:p>
    <w:p w14:paraId="1D2FDFED" w14:textId="77777777" w:rsidR="00F03687" w:rsidRPr="00105882" w:rsidRDefault="00F03687" w:rsidP="00105882">
      <w:pPr>
        <w:spacing w:line="360" w:lineRule="auto"/>
        <w:jc w:val="both"/>
        <w:rPr>
          <w:rFonts w:ascii="Calibri" w:eastAsia="Times New Roman" w:hAnsi="Calibri" w:cs="Calibri"/>
          <w:lang w:val="en-GB"/>
        </w:rPr>
      </w:pPr>
    </w:p>
    <w:p w14:paraId="50AE55D9" w14:textId="3D7C20FC"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8.3 </w:t>
      </w:r>
      <w:r w:rsidR="0071271C" w:rsidRPr="00105882">
        <w:rPr>
          <w:rFonts w:ascii="Calibri" w:eastAsia="Times New Roman" w:hAnsi="Calibri" w:cs="Calibri"/>
          <w:b/>
          <w:lang w:val="en-GB"/>
        </w:rPr>
        <w:t>Recognition</w:t>
      </w:r>
      <w:r w:rsidRPr="00105882">
        <w:rPr>
          <w:rFonts w:ascii="Calibri" w:eastAsia="Times New Roman" w:hAnsi="Calibri" w:cs="Calibri"/>
          <w:b/>
          <w:lang w:val="en-GB"/>
        </w:rPr>
        <w:t xml:space="preserve"> of Five Cybersecurity </w:t>
      </w:r>
      <w:r w:rsidR="0071271C" w:rsidRPr="00105882">
        <w:rPr>
          <w:rFonts w:ascii="Calibri" w:eastAsia="Times New Roman" w:hAnsi="Calibri" w:cs="Calibri"/>
          <w:b/>
          <w:lang w:val="en-GB"/>
        </w:rPr>
        <w:t>Amalgamation</w:t>
      </w:r>
      <w:r w:rsidRPr="00105882">
        <w:rPr>
          <w:rFonts w:ascii="Calibri" w:eastAsia="Times New Roman" w:hAnsi="Calibri" w:cs="Calibri"/>
          <w:b/>
          <w:lang w:val="en-GB"/>
        </w:rPr>
        <w:t xml:space="preserve"> </w:t>
      </w:r>
      <w:r w:rsidR="0071271C" w:rsidRPr="00105882">
        <w:rPr>
          <w:rFonts w:ascii="Calibri" w:eastAsia="Times New Roman" w:hAnsi="Calibri" w:cs="Calibri"/>
          <w:b/>
          <w:lang w:val="en-GB"/>
        </w:rPr>
        <w:t>Failure</w:t>
      </w:r>
      <w:r w:rsidRPr="00105882">
        <w:rPr>
          <w:rFonts w:ascii="Calibri" w:eastAsia="Times New Roman" w:hAnsi="Calibri" w:cs="Calibri"/>
          <w:b/>
          <w:lang w:val="en-GB"/>
        </w:rPr>
        <w:t xml:space="preserve"> Mechanisms</w:t>
      </w:r>
    </w:p>
    <w:p w14:paraId="4B203C00"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lastRenderedPageBreak/>
        <w:t xml:space="preserve">Through systematic qualitative document analysis, five recurring integration breakdown mechanisms emerge: resource–risk asymmetry, governance–agility conflict, usability-driven security fatigue, supply-chain dependency pressure, and security tool fragmentation. These contrivances represent a mid-range theoretical contribution, elucidating the how and why of cybersecurity integration structural failure in IT SMEs, as opposed to attributing failure to isolated behavioural or technical issues.  </w:t>
      </w:r>
    </w:p>
    <w:p w14:paraId="2EAAA17F" w14:textId="77777777" w:rsidR="00F03687" w:rsidRPr="00105882" w:rsidRDefault="00F03687" w:rsidP="00105882">
      <w:pPr>
        <w:spacing w:line="360" w:lineRule="auto"/>
        <w:jc w:val="both"/>
        <w:rPr>
          <w:rFonts w:ascii="Calibri" w:eastAsia="Times New Roman" w:hAnsi="Calibri" w:cs="Calibri"/>
          <w:lang w:val="en-GB"/>
        </w:rPr>
      </w:pPr>
    </w:p>
    <w:p w14:paraId="63024247" w14:textId="464A6DF0"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8.4 </w:t>
      </w:r>
      <w:r w:rsidR="0071271C" w:rsidRPr="00105882">
        <w:rPr>
          <w:rFonts w:ascii="Calibri" w:eastAsia="Times New Roman" w:hAnsi="Calibri" w:cs="Calibri"/>
          <w:b/>
          <w:lang w:val="en-GB"/>
        </w:rPr>
        <w:t>Establishment</w:t>
      </w:r>
      <w:r w:rsidRPr="00105882">
        <w:rPr>
          <w:rFonts w:ascii="Calibri" w:eastAsia="Times New Roman" w:hAnsi="Calibri" w:cs="Calibri"/>
          <w:b/>
          <w:lang w:val="en-GB"/>
        </w:rPr>
        <w:t xml:space="preserve"> of Lean Governance as a New Information Governance Construct</w:t>
      </w:r>
    </w:p>
    <w:p w14:paraId="68B58006"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idea of Lean Governance denotes a novel theoretical contribution to research around information governance. This study presents a challenge to the dominant assumption that effective governance necessitates hierarchy, documentation, or formalisation. Rather, governance is theorised by Lean Governance as an embedded, low-friction, automation-oriented sociotechnical capability, aligned with SME agility. For resource-constrained organisations that are also digitally intensive, this reframes governance. </w:t>
      </w:r>
    </w:p>
    <w:p w14:paraId="15FD450B" w14:textId="77777777" w:rsidR="00F03687" w:rsidRPr="00105882" w:rsidRDefault="00F03687" w:rsidP="00105882">
      <w:pPr>
        <w:spacing w:line="360" w:lineRule="auto"/>
        <w:jc w:val="both"/>
        <w:rPr>
          <w:rFonts w:ascii="Calibri" w:eastAsia="Times New Roman" w:hAnsi="Calibri" w:cs="Calibri"/>
          <w:lang w:val="en-GB"/>
        </w:rPr>
      </w:pPr>
    </w:p>
    <w:p w14:paraId="304E68D3" w14:textId="1A58270D"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8.</w:t>
      </w:r>
      <w:r w:rsidR="002D1AFE" w:rsidRPr="00105882">
        <w:rPr>
          <w:rFonts w:ascii="Calibri" w:eastAsia="Times New Roman" w:hAnsi="Calibri" w:cs="Calibri"/>
          <w:b/>
          <w:lang w:val="en-GB"/>
        </w:rPr>
        <w:t>5</w:t>
      </w:r>
      <w:r w:rsidRPr="00105882">
        <w:rPr>
          <w:rFonts w:ascii="Calibri" w:eastAsia="Times New Roman" w:hAnsi="Calibri" w:cs="Calibri"/>
          <w:b/>
          <w:lang w:val="en-GB"/>
        </w:rPr>
        <w:t xml:space="preserve"> </w:t>
      </w:r>
      <w:r w:rsidR="0071271C" w:rsidRPr="00105882">
        <w:rPr>
          <w:rFonts w:ascii="Calibri" w:eastAsia="Times New Roman" w:hAnsi="Calibri" w:cs="Calibri"/>
          <w:b/>
          <w:lang w:val="en-GB"/>
        </w:rPr>
        <w:t>Advancement</w:t>
      </w:r>
      <w:r w:rsidRPr="00105882">
        <w:rPr>
          <w:rFonts w:ascii="Calibri" w:eastAsia="Times New Roman" w:hAnsi="Calibri" w:cs="Calibri"/>
          <w:b/>
          <w:lang w:val="en-GB"/>
        </w:rPr>
        <w:t xml:space="preserve"> of Human-Centric Usability to a First-Order Security Determinant</w:t>
      </w:r>
    </w:p>
    <w:p w14:paraId="4B183879" w14:textId="77777777" w:rsidR="00F03687" w:rsidRPr="00105882" w:rsidRDefault="00800326"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This study contributes</w:t>
      </w:r>
      <w:r w:rsidR="00E65F38" w:rsidRPr="00105882">
        <w:rPr>
          <w:rFonts w:ascii="Calibri" w:eastAsia="Times New Roman" w:hAnsi="Calibri" w:cs="Calibri"/>
          <w:lang w:val="en-GB"/>
        </w:rPr>
        <w:t xml:space="preserve"> to the advancement of cybersecurity and information systems theory. It accomplished this by elevating usability from a subordinate design concern to a core determinant of cybersecurity integration. As it integrates human-computer interaction principles into cybersecurity theory, the LSCIF illustrates that usability-driven security fatigue is not solely a behavioural matter but also a structural cause of integration failure. This perspective makes available a theoretically grounded explanation for bypassing controls, shadow IT, and persistent workarounds. </w:t>
      </w:r>
    </w:p>
    <w:p w14:paraId="7B3B6148" w14:textId="77777777" w:rsidR="00F03687" w:rsidRPr="00105882" w:rsidRDefault="00F03687" w:rsidP="00105882">
      <w:pPr>
        <w:spacing w:line="360" w:lineRule="auto"/>
        <w:jc w:val="both"/>
        <w:rPr>
          <w:rFonts w:ascii="Calibri" w:eastAsia="Times New Roman" w:hAnsi="Calibri" w:cs="Calibri"/>
          <w:lang w:val="en-GB"/>
        </w:rPr>
      </w:pPr>
    </w:p>
    <w:p w14:paraId="300FF381" w14:textId="4F613493" w:rsidR="00F03687" w:rsidRPr="00105882" w:rsidRDefault="002D1AFE"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8.6</w:t>
      </w:r>
      <w:r w:rsidR="00E65F38" w:rsidRPr="00105882">
        <w:rPr>
          <w:rFonts w:ascii="Calibri" w:eastAsia="Times New Roman" w:hAnsi="Calibri" w:cs="Calibri"/>
          <w:b/>
          <w:lang w:val="en-GB"/>
        </w:rPr>
        <w:t xml:space="preserve"> Theorisation of Cybersecurity as a </w:t>
      </w:r>
      <w:r w:rsidR="0071271C" w:rsidRPr="00105882">
        <w:rPr>
          <w:rFonts w:ascii="Calibri" w:eastAsia="Times New Roman" w:hAnsi="Calibri" w:cs="Calibri"/>
          <w:b/>
          <w:lang w:val="en-GB"/>
        </w:rPr>
        <w:t>Business</w:t>
      </w:r>
      <w:r w:rsidR="00E65F38" w:rsidRPr="00105882">
        <w:rPr>
          <w:rFonts w:ascii="Calibri" w:eastAsia="Times New Roman" w:hAnsi="Calibri" w:cs="Calibri"/>
          <w:b/>
          <w:lang w:val="en-GB"/>
        </w:rPr>
        <w:t xml:space="preserve"> </w:t>
      </w:r>
      <w:r w:rsidR="0071271C" w:rsidRPr="00105882">
        <w:rPr>
          <w:rFonts w:ascii="Calibri" w:eastAsia="Times New Roman" w:hAnsi="Calibri" w:cs="Calibri"/>
          <w:b/>
          <w:lang w:val="en-GB"/>
        </w:rPr>
        <w:t>Entrust</w:t>
      </w:r>
      <w:r w:rsidR="00E65F38" w:rsidRPr="00105882">
        <w:rPr>
          <w:rFonts w:ascii="Calibri" w:eastAsia="Times New Roman" w:hAnsi="Calibri" w:cs="Calibri"/>
          <w:b/>
          <w:lang w:val="en-GB"/>
        </w:rPr>
        <w:t xml:space="preserve"> </w:t>
      </w:r>
      <w:r w:rsidR="0071271C" w:rsidRPr="00105882">
        <w:rPr>
          <w:rFonts w:ascii="Calibri" w:eastAsia="Times New Roman" w:hAnsi="Calibri" w:cs="Calibri"/>
          <w:b/>
          <w:lang w:val="en-GB"/>
        </w:rPr>
        <w:t>Ability</w:t>
      </w:r>
    </w:p>
    <w:p w14:paraId="6EFD6883"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conceptualisation of cybersecurity integration as a commercial trust and market legitimacy capability is another novel contribution of this study. The study reconceptualises the environmental aspect of TOE as adversarial and trust-based, influenced by ecosystem participation, supply-chain audits, and procurement requirements. This insight connects cybersecurity integration to theories of platform governance, signalling, and digital trust, which embeds information management theory into inter-organisational and ecosystem-level analysis. </w:t>
      </w:r>
    </w:p>
    <w:p w14:paraId="0A9F62D4" w14:textId="77777777" w:rsidR="00F03687" w:rsidRDefault="00F03687" w:rsidP="00105882">
      <w:pPr>
        <w:spacing w:line="360" w:lineRule="auto"/>
        <w:jc w:val="both"/>
        <w:rPr>
          <w:rFonts w:ascii="Calibri" w:eastAsia="Times New Roman" w:hAnsi="Calibri" w:cs="Calibri"/>
          <w:lang w:val="en-GB"/>
        </w:rPr>
      </w:pPr>
    </w:p>
    <w:p w14:paraId="47C1485D" w14:textId="77777777" w:rsidR="00105882" w:rsidRDefault="00105882" w:rsidP="00105882">
      <w:pPr>
        <w:spacing w:line="360" w:lineRule="auto"/>
        <w:jc w:val="both"/>
        <w:rPr>
          <w:rFonts w:ascii="Calibri" w:eastAsia="Times New Roman" w:hAnsi="Calibri" w:cs="Calibri"/>
          <w:lang w:val="en-GB"/>
        </w:rPr>
      </w:pPr>
    </w:p>
    <w:p w14:paraId="3090A26D" w14:textId="77777777" w:rsidR="00105882" w:rsidRPr="00105882" w:rsidRDefault="00105882" w:rsidP="00105882">
      <w:pPr>
        <w:spacing w:line="360" w:lineRule="auto"/>
        <w:jc w:val="both"/>
        <w:rPr>
          <w:rFonts w:ascii="Calibri" w:eastAsia="Times New Roman" w:hAnsi="Calibri" w:cs="Calibri"/>
          <w:lang w:val="en-GB"/>
        </w:rPr>
      </w:pPr>
    </w:p>
    <w:p w14:paraId="1F9F0E99" w14:textId="0875DAD6"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lastRenderedPageBreak/>
        <w:t xml:space="preserve">8.7 </w:t>
      </w:r>
      <w:r w:rsidR="0071271C" w:rsidRPr="00105882">
        <w:rPr>
          <w:rFonts w:ascii="Calibri" w:eastAsia="Times New Roman" w:hAnsi="Calibri" w:cs="Calibri"/>
          <w:b/>
          <w:lang w:val="en-GB"/>
        </w:rPr>
        <w:t>Advancement</w:t>
      </w:r>
      <w:r w:rsidRPr="00105882">
        <w:rPr>
          <w:rFonts w:ascii="Calibri" w:eastAsia="Times New Roman" w:hAnsi="Calibri" w:cs="Calibri"/>
          <w:b/>
          <w:lang w:val="en-GB"/>
        </w:rPr>
        <w:t xml:space="preserve"> of LSCIF </w:t>
      </w:r>
    </w:p>
    <w:p w14:paraId="33FFC42C"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Together, the contributions presented above are synthesised into the LSCIF. This framework represents a theory-building framework as opposed to a prescriptive model. The framework integrates a sociotechnical systems theory, information governance, and digital trust into a coherent explanation of cybersecurity integration in IT SMEs. Its value can be found in an analytical lens that is transparent with regard to future empirical testing, comparative studies, and design science research. </w:t>
      </w:r>
    </w:p>
    <w:p w14:paraId="7615957C" w14:textId="77777777" w:rsidR="00F03687" w:rsidRPr="00105882" w:rsidRDefault="00F03687" w:rsidP="00105882">
      <w:pPr>
        <w:spacing w:line="360" w:lineRule="auto"/>
        <w:jc w:val="both"/>
        <w:rPr>
          <w:rFonts w:ascii="Calibri" w:eastAsia="Times New Roman" w:hAnsi="Calibri" w:cs="Calibri"/>
          <w:lang w:val="en-GB"/>
        </w:rPr>
      </w:pPr>
    </w:p>
    <w:p w14:paraId="3514BD85" w14:textId="6A8A029A"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8.8: </w:t>
      </w:r>
      <w:r w:rsidR="0071271C" w:rsidRPr="00105882">
        <w:rPr>
          <w:rFonts w:ascii="Calibri" w:eastAsia="Times New Roman" w:hAnsi="Calibri" w:cs="Calibri"/>
          <w:b/>
          <w:lang w:val="en-GB"/>
        </w:rPr>
        <w:t>Influence</w:t>
      </w:r>
      <w:r w:rsidRPr="00105882">
        <w:rPr>
          <w:rFonts w:ascii="Calibri" w:eastAsia="Times New Roman" w:hAnsi="Calibri" w:cs="Calibri"/>
          <w:b/>
          <w:lang w:val="en-GB"/>
        </w:rPr>
        <w:t xml:space="preserve"> to Information Management Scholarship on Digital Resilience</w:t>
      </w:r>
    </w:p>
    <w:p w14:paraId="77B75A60"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Finally, this paper makes a contribution to a wider information management theory through positioning cybersecurity integration as a primary organisational resilience capability analogous to data governance or digital platform orchestration. This shifts cybersecurity from a technical subdomain into a core concern of research related to information management. This is especially the case in digitally intensive SME settings.          </w:t>
      </w:r>
    </w:p>
    <w:p w14:paraId="50130484"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          </w:t>
      </w:r>
    </w:p>
    <w:p w14:paraId="04A12EAC"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9.0 Limitations</w:t>
      </w:r>
    </w:p>
    <w:p w14:paraId="3688337C" w14:textId="15DB16BE"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Even though this study has presented a theoretically grounded and analytically sound framework advancing the comprehension of cybersecurity integration in IT sector SMEs, it is still vital to acknowledge its limitations. </w:t>
      </w:r>
      <w:r w:rsidR="00105882" w:rsidRPr="00105882">
        <w:rPr>
          <w:rFonts w:ascii="Calibri" w:eastAsia="Times New Roman" w:hAnsi="Calibri" w:cs="Calibri"/>
          <w:lang w:val="en-GB"/>
        </w:rPr>
        <w:t>I</w:t>
      </w:r>
      <w:r w:rsidRPr="00105882">
        <w:rPr>
          <w:rFonts w:ascii="Calibri" w:eastAsia="Times New Roman" w:hAnsi="Calibri" w:cs="Calibri"/>
          <w:lang w:val="en-GB"/>
        </w:rPr>
        <w:t xml:space="preserve">t is important to remain conscious that the limitations do not undermine the contributions of the study but rather define the scope and conditions under which the findings and LSCIF should be read. </w:t>
      </w:r>
    </w:p>
    <w:p w14:paraId="222BDBF6" w14:textId="77777777" w:rsidR="00F03687" w:rsidRPr="00105882" w:rsidRDefault="00F03687" w:rsidP="00105882">
      <w:pPr>
        <w:spacing w:line="360" w:lineRule="auto"/>
        <w:jc w:val="both"/>
        <w:rPr>
          <w:rFonts w:ascii="Calibri" w:eastAsia="Times New Roman" w:hAnsi="Calibri" w:cs="Calibri"/>
          <w:lang w:val="en-GB"/>
        </w:rPr>
      </w:pPr>
    </w:p>
    <w:p w14:paraId="771314EF" w14:textId="0C2BF8BE" w:rsidR="00F03687" w:rsidRPr="00105882" w:rsidRDefault="002D1AFE" w:rsidP="00105882">
      <w:pPr>
        <w:pStyle w:val="ListParagraph"/>
        <w:numPr>
          <w:ilvl w:val="0"/>
          <w:numId w:val="3"/>
        </w:numPr>
        <w:spacing w:line="360" w:lineRule="auto"/>
        <w:jc w:val="both"/>
        <w:rPr>
          <w:rFonts w:ascii="Calibri" w:eastAsia="Times New Roman" w:hAnsi="Calibri" w:cs="Calibri"/>
          <w:b/>
          <w:lang w:val="en-GB"/>
        </w:rPr>
      </w:pPr>
      <w:r w:rsidRPr="00105882">
        <w:rPr>
          <w:rFonts w:ascii="Calibri" w:eastAsia="Times New Roman" w:hAnsi="Calibri" w:cs="Calibri"/>
          <w:b/>
          <w:lang w:val="en-GB"/>
        </w:rPr>
        <w:t>Reliance</w:t>
      </w:r>
      <w:r w:rsidR="00E65F38" w:rsidRPr="00105882">
        <w:rPr>
          <w:rFonts w:ascii="Calibri" w:eastAsia="Times New Roman" w:hAnsi="Calibri" w:cs="Calibri"/>
          <w:b/>
          <w:lang w:val="en-GB"/>
        </w:rPr>
        <w:t xml:space="preserve"> on Literature-based Secondary Sources</w:t>
      </w:r>
      <w:r w:rsidR="00105882" w:rsidRPr="00105882">
        <w:rPr>
          <w:rFonts w:ascii="Calibri" w:eastAsia="Times New Roman" w:hAnsi="Calibri" w:cs="Calibri"/>
          <w:b/>
          <w:lang w:val="en-GB"/>
        </w:rPr>
        <w:t xml:space="preserve">: </w:t>
      </w:r>
      <w:r w:rsidR="00E65F38" w:rsidRPr="00105882">
        <w:rPr>
          <w:rFonts w:ascii="Calibri" w:eastAsia="Times New Roman" w:hAnsi="Calibri" w:cs="Calibri"/>
          <w:lang w:val="en-GB"/>
        </w:rPr>
        <w:t xml:space="preserve">The main limitation of this study is that it solely relies on secondary sources. While this approach is suitable for qualitative theory-building and is aligned with the objectives of the conceptual thesis, it has a limiting effect on the ability of the study to capture firm-specific practices, lived experiences, and contextual nuances that could have been obtained </w:t>
      </w:r>
      <w:r w:rsidR="00C8380C" w:rsidRPr="00105882">
        <w:rPr>
          <w:rFonts w:ascii="Calibri" w:eastAsia="Times New Roman" w:hAnsi="Calibri" w:cs="Calibri"/>
          <w:lang w:val="en-GB"/>
        </w:rPr>
        <w:t>from</w:t>
      </w:r>
      <w:r w:rsidR="00E65F38" w:rsidRPr="00105882">
        <w:rPr>
          <w:rFonts w:ascii="Calibri" w:eastAsia="Times New Roman" w:hAnsi="Calibri" w:cs="Calibri"/>
          <w:lang w:val="en-GB"/>
        </w:rPr>
        <w:t xml:space="preserve"> </w:t>
      </w:r>
      <w:r w:rsidR="00C8380C" w:rsidRPr="00105882">
        <w:rPr>
          <w:rFonts w:ascii="Calibri" w:eastAsia="Times New Roman" w:hAnsi="Calibri" w:cs="Calibri"/>
          <w:lang w:val="en-GB"/>
        </w:rPr>
        <w:t xml:space="preserve">primary </w:t>
      </w:r>
      <w:r w:rsidR="00E65F38" w:rsidRPr="00105882">
        <w:rPr>
          <w:rFonts w:ascii="Calibri" w:eastAsia="Times New Roman" w:hAnsi="Calibri" w:cs="Calibri"/>
          <w:lang w:val="en-GB"/>
        </w:rPr>
        <w:t xml:space="preserve">data collection methods. As a result, the integration breakdown mechanisms presented in this study represent analytically derived patterns as opposed to empirically observed behaviours within precise organisations. Studies in the future could confirm and refine these mechanisms through primary empirical studies involving managers of SMEs, professionals in IT, and other applicable users (Awa et al., 2017). </w:t>
      </w:r>
    </w:p>
    <w:p w14:paraId="3216FAE1" w14:textId="77777777" w:rsidR="00F03687" w:rsidRPr="00105882" w:rsidRDefault="00F03687" w:rsidP="00105882">
      <w:pPr>
        <w:spacing w:line="360" w:lineRule="auto"/>
        <w:jc w:val="both"/>
        <w:rPr>
          <w:rFonts w:ascii="Calibri" w:eastAsia="Times New Roman" w:hAnsi="Calibri" w:cs="Calibri"/>
          <w:lang w:val="en-GB"/>
        </w:rPr>
      </w:pPr>
    </w:p>
    <w:p w14:paraId="31BA9E45" w14:textId="7F9F565B" w:rsidR="00F03687" w:rsidRPr="00105882" w:rsidRDefault="00E65F38" w:rsidP="00105882">
      <w:pPr>
        <w:pStyle w:val="ListParagraph"/>
        <w:numPr>
          <w:ilvl w:val="0"/>
          <w:numId w:val="3"/>
        </w:numPr>
        <w:spacing w:line="360" w:lineRule="auto"/>
        <w:jc w:val="both"/>
        <w:rPr>
          <w:rFonts w:ascii="Calibri" w:eastAsia="Times New Roman" w:hAnsi="Calibri" w:cs="Calibri"/>
          <w:b/>
          <w:lang w:val="en-GB"/>
        </w:rPr>
      </w:pPr>
      <w:r w:rsidRPr="00105882">
        <w:rPr>
          <w:rFonts w:ascii="Calibri" w:eastAsia="Times New Roman" w:hAnsi="Calibri" w:cs="Calibri"/>
          <w:b/>
          <w:lang w:val="en-GB"/>
        </w:rPr>
        <w:lastRenderedPageBreak/>
        <w:t>Absence of Empirical Validation of the LSCIF</w:t>
      </w:r>
      <w:r w:rsidR="00105882" w:rsidRPr="00105882">
        <w:rPr>
          <w:rFonts w:ascii="Calibri" w:eastAsia="Times New Roman" w:hAnsi="Calibri" w:cs="Calibri"/>
          <w:b/>
          <w:lang w:val="en-GB"/>
        </w:rPr>
        <w:t xml:space="preserve">: </w:t>
      </w:r>
      <w:r w:rsidRPr="00105882">
        <w:rPr>
          <w:rFonts w:ascii="Calibri" w:eastAsia="Times New Roman" w:hAnsi="Calibri" w:cs="Calibri"/>
          <w:lang w:val="en-GB"/>
        </w:rPr>
        <w:t xml:space="preserve">The LSCIF is proposed as a theory-building framework as opposed to a validated model. Even though its foundation is a systematic analysis of available evidence, the framework is still to be empirically tested. This restricts its ability to evaluate the comparative strengths, interaction, or causal ordering of the proposed constructs. Empirical validation employing survey-based structural modelling, case studies, or design interventions would boost confidence in the model’s explanatory and predictive power. </w:t>
      </w:r>
      <w:r w:rsidR="00C8380C" w:rsidRPr="00105882">
        <w:rPr>
          <w:rFonts w:ascii="Calibri" w:eastAsia="Times New Roman" w:hAnsi="Calibri" w:cs="Calibri"/>
          <w:lang w:val="en-GB"/>
        </w:rPr>
        <w:t>Therefore</w:t>
      </w:r>
      <w:r w:rsidRPr="00105882">
        <w:rPr>
          <w:rFonts w:ascii="Calibri" w:eastAsia="Times New Roman" w:hAnsi="Calibri" w:cs="Calibri"/>
          <w:lang w:val="en-GB"/>
        </w:rPr>
        <w:t xml:space="preserve">, the LSCIF </w:t>
      </w:r>
      <w:r w:rsidR="00C8380C" w:rsidRPr="00105882">
        <w:rPr>
          <w:rFonts w:ascii="Calibri" w:eastAsia="Times New Roman" w:hAnsi="Calibri" w:cs="Calibri"/>
          <w:lang w:val="en-GB"/>
        </w:rPr>
        <w:t xml:space="preserve">represents </w:t>
      </w:r>
      <w:r w:rsidRPr="00105882">
        <w:rPr>
          <w:rFonts w:ascii="Calibri" w:eastAsia="Times New Roman" w:hAnsi="Calibri" w:cs="Calibri"/>
          <w:lang w:val="en-GB"/>
        </w:rPr>
        <w:t xml:space="preserve">an analytical lens as opposed to a prescriptive implementation blueprint (Hadžiosmanović &amp; Rindell, 2023). </w:t>
      </w:r>
    </w:p>
    <w:p w14:paraId="5F5699C0" w14:textId="77777777" w:rsidR="00F03687" w:rsidRPr="00105882" w:rsidRDefault="00F03687" w:rsidP="00105882">
      <w:pPr>
        <w:spacing w:line="360" w:lineRule="auto"/>
        <w:jc w:val="both"/>
        <w:rPr>
          <w:rFonts w:ascii="Calibri" w:eastAsia="Times New Roman" w:hAnsi="Calibri" w:cs="Calibri"/>
          <w:lang w:val="en-GB"/>
        </w:rPr>
      </w:pPr>
    </w:p>
    <w:p w14:paraId="1BC608E1" w14:textId="6E624F03" w:rsidR="00F03687" w:rsidRPr="00105882" w:rsidRDefault="002D1AFE" w:rsidP="00105882">
      <w:pPr>
        <w:pStyle w:val="ListParagraph"/>
        <w:numPr>
          <w:ilvl w:val="0"/>
          <w:numId w:val="3"/>
        </w:numPr>
        <w:spacing w:line="360" w:lineRule="auto"/>
        <w:jc w:val="both"/>
        <w:rPr>
          <w:rFonts w:ascii="Calibri" w:eastAsia="Times New Roman" w:hAnsi="Calibri" w:cs="Calibri"/>
          <w:b/>
          <w:lang w:val="en-GB"/>
        </w:rPr>
      </w:pPr>
      <w:r w:rsidRPr="00105882">
        <w:rPr>
          <w:rFonts w:ascii="Calibri" w:eastAsia="Times New Roman" w:hAnsi="Calibri" w:cs="Calibri"/>
          <w:b/>
          <w:lang w:val="en-GB"/>
        </w:rPr>
        <w:t>Sectoral</w:t>
      </w:r>
      <w:r w:rsidR="00E65F38" w:rsidRPr="00105882">
        <w:rPr>
          <w:rFonts w:ascii="Calibri" w:eastAsia="Times New Roman" w:hAnsi="Calibri" w:cs="Calibri"/>
          <w:b/>
          <w:lang w:val="en-GB"/>
        </w:rPr>
        <w:t xml:space="preserve"> Focus on IT SMEs</w:t>
      </w:r>
      <w:r w:rsidR="00105882" w:rsidRPr="00105882">
        <w:rPr>
          <w:rFonts w:ascii="Calibri" w:eastAsia="Times New Roman" w:hAnsi="Calibri" w:cs="Calibri"/>
          <w:b/>
          <w:lang w:val="en-GB"/>
        </w:rPr>
        <w:t xml:space="preserve">: </w:t>
      </w:r>
      <w:r w:rsidR="00E65F38" w:rsidRPr="00105882">
        <w:rPr>
          <w:rFonts w:ascii="Calibri" w:eastAsia="Times New Roman" w:hAnsi="Calibri" w:cs="Calibri"/>
          <w:lang w:val="en-GB"/>
        </w:rPr>
        <w:t xml:space="preserve">The sole focus of this study is SMEs in the IT sector, which possess higher levels of digital maturity and technical capability when compared to SMEs in many other sectors. Consequently, the findings and framework may fail to completely generalise to SMEs operating in other sectors like professional services, retail, healthcare, or manufacturing, where organisational structures, regulatory pressures, and digital dependencies differ considerably. Even though many of the mechanisms identified, including usability fatigue and resource-risk asymmetry, have the potential to be applicable beyond the IT sector, their manifestation and comparative importance may differ. To assess the LSCIF transferability, cross-sector comparative research is </w:t>
      </w:r>
      <w:r w:rsidRPr="00105882">
        <w:rPr>
          <w:rFonts w:ascii="Calibri" w:eastAsia="Times New Roman" w:hAnsi="Calibri" w:cs="Calibri"/>
          <w:lang w:val="en-GB"/>
        </w:rPr>
        <w:t xml:space="preserve">required </w:t>
      </w:r>
      <w:r w:rsidR="00C202D2" w:rsidRPr="00105882">
        <w:rPr>
          <w:rFonts w:ascii="Calibri" w:eastAsia="Times New Roman" w:hAnsi="Calibri" w:cs="Calibri"/>
          <w:lang w:val="en-GB"/>
        </w:rPr>
        <w:t>(</w:t>
      </w:r>
      <w:r w:rsidRPr="00105882">
        <w:rPr>
          <w:rFonts w:ascii="Calibri" w:eastAsia="Times New Roman" w:hAnsi="Calibri" w:cs="Calibri"/>
          <w:lang w:val="en-GB"/>
        </w:rPr>
        <w:t>Hadžiosmanović</w:t>
      </w:r>
      <w:r w:rsidR="00E65F38" w:rsidRPr="00105882">
        <w:rPr>
          <w:rFonts w:ascii="Calibri" w:eastAsia="Times New Roman" w:hAnsi="Calibri" w:cs="Calibri"/>
          <w:lang w:val="en-GB"/>
        </w:rPr>
        <w:t xml:space="preserve"> &amp; Rindell, 2023). </w:t>
      </w:r>
    </w:p>
    <w:p w14:paraId="7035F83A" w14:textId="77777777" w:rsidR="00F03687" w:rsidRPr="00105882" w:rsidRDefault="00F03687" w:rsidP="00105882">
      <w:pPr>
        <w:spacing w:line="360" w:lineRule="auto"/>
        <w:jc w:val="both"/>
        <w:rPr>
          <w:rFonts w:ascii="Calibri" w:eastAsia="Times New Roman" w:hAnsi="Calibri" w:cs="Calibri"/>
          <w:lang w:val="en-GB"/>
        </w:rPr>
      </w:pPr>
    </w:p>
    <w:p w14:paraId="24EFD198" w14:textId="186AA224" w:rsidR="00F03687" w:rsidRPr="00105882" w:rsidRDefault="002D1AFE" w:rsidP="00105882">
      <w:pPr>
        <w:pStyle w:val="ListParagraph"/>
        <w:numPr>
          <w:ilvl w:val="0"/>
          <w:numId w:val="3"/>
        </w:numPr>
        <w:spacing w:line="360" w:lineRule="auto"/>
        <w:jc w:val="both"/>
        <w:rPr>
          <w:rFonts w:ascii="Calibri" w:eastAsia="Times New Roman" w:hAnsi="Calibri" w:cs="Calibri"/>
          <w:b/>
          <w:lang w:val="en-GB"/>
        </w:rPr>
      </w:pPr>
      <w:r w:rsidRPr="00105882">
        <w:rPr>
          <w:rFonts w:ascii="Calibri" w:eastAsia="Times New Roman" w:hAnsi="Calibri" w:cs="Calibri"/>
          <w:b/>
          <w:lang w:val="en-GB"/>
        </w:rPr>
        <w:t>Geographic</w:t>
      </w:r>
      <w:r w:rsidR="00E65F38" w:rsidRPr="00105882">
        <w:rPr>
          <w:rFonts w:ascii="Calibri" w:eastAsia="Times New Roman" w:hAnsi="Calibri" w:cs="Calibri"/>
          <w:b/>
          <w:lang w:val="en-GB"/>
        </w:rPr>
        <w:t xml:space="preserve"> and Institutional Context Bias</w:t>
      </w:r>
      <w:r w:rsidR="00105882" w:rsidRPr="00105882">
        <w:rPr>
          <w:rFonts w:ascii="Calibri" w:eastAsia="Times New Roman" w:hAnsi="Calibri" w:cs="Calibri"/>
          <w:b/>
          <w:lang w:val="en-GB"/>
        </w:rPr>
        <w:t xml:space="preserve">: </w:t>
      </w:r>
      <w:r w:rsidR="00E65F38" w:rsidRPr="00105882">
        <w:rPr>
          <w:rFonts w:ascii="Calibri" w:eastAsia="Times New Roman" w:hAnsi="Calibri" w:cs="Calibri"/>
          <w:lang w:val="en-GB"/>
        </w:rPr>
        <w:t xml:space="preserve">The sources analysed in this study are mainly drawn from the UK and European contexts, supplemented by global industry reports. Such a situation has the potential to introduce regulatory and institutional bias. This view is based on the acknowledgement that cybersecurity governance expectations, legal obligations, and supply chain practices may vary from one region to another. For instance, security pressures driven by procurement may be more prominent in jurisdictions with mature regulatory regimes and supply chains that are more formal. Further studies could aim to determine if integration mechanisms and framework constraints apply in emerging economies or regions with differing institutional settings (Hadžiosmanović &amp; Rindell, 2023). </w:t>
      </w:r>
    </w:p>
    <w:p w14:paraId="1F486885" w14:textId="77777777" w:rsidR="00F03687" w:rsidRPr="00105882" w:rsidRDefault="00F03687" w:rsidP="00105882">
      <w:pPr>
        <w:spacing w:line="360" w:lineRule="auto"/>
        <w:jc w:val="both"/>
        <w:rPr>
          <w:rFonts w:ascii="Calibri" w:eastAsia="Times New Roman" w:hAnsi="Calibri" w:cs="Calibri"/>
          <w:lang w:val="en-GB"/>
        </w:rPr>
      </w:pPr>
    </w:p>
    <w:p w14:paraId="6F10EE6D" w14:textId="0C515D50" w:rsidR="00F03687" w:rsidRPr="00105882" w:rsidRDefault="00E65F38" w:rsidP="00105882">
      <w:pPr>
        <w:pStyle w:val="ListParagraph"/>
        <w:numPr>
          <w:ilvl w:val="0"/>
          <w:numId w:val="3"/>
        </w:numPr>
        <w:spacing w:line="360" w:lineRule="auto"/>
        <w:jc w:val="both"/>
        <w:rPr>
          <w:rFonts w:ascii="Calibri" w:eastAsia="Times New Roman" w:hAnsi="Calibri" w:cs="Calibri"/>
          <w:b/>
          <w:lang w:val="en-GB"/>
        </w:rPr>
      </w:pPr>
      <w:r w:rsidRPr="00105882">
        <w:rPr>
          <w:rFonts w:ascii="Calibri" w:eastAsia="Times New Roman" w:hAnsi="Calibri" w:cs="Calibri"/>
          <w:b/>
          <w:lang w:val="en-GB"/>
        </w:rPr>
        <w:t>Document Selection and Interpretation Bias</w:t>
      </w:r>
      <w:r w:rsidR="00105882" w:rsidRPr="00105882">
        <w:rPr>
          <w:rFonts w:ascii="Calibri" w:eastAsia="Times New Roman" w:hAnsi="Calibri" w:cs="Calibri"/>
          <w:b/>
          <w:lang w:val="en-GB"/>
        </w:rPr>
        <w:t xml:space="preserve">: </w:t>
      </w:r>
      <w:r w:rsidRPr="00105882">
        <w:rPr>
          <w:rFonts w:ascii="Calibri" w:eastAsia="Times New Roman" w:hAnsi="Calibri" w:cs="Calibri"/>
          <w:lang w:val="en-GB"/>
        </w:rPr>
        <w:t xml:space="preserve">As is likely to be the case with all qualitative document analysis, this study is subject to selection and interpretation bias. Even though the documents analysed in this study were selected purposely on the basis of relevance, credibility, </w:t>
      </w:r>
      <w:r w:rsidRPr="00105882">
        <w:rPr>
          <w:rFonts w:ascii="Calibri" w:eastAsia="Times New Roman" w:hAnsi="Calibri" w:cs="Calibri"/>
          <w:lang w:val="en-GB"/>
        </w:rPr>
        <w:lastRenderedPageBreak/>
        <w:t xml:space="preserve">and recency, the choice of sources cannot be completely divorced from the judgements of the researcher. Different document corpora or inclusion criteria may have produced alternative emphasis or mechanisms. This limitation was mitigated by using cross-source triangulation and focusing attention on recurring patterns as opposed to isolated claims. Nevertheless, transparency regarding this limitation is needed, and future researchers may benefit from formal systematic review protocols or bibliometric techniques (Awa et al., 2017). </w:t>
      </w:r>
    </w:p>
    <w:p w14:paraId="7797C44E" w14:textId="77777777" w:rsidR="00F03687" w:rsidRPr="00105882" w:rsidRDefault="00F03687" w:rsidP="00105882">
      <w:pPr>
        <w:spacing w:line="360" w:lineRule="auto"/>
        <w:jc w:val="both"/>
        <w:rPr>
          <w:rFonts w:ascii="Calibri" w:eastAsia="Times New Roman" w:hAnsi="Calibri" w:cs="Calibri"/>
          <w:lang w:val="en-GB"/>
        </w:rPr>
      </w:pPr>
    </w:p>
    <w:p w14:paraId="48EE6CB6" w14:textId="328230B7" w:rsidR="00F03687" w:rsidRPr="00105882" w:rsidRDefault="002D1AFE" w:rsidP="00105882">
      <w:pPr>
        <w:pStyle w:val="ListParagraph"/>
        <w:numPr>
          <w:ilvl w:val="0"/>
          <w:numId w:val="3"/>
        </w:numPr>
        <w:spacing w:line="360" w:lineRule="auto"/>
        <w:jc w:val="both"/>
        <w:rPr>
          <w:rFonts w:ascii="Calibri" w:eastAsia="Times New Roman" w:hAnsi="Calibri" w:cs="Calibri"/>
          <w:b/>
          <w:lang w:val="en-GB"/>
        </w:rPr>
      </w:pPr>
      <w:r w:rsidRPr="00105882">
        <w:rPr>
          <w:rFonts w:ascii="Calibri" w:eastAsia="Times New Roman" w:hAnsi="Calibri" w:cs="Calibri"/>
          <w:b/>
          <w:lang w:val="en-GB"/>
        </w:rPr>
        <w:t>Analytical</w:t>
      </w:r>
      <w:r w:rsidR="00E65F38" w:rsidRPr="00105882">
        <w:rPr>
          <w:rFonts w:ascii="Calibri" w:eastAsia="Times New Roman" w:hAnsi="Calibri" w:cs="Calibri"/>
          <w:b/>
          <w:lang w:val="en-GB"/>
        </w:rPr>
        <w:t xml:space="preserve"> Abstraction and Loss of Contextual Detail</w:t>
      </w:r>
      <w:r w:rsidR="00105882" w:rsidRPr="00105882">
        <w:rPr>
          <w:rFonts w:ascii="Calibri" w:eastAsia="Times New Roman" w:hAnsi="Calibri" w:cs="Calibri"/>
          <w:b/>
          <w:lang w:val="en-GB"/>
        </w:rPr>
        <w:t xml:space="preserve">: </w:t>
      </w:r>
      <w:r w:rsidR="00E65F38" w:rsidRPr="00105882">
        <w:rPr>
          <w:rFonts w:ascii="Calibri" w:eastAsia="Times New Roman" w:hAnsi="Calibri" w:cs="Calibri"/>
          <w:lang w:val="en-GB"/>
        </w:rPr>
        <w:t>The pr</w:t>
      </w:r>
      <w:r w:rsidR="00A31AEB" w:rsidRPr="00105882">
        <w:rPr>
          <w:rFonts w:ascii="Calibri" w:eastAsia="Times New Roman" w:hAnsi="Calibri" w:cs="Calibri"/>
          <w:lang w:val="en-GB"/>
        </w:rPr>
        <w:t>ocess</w:t>
      </w:r>
      <w:r w:rsidR="00E65F38" w:rsidRPr="00105882">
        <w:rPr>
          <w:rFonts w:ascii="Calibri" w:eastAsia="Times New Roman" w:hAnsi="Calibri" w:cs="Calibri"/>
          <w:lang w:val="en-GB"/>
        </w:rPr>
        <w:t xml:space="preserve"> involved in the synthesis of diverse sources into higher-order mechanisms and constructs unavoidably involves analytical abstraction. Even though abstraction is essential for theory-building, it has the potential to conceal contextual variations, contradictions, and edge cases present in individual studies. This results in the LSCIF prioritising coherence over granular detail. Researchers applying the framework in empirical settings need to be attentive to local organisational dynamics and adopt the framework judiciously as opposed to treating it as a rigid model (Awa et al., 2017).</w:t>
      </w:r>
    </w:p>
    <w:p w14:paraId="7DCD5416" w14:textId="77777777" w:rsidR="00F03687" w:rsidRPr="00105882" w:rsidRDefault="00F03687" w:rsidP="00105882">
      <w:pPr>
        <w:spacing w:line="360" w:lineRule="auto"/>
        <w:jc w:val="both"/>
        <w:rPr>
          <w:rFonts w:ascii="Calibri" w:eastAsia="Times New Roman" w:hAnsi="Calibri" w:cs="Calibri"/>
          <w:lang w:val="en-GB"/>
        </w:rPr>
      </w:pPr>
    </w:p>
    <w:p w14:paraId="62DF32CA" w14:textId="207436CA" w:rsidR="00F03687" w:rsidRPr="00105882" w:rsidRDefault="002D1AFE" w:rsidP="00105882">
      <w:pPr>
        <w:pStyle w:val="ListParagraph"/>
        <w:numPr>
          <w:ilvl w:val="0"/>
          <w:numId w:val="3"/>
        </w:numPr>
        <w:spacing w:line="360" w:lineRule="auto"/>
        <w:jc w:val="both"/>
        <w:rPr>
          <w:rFonts w:ascii="Calibri" w:eastAsia="Times New Roman" w:hAnsi="Calibri" w:cs="Calibri"/>
          <w:b/>
          <w:lang w:val="en-GB"/>
        </w:rPr>
      </w:pPr>
      <w:r w:rsidRPr="00105882">
        <w:rPr>
          <w:rFonts w:ascii="Calibri" w:eastAsia="Times New Roman" w:hAnsi="Calibri" w:cs="Calibri"/>
          <w:b/>
          <w:lang w:val="en-GB"/>
        </w:rPr>
        <w:t>Dynamic</w:t>
      </w:r>
      <w:r w:rsidR="00E65F38" w:rsidRPr="00105882">
        <w:rPr>
          <w:rFonts w:ascii="Calibri" w:eastAsia="Times New Roman" w:hAnsi="Calibri" w:cs="Calibri"/>
          <w:b/>
          <w:lang w:val="en-GB"/>
        </w:rPr>
        <w:t xml:space="preserve"> Threat Environment and Temporal Validity</w:t>
      </w:r>
      <w:r w:rsidR="00105882" w:rsidRPr="00105882">
        <w:rPr>
          <w:rFonts w:ascii="Calibri" w:eastAsia="Times New Roman" w:hAnsi="Calibri" w:cs="Calibri"/>
          <w:b/>
          <w:lang w:val="en-GB"/>
        </w:rPr>
        <w:t xml:space="preserve">: </w:t>
      </w:r>
      <w:r w:rsidR="00E65F38" w:rsidRPr="00105882">
        <w:rPr>
          <w:rFonts w:ascii="Calibri" w:eastAsia="Times New Roman" w:hAnsi="Calibri" w:cs="Calibri"/>
          <w:lang w:val="en-GB"/>
        </w:rPr>
        <w:t xml:space="preserve">The threat landscape in which cybersecurity operates evolves rapidly. </w:t>
      </w:r>
      <w:r w:rsidR="00583CE2" w:rsidRPr="00105882">
        <w:rPr>
          <w:rFonts w:ascii="Calibri" w:eastAsia="Times New Roman" w:hAnsi="Calibri" w:cs="Calibri"/>
          <w:lang w:val="en-GB"/>
        </w:rPr>
        <w:t>It</w:t>
      </w:r>
      <w:r w:rsidR="00E65F38" w:rsidRPr="00105882">
        <w:rPr>
          <w:rFonts w:ascii="Calibri" w:eastAsia="Times New Roman" w:hAnsi="Calibri" w:cs="Calibri"/>
          <w:lang w:val="en-GB"/>
        </w:rPr>
        <w:t xml:space="preserve"> is characterised by technological innovation</w:t>
      </w:r>
      <w:r w:rsidRPr="00105882">
        <w:rPr>
          <w:rFonts w:ascii="Calibri" w:eastAsia="Times New Roman" w:hAnsi="Calibri" w:cs="Calibri"/>
          <w:lang w:val="en-GB"/>
        </w:rPr>
        <w:t>, ongoing</w:t>
      </w:r>
      <w:r w:rsidR="00E65F38" w:rsidRPr="00105882">
        <w:rPr>
          <w:rFonts w:ascii="Calibri" w:eastAsia="Times New Roman" w:hAnsi="Calibri" w:cs="Calibri"/>
          <w:lang w:val="en-GB"/>
        </w:rPr>
        <w:t xml:space="preserve"> changes in regulation, and shifting strategies employed by attackers. While the focus of this study is on literature and reports published between 2015 and 2025, the relevance of precise integration mechanisms may change. For example, automation advances, security tools driven by Artificial Intelligence, or harmonisation of regulations may shift the balance between usability, governance, and environmental pressures. </w:t>
      </w:r>
      <w:r w:rsidR="00136BA6" w:rsidRPr="00105882">
        <w:rPr>
          <w:rFonts w:ascii="Calibri" w:eastAsia="Times New Roman" w:hAnsi="Calibri" w:cs="Calibri"/>
          <w:lang w:val="en-GB"/>
        </w:rPr>
        <w:t>Consequently,</w:t>
      </w:r>
      <w:r w:rsidR="00E65F38" w:rsidRPr="00105882">
        <w:rPr>
          <w:rFonts w:ascii="Calibri" w:eastAsia="Times New Roman" w:hAnsi="Calibri" w:cs="Calibri"/>
          <w:lang w:val="en-GB"/>
        </w:rPr>
        <w:t xml:space="preserve"> it can be suggested that the LSCIF should be perceived as temporally situated, necessitating periodic re-evaluation as cybersecurity practices and threats evolve.   </w:t>
      </w:r>
    </w:p>
    <w:p w14:paraId="27AC69F8" w14:textId="77777777" w:rsidR="00136BA6" w:rsidRPr="00105882" w:rsidRDefault="00136BA6" w:rsidP="00105882">
      <w:pPr>
        <w:spacing w:line="360" w:lineRule="auto"/>
        <w:jc w:val="both"/>
        <w:rPr>
          <w:rFonts w:ascii="Calibri" w:eastAsia="Times New Roman" w:hAnsi="Calibri" w:cs="Calibri"/>
          <w:lang w:val="en-GB"/>
        </w:rPr>
      </w:pPr>
    </w:p>
    <w:p w14:paraId="5CFF1A52" w14:textId="465B22DA" w:rsidR="00F03687" w:rsidRPr="00105882" w:rsidRDefault="00E65F38" w:rsidP="00105882">
      <w:pPr>
        <w:pStyle w:val="ListParagraph"/>
        <w:numPr>
          <w:ilvl w:val="0"/>
          <w:numId w:val="3"/>
        </w:numPr>
        <w:spacing w:line="360" w:lineRule="auto"/>
        <w:jc w:val="both"/>
        <w:rPr>
          <w:rFonts w:ascii="Calibri" w:eastAsia="Times New Roman" w:hAnsi="Calibri" w:cs="Calibri"/>
          <w:b/>
          <w:lang w:val="en-GB"/>
        </w:rPr>
      </w:pPr>
      <w:r w:rsidRPr="00105882">
        <w:rPr>
          <w:rFonts w:ascii="Calibri" w:eastAsia="Times New Roman" w:hAnsi="Calibri" w:cs="Calibri"/>
          <w:b/>
          <w:lang w:val="en-GB"/>
        </w:rPr>
        <w:t>Non-Inclusion of Cost–Benefit and Quantitative Performance Metrics</w:t>
      </w:r>
      <w:r w:rsidR="00105882" w:rsidRPr="00105882">
        <w:rPr>
          <w:rFonts w:ascii="Calibri" w:eastAsia="Times New Roman" w:hAnsi="Calibri" w:cs="Calibri"/>
          <w:b/>
          <w:lang w:val="en-GB"/>
        </w:rPr>
        <w:t xml:space="preserve">: </w:t>
      </w:r>
      <w:r w:rsidRPr="00105882">
        <w:rPr>
          <w:rFonts w:ascii="Calibri" w:eastAsia="Times New Roman" w:hAnsi="Calibri" w:cs="Calibri"/>
          <w:lang w:val="en-GB"/>
        </w:rPr>
        <w:t xml:space="preserve">Finally, the study does not include quantitative cost-benefit analysis or performance metrics linked to cybersecurity investment or incident reduction. Even though this omission is in keeping with the study’s qualitative, theory-building alignment, it restricts the capability to explicitly connect integration mechanisms to measurable financial or operational outcomes. Future studies could complement the LSCIF with qualitative studies investigating the economic impact of integration-oriented security practices, in the process strengthening the managerial relevance of the framework. </w:t>
      </w:r>
    </w:p>
    <w:p w14:paraId="71EFD0E3"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lastRenderedPageBreak/>
        <w:t xml:space="preserve">10. Future Research </w:t>
      </w:r>
    </w:p>
    <w:p w14:paraId="182D8250"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LSCIF developed in this study provides a theoretically grounded foundation for comprehension of cybersecurity integration in IT-sector SMEs. Nonetheless, as a theory-building contribution based on literature-based secondary sources, it opens a number of crucial avenues for future studies aimed at empirical validation, contextual extension, and practical operationalisation (Vial, 2019). A core priority for future related studies relates to the empirical validation of the LSCIF based on primary data. Future researchers can employ qualitative case studies and interviews as data collection methods. This could assist such researchers to examine </w:t>
      </w:r>
      <w:r w:rsidR="00B41BEE" w:rsidRPr="00105882">
        <w:rPr>
          <w:rFonts w:ascii="Calibri" w:eastAsia="Times New Roman" w:hAnsi="Calibri" w:cs="Calibri"/>
          <w:lang w:val="en-GB"/>
        </w:rPr>
        <w:t>how</w:t>
      </w:r>
      <w:r w:rsidRPr="00105882">
        <w:rPr>
          <w:rFonts w:ascii="Calibri" w:eastAsia="Times New Roman" w:hAnsi="Calibri" w:cs="Calibri"/>
          <w:lang w:val="en-GB"/>
        </w:rPr>
        <w:t xml:space="preserve"> Lean Governance, Human-Centric Usability, and Commercial Trust Alignment play out in practice and interact with organisational settings. Complementary qualitative studies could help operationalise these constructs while also testing their relationships using survey-based techniques, </w:t>
      </w:r>
      <w:r w:rsidR="00B41BEE" w:rsidRPr="00105882">
        <w:rPr>
          <w:rFonts w:ascii="Calibri" w:eastAsia="Times New Roman" w:hAnsi="Calibri" w:cs="Calibri"/>
          <w:lang w:val="en-GB"/>
        </w:rPr>
        <w:t>enabling</w:t>
      </w:r>
      <w:r w:rsidRPr="00105882">
        <w:rPr>
          <w:rFonts w:ascii="Calibri" w:eastAsia="Times New Roman" w:hAnsi="Calibri" w:cs="Calibri"/>
          <w:lang w:val="en-GB"/>
        </w:rPr>
        <w:t xml:space="preserve"> assess</w:t>
      </w:r>
      <w:r w:rsidR="00B41BEE" w:rsidRPr="00105882">
        <w:rPr>
          <w:rFonts w:ascii="Calibri" w:eastAsia="Times New Roman" w:hAnsi="Calibri" w:cs="Calibri"/>
          <w:lang w:val="en-GB"/>
        </w:rPr>
        <w:t>ment</w:t>
      </w:r>
      <w:r w:rsidRPr="00105882">
        <w:rPr>
          <w:rFonts w:ascii="Calibri" w:eastAsia="Times New Roman" w:hAnsi="Calibri" w:cs="Calibri"/>
          <w:lang w:val="en-GB"/>
        </w:rPr>
        <w:t xml:space="preserve"> </w:t>
      </w:r>
      <w:r w:rsidR="00B41BEE" w:rsidRPr="00105882">
        <w:rPr>
          <w:rFonts w:ascii="Calibri" w:eastAsia="Times New Roman" w:hAnsi="Calibri" w:cs="Calibri"/>
          <w:lang w:val="en-GB"/>
        </w:rPr>
        <w:t>of</w:t>
      </w:r>
      <w:r w:rsidRPr="00105882">
        <w:rPr>
          <w:rFonts w:ascii="Calibri" w:eastAsia="Times New Roman" w:hAnsi="Calibri" w:cs="Calibri"/>
          <w:lang w:val="en-GB"/>
        </w:rPr>
        <w:t xml:space="preserve"> explanatory and predictive power of the framework across larger SME populations (Grover et al., 2018).  </w:t>
      </w:r>
    </w:p>
    <w:p w14:paraId="24ECF5A1" w14:textId="77777777" w:rsidR="00F03687" w:rsidRPr="00105882" w:rsidRDefault="00F03687" w:rsidP="00105882">
      <w:pPr>
        <w:spacing w:line="360" w:lineRule="auto"/>
        <w:jc w:val="both"/>
        <w:rPr>
          <w:rFonts w:ascii="Calibri" w:eastAsia="Times New Roman" w:hAnsi="Calibri" w:cs="Calibri"/>
          <w:lang w:val="en-GB"/>
        </w:rPr>
      </w:pPr>
    </w:p>
    <w:p w14:paraId="3197EEAA" w14:textId="77777777" w:rsidR="00F03687" w:rsidRPr="00105882" w:rsidRDefault="00441AF2"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F</w:t>
      </w:r>
      <w:r w:rsidR="00E65F38" w:rsidRPr="00105882">
        <w:rPr>
          <w:rFonts w:ascii="Calibri" w:eastAsia="Times New Roman" w:hAnsi="Calibri" w:cs="Calibri"/>
          <w:lang w:val="en-GB"/>
        </w:rPr>
        <w:t xml:space="preserve">uture </w:t>
      </w:r>
      <w:r w:rsidRPr="00105882">
        <w:rPr>
          <w:rFonts w:ascii="Calibri" w:eastAsia="Times New Roman" w:hAnsi="Calibri" w:cs="Calibri"/>
          <w:lang w:val="en-GB"/>
        </w:rPr>
        <w:t xml:space="preserve">studies </w:t>
      </w:r>
      <w:r w:rsidR="00E65F38" w:rsidRPr="00105882">
        <w:rPr>
          <w:rFonts w:ascii="Calibri" w:eastAsia="Times New Roman" w:hAnsi="Calibri" w:cs="Calibri"/>
          <w:lang w:val="en-GB"/>
        </w:rPr>
        <w:t xml:space="preserve">could also explore the design science and intervention-based approaches to translate the LSCIF into actionable artefacts. The development and testing of integration-oriented governance templates, usability-driven security workflows, or diagnostic assessment tools would make it possible for researchers to evaluate if LSCIF-informed interventions result in measurable improvements in security behaviour, system reliability, and organisational resilience. </w:t>
      </w:r>
      <w:r w:rsidR="00463A5D" w:rsidRPr="00105882">
        <w:rPr>
          <w:rFonts w:ascii="Calibri" w:eastAsia="Times New Roman" w:hAnsi="Calibri" w:cs="Calibri"/>
          <w:lang w:val="en-GB"/>
        </w:rPr>
        <w:t>Such</w:t>
      </w:r>
      <w:r w:rsidR="00E65F38" w:rsidRPr="00105882">
        <w:rPr>
          <w:rFonts w:ascii="Calibri" w:eastAsia="Times New Roman" w:hAnsi="Calibri" w:cs="Calibri"/>
          <w:lang w:val="en-GB"/>
        </w:rPr>
        <w:t xml:space="preserve"> work would take the framework forward, from analytical explanation to prescriptive validation (Rusu et al., 2022). </w:t>
      </w:r>
    </w:p>
    <w:p w14:paraId="2CABCD0C" w14:textId="77777777" w:rsidR="00F03687" w:rsidRPr="00105882" w:rsidRDefault="00F03687" w:rsidP="00105882">
      <w:pPr>
        <w:spacing w:line="360" w:lineRule="auto"/>
        <w:jc w:val="both"/>
        <w:rPr>
          <w:rFonts w:ascii="Calibri" w:eastAsia="Times New Roman" w:hAnsi="Calibri" w:cs="Calibri"/>
          <w:lang w:val="en-GB"/>
        </w:rPr>
      </w:pPr>
    </w:p>
    <w:p w14:paraId="55E5FE4E"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If one considers the sectoral focus of this study, it can be suggested that future research should examine the LSCIF applicabilit</w:t>
      </w:r>
      <w:r w:rsidR="00463A5D" w:rsidRPr="00105882">
        <w:rPr>
          <w:rFonts w:ascii="Calibri" w:eastAsia="Times New Roman" w:hAnsi="Calibri" w:cs="Calibri"/>
          <w:lang w:val="en-GB"/>
        </w:rPr>
        <w:t>y across non-IT sectors</w:t>
      </w:r>
      <w:r w:rsidRPr="00105882">
        <w:rPr>
          <w:rFonts w:ascii="Calibri" w:eastAsia="Times New Roman" w:hAnsi="Calibri" w:cs="Calibri"/>
          <w:lang w:val="en-GB"/>
        </w:rPr>
        <w:t xml:space="preserve">. Comparative cross-sector studies may assist in determining if the integration mechanisms identified in this study are universal or specific to certain sectors. In the same vein, cross-national research investigating different institutional, cultural, and regulatory environments would make the global relevance and external validity of the study stronger (Rusu et al., 2022). </w:t>
      </w:r>
    </w:p>
    <w:p w14:paraId="7359D1F8" w14:textId="77777777" w:rsidR="00F03687" w:rsidRPr="00105882" w:rsidRDefault="00F03687" w:rsidP="00105882">
      <w:pPr>
        <w:spacing w:line="360" w:lineRule="auto"/>
        <w:jc w:val="both"/>
        <w:rPr>
          <w:rFonts w:ascii="Calibri" w:eastAsia="Times New Roman" w:hAnsi="Calibri" w:cs="Calibri"/>
          <w:lang w:val="en-GB"/>
        </w:rPr>
      </w:pPr>
    </w:p>
    <w:p w14:paraId="57D91CEA"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Another important avenue is offered by longitudinal research designs. They make it possible to examine the temporal dynamics of cybersecurity integration. Tracking SMEs over time would </w:t>
      </w:r>
      <w:r w:rsidR="00463A5D" w:rsidRPr="00105882">
        <w:rPr>
          <w:rFonts w:ascii="Calibri" w:eastAsia="Times New Roman" w:hAnsi="Calibri" w:cs="Calibri"/>
          <w:lang w:val="en-GB"/>
        </w:rPr>
        <w:t>provide</w:t>
      </w:r>
      <w:r w:rsidRPr="00105882">
        <w:rPr>
          <w:rFonts w:ascii="Calibri" w:eastAsia="Times New Roman" w:hAnsi="Calibri" w:cs="Calibri"/>
          <w:lang w:val="en-GB"/>
        </w:rPr>
        <w:t xml:space="preserve"> insights into </w:t>
      </w:r>
      <w:r w:rsidR="00463A5D" w:rsidRPr="00105882">
        <w:rPr>
          <w:rFonts w:ascii="Calibri" w:eastAsia="Times New Roman" w:hAnsi="Calibri" w:cs="Calibri"/>
          <w:lang w:val="en-GB"/>
        </w:rPr>
        <w:t>how</w:t>
      </w:r>
      <w:r w:rsidRPr="00105882">
        <w:rPr>
          <w:rFonts w:ascii="Calibri" w:eastAsia="Times New Roman" w:hAnsi="Calibri" w:cs="Calibri"/>
          <w:lang w:val="en-GB"/>
        </w:rPr>
        <w:t xml:space="preserve"> integration evolves as organisations grow and technologies change, and how mechanisms such as commercial trust pressures, governance maturity, and security fatigue develop or stabilise Grover et al., 2018). </w:t>
      </w:r>
    </w:p>
    <w:p w14:paraId="3F3726BB" w14:textId="77777777" w:rsidR="00F03687" w:rsidRPr="00105882" w:rsidRDefault="00F03687" w:rsidP="00105882">
      <w:pPr>
        <w:spacing w:line="360" w:lineRule="auto"/>
        <w:jc w:val="both"/>
        <w:rPr>
          <w:rFonts w:ascii="Calibri" w:eastAsia="Times New Roman" w:hAnsi="Calibri" w:cs="Calibri"/>
          <w:lang w:val="en-GB"/>
        </w:rPr>
      </w:pPr>
    </w:p>
    <w:p w14:paraId="41D5B916"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Further research is also required at the micro-behavioural level to </w:t>
      </w:r>
      <w:r w:rsidR="002D1AFE" w:rsidRPr="00105882">
        <w:rPr>
          <w:rFonts w:ascii="Calibri" w:eastAsia="Times New Roman" w:hAnsi="Calibri" w:cs="Calibri"/>
          <w:lang w:val="en-GB"/>
        </w:rPr>
        <w:t>deepen</w:t>
      </w:r>
      <w:r w:rsidRPr="00105882">
        <w:rPr>
          <w:rFonts w:ascii="Calibri" w:eastAsia="Times New Roman" w:hAnsi="Calibri" w:cs="Calibri"/>
          <w:lang w:val="en-GB"/>
        </w:rPr>
        <w:t xml:space="preserve"> </w:t>
      </w:r>
      <w:r w:rsidR="002D1AFE" w:rsidRPr="00105882">
        <w:rPr>
          <w:rFonts w:ascii="Calibri" w:eastAsia="Times New Roman" w:hAnsi="Calibri" w:cs="Calibri"/>
          <w:lang w:val="en-GB"/>
        </w:rPr>
        <w:t>the understanding</w:t>
      </w:r>
      <w:r w:rsidRPr="00105882">
        <w:rPr>
          <w:rFonts w:ascii="Calibri" w:eastAsia="Times New Roman" w:hAnsi="Calibri" w:cs="Calibri"/>
          <w:lang w:val="en-GB"/>
        </w:rPr>
        <w:t xml:space="preserve"> of usability-driven security fatigue. Controlled experiments, diary methods, and ethnographic studies explore </w:t>
      </w:r>
      <w:r w:rsidR="00BF2903" w:rsidRPr="00105882">
        <w:rPr>
          <w:rFonts w:ascii="Calibri" w:eastAsia="Times New Roman" w:hAnsi="Calibri" w:cs="Calibri"/>
          <w:lang w:val="en-GB"/>
        </w:rPr>
        <w:t>how</w:t>
      </w:r>
      <w:r w:rsidRPr="00105882">
        <w:rPr>
          <w:rFonts w:ascii="Calibri" w:eastAsia="Times New Roman" w:hAnsi="Calibri" w:cs="Calibri"/>
          <w:lang w:val="en-GB"/>
        </w:rPr>
        <w:t xml:space="preserve"> employees interact with security controls, how workarounds develop, and how usability improvements impact compliance and risk-related behaviour. This would make the cybersecurity integration theory’s behavioural foundations stronger (Grover et al., 2018). </w:t>
      </w:r>
    </w:p>
    <w:p w14:paraId="3F2A6313" w14:textId="77777777" w:rsidR="00F03687" w:rsidRPr="00105882" w:rsidRDefault="00F03687" w:rsidP="00105882">
      <w:pPr>
        <w:spacing w:line="360" w:lineRule="auto"/>
        <w:jc w:val="both"/>
        <w:rPr>
          <w:rFonts w:ascii="Calibri" w:eastAsia="Times New Roman" w:hAnsi="Calibri" w:cs="Calibri"/>
          <w:lang w:val="en-GB"/>
        </w:rPr>
      </w:pPr>
    </w:p>
    <w:p w14:paraId="5827A0D3"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Finally, future research could examine the performance and economic implications of cybersecurity integration as conceptualised by the LSCIF. Quantitative studies connecting integration maturity to outcomes such as market access, client trust, operational continuity, or incident reduction would boost managerial relevance and prove the business value of integration-oriented security practices (Vial, 2019). Together, these research suggestions present a comprehensible agenda for the advancement of cybersecurity integration that transcends adoption-focused models, positioning the LSCIF as a cumulative framework able to inform both theory and development and practical intervention in organisational settings that are digitally intensive.</w:t>
      </w:r>
    </w:p>
    <w:p w14:paraId="03519F17" w14:textId="77777777" w:rsidR="00F03687" w:rsidRPr="00105882" w:rsidRDefault="00F03687" w:rsidP="00105882">
      <w:pPr>
        <w:spacing w:line="360" w:lineRule="auto"/>
        <w:jc w:val="both"/>
        <w:rPr>
          <w:rFonts w:ascii="Calibri" w:eastAsia="Times New Roman" w:hAnsi="Calibri" w:cs="Calibri"/>
          <w:lang w:val="en-GB"/>
        </w:rPr>
      </w:pPr>
    </w:p>
    <w:p w14:paraId="6D50E010" w14:textId="77777777" w:rsidR="00F03687" w:rsidRPr="00105882" w:rsidRDefault="00E65F38" w:rsidP="00105882">
      <w:pPr>
        <w:spacing w:line="360" w:lineRule="auto"/>
        <w:jc w:val="both"/>
        <w:rPr>
          <w:rFonts w:ascii="Calibri" w:eastAsia="Times New Roman" w:hAnsi="Calibri" w:cs="Calibri"/>
          <w:b/>
          <w:lang w:val="en-GB"/>
        </w:rPr>
      </w:pPr>
      <w:r w:rsidRPr="00105882">
        <w:rPr>
          <w:rFonts w:ascii="Calibri" w:eastAsia="Times New Roman" w:hAnsi="Calibri" w:cs="Calibri"/>
          <w:b/>
          <w:lang w:val="en-GB"/>
        </w:rPr>
        <w:t xml:space="preserve">11. Conclusion </w:t>
      </w:r>
    </w:p>
    <w:p w14:paraId="52B0B42F"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This study focuses on the persistent challenge in cybersecurity and information management research relating to the fact that even though the adoption of cybersecurity technologies and standards has become widespread, SMEs in the IT sector are still facing considerable integration failures. Drawing on a systematic qualitative document analysis, the findings illustrate that this problem cannot solely be explained by technological inadequacy. Rather, it is concluded that failure in cybersecurity integration develops as a sociotechnical phenomenon, driven by a dearth of alignment between external trust pressures, human usability, and organisational governance (Bharadwaj et al., 2013). </w:t>
      </w:r>
    </w:p>
    <w:p w14:paraId="5FFD4EE8" w14:textId="77777777" w:rsidR="00F03687" w:rsidRPr="00105882" w:rsidRDefault="00F03687" w:rsidP="00105882">
      <w:pPr>
        <w:spacing w:line="360" w:lineRule="auto"/>
        <w:jc w:val="both"/>
        <w:rPr>
          <w:rFonts w:ascii="Calibri" w:eastAsia="Times New Roman" w:hAnsi="Calibri" w:cs="Calibri"/>
          <w:lang w:val="en-GB"/>
        </w:rPr>
      </w:pPr>
    </w:p>
    <w:p w14:paraId="13C90056"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With the aim of addressing the gap identified, the LSCIF is developed as a theory-building extension of the TOE framework. The LSCIF advances information management theory by moving analytical focus from adoption to integration and by reconceptualising cybersecurity as an embedded organisational capability as opposed to an isolated technical function. Through its three interdependent constructs– Lean Governance, Human-Centric Usability, and Commercial Trust Alignment– the framework elucidates how cybersecurity controls are sustained, bypassed, or undermined within resource-constrained, agile organisational contexts (Bharadwaj et al., 2013). </w:t>
      </w:r>
    </w:p>
    <w:p w14:paraId="211EA5DB" w14:textId="77777777" w:rsidR="00F03687" w:rsidRPr="00105882" w:rsidRDefault="00F03687" w:rsidP="00105882">
      <w:pPr>
        <w:spacing w:line="360" w:lineRule="auto"/>
        <w:jc w:val="both"/>
        <w:rPr>
          <w:rFonts w:ascii="Calibri" w:eastAsia="Times New Roman" w:hAnsi="Calibri" w:cs="Calibri"/>
          <w:lang w:val="en-GB"/>
        </w:rPr>
      </w:pPr>
    </w:p>
    <w:p w14:paraId="2FCD8865"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The main contribution </w:t>
      </w:r>
      <w:r w:rsidR="008B0A84" w:rsidRPr="00105882">
        <w:rPr>
          <w:rFonts w:ascii="Calibri" w:eastAsia="Times New Roman" w:hAnsi="Calibri" w:cs="Calibri"/>
          <w:lang w:val="en-GB"/>
        </w:rPr>
        <w:t>of</w:t>
      </w:r>
      <w:r w:rsidRPr="00105882">
        <w:rPr>
          <w:rFonts w:ascii="Calibri" w:eastAsia="Times New Roman" w:hAnsi="Calibri" w:cs="Calibri"/>
          <w:lang w:val="en-GB"/>
        </w:rPr>
        <w:t xml:space="preserve"> the study is that it offers a data-informed theoretical insight into the real and unrelenting organisational failure. It extends established information systems theories to adversarial environments, integrates behavioural realism into cybersecurity research, and formalises the growing role of market-driven trust pressures in shaping information practices within organisations. For policymakers and practitioners, the findings bring to the fore the limitations of enterprise-centric security models while also underscoring the importance of low-function governance, usability-oriented control design, and commercially aligned cybersecurity interventions (World Economic Forum, 2023).</w:t>
      </w:r>
    </w:p>
    <w:p w14:paraId="7AF64941" w14:textId="77777777" w:rsidR="00F03687" w:rsidRPr="00105882" w:rsidRDefault="00F03687" w:rsidP="00105882">
      <w:pPr>
        <w:spacing w:line="360" w:lineRule="auto"/>
        <w:jc w:val="both"/>
        <w:rPr>
          <w:rFonts w:ascii="Calibri" w:eastAsia="Times New Roman" w:hAnsi="Calibri" w:cs="Calibri"/>
          <w:lang w:val="en-GB"/>
        </w:rPr>
      </w:pPr>
    </w:p>
    <w:p w14:paraId="55653627" w14:textId="77777777" w:rsidR="00F03687" w:rsidRPr="00105882" w:rsidRDefault="00E65F38" w:rsidP="00105882">
      <w:pPr>
        <w:spacing w:line="360" w:lineRule="auto"/>
        <w:jc w:val="both"/>
        <w:rPr>
          <w:rFonts w:ascii="Calibri" w:eastAsia="Times New Roman" w:hAnsi="Calibri" w:cs="Calibri"/>
          <w:lang w:val="en-GB"/>
        </w:rPr>
      </w:pPr>
      <w:r w:rsidRPr="00105882">
        <w:rPr>
          <w:rFonts w:ascii="Calibri" w:eastAsia="Times New Roman" w:hAnsi="Calibri" w:cs="Calibri"/>
          <w:lang w:val="en-GB"/>
        </w:rPr>
        <w:t xml:space="preserve">Even though the LSCIF is still to be empirically validated, it presents a transparent and analytically sound basis for future studies. Its reframing of cybersecurity integration into a sociotechnical information management capability allows this study to lay the groundwork for cumulative empirical investigation and practical innovation in digitally intensive organisational settings (Rusu et al., 2022).                            </w:t>
      </w:r>
    </w:p>
    <w:p w14:paraId="26DB539B" w14:textId="77777777" w:rsidR="00E65F38" w:rsidRPr="00105882" w:rsidRDefault="00E65F38" w:rsidP="00105882">
      <w:pPr>
        <w:spacing w:line="360" w:lineRule="auto"/>
        <w:jc w:val="both"/>
        <w:rPr>
          <w:rFonts w:ascii="Calibri" w:eastAsia="Times New Roman" w:hAnsi="Calibri" w:cs="Calibri"/>
          <w:lang w:val="en-GB"/>
        </w:rPr>
      </w:pPr>
    </w:p>
    <w:p w14:paraId="47232831" w14:textId="77777777" w:rsidR="00E65F38" w:rsidRPr="00105882" w:rsidRDefault="00E65F38" w:rsidP="00105882">
      <w:pPr>
        <w:spacing w:line="360" w:lineRule="auto"/>
        <w:jc w:val="both"/>
        <w:rPr>
          <w:rFonts w:ascii="Calibri" w:eastAsia="Times New Roman" w:hAnsi="Calibri" w:cs="Calibri"/>
          <w:lang w:val="en-GB"/>
        </w:rPr>
      </w:pPr>
    </w:p>
    <w:p w14:paraId="2019ECA6" w14:textId="77777777" w:rsidR="00105882" w:rsidRPr="00105882" w:rsidRDefault="00105882" w:rsidP="00105882">
      <w:pPr>
        <w:spacing w:line="360" w:lineRule="auto"/>
        <w:jc w:val="both"/>
        <w:rPr>
          <w:rFonts w:ascii="Calibri" w:eastAsia="Times New Roman" w:hAnsi="Calibri" w:cs="Calibri"/>
          <w:lang w:val="en-GB"/>
        </w:rPr>
      </w:pPr>
    </w:p>
    <w:p w14:paraId="7C7AC0CD" w14:textId="77777777" w:rsidR="00105882" w:rsidRPr="00105882" w:rsidRDefault="00105882" w:rsidP="00105882">
      <w:pPr>
        <w:spacing w:line="360" w:lineRule="auto"/>
        <w:jc w:val="both"/>
        <w:rPr>
          <w:rFonts w:ascii="Calibri" w:eastAsia="Times New Roman" w:hAnsi="Calibri" w:cs="Calibri"/>
          <w:lang w:val="en-GB"/>
        </w:rPr>
      </w:pPr>
    </w:p>
    <w:p w14:paraId="11D5A97B" w14:textId="77777777" w:rsidR="00105882" w:rsidRPr="00105882" w:rsidRDefault="00105882" w:rsidP="00105882">
      <w:pPr>
        <w:spacing w:line="360" w:lineRule="auto"/>
        <w:jc w:val="both"/>
        <w:rPr>
          <w:rFonts w:ascii="Calibri" w:eastAsia="Times New Roman" w:hAnsi="Calibri" w:cs="Calibri"/>
          <w:lang w:val="en-GB"/>
        </w:rPr>
      </w:pPr>
    </w:p>
    <w:p w14:paraId="691D6B43" w14:textId="77777777" w:rsidR="00105882" w:rsidRPr="00105882" w:rsidRDefault="00105882" w:rsidP="00105882">
      <w:pPr>
        <w:spacing w:line="360" w:lineRule="auto"/>
        <w:jc w:val="both"/>
        <w:rPr>
          <w:rFonts w:ascii="Calibri" w:eastAsia="Times New Roman" w:hAnsi="Calibri" w:cs="Calibri"/>
          <w:lang w:val="en-GB"/>
        </w:rPr>
      </w:pPr>
    </w:p>
    <w:p w14:paraId="73566831" w14:textId="77777777" w:rsidR="00105882" w:rsidRPr="00105882" w:rsidRDefault="00105882" w:rsidP="00105882">
      <w:pPr>
        <w:spacing w:line="360" w:lineRule="auto"/>
        <w:jc w:val="both"/>
        <w:rPr>
          <w:rFonts w:ascii="Calibri" w:eastAsia="Times New Roman" w:hAnsi="Calibri" w:cs="Calibri"/>
          <w:lang w:val="en-GB"/>
        </w:rPr>
      </w:pPr>
    </w:p>
    <w:p w14:paraId="655A97FA" w14:textId="77777777" w:rsidR="00105882" w:rsidRPr="00105882" w:rsidRDefault="00105882" w:rsidP="00105882">
      <w:pPr>
        <w:spacing w:line="360" w:lineRule="auto"/>
        <w:jc w:val="both"/>
        <w:rPr>
          <w:rFonts w:ascii="Calibri" w:eastAsia="Times New Roman" w:hAnsi="Calibri" w:cs="Calibri"/>
          <w:lang w:val="en-GB"/>
        </w:rPr>
      </w:pPr>
    </w:p>
    <w:p w14:paraId="15E8418A" w14:textId="77777777" w:rsidR="00105882" w:rsidRPr="00105882" w:rsidRDefault="00105882" w:rsidP="00105882">
      <w:pPr>
        <w:spacing w:line="360" w:lineRule="auto"/>
        <w:jc w:val="both"/>
        <w:rPr>
          <w:rFonts w:ascii="Calibri" w:eastAsia="Times New Roman" w:hAnsi="Calibri" w:cs="Calibri"/>
          <w:lang w:val="en-GB"/>
        </w:rPr>
      </w:pPr>
    </w:p>
    <w:p w14:paraId="16C5C40B" w14:textId="77777777" w:rsidR="00105882" w:rsidRPr="00105882" w:rsidRDefault="00105882" w:rsidP="00105882">
      <w:pPr>
        <w:spacing w:line="360" w:lineRule="auto"/>
        <w:jc w:val="both"/>
        <w:rPr>
          <w:rFonts w:ascii="Calibri" w:eastAsia="Times New Roman" w:hAnsi="Calibri" w:cs="Calibri"/>
          <w:lang w:val="en-GB"/>
        </w:rPr>
      </w:pPr>
    </w:p>
    <w:p w14:paraId="303B447C" w14:textId="77777777" w:rsidR="00105882" w:rsidRPr="00105882" w:rsidRDefault="00105882" w:rsidP="00105882">
      <w:pPr>
        <w:spacing w:line="360" w:lineRule="auto"/>
        <w:jc w:val="both"/>
        <w:rPr>
          <w:rFonts w:ascii="Calibri" w:eastAsia="Times New Roman" w:hAnsi="Calibri" w:cs="Calibri"/>
          <w:lang w:val="en-GB"/>
        </w:rPr>
      </w:pPr>
    </w:p>
    <w:p w14:paraId="772F43BC" w14:textId="77777777" w:rsidR="00105882" w:rsidRPr="00105882" w:rsidRDefault="00105882" w:rsidP="00105882">
      <w:pPr>
        <w:spacing w:line="360" w:lineRule="auto"/>
        <w:jc w:val="both"/>
        <w:rPr>
          <w:rFonts w:ascii="Calibri" w:eastAsia="Times New Roman" w:hAnsi="Calibri" w:cs="Calibri"/>
          <w:lang w:val="en-GB"/>
        </w:rPr>
      </w:pPr>
    </w:p>
    <w:p w14:paraId="0A552114" w14:textId="77777777" w:rsidR="00105882" w:rsidRPr="00105882" w:rsidRDefault="00105882" w:rsidP="00105882">
      <w:pPr>
        <w:spacing w:line="360" w:lineRule="auto"/>
        <w:jc w:val="both"/>
        <w:rPr>
          <w:rFonts w:ascii="Calibri" w:eastAsia="Times New Roman" w:hAnsi="Calibri" w:cs="Calibri"/>
          <w:lang w:val="en-GB"/>
        </w:rPr>
      </w:pPr>
    </w:p>
    <w:p w14:paraId="5B6B4773" w14:textId="77777777" w:rsidR="00105882" w:rsidRPr="00105882" w:rsidRDefault="00105882" w:rsidP="00105882">
      <w:pPr>
        <w:spacing w:line="360" w:lineRule="auto"/>
        <w:jc w:val="both"/>
        <w:rPr>
          <w:rFonts w:ascii="Calibri" w:eastAsia="Times New Roman" w:hAnsi="Calibri" w:cs="Calibri"/>
          <w:lang w:val="en-GB"/>
        </w:rPr>
      </w:pPr>
    </w:p>
    <w:p w14:paraId="62CCBCED" w14:textId="77777777" w:rsidR="00105882" w:rsidRPr="00105882" w:rsidRDefault="00105882" w:rsidP="00105882">
      <w:pPr>
        <w:spacing w:line="360" w:lineRule="auto"/>
        <w:jc w:val="both"/>
        <w:rPr>
          <w:rFonts w:ascii="Calibri" w:eastAsia="Times New Roman" w:hAnsi="Calibri" w:cs="Calibri"/>
          <w:lang w:val="en-GB"/>
        </w:rPr>
      </w:pPr>
    </w:p>
    <w:p w14:paraId="2AB9C438" w14:textId="77777777" w:rsidR="00105882" w:rsidRPr="00105882" w:rsidRDefault="00105882" w:rsidP="00105882">
      <w:pPr>
        <w:spacing w:line="360" w:lineRule="auto"/>
        <w:jc w:val="both"/>
        <w:rPr>
          <w:rFonts w:ascii="Calibri" w:eastAsia="Times New Roman" w:hAnsi="Calibri" w:cs="Calibri"/>
          <w:lang w:val="en-GB"/>
        </w:rPr>
      </w:pPr>
    </w:p>
    <w:p w14:paraId="0318EE95" w14:textId="77777777" w:rsidR="00105882" w:rsidRPr="00105882" w:rsidRDefault="00105882" w:rsidP="00105882">
      <w:pPr>
        <w:spacing w:line="360" w:lineRule="auto"/>
        <w:jc w:val="both"/>
        <w:rPr>
          <w:rFonts w:ascii="Calibri" w:eastAsia="Times New Roman" w:hAnsi="Calibri" w:cs="Calibri"/>
          <w:lang w:val="en-GB"/>
        </w:rPr>
      </w:pPr>
    </w:p>
    <w:p w14:paraId="129DB012" w14:textId="77777777" w:rsidR="00105882" w:rsidRPr="00105882" w:rsidRDefault="00105882" w:rsidP="00105882">
      <w:pPr>
        <w:spacing w:line="360" w:lineRule="auto"/>
        <w:jc w:val="both"/>
        <w:rPr>
          <w:rFonts w:ascii="Calibri" w:eastAsia="Times New Roman" w:hAnsi="Calibri" w:cs="Calibri"/>
          <w:lang w:val="en-GB"/>
        </w:rPr>
      </w:pPr>
    </w:p>
    <w:p w14:paraId="4D729818" w14:textId="77777777" w:rsidR="00105882" w:rsidRPr="00105882" w:rsidRDefault="00105882" w:rsidP="00105882">
      <w:pPr>
        <w:spacing w:line="360" w:lineRule="auto"/>
        <w:jc w:val="both"/>
        <w:rPr>
          <w:rFonts w:ascii="Calibri" w:eastAsia="Times New Roman" w:hAnsi="Calibri" w:cs="Calibri"/>
          <w:lang w:val="en-GB"/>
        </w:rPr>
      </w:pPr>
    </w:p>
    <w:p w14:paraId="2AC9B333" w14:textId="77777777" w:rsidR="00E65F38" w:rsidRPr="00105882" w:rsidRDefault="00E65F38" w:rsidP="00105882">
      <w:pPr>
        <w:spacing w:line="360" w:lineRule="auto"/>
        <w:jc w:val="both"/>
        <w:rPr>
          <w:rFonts w:ascii="Calibri" w:eastAsia="Times New Roman" w:hAnsi="Calibri" w:cs="Calibri"/>
          <w:b/>
          <w:bCs/>
          <w:lang w:val="en-US"/>
        </w:rPr>
      </w:pPr>
      <w:r w:rsidRPr="00105882">
        <w:rPr>
          <w:rFonts w:ascii="Calibri" w:eastAsia="Times New Roman" w:hAnsi="Calibri" w:cs="Calibri"/>
          <w:b/>
          <w:bCs/>
          <w:lang w:val="en-US"/>
        </w:rPr>
        <w:lastRenderedPageBreak/>
        <w:t xml:space="preserve">References: </w:t>
      </w:r>
    </w:p>
    <w:p w14:paraId="16EC6560" w14:textId="749E2F11" w:rsidR="00E65F38" w:rsidRPr="00105882" w:rsidRDefault="00E65F38" w:rsidP="00105882">
      <w:pPr>
        <w:spacing w:line="360" w:lineRule="auto"/>
        <w:rPr>
          <w:rFonts w:ascii="Calibri" w:eastAsia="Times New Roman" w:hAnsi="Calibri" w:cs="Calibri"/>
          <w:bCs/>
          <w:lang w:val="en-US"/>
        </w:rPr>
      </w:pPr>
      <w:r w:rsidRPr="00105882">
        <w:rPr>
          <w:rFonts w:ascii="Calibri" w:eastAsia="Times New Roman" w:hAnsi="Calibri" w:cs="Calibri"/>
          <w:bCs/>
          <w:lang w:val="en-US"/>
        </w:rPr>
        <w:t xml:space="preserve">Awa, H.O., Ojiabo, O.U. and Emecheta, B.C. (2017). ‘Integrating TAM, TOE and DOI theories: An integrated technology adoption model for SMEs’, </w:t>
      </w:r>
      <w:r w:rsidRPr="00105882">
        <w:rPr>
          <w:rFonts w:ascii="Calibri" w:eastAsia="Times New Roman" w:hAnsi="Calibri" w:cs="Calibri"/>
          <w:bCs/>
          <w:i/>
          <w:iCs/>
          <w:lang w:val="en-US"/>
        </w:rPr>
        <w:t>Information Systems Frontiers</w:t>
      </w:r>
      <w:r w:rsidRPr="00105882">
        <w:rPr>
          <w:rFonts w:ascii="Calibri" w:eastAsia="Times New Roman" w:hAnsi="Calibri" w:cs="Calibri"/>
          <w:bCs/>
          <w:lang w:val="en-US"/>
        </w:rPr>
        <w:t>, 19(2), pp. 309–327. [Available: https://doi.org/10.1007/s10796-015-9619-1]</w:t>
      </w:r>
    </w:p>
    <w:p w14:paraId="05F9D00C" w14:textId="77777777" w:rsidR="00E65F38" w:rsidRPr="00105882" w:rsidRDefault="00E65F38" w:rsidP="00105882">
      <w:pPr>
        <w:spacing w:line="360" w:lineRule="auto"/>
        <w:rPr>
          <w:rFonts w:ascii="Calibri" w:eastAsia="Times New Roman" w:hAnsi="Calibri" w:cs="Calibri"/>
          <w:bCs/>
          <w:lang w:val="en-US"/>
        </w:rPr>
      </w:pPr>
    </w:p>
    <w:p w14:paraId="5BAF0A5D" w14:textId="77777777"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Bharadwaj, A., El </w:t>
      </w:r>
      <w:proofErr w:type="spellStart"/>
      <w:r w:rsidRPr="00105882">
        <w:rPr>
          <w:rFonts w:ascii="Calibri" w:eastAsia="Times New Roman" w:hAnsi="Calibri" w:cs="Calibri"/>
          <w:lang w:val="en-US"/>
        </w:rPr>
        <w:t>Sawy</w:t>
      </w:r>
      <w:proofErr w:type="spellEnd"/>
      <w:r w:rsidRPr="00105882">
        <w:rPr>
          <w:rFonts w:ascii="Calibri" w:eastAsia="Times New Roman" w:hAnsi="Calibri" w:cs="Calibri"/>
          <w:lang w:val="en-US"/>
        </w:rPr>
        <w:t xml:space="preserve">, O.A., Pavlou, P.A. and Venkatraman, N. (2013). ‘Digital business strategy: Toward a next generation of insights’, </w:t>
      </w:r>
      <w:r w:rsidRPr="00105882">
        <w:rPr>
          <w:rFonts w:ascii="Calibri" w:eastAsia="Times New Roman" w:hAnsi="Calibri" w:cs="Calibri"/>
          <w:i/>
          <w:iCs/>
          <w:lang w:val="en-US"/>
        </w:rPr>
        <w:t>MIS Quarterly</w:t>
      </w:r>
      <w:r w:rsidRPr="00105882">
        <w:rPr>
          <w:rFonts w:ascii="Calibri" w:eastAsia="Times New Roman" w:hAnsi="Calibri" w:cs="Calibri"/>
          <w:lang w:val="en-US"/>
        </w:rPr>
        <w:t xml:space="preserve">, 37(2), pp. 471–482. [Available: https://doi.org/10.25300/MISQ/2013/37.2.3] </w:t>
      </w:r>
    </w:p>
    <w:p w14:paraId="652D7FDA" w14:textId="77777777" w:rsidR="00E65F38" w:rsidRPr="00105882" w:rsidRDefault="00E65F38" w:rsidP="00105882">
      <w:pPr>
        <w:spacing w:line="360" w:lineRule="auto"/>
        <w:rPr>
          <w:rFonts w:ascii="Calibri" w:eastAsia="Times New Roman" w:hAnsi="Calibri" w:cs="Calibri"/>
          <w:bCs/>
          <w:lang w:val="en-US"/>
        </w:rPr>
      </w:pPr>
    </w:p>
    <w:p w14:paraId="1D8EC7E2" w14:textId="77777777"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Calder, A. (2020). </w:t>
      </w:r>
      <w:r w:rsidRPr="00105882">
        <w:rPr>
          <w:rFonts w:ascii="Calibri" w:eastAsia="Times New Roman" w:hAnsi="Calibri" w:cs="Calibri"/>
          <w:i/>
          <w:iCs/>
          <w:lang w:val="en-US"/>
        </w:rPr>
        <w:t>ISO/IEC 27001: A practical guide</w:t>
      </w:r>
      <w:r w:rsidRPr="00105882">
        <w:rPr>
          <w:rFonts w:ascii="Calibri" w:eastAsia="Times New Roman" w:hAnsi="Calibri" w:cs="Calibri"/>
          <w:lang w:val="en-US"/>
        </w:rPr>
        <w:t xml:space="preserve">. 4th edn. Ely: IT Governance Publishing. [Available: https://www.itgovernancepublishing.co.uk/iso27001] </w:t>
      </w:r>
    </w:p>
    <w:p w14:paraId="0996DBFB" w14:textId="77777777" w:rsidR="00E65F38" w:rsidRPr="00105882" w:rsidRDefault="00E65F38" w:rsidP="00105882">
      <w:pPr>
        <w:spacing w:line="360" w:lineRule="auto"/>
        <w:rPr>
          <w:rFonts w:ascii="Calibri" w:eastAsia="Times New Roman" w:hAnsi="Calibri" w:cs="Calibri"/>
          <w:bCs/>
          <w:lang w:val="en-US"/>
        </w:rPr>
      </w:pPr>
    </w:p>
    <w:p w14:paraId="7B81EC78" w14:textId="77777777"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Cennamo, C., </w:t>
      </w:r>
      <w:proofErr w:type="spellStart"/>
      <w:r w:rsidRPr="00105882">
        <w:rPr>
          <w:rFonts w:ascii="Calibri" w:eastAsia="Times New Roman" w:hAnsi="Calibri" w:cs="Calibri"/>
          <w:lang w:val="en-US"/>
        </w:rPr>
        <w:t>Ozalp</w:t>
      </w:r>
      <w:proofErr w:type="spellEnd"/>
      <w:r w:rsidRPr="00105882">
        <w:rPr>
          <w:rFonts w:ascii="Calibri" w:eastAsia="Times New Roman" w:hAnsi="Calibri" w:cs="Calibri"/>
          <w:lang w:val="en-US"/>
        </w:rPr>
        <w:t xml:space="preserve">, H., Kretschmer, T. and Nambisan, S. (2020). ‘Platform architecture and quality trade-offs of multihoming complements’, </w:t>
      </w:r>
      <w:r w:rsidRPr="00105882">
        <w:rPr>
          <w:rFonts w:ascii="Calibri" w:eastAsia="Times New Roman" w:hAnsi="Calibri" w:cs="Calibri"/>
          <w:i/>
          <w:iCs/>
          <w:lang w:val="en-US"/>
        </w:rPr>
        <w:t>MIS Quarterly</w:t>
      </w:r>
      <w:r w:rsidRPr="00105882">
        <w:rPr>
          <w:rFonts w:ascii="Calibri" w:eastAsia="Times New Roman" w:hAnsi="Calibri" w:cs="Calibri"/>
          <w:lang w:val="en-US"/>
        </w:rPr>
        <w:t xml:space="preserve">, 44(2), pp. 593–620. [Available: https://doi.org/10.25300/MISQ/2020/15352] </w:t>
      </w:r>
    </w:p>
    <w:p w14:paraId="4259B1F4" w14:textId="77777777" w:rsidR="00E65F38" w:rsidRPr="00105882" w:rsidRDefault="00E65F38" w:rsidP="00105882">
      <w:pPr>
        <w:spacing w:line="360" w:lineRule="auto"/>
        <w:rPr>
          <w:rFonts w:ascii="Calibri" w:eastAsia="Times New Roman" w:hAnsi="Calibri" w:cs="Calibri"/>
          <w:bCs/>
          <w:lang w:val="en-US"/>
        </w:rPr>
      </w:pPr>
    </w:p>
    <w:p w14:paraId="060CA8F3" w14:textId="77777777"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Constantinides, P., Henfridsson, O. and Parker, G.G. (2018). ‘Introduction—Platforms and infrastructures in the digital age’, </w:t>
      </w:r>
      <w:r w:rsidRPr="00105882">
        <w:rPr>
          <w:rFonts w:ascii="Calibri" w:eastAsia="Times New Roman" w:hAnsi="Calibri" w:cs="Calibri"/>
          <w:i/>
          <w:iCs/>
          <w:lang w:val="en-US"/>
        </w:rPr>
        <w:t>Information Systems Research</w:t>
      </w:r>
      <w:r w:rsidRPr="00105882">
        <w:rPr>
          <w:rFonts w:ascii="Calibri" w:eastAsia="Times New Roman" w:hAnsi="Calibri" w:cs="Calibri"/>
          <w:lang w:val="en-US"/>
        </w:rPr>
        <w:t xml:space="preserve">, 29(2), pp. 381–400. [Available: https://doi.org/10.1287/isre.2018.0794] </w:t>
      </w:r>
    </w:p>
    <w:p w14:paraId="2EBA1472" w14:textId="77777777" w:rsidR="00E65F38" w:rsidRPr="00105882" w:rsidRDefault="00E65F38" w:rsidP="00105882">
      <w:pPr>
        <w:spacing w:line="360" w:lineRule="auto"/>
        <w:rPr>
          <w:rFonts w:ascii="Calibri" w:eastAsia="Times New Roman" w:hAnsi="Calibri" w:cs="Calibri"/>
          <w:bCs/>
          <w:lang w:val="en-US"/>
        </w:rPr>
      </w:pPr>
    </w:p>
    <w:p w14:paraId="33AF2CA9" w14:textId="292CD574" w:rsidR="00E65F38" w:rsidRPr="00105882" w:rsidRDefault="00E65F38" w:rsidP="00105882">
      <w:pPr>
        <w:spacing w:line="360" w:lineRule="auto"/>
        <w:rPr>
          <w:rFonts w:ascii="Calibri" w:eastAsia="Times New Roman" w:hAnsi="Calibri" w:cs="Calibri"/>
          <w:bCs/>
          <w:lang w:val="en-US"/>
        </w:rPr>
      </w:pPr>
      <w:r w:rsidRPr="00105882">
        <w:rPr>
          <w:rFonts w:ascii="Calibri" w:eastAsia="Times New Roman" w:hAnsi="Calibri" w:cs="Calibri"/>
          <w:bCs/>
          <w:lang w:val="en-US"/>
        </w:rPr>
        <w:t xml:space="preserve">Davis, F.D., (1989). ‘Perceived usefulness, perceived ease of use, and user acceptance of information technology’, </w:t>
      </w:r>
      <w:r w:rsidRPr="00105882">
        <w:rPr>
          <w:rFonts w:ascii="Calibri" w:eastAsia="Times New Roman" w:hAnsi="Calibri" w:cs="Calibri"/>
          <w:bCs/>
          <w:i/>
          <w:iCs/>
          <w:lang w:val="en-US"/>
        </w:rPr>
        <w:t>MIS Quarterly</w:t>
      </w:r>
      <w:r w:rsidRPr="00105882">
        <w:rPr>
          <w:rFonts w:ascii="Calibri" w:eastAsia="Times New Roman" w:hAnsi="Calibri" w:cs="Calibri"/>
          <w:bCs/>
          <w:lang w:val="en-US"/>
        </w:rPr>
        <w:t xml:space="preserve"> 13 (3), 319–340. [Available: https://doi.org/10.2307/249008]</w:t>
      </w:r>
    </w:p>
    <w:p w14:paraId="625121AA" w14:textId="77777777" w:rsidR="00E65F38" w:rsidRPr="00105882" w:rsidRDefault="00E65F38" w:rsidP="00105882">
      <w:pPr>
        <w:spacing w:line="360" w:lineRule="auto"/>
        <w:rPr>
          <w:rFonts w:ascii="Calibri" w:eastAsia="Times New Roman" w:hAnsi="Calibri" w:cs="Calibri"/>
          <w:bCs/>
          <w:lang w:val="en-US"/>
        </w:rPr>
      </w:pPr>
    </w:p>
    <w:p w14:paraId="5D856187" w14:textId="77777777" w:rsidR="00E65F38" w:rsidRPr="00105882" w:rsidRDefault="00E65F38" w:rsidP="00105882">
      <w:pPr>
        <w:spacing w:line="360" w:lineRule="auto"/>
        <w:rPr>
          <w:rFonts w:ascii="Calibri" w:eastAsia="Times New Roman" w:hAnsi="Calibri" w:cs="Calibri"/>
          <w:bCs/>
          <w:lang w:val="en-US"/>
        </w:rPr>
      </w:pPr>
      <w:r w:rsidRPr="00105882">
        <w:rPr>
          <w:rFonts w:ascii="Calibri" w:eastAsia="Times New Roman" w:hAnsi="Calibri" w:cs="Calibri"/>
          <w:lang w:val="en-US"/>
        </w:rPr>
        <w:t xml:space="preserve">D’Arcy, J., Herath, T. and </w:t>
      </w:r>
      <w:proofErr w:type="spellStart"/>
      <w:r w:rsidRPr="00105882">
        <w:rPr>
          <w:rFonts w:ascii="Calibri" w:eastAsia="Times New Roman" w:hAnsi="Calibri" w:cs="Calibri"/>
          <w:lang w:val="en-US"/>
        </w:rPr>
        <w:t>Shoss</w:t>
      </w:r>
      <w:proofErr w:type="spellEnd"/>
      <w:r w:rsidRPr="00105882">
        <w:rPr>
          <w:rFonts w:ascii="Calibri" w:eastAsia="Times New Roman" w:hAnsi="Calibri" w:cs="Calibri"/>
          <w:lang w:val="en-US"/>
        </w:rPr>
        <w:t xml:space="preserve">, M.K. (2020). ‘Understanding employee responses to stressful information security requirements’, </w:t>
      </w:r>
      <w:r w:rsidRPr="00105882">
        <w:rPr>
          <w:rFonts w:ascii="Calibri" w:eastAsia="Times New Roman" w:hAnsi="Calibri" w:cs="Calibri"/>
          <w:i/>
          <w:iCs/>
          <w:lang w:val="en-US"/>
        </w:rPr>
        <w:t>Information Systems Journal</w:t>
      </w:r>
      <w:r w:rsidRPr="00105882">
        <w:rPr>
          <w:rFonts w:ascii="Calibri" w:eastAsia="Times New Roman" w:hAnsi="Calibri" w:cs="Calibri"/>
          <w:lang w:val="en-US"/>
        </w:rPr>
        <w:t xml:space="preserve">, 30(2), pp. 256–289. [Available: https://doi.org/10.1111/isj.12257] </w:t>
      </w:r>
    </w:p>
    <w:p w14:paraId="60FB7206" w14:textId="451D17A3"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Department for Science, Innovation and Technology (DSIT) (2023). </w:t>
      </w:r>
      <w:r w:rsidRPr="00105882">
        <w:rPr>
          <w:rFonts w:ascii="Calibri" w:eastAsia="Times New Roman" w:hAnsi="Calibri" w:cs="Calibri"/>
          <w:i/>
          <w:iCs/>
          <w:lang w:val="en-US"/>
        </w:rPr>
        <w:t>Cyber Security Breaches Survey 2023</w:t>
      </w:r>
      <w:r w:rsidRPr="00105882">
        <w:rPr>
          <w:rFonts w:ascii="Calibri" w:eastAsia="Times New Roman" w:hAnsi="Calibri" w:cs="Calibri"/>
          <w:lang w:val="en-US"/>
        </w:rPr>
        <w:t>. London: UK Government.</w:t>
      </w:r>
      <w:r w:rsidRPr="00105882">
        <w:rPr>
          <w:rFonts w:ascii="Calibri" w:eastAsia="Times New Roman" w:hAnsi="Calibri" w:cs="Calibri"/>
          <w:lang w:val="en-US"/>
        </w:rPr>
        <w:br/>
        <w:t>[Available: https://www.gov.uk/government/publications/cyber-security-breaches-survey-2023]</w:t>
      </w:r>
    </w:p>
    <w:p w14:paraId="2952454B" w14:textId="77777777" w:rsidR="00E65F38" w:rsidRPr="00105882" w:rsidRDefault="00E65F38" w:rsidP="00105882">
      <w:pPr>
        <w:spacing w:line="360" w:lineRule="auto"/>
        <w:rPr>
          <w:rFonts w:ascii="Calibri" w:eastAsia="Times New Roman" w:hAnsi="Calibri" w:cs="Calibri"/>
          <w:bCs/>
          <w:lang w:val="en-US"/>
        </w:rPr>
      </w:pPr>
      <w:r w:rsidRPr="00105882">
        <w:rPr>
          <w:rFonts w:ascii="Calibri" w:eastAsia="Times New Roman" w:hAnsi="Calibri" w:cs="Calibri"/>
          <w:lang w:val="en-US"/>
        </w:rPr>
        <w:t xml:space="preserve"> </w:t>
      </w:r>
    </w:p>
    <w:p w14:paraId="5439246A" w14:textId="77777777"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ENISA (European Union Agency for Cybersecurity) (2021). </w:t>
      </w:r>
      <w:r w:rsidRPr="00105882">
        <w:rPr>
          <w:rFonts w:ascii="Calibri" w:eastAsia="Times New Roman" w:hAnsi="Calibri" w:cs="Calibri"/>
          <w:i/>
          <w:iCs/>
          <w:lang w:val="en-US"/>
        </w:rPr>
        <w:t>Threat Landscape for SMEs</w:t>
      </w:r>
      <w:r w:rsidRPr="00105882">
        <w:rPr>
          <w:rFonts w:ascii="Calibri" w:eastAsia="Times New Roman" w:hAnsi="Calibri" w:cs="Calibri"/>
          <w:lang w:val="en-US"/>
        </w:rPr>
        <w:t xml:space="preserve">. Athens: ENISA. [Available: https://www.enisa.europa.eu/publications/threat-landscape-for-smes] </w:t>
      </w:r>
    </w:p>
    <w:p w14:paraId="2F36CC01" w14:textId="77777777" w:rsidR="00E65F38" w:rsidRPr="00105882" w:rsidRDefault="00E65F38" w:rsidP="00105882">
      <w:pPr>
        <w:spacing w:line="360" w:lineRule="auto"/>
        <w:rPr>
          <w:rFonts w:ascii="Calibri" w:eastAsia="Times New Roman" w:hAnsi="Calibri" w:cs="Calibri"/>
          <w:bCs/>
          <w:lang w:val="en-US"/>
        </w:rPr>
      </w:pPr>
    </w:p>
    <w:p w14:paraId="643CFF81" w14:textId="69B32533"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ENISA (European Union Agency for Cybersecurity) (2023). </w:t>
      </w:r>
      <w:r w:rsidRPr="00105882">
        <w:rPr>
          <w:rFonts w:ascii="Calibri" w:eastAsia="Times New Roman" w:hAnsi="Calibri" w:cs="Calibri"/>
          <w:i/>
          <w:iCs/>
          <w:lang w:val="en-US"/>
        </w:rPr>
        <w:t>Cybersecurity for SMEs: Challenges and Recommendations</w:t>
      </w:r>
      <w:r w:rsidRPr="00105882">
        <w:rPr>
          <w:rFonts w:ascii="Calibri" w:eastAsia="Times New Roman" w:hAnsi="Calibri" w:cs="Calibri"/>
          <w:lang w:val="en-US"/>
        </w:rPr>
        <w:t>. Athens: ENISA. [Available: https://www.enisa.europa.eu/publications/cybersecurity-for-smes]</w:t>
      </w:r>
    </w:p>
    <w:p w14:paraId="1322DA19" w14:textId="77777777" w:rsidR="00E65F38" w:rsidRPr="00105882" w:rsidRDefault="00E65F38" w:rsidP="00105882">
      <w:pPr>
        <w:spacing w:line="360" w:lineRule="auto"/>
        <w:rPr>
          <w:rFonts w:ascii="Calibri" w:eastAsia="Times New Roman" w:hAnsi="Calibri" w:cs="Calibri"/>
          <w:bCs/>
          <w:lang w:val="en-US"/>
        </w:rPr>
      </w:pPr>
    </w:p>
    <w:p w14:paraId="3B15A994" w14:textId="77777777"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Furnell, S., Shah, J.N., Fischer, P. and Bleiman, J. (2021) ‘Usability versus security: A balancing act’, </w:t>
      </w:r>
      <w:r w:rsidRPr="00105882">
        <w:rPr>
          <w:rFonts w:ascii="Calibri" w:eastAsia="Times New Roman" w:hAnsi="Calibri" w:cs="Calibri"/>
          <w:i/>
          <w:iCs/>
          <w:lang w:val="en-US"/>
        </w:rPr>
        <w:t>Information &amp; Computer Security</w:t>
      </w:r>
      <w:r w:rsidRPr="00105882">
        <w:rPr>
          <w:rFonts w:ascii="Calibri" w:eastAsia="Times New Roman" w:hAnsi="Calibri" w:cs="Calibri"/>
          <w:lang w:val="en-US"/>
        </w:rPr>
        <w:t xml:space="preserve">, 29(2), pp. 187–204. [Available: https://doi.org/10.1108/ICS-09-2020-0148] </w:t>
      </w:r>
    </w:p>
    <w:p w14:paraId="49176AF5" w14:textId="77777777" w:rsidR="00E65F38" w:rsidRPr="00105882" w:rsidRDefault="00E65F38" w:rsidP="00105882">
      <w:pPr>
        <w:spacing w:line="360" w:lineRule="auto"/>
        <w:rPr>
          <w:rFonts w:ascii="Calibri" w:eastAsia="Times New Roman" w:hAnsi="Calibri" w:cs="Calibri"/>
          <w:bCs/>
          <w:lang w:val="en-US"/>
        </w:rPr>
      </w:pPr>
    </w:p>
    <w:p w14:paraId="226F0AD4" w14:textId="5BB1C759"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Grover, V., Chiang, R.H.L., Liang, T.-P. and Zhang, D. (2018). ‘Creating strategic business </w:t>
      </w:r>
      <w:r w:rsidR="007E2FAD" w:rsidRPr="00105882">
        <w:rPr>
          <w:rFonts w:ascii="Calibri" w:eastAsia="Times New Roman" w:hAnsi="Calibri" w:cs="Calibri"/>
          <w:lang w:val="en-US"/>
        </w:rPr>
        <w:t xml:space="preserve">value from big data analytics’, </w:t>
      </w:r>
      <w:r w:rsidRPr="00105882">
        <w:rPr>
          <w:rFonts w:ascii="Calibri" w:eastAsia="Times New Roman" w:hAnsi="Calibri" w:cs="Calibri"/>
          <w:i/>
          <w:iCs/>
          <w:lang w:val="en-US"/>
        </w:rPr>
        <w:t>Journal of Management Information Systems</w:t>
      </w:r>
      <w:r w:rsidRPr="00105882">
        <w:rPr>
          <w:rFonts w:ascii="Calibri" w:eastAsia="Times New Roman" w:hAnsi="Calibri" w:cs="Calibri"/>
          <w:lang w:val="en-US"/>
        </w:rPr>
        <w:t>, 35(2), pp. 388–423. [Available: https://doi.org/10.1080/07421222.2018.1451951]</w:t>
      </w:r>
    </w:p>
    <w:p w14:paraId="18FF27FB" w14:textId="77777777" w:rsidR="00E65F38" w:rsidRPr="00105882" w:rsidRDefault="00E65F38" w:rsidP="00105882">
      <w:pPr>
        <w:spacing w:line="360" w:lineRule="auto"/>
        <w:rPr>
          <w:rFonts w:ascii="Calibri" w:eastAsia="Times New Roman" w:hAnsi="Calibri" w:cs="Calibri"/>
          <w:bCs/>
          <w:lang w:val="en-US"/>
        </w:rPr>
      </w:pPr>
    </w:p>
    <w:p w14:paraId="0FAD8E2B" w14:textId="0F900924"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Hadžiosmanović, D. and </w:t>
      </w:r>
      <w:proofErr w:type="spellStart"/>
      <w:r w:rsidRPr="00105882">
        <w:rPr>
          <w:rFonts w:ascii="Calibri" w:eastAsia="Times New Roman" w:hAnsi="Calibri" w:cs="Calibri"/>
          <w:lang w:val="en-US"/>
        </w:rPr>
        <w:t>Rindell</w:t>
      </w:r>
      <w:proofErr w:type="spellEnd"/>
      <w:r w:rsidRPr="00105882">
        <w:rPr>
          <w:rFonts w:ascii="Calibri" w:eastAsia="Times New Roman" w:hAnsi="Calibri" w:cs="Calibri"/>
          <w:lang w:val="en-US"/>
        </w:rPr>
        <w:t xml:space="preserve">, A. (2023). ‘Cybersecurity governance challenges in SMEs’. </w:t>
      </w:r>
      <w:r w:rsidRPr="00105882">
        <w:rPr>
          <w:rFonts w:ascii="Calibri" w:eastAsia="Times New Roman" w:hAnsi="Calibri" w:cs="Calibri"/>
          <w:i/>
          <w:iCs/>
          <w:lang w:val="en-US"/>
        </w:rPr>
        <w:t>Information Systems Journal</w:t>
      </w:r>
      <w:r w:rsidRPr="00105882">
        <w:rPr>
          <w:rFonts w:ascii="Calibri" w:eastAsia="Times New Roman" w:hAnsi="Calibri" w:cs="Calibri"/>
          <w:lang w:val="en-US"/>
        </w:rPr>
        <w:t>, 33(4), pp. 789–820. [Available: https://doi.org/10.1111/isj.12409]</w:t>
      </w:r>
    </w:p>
    <w:p w14:paraId="1033D420" w14:textId="77777777" w:rsidR="00E65F38" w:rsidRPr="00105882" w:rsidRDefault="00E65F38" w:rsidP="00105882">
      <w:pPr>
        <w:spacing w:line="360" w:lineRule="auto"/>
        <w:rPr>
          <w:rFonts w:ascii="Calibri" w:eastAsia="Times New Roman" w:hAnsi="Calibri" w:cs="Calibri"/>
          <w:bCs/>
          <w:lang w:val="en-US"/>
        </w:rPr>
      </w:pPr>
    </w:p>
    <w:p w14:paraId="2F5D948F" w14:textId="66909BCA"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Henfridsson, O. and </w:t>
      </w:r>
      <w:proofErr w:type="spellStart"/>
      <w:r w:rsidRPr="00105882">
        <w:rPr>
          <w:rFonts w:ascii="Calibri" w:eastAsia="Times New Roman" w:hAnsi="Calibri" w:cs="Calibri"/>
          <w:lang w:val="en-US"/>
        </w:rPr>
        <w:t>Bygstad</w:t>
      </w:r>
      <w:proofErr w:type="spellEnd"/>
      <w:r w:rsidRPr="00105882">
        <w:rPr>
          <w:rFonts w:ascii="Calibri" w:eastAsia="Times New Roman" w:hAnsi="Calibri" w:cs="Calibri"/>
          <w:lang w:val="en-US"/>
        </w:rPr>
        <w:t>, B. (2013). ‘The generative mechanisms of di</w:t>
      </w:r>
      <w:r w:rsidR="007E2FAD" w:rsidRPr="00105882">
        <w:rPr>
          <w:rFonts w:ascii="Calibri" w:eastAsia="Times New Roman" w:hAnsi="Calibri" w:cs="Calibri"/>
          <w:lang w:val="en-US"/>
        </w:rPr>
        <w:t>gital infrastructure evolution’,</w:t>
      </w:r>
      <w:r w:rsidRPr="00105882">
        <w:rPr>
          <w:rFonts w:ascii="Calibri" w:eastAsia="Times New Roman" w:hAnsi="Calibri" w:cs="Calibri"/>
          <w:lang w:val="en-US"/>
        </w:rPr>
        <w:t xml:space="preserve"> </w:t>
      </w:r>
      <w:r w:rsidRPr="00105882">
        <w:rPr>
          <w:rFonts w:ascii="Calibri" w:eastAsia="Times New Roman" w:hAnsi="Calibri" w:cs="Calibri"/>
          <w:i/>
          <w:iCs/>
          <w:lang w:val="en-US"/>
        </w:rPr>
        <w:t>MIS Quarterly</w:t>
      </w:r>
      <w:r w:rsidRPr="00105882">
        <w:rPr>
          <w:rFonts w:ascii="Calibri" w:eastAsia="Times New Roman" w:hAnsi="Calibri" w:cs="Calibri"/>
          <w:lang w:val="en-US"/>
        </w:rPr>
        <w:t>, 37(3), pp. 907–931. [Available: https://doi.org/10.25300/MISQ/2013/37.3.11]</w:t>
      </w:r>
    </w:p>
    <w:p w14:paraId="34190FFC" w14:textId="77777777" w:rsidR="00E65F38" w:rsidRPr="00105882" w:rsidRDefault="00E65F38" w:rsidP="00105882">
      <w:pPr>
        <w:spacing w:line="360" w:lineRule="auto"/>
        <w:rPr>
          <w:rFonts w:ascii="Calibri" w:eastAsia="Times New Roman" w:hAnsi="Calibri" w:cs="Calibri"/>
          <w:bCs/>
          <w:lang w:val="en-US"/>
        </w:rPr>
      </w:pPr>
    </w:p>
    <w:p w14:paraId="40870ED0" w14:textId="52DEA983"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ISACA (2022). </w:t>
      </w:r>
      <w:r w:rsidRPr="00105882">
        <w:rPr>
          <w:rFonts w:ascii="Calibri" w:eastAsia="Times New Roman" w:hAnsi="Calibri" w:cs="Calibri"/>
          <w:i/>
          <w:iCs/>
          <w:lang w:val="en-US"/>
        </w:rPr>
        <w:t>COBIT® 2019 Framework: Governance and Management Objectives</w:t>
      </w:r>
      <w:r w:rsidRPr="00105882">
        <w:rPr>
          <w:rFonts w:ascii="Calibri" w:eastAsia="Times New Roman" w:hAnsi="Calibri" w:cs="Calibri"/>
          <w:lang w:val="en-US"/>
        </w:rPr>
        <w:t>. Schaumburg, IL: ISACA. [Available: https://www.isaca.org/resources/cobit]</w:t>
      </w:r>
    </w:p>
    <w:p w14:paraId="18501A5B" w14:textId="77777777" w:rsidR="00E65F38" w:rsidRPr="00105882" w:rsidRDefault="00E65F38" w:rsidP="00105882">
      <w:pPr>
        <w:spacing w:line="360" w:lineRule="auto"/>
        <w:rPr>
          <w:rFonts w:ascii="Calibri" w:eastAsia="Times New Roman" w:hAnsi="Calibri" w:cs="Calibri"/>
          <w:bCs/>
          <w:lang w:val="en-US"/>
        </w:rPr>
      </w:pPr>
    </w:p>
    <w:p w14:paraId="540FD1E6" w14:textId="5302EAC9" w:rsidR="00E65F38" w:rsidRPr="00105882" w:rsidRDefault="00E65F38" w:rsidP="00105882">
      <w:pPr>
        <w:spacing w:line="360" w:lineRule="auto"/>
        <w:rPr>
          <w:rFonts w:ascii="Calibri" w:eastAsia="Times New Roman" w:hAnsi="Calibri" w:cs="Calibri"/>
          <w:bCs/>
          <w:lang w:val="en-US"/>
        </w:rPr>
      </w:pPr>
      <w:r w:rsidRPr="00105882">
        <w:rPr>
          <w:rFonts w:ascii="Calibri" w:eastAsia="Times New Roman" w:hAnsi="Calibri" w:cs="Calibri"/>
          <w:bCs/>
          <w:lang w:val="en-US"/>
        </w:rPr>
        <w:t xml:space="preserve">Khatri, V., Brown, C.V. (2010). </w:t>
      </w:r>
      <w:r w:rsidR="007E2FAD" w:rsidRPr="00105882">
        <w:rPr>
          <w:rFonts w:ascii="Calibri" w:eastAsia="Times New Roman" w:hAnsi="Calibri" w:cs="Calibri"/>
          <w:bCs/>
          <w:lang w:val="en-US"/>
        </w:rPr>
        <w:t>‘Designing data governance’,</w:t>
      </w:r>
      <w:r w:rsidRPr="00105882">
        <w:rPr>
          <w:rFonts w:ascii="Calibri" w:eastAsia="Times New Roman" w:hAnsi="Calibri" w:cs="Calibri"/>
          <w:bCs/>
          <w:lang w:val="en-US"/>
        </w:rPr>
        <w:t xml:space="preserve"> </w:t>
      </w:r>
      <w:r w:rsidRPr="00105882">
        <w:rPr>
          <w:rFonts w:ascii="Calibri" w:eastAsia="Times New Roman" w:hAnsi="Calibri" w:cs="Calibri"/>
          <w:bCs/>
          <w:i/>
          <w:iCs/>
          <w:lang w:val="en-US"/>
        </w:rPr>
        <w:t>Communications of the ACM</w:t>
      </w:r>
      <w:r w:rsidRPr="00105882">
        <w:rPr>
          <w:rFonts w:ascii="Calibri" w:eastAsia="Times New Roman" w:hAnsi="Calibri" w:cs="Calibri"/>
          <w:bCs/>
          <w:lang w:val="en-US"/>
        </w:rPr>
        <w:t xml:space="preserve"> 53 (1), 148–152. [Available: https://doi.org/10.1145/1629175.1629210]</w:t>
      </w:r>
    </w:p>
    <w:p w14:paraId="7DF45146" w14:textId="77777777" w:rsidR="00E65F38" w:rsidRPr="00105882" w:rsidRDefault="00E65F38" w:rsidP="00105882">
      <w:pPr>
        <w:spacing w:line="360" w:lineRule="auto"/>
        <w:rPr>
          <w:rFonts w:ascii="Calibri" w:eastAsia="Times New Roman" w:hAnsi="Calibri" w:cs="Calibri"/>
          <w:bCs/>
          <w:lang w:val="en-US"/>
        </w:rPr>
      </w:pPr>
    </w:p>
    <w:p w14:paraId="20DED9C6" w14:textId="483D7236" w:rsidR="00E65F38" w:rsidRPr="00105882" w:rsidRDefault="00E65F38" w:rsidP="00105882">
      <w:pPr>
        <w:spacing w:line="360" w:lineRule="auto"/>
        <w:rPr>
          <w:rFonts w:ascii="Calibri" w:eastAsia="Times New Roman" w:hAnsi="Calibri" w:cs="Calibri"/>
          <w:lang w:val="en-US"/>
        </w:rPr>
      </w:pPr>
      <w:proofErr w:type="spellStart"/>
      <w:r w:rsidRPr="00105882">
        <w:rPr>
          <w:rFonts w:ascii="Calibri" w:eastAsia="Times New Roman" w:hAnsi="Calibri" w:cs="Calibri"/>
          <w:lang w:val="en-US"/>
        </w:rPr>
        <w:t>Ktorza</w:t>
      </w:r>
      <w:proofErr w:type="spellEnd"/>
      <w:r w:rsidRPr="00105882">
        <w:rPr>
          <w:rFonts w:ascii="Calibri" w:eastAsia="Times New Roman" w:hAnsi="Calibri" w:cs="Calibri"/>
          <w:lang w:val="en-US"/>
        </w:rPr>
        <w:t>, A. and Bace, R. (2022). ‘Human-centric cybersecurity</w:t>
      </w:r>
      <w:r w:rsidR="007E2FAD" w:rsidRPr="00105882">
        <w:rPr>
          <w:rFonts w:ascii="Calibri" w:eastAsia="Times New Roman" w:hAnsi="Calibri" w:cs="Calibri"/>
          <w:lang w:val="en-US"/>
        </w:rPr>
        <w:t>: A sociotechnical perspective’,</w:t>
      </w:r>
      <w:r w:rsidRPr="00105882">
        <w:rPr>
          <w:rFonts w:ascii="Calibri" w:eastAsia="Times New Roman" w:hAnsi="Calibri" w:cs="Calibri"/>
          <w:lang w:val="en-US"/>
        </w:rPr>
        <w:t xml:space="preserve"> </w:t>
      </w:r>
      <w:r w:rsidRPr="00105882">
        <w:rPr>
          <w:rFonts w:ascii="Calibri" w:eastAsia="Times New Roman" w:hAnsi="Calibri" w:cs="Calibri"/>
          <w:i/>
          <w:iCs/>
          <w:lang w:val="en-US"/>
        </w:rPr>
        <w:t>Computers &amp; Security</w:t>
      </w:r>
      <w:r w:rsidRPr="00105882">
        <w:rPr>
          <w:rFonts w:ascii="Calibri" w:eastAsia="Times New Roman" w:hAnsi="Calibri" w:cs="Calibri"/>
          <w:lang w:val="en-US"/>
        </w:rPr>
        <w:t>, 115, 102602. [Available: https://doi.org/10.1016/j.cose.2021.102602]</w:t>
      </w:r>
    </w:p>
    <w:p w14:paraId="205557C6" w14:textId="77777777" w:rsidR="00E65F38" w:rsidRPr="00105882" w:rsidRDefault="00E65F38" w:rsidP="00105882">
      <w:pPr>
        <w:spacing w:line="360" w:lineRule="auto"/>
        <w:rPr>
          <w:rFonts w:ascii="Calibri" w:eastAsia="Times New Roman" w:hAnsi="Calibri" w:cs="Calibri"/>
          <w:bCs/>
          <w:lang w:val="en-US"/>
        </w:rPr>
      </w:pPr>
    </w:p>
    <w:p w14:paraId="05150E6A" w14:textId="6838E529"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Lowry, P.B., Posey, C., Roberts, T.L. and Bennett, R.J. (2015). ‘Is your boss watching? Electronic monitoring and employee secu</w:t>
      </w:r>
      <w:r w:rsidR="007E2FAD" w:rsidRPr="00105882">
        <w:rPr>
          <w:rFonts w:ascii="Calibri" w:eastAsia="Times New Roman" w:hAnsi="Calibri" w:cs="Calibri"/>
          <w:lang w:val="en-US"/>
        </w:rPr>
        <w:t>rity behaviour’,</w:t>
      </w:r>
      <w:r w:rsidRPr="00105882">
        <w:rPr>
          <w:rFonts w:ascii="Calibri" w:eastAsia="Times New Roman" w:hAnsi="Calibri" w:cs="Calibri"/>
          <w:lang w:val="en-US"/>
        </w:rPr>
        <w:t xml:space="preserve"> </w:t>
      </w:r>
      <w:r w:rsidRPr="00105882">
        <w:rPr>
          <w:rFonts w:ascii="Calibri" w:eastAsia="Times New Roman" w:hAnsi="Calibri" w:cs="Calibri"/>
          <w:i/>
          <w:iCs/>
          <w:lang w:val="en-US"/>
        </w:rPr>
        <w:t>Journal of Management Information Systems</w:t>
      </w:r>
      <w:r w:rsidRPr="00105882">
        <w:rPr>
          <w:rFonts w:ascii="Calibri" w:eastAsia="Times New Roman" w:hAnsi="Calibri" w:cs="Calibri"/>
          <w:lang w:val="en-US"/>
        </w:rPr>
        <w:t xml:space="preserve">, 32(4), pp. 137–173. [Available: </w:t>
      </w:r>
      <w:r w:rsidR="0071271C" w:rsidRPr="00105882">
        <w:rPr>
          <w:rFonts w:ascii="Calibri" w:eastAsia="Times New Roman" w:hAnsi="Calibri" w:cs="Calibri"/>
          <w:lang w:val="en-US"/>
        </w:rPr>
        <w:t>https://doi.org/10.1080/07421222.2015.1138373</w:t>
      </w:r>
      <w:r w:rsidRPr="00105882">
        <w:rPr>
          <w:rFonts w:ascii="Calibri" w:eastAsia="Times New Roman" w:hAnsi="Calibri" w:cs="Calibri"/>
          <w:lang w:val="en-US"/>
        </w:rPr>
        <w:t>]</w:t>
      </w:r>
    </w:p>
    <w:p w14:paraId="2EAF42C9" w14:textId="77777777" w:rsidR="0071271C" w:rsidRPr="00105882" w:rsidRDefault="0071271C" w:rsidP="00105882">
      <w:pPr>
        <w:spacing w:line="360" w:lineRule="auto"/>
        <w:rPr>
          <w:rFonts w:ascii="Calibri" w:eastAsia="Times New Roman" w:hAnsi="Calibri" w:cs="Calibri"/>
          <w:bCs/>
          <w:lang w:val="en-US"/>
        </w:rPr>
      </w:pPr>
    </w:p>
    <w:p w14:paraId="13D6B6ED" w14:textId="79065156"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lastRenderedPageBreak/>
        <w:t xml:space="preserve">NIST (National Institute of Standards and Technology) (2024). </w:t>
      </w:r>
      <w:r w:rsidRPr="00105882">
        <w:rPr>
          <w:rFonts w:ascii="Calibri" w:eastAsia="Times New Roman" w:hAnsi="Calibri" w:cs="Calibri"/>
          <w:i/>
          <w:iCs/>
          <w:lang w:val="en-US"/>
        </w:rPr>
        <w:t>Cybersecurity Framework (CSF) 2.0</w:t>
      </w:r>
      <w:r w:rsidRPr="00105882">
        <w:rPr>
          <w:rFonts w:ascii="Calibri" w:eastAsia="Times New Roman" w:hAnsi="Calibri" w:cs="Calibri"/>
          <w:lang w:val="en-US"/>
        </w:rPr>
        <w:t>. Gaithersburg, MD: NIST. [Available: https://www.nist.gov/cyberframework]</w:t>
      </w:r>
    </w:p>
    <w:p w14:paraId="2F346157" w14:textId="77777777" w:rsidR="00E65F38" w:rsidRPr="00105882" w:rsidRDefault="00E65F38" w:rsidP="00105882">
      <w:pPr>
        <w:spacing w:line="360" w:lineRule="auto"/>
        <w:rPr>
          <w:rFonts w:ascii="Calibri" w:eastAsia="Times New Roman" w:hAnsi="Calibri" w:cs="Calibri"/>
          <w:bCs/>
          <w:lang w:val="en-US"/>
        </w:rPr>
      </w:pPr>
    </w:p>
    <w:p w14:paraId="078705C6" w14:textId="6AC32E1B"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OECD (</w:t>
      </w:r>
      <w:proofErr w:type="spellStart"/>
      <w:r w:rsidRPr="00105882">
        <w:rPr>
          <w:rFonts w:ascii="Calibri" w:eastAsia="Times New Roman" w:hAnsi="Calibri" w:cs="Calibri"/>
          <w:lang w:val="en-US"/>
        </w:rPr>
        <w:t>Organisation</w:t>
      </w:r>
      <w:proofErr w:type="spellEnd"/>
      <w:r w:rsidRPr="00105882">
        <w:rPr>
          <w:rFonts w:ascii="Calibri" w:eastAsia="Times New Roman" w:hAnsi="Calibri" w:cs="Calibri"/>
          <w:lang w:val="en-US"/>
        </w:rPr>
        <w:t xml:space="preserve"> for Economic Co-operation and Development) (2023). </w:t>
      </w:r>
      <w:r w:rsidRPr="00105882">
        <w:rPr>
          <w:rFonts w:ascii="Calibri" w:eastAsia="Times New Roman" w:hAnsi="Calibri" w:cs="Calibri"/>
          <w:i/>
          <w:iCs/>
          <w:lang w:val="en-US"/>
        </w:rPr>
        <w:t>Cybersecurity Policy for Small and Medium-Sized Enterprises</w:t>
      </w:r>
      <w:r w:rsidRPr="00105882">
        <w:rPr>
          <w:rFonts w:ascii="Calibri" w:eastAsia="Times New Roman" w:hAnsi="Calibri" w:cs="Calibri"/>
          <w:lang w:val="en-US"/>
        </w:rPr>
        <w:t>. Paris: OECD. [Available: https://www.oecd.org/digital/security/cybersecurity-smes]</w:t>
      </w:r>
    </w:p>
    <w:p w14:paraId="61F53520" w14:textId="77777777" w:rsidR="00E65F38" w:rsidRPr="00105882" w:rsidRDefault="00E65F38" w:rsidP="00105882">
      <w:pPr>
        <w:spacing w:line="360" w:lineRule="auto"/>
        <w:rPr>
          <w:rFonts w:ascii="Calibri" w:eastAsia="Times New Roman" w:hAnsi="Calibri" w:cs="Calibri"/>
          <w:bCs/>
          <w:lang w:val="en-US"/>
        </w:rPr>
      </w:pPr>
    </w:p>
    <w:p w14:paraId="1703EF4F" w14:textId="34394CEA"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Oliveira, T., Martins, R., Sarker, S., Thomas, M. and </w:t>
      </w:r>
      <w:proofErr w:type="spellStart"/>
      <w:r w:rsidRPr="00105882">
        <w:rPr>
          <w:rFonts w:ascii="Calibri" w:eastAsia="Times New Roman" w:hAnsi="Calibri" w:cs="Calibri"/>
          <w:lang w:val="en-US"/>
        </w:rPr>
        <w:t>Popovič</w:t>
      </w:r>
      <w:proofErr w:type="spellEnd"/>
      <w:r w:rsidRPr="00105882">
        <w:rPr>
          <w:rFonts w:ascii="Calibri" w:eastAsia="Times New Roman" w:hAnsi="Calibri" w:cs="Calibri"/>
          <w:lang w:val="en-US"/>
        </w:rPr>
        <w:t>, A. (2019). ‘Understanding SaaS adoption: The moderating</w:t>
      </w:r>
      <w:r w:rsidR="007E2FAD" w:rsidRPr="00105882">
        <w:rPr>
          <w:rFonts w:ascii="Calibri" w:eastAsia="Times New Roman" w:hAnsi="Calibri" w:cs="Calibri"/>
          <w:lang w:val="en-US"/>
        </w:rPr>
        <w:t xml:space="preserve"> impact of the environment’,</w:t>
      </w:r>
      <w:r w:rsidRPr="00105882">
        <w:rPr>
          <w:rFonts w:ascii="Calibri" w:eastAsia="Times New Roman" w:hAnsi="Calibri" w:cs="Calibri"/>
          <w:lang w:val="en-US"/>
        </w:rPr>
        <w:t xml:space="preserve"> </w:t>
      </w:r>
      <w:r w:rsidRPr="00105882">
        <w:rPr>
          <w:rFonts w:ascii="Calibri" w:eastAsia="Times New Roman" w:hAnsi="Calibri" w:cs="Calibri"/>
          <w:i/>
          <w:iCs/>
          <w:lang w:val="en-US"/>
        </w:rPr>
        <w:t>Information &amp; Management</w:t>
      </w:r>
      <w:r w:rsidRPr="00105882">
        <w:rPr>
          <w:rFonts w:ascii="Calibri" w:eastAsia="Times New Roman" w:hAnsi="Calibri" w:cs="Calibri"/>
          <w:lang w:val="en-US"/>
        </w:rPr>
        <w:t>, 56(1), pp. 103–113. [Available: https://doi.org/10.1016/j.im.2018.04.010]</w:t>
      </w:r>
    </w:p>
    <w:p w14:paraId="0D0065A5" w14:textId="77777777" w:rsidR="00E65F38" w:rsidRPr="00105882" w:rsidRDefault="00E65F38" w:rsidP="00105882">
      <w:pPr>
        <w:spacing w:line="360" w:lineRule="auto"/>
        <w:rPr>
          <w:rFonts w:ascii="Calibri" w:eastAsia="Times New Roman" w:hAnsi="Calibri" w:cs="Calibri"/>
          <w:bCs/>
          <w:lang w:val="en-US"/>
        </w:rPr>
      </w:pPr>
    </w:p>
    <w:p w14:paraId="63482A67" w14:textId="1A4D45CD"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Pavlou, P.A. (2003). ‘Consumer acceptance of electronic commerce: Int</w:t>
      </w:r>
      <w:r w:rsidR="007E2FAD" w:rsidRPr="00105882">
        <w:rPr>
          <w:rFonts w:ascii="Calibri" w:eastAsia="Times New Roman" w:hAnsi="Calibri" w:cs="Calibri"/>
          <w:lang w:val="en-US"/>
        </w:rPr>
        <w:t>egrating trust and risk’,</w:t>
      </w:r>
      <w:r w:rsidRPr="00105882">
        <w:rPr>
          <w:rFonts w:ascii="Calibri" w:eastAsia="Times New Roman" w:hAnsi="Calibri" w:cs="Calibri"/>
          <w:lang w:val="en-US"/>
        </w:rPr>
        <w:t xml:space="preserve"> </w:t>
      </w:r>
      <w:r w:rsidRPr="00105882">
        <w:rPr>
          <w:rFonts w:ascii="Calibri" w:eastAsia="Times New Roman" w:hAnsi="Calibri" w:cs="Calibri"/>
          <w:i/>
          <w:iCs/>
          <w:lang w:val="en-US"/>
        </w:rPr>
        <w:t>International Journal of Electronic Commerce</w:t>
      </w:r>
      <w:r w:rsidRPr="00105882">
        <w:rPr>
          <w:rFonts w:ascii="Calibri" w:eastAsia="Times New Roman" w:hAnsi="Calibri" w:cs="Calibri"/>
          <w:lang w:val="en-US"/>
        </w:rPr>
        <w:t>, 7(3), pp. 101–134. [Available: https://doi.org/10.1080/10864415.2003.11044275]</w:t>
      </w:r>
    </w:p>
    <w:p w14:paraId="628FABD9" w14:textId="77777777" w:rsidR="00E65F38" w:rsidRPr="00105882" w:rsidRDefault="00E65F38" w:rsidP="00105882">
      <w:pPr>
        <w:spacing w:line="360" w:lineRule="auto"/>
        <w:rPr>
          <w:rFonts w:ascii="Calibri" w:eastAsia="Times New Roman" w:hAnsi="Calibri" w:cs="Calibri"/>
          <w:bCs/>
          <w:lang w:val="en-US"/>
        </w:rPr>
      </w:pPr>
    </w:p>
    <w:p w14:paraId="3CC09C64" w14:textId="19D143D0"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Riggins, F.J. and Weber, D.M. (2017). ‘Information</w:t>
      </w:r>
      <w:r w:rsidR="007E2FAD" w:rsidRPr="00105882">
        <w:rPr>
          <w:rFonts w:ascii="Calibri" w:eastAsia="Times New Roman" w:hAnsi="Calibri" w:cs="Calibri"/>
          <w:lang w:val="en-US"/>
        </w:rPr>
        <w:t xml:space="preserve"> asymmetries and digital trust’,</w:t>
      </w:r>
      <w:r w:rsidRPr="00105882">
        <w:rPr>
          <w:rFonts w:ascii="Calibri" w:eastAsia="Times New Roman" w:hAnsi="Calibri" w:cs="Calibri"/>
          <w:lang w:val="en-US"/>
        </w:rPr>
        <w:t xml:space="preserve"> </w:t>
      </w:r>
      <w:r w:rsidRPr="00105882">
        <w:rPr>
          <w:rFonts w:ascii="Calibri" w:eastAsia="Times New Roman" w:hAnsi="Calibri" w:cs="Calibri"/>
          <w:i/>
          <w:iCs/>
          <w:lang w:val="en-US"/>
        </w:rPr>
        <w:t>Journal of Management Information Systems</w:t>
      </w:r>
      <w:r w:rsidRPr="00105882">
        <w:rPr>
          <w:rFonts w:ascii="Calibri" w:eastAsia="Times New Roman" w:hAnsi="Calibri" w:cs="Calibri"/>
          <w:lang w:val="en-US"/>
        </w:rPr>
        <w:t>, 34(4), pp. 1008–1038. [Available: https://doi.org/10.1080/07421222.2017.1393302]</w:t>
      </w:r>
    </w:p>
    <w:p w14:paraId="443C8C22" w14:textId="77777777" w:rsidR="00E65F38" w:rsidRPr="00105882" w:rsidRDefault="00E65F38" w:rsidP="00105882">
      <w:pPr>
        <w:spacing w:line="360" w:lineRule="auto"/>
        <w:rPr>
          <w:rFonts w:ascii="Calibri" w:eastAsia="Times New Roman" w:hAnsi="Calibri" w:cs="Calibri"/>
          <w:bCs/>
          <w:lang w:val="en-US"/>
        </w:rPr>
      </w:pPr>
    </w:p>
    <w:p w14:paraId="61D8CC17" w14:textId="41078AD6"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Rusu, L., Torkar, R. and Feldt, R. (2022). ‘Cybersecurity capabilities in SMEs’, </w:t>
      </w:r>
      <w:r w:rsidRPr="00105882">
        <w:rPr>
          <w:rFonts w:ascii="Calibri" w:eastAsia="Times New Roman" w:hAnsi="Calibri" w:cs="Calibri"/>
          <w:i/>
          <w:iCs/>
          <w:lang w:val="en-US"/>
        </w:rPr>
        <w:t>Computers &amp; Security</w:t>
      </w:r>
      <w:r w:rsidRPr="00105882">
        <w:rPr>
          <w:rFonts w:ascii="Calibri" w:eastAsia="Times New Roman" w:hAnsi="Calibri" w:cs="Calibri"/>
          <w:lang w:val="en-US"/>
        </w:rPr>
        <w:t>, 114, 102575. [Available: https://doi.org/10.1016/j.cose.2021.102575]</w:t>
      </w:r>
    </w:p>
    <w:p w14:paraId="551A8318" w14:textId="77777777" w:rsidR="00E65F38" w:rsidRPr="00105882" w:rsidRDefault="00E65F38" w:rsidP="00105882">
      <w:pPr>
        <w:spacing w:line="360" w:lineRule="auto"/>
        <w:rPr>
          <w:rFonts w:ascii="Calibri" w:eastAsia="Times New Roman" w:hAnsi="Calibri" w:cs="Calibri"/>
          <w:bCs/>
          <w:lang w:val="en-US"/>
        </w:rPr>
      </w:pPr>
    </w:p>
    <w:p w14:paraId="75240968" w14:textId="396372FA"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Sasse, M.A., Brostoff, S. and Weirich, D. (2016) ‘Transforming the weakest link: A human–computer interaction approach to usable and effective security’, </w:t>
      </w:r>
      <w:r w:rsidRPr="00105882">
        <w:rPr>
          <w:rFonts w:ascii="Calibri" w:eastAsia="Times New Roman" w:hAnsi="Calibri" w:cs="Calibri"/>
          <w:i/>
          <w:iCs/>
          <w:lang w:val="en-US"/>
        </w:rPr>
        <w:t>Communications of the ACM</w:t>
      </w:r>
      <w:r w:rsidRPr="00105882">
        <w:rPr>
          <w:rFonts w:ascii="Calibri" w:eastAsia="Times New Roman" w:hAnsi="Calibri" w:cs="Calibri"/>
          <w:lang w:val="en-US"/>
        </w:rPr>
        <w:t>, 59(6), pp. 64–71. [Available: https://doi.org/10.1145/2897795]</w:t>
      </w:r>
    </w:p>
    <w:p w14:paraId="0289C4E2" w14:textId="77777777" w:rsidR="00E65F38" w:rsidRPr="00105882" w:rsidRDefault="00E65F38" w:rsidP="00105882">
      <w:pPr>
        <w:spacing w:line="360" w:lineRule="auto"/>
        <w:rPr>
          <w:rFonts w:ascii="Calibri" w:eastAsia="Times New Roman" w:hAnsi="Calibri" w:cs="Calibri"/>
          <w:bCs/>
          <w:lang w:val="en-US"/>
        </w:rPr>
      </w:pPr>
    </w:p>
    <w:p w14:paraId="7A52CD5E" w14:textId="7B1607E0"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Sophos (2023). </w:t>
      </w:r>
      <w:r w:rsidRPr="00105882">
        <w:rPr>
          <w:rFonts w:ascii="Calibri" w:eastAsia="Times New Roman" w:hAnsi="Calibri" w:cs="Calibri"/>
          <w:i/>
          <w:iCs/>
          <w:lang w:val="en-US"/>
        </w:rPr>
        <w:t>The State of Ransomware in SMEs</w:t>
      </w:r>
      <w:r w:rsidRPr="00105882">
        <w:rPr>
          <w:rFonts w:ascii="Calibri" w:eastAsia="Times New Roman" w:hAnsi="Calibri" w:cs="Calibri"/>
          <w:lang w:val="en-US"/>
        </w:rPr>
        <w:t>. Abingdon: Sophos Group. [Available: https://www.sophos.com/en-us/content/state-of-ransomware]</w:t>
      </w:r>
    </w:p>
    <w:p w14:paraId="559D82FD" w14:textId="77777777" w:rsidR="00E65F38" w:rsidRPr="00105882" w:rsidRDefault="00E65F38" w:rsidP="00105882">
      <w:pPr>
        <w:spacing w:line="360" w:lineRule="auto"/>
        <w:rPr>
          <w:rFonts w:ascii="Calibri" w:eastAsia="Times New Roman" w:hAnsi="Calibri" w:cs="Calibri"/>
          <w:bCs/>
          <w:lang w:val="en-US"/>
        </w:rPr>
      </w:pPr>
    </w:p>
    <w:p w14:paraId="16B70DC9" w14:textId="77777777"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Thong, J.Y.L., Yap, C.S. and Raman, K.S. (2011). ‘Engagement model of information system</w:t>
      </w:r>
      <w:r w:rsidR="007E2FAD" w:rsidRPr="00105882">
        <w:rPr>
          <w:rFonts w:ascii="Calibri" w:eastAsia="Times New Roman" w:hAnsi="Calibri" w:cs="Calibri"/>
          <w:lang w:val="en-US"/>
        </w:rPr>
        <w:t>s adoption in small businesses’,</w:t>
      </w:r>
      <w:r w:rsidRPr="00105882">
        <w:rPr>
          <w:rFonts w:ascii="Calibri" w:eastAsia="Times New Roman" w:hAnsi="Calibri" w:cs="Calibri"/>
          <w:lang w:val="en-US"/>
        </w:rPr>
        <w:t xml:space="preserve"> </w:t>
      </w:r>
      <w:r w:rsidRPr="00105882">
        <w:rPr>
          <w:rFonts w:ascii="Calibri" w:eastAsia="Times New Roman" w:hAnsi="Calibri" w:cs="Calibri"/>
          <w:i/>
          <w:iCs/>
          <w:lang w:val="en-US"/>
        </w:rPr>
        <w:t>MIS Quarterly</w:t>
      </w:r>
      <w:r w:rsidRPr="00105882">
        <w:rPr>
          <w:rFonts w:ascii="Calibri" w:eastAsia="Times New Roman" w:hAnsi="Calibri" w:cs="Calibri"/>
          <w:lang w:val="en-US"/>
        </w:rPr>
        <w:t>, 35(1), pp. 157–178.</w:t>
      </w:r>
    </w:p>
    <w:p w14:paraId="0798A4C0" w14:textId="77777777" w:rsidR="00E65F38" w:rsidRPr="00105882" w:rsidRDefault="00E65F38" w:rsidP="00105882">
      <w:pPr>
        <w:spacing w:line="360" w:lineRule="auto"/>
        <w:rPr>
          <w:rFonts w:ascii="Calibri" w:eastAsia="Times New Roman" w:hAnsi="Calibri" w:cs="Calibri"/>
          <w:bCs/>
          <w:lang w:val="en-US"/>
        </w:rPr>
      </w:pPr>
    </w:p>
    <w:p w14:paraId="05F50D3B" w14:textId="04C52E9F"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sv-SE"/>
        </w:rPr>
        <w:lastRenderedPageBreak/>
        <w:t xml:space="preserve">Tiwana, A., Konsynski, B. and Bush, A.A. (2013). </w:t>
      </w:r>
      <w:r w:rsidRPr="00105882">
        <w:rPr>
          <w:rFonts w:ascii="Calibri" w:eastAsia="Times New Roman" w:hAnsi="Calibri" w:cs="Calibri"/>
          <w:lang w:val="en-US"/>
        </w:rPr>
        <w:t>‘Platform evolution: Coevolution of platform architecture, governan</w:t>
      </w:r>
      <w:r w:rsidR="007E2FAD" w:rsidRPr="00105882">
        <w:rPr>
          <w:rFonts w:ascii="Calibri" w:eastAsia="Times New Roman" w:hAnsi="Calibri" w:cs="Calibri"/>
          <w:lang w:val="en-US"/>
        </w:rPr>
        <w:t>ce, and environmental dynamics’,</w:t>
      </w:r>
      <w:r w:rsidRPr="00105882">
        <w:rPr>
          <w:rFonts w:ascii="Calibri" w:eastAsia="Times New Roman" w:hAnsi="Calibri" w:cs="Calibri"/>
          <w:lang w:val="en-US"/>
        </w:rPr>
        <w:t xml:space="preserve"> </w:t>
      </w:r>
      <w:r w:rsidRPr="00105882">
        <w:rPr>
          <w:rFonts w:ascii="Calibri" w:eastAsia="Times New Roman" w:hAnsi="Calibri" w:cs="Calibri"/>
          <w:i/>
          <w:iCs/>
          <w:lang w:val="en-US"/>
        </w:rPr>
        <w:t>Information Systems Research</w:t>
      </w:r>
      <w:r w:rsidRPr="00105882">
        <w:rPr>
          <w:rFonts w:ascii="Calibri" w:eastAsia="Times New Roman" w:hAnsi="Calibri" w:cs="Calibri"/>
          <w:lang w:val="en-US"/>
        </w:rPr>
        <w:t>, 24(2), pp. 290–306. [Available: https://doi.org/10.1287/isre.1120.0426]</w:t>
      </w:r>
    </w:p>
    <w:p w14:paraId="25093BBE" w14:textId="77777777" w:rsidR="00E65F38" w:rsidRPr="00105882" w:rsidRDefault="00E65F38" w:rsidP="00105882">
      <w:pPr>
        <w:spacing w:line="360" w:lineRule="auto"/>
        <w:rPr>
          <w:rFonts w:ascii="Calibri" w:eastAsia="Times New Roman" w:hAnsi="Calibri" w:cs="Calibri"/>
          <w:bCs/>
          <w:lang w:val="en-US"/>
        </w:rPr>
      </w:pPr>
    </w:p>
    <w:p w14:paraId="6E45C169" w14:textId="77777777" w:rsidR="00E65F38" w:rsidRPr="00105882" w:rsidRDefault="00E65F38" w:rsidP="00105882">
      <w:pPr>
        <w:spacing w:line="360" w:lineRule="auto"/>
        <w:rPr>
          <w:rFonts w:ascii="Calibri" w:eastAsia="Times New Roman" w:hAnsi="Calibri" w:cs="Calibri"/>
          <w:bCs/>
          <w:lang w:val="en-US"/>
        </w:rPr>
      </w:pPr>
      <w:r w:rsidRPr="00105882">
        <w:rPr>
          <w:rFonts w:ascii="Calibri" w:eastAsia="Times New Roman" w:hAnsi="Calibri" w:cs="Calibri"/>
          <w:bCs/>
          <w:lang w:val="en-US"/>
        </w:rPr>
        <w:t xml:space="preserve">Tornatzky, L.G., Fleischer, M. (1990). </w:t>
      </w:r>
      <w:r w:rsidRPr="00105882">
        <w:rPr>
          <w:rFonts w:ascii="Calibri" w:eastAsia="Times New Roman" w:hAnsi="Calibri" w:cs="Calibri"/>
          <w:bCs/>
          <w:i/>
          <w:iCs/>
          <w:lang w:val="en-US"/>
        </w:rPr>
        <w:t>The Processes of Technological Innovation</w:t>
      </w:r>
      <w:r w:rsidRPr="00105882">
        <w:rPr>
          <w:rFonts w:ascii="Calibri" w:eastAsia="Times New Roman" w:hAnsi="Calibri" w:cs="Calibri"/>
          <w:bCs/>
          <w:lang w:val="en-US"/>
        </w:rPr>
        <w:t>. Lexington Books, Lexington, MA.</w:t>
      </w:r>
    </w:p>
    <w:p w14:paraId="0519CDBD" w14:textId="77777777" w:rsidR="00E65F38" w:rsidRPr="00105882" w:rsidRDefault="00E65F38" w:rsidP="00105882">
      <w:pPr>
        <w:spacing w:line="360" w:lineRule="auto"/>
        <w:rPr>
          <w:rFonts w:ascii="Calibri" w:eastAsia="Times New Roman" w:hAnsi="Calibri" w:cs="Calibri"/>
          <w:bCs/>
          <w:lang w:val="en-US"/>
        </w:rPr>
      </w:pPr>
    </w:p>
    <w:p w14:paraId="49F6710D" w14:textId="05B94F85" w:rsidR="00E65F38" w:rsidRPr="00105882" w:rsidRDefault="00E65F38" w:rsidP="00105882">
      <w:pPr>
        <w:spacing w:line="360" w:lineRule="auto"/>
        <w:rPr>
          <w:rFonts w:ascii="Calibri" w:eastAsia="Times New Roman" w:hAnsi="Calibri" w:cs="Calibri"/>
          <w:bCs/>
          <w:lang w:val="en-US"/>
        </w:rPr>
      </w:pPr>
      <w:r w:rsidRPr="00105882">
        <w:rPr>
          <w:rFonts w:ascii="Calibri" w:eastAsia="Times New Roman" w:hAnsi="Calibri" w:cs="Calibri"/>
          <w:bCs/>
          <w:lang w:val="en-GB"/>
        </w:rPr>
        <w:t xml:space="preserve">van der Aalst, W.M.P., </w:t>
      </w:r>
      <w:proofErr w:type="spellStart"/>
      <w:r w:rsidRPr="00105882">
        <w:rPr>
          <w:rFonts w:ascii="Calibri" w:eastAsia="Times New Roman" w:hAnsi="Calibri" w:cs="Calibri"/>
          <w:bCs/>
          <w:lang w:val="en-GB"/>
        </w:rPr>
        <w:t>Adriansyah</w:t>
      </w:r>
      <w:proofErr w:type="spellEnd"/>
      <w:r w:rsidRPr="00105882">
        <w:rPr>
          <w:rFonts w:ascii="Calibri" w:eastAsia="Times New Roman" w:hAnsi="Calibri" w:cs="Calibri"/>
          <w:bCs/>
          <w:lang w:val="en-GB"/>
        </w:rPr>
        <w:t>, A., van Dongen, B.F. (2016).</w:t>
      </w:r>
      <w:r w:rsidRPr="00105882">
        <w:rPr>
          <w:rFonts w:ascii="Calibri" w:eastAsia="Times New Roman" w:hAnsi="Calibri" w:cs="Calibri"/>
          <w:bCs/>
          <w:lang w:val="en-GB"/>
        </w:rPr>
        <w:br/>
      </w:r>
      <w:r w:rsidRPr="00105882">
        <w:rPr>
          <w:rFonts w:ascii="Calibri" w:eastAsia="Times New Roman" w:hAnsi="Calibri" w:cs="Calibri"/>
          <w:bCs/>
          <w:i/>
          <w:iCs/>
          <w:lang w:val="en-US"/>
        </w:rPr>
        <w:t>Process Mining: Data Science in Action</w:t>
      </w:r>
      <w:r w:rsidRPr="00105882">
        <w:rPr>
          <w:rFonts w:ascii="Calibri" w:eastAsia="Times New Roman" w:hAnsi="Calibri" w:cs="Calibri"/>
          <w:bCs/>
          <w:lang w:val="en-US"/>
        </w:rPr>
        <w:t>. 2nd ed. Springer, Berlin, Heidelberg. [Available: https://doi.org/10.1007/978-3-662-49851-4]</w:t>
      </w:r>
    </w:p>
    <w:p w14:paraId="0E5BCBB4" w14:textId="77777777" w:rsidR="00E65F38" w:rsidRPr="00105882" w:rsidRDefault="00E65F38" w:rsidP="00105882">
      <w:pPr>
        <w:spacing w:line="360" w:lineRule="auto"/>
        <w:rPr>
          <w:rFonts w:ascii="Calibri" w:eastAsia="Times New Roman" w:hAnsi="Calibri" w:cs="Calibri"/>
          <w:bCs/>
          <w:lang w:val="en-US"/>
        </w:rPr>
      </w:pPr>
    </w:p>
    <w:p w14:paraId="72A272E8" w14:textId="0BDAABA3"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Verizon (2024). </w:t>
      </w:r>
      <w:r w:rsidRPr="00105882">
        <w:rPr>
          <w:rFonts w:ascii="Calibri" w:eastAsia="Times New Roman" w:hAnsi="Calibri" w:cs="Calibri"/>
          <w:i/>
          <w:iCs/>
          <w:lang w:val="en-US"/>
        </w:rPr>
        <w:t>Data Breach Investigations Report</w:t>
      </w:r>
      <w:r w:rsidRPr="00105882">
        <w:rPr>
          <w:rFonts w:ascii="Calibri" w:eastAsia="Times New Roman" w:hAnsi="Calibri" w:cs="Calibri"/>
          <w:lang w:val="en-US"/>
        </w:rPr>
        <w:t>. New York: Verizon. [Available: https://www.verizon.com/business/resources/reports/dbir/]</w:t>
      </w:r>
    </w:p>
    <w:p w14:paraId="5D1F292A" w14:textId="77777777" w:rsidR="00E65F38" w:rsidRPr="00105882" w:rsidRDefault="00E65F38" w:rsidP="00105882">
      <w:pPr>
        <w:spacing w:line="360" w:lineRule="auto"/>
        <w:rPr>
          <w:rFonts w:ascii="Calibri" w:eastAsia="Times New Roman" w:hAnsi="Calibri" w:cs="Calibri"/>
          <w:bCs/>
          <w:lang w:val="en-US"/>
        </w:rPr>
      </w:pPr>
    </w:p>
    <w:p w14:paraId="0F7B05E7" w14:textId="510DBB8C" w:rsidR="00E65F38" w:rsidRPr="00105882" w:rsidRDefault="00E65F38" w:rsidP="00105882">
      <w:pPr>
        <w:spacing w:line="360" w:lineRule="auto"/>
        <w:rPr>
          <w:rFonts w:ascii="Calibri" w:eastAsia="Times New Roman" w:hAnsi="Calibri" w:cs="Calibri"/>
          <w:bCs/>
          <w:lang w:val="en-US"/>
        </w:rPr>
      </w:pPr>
      <w:r w:rsidRPr="00105882">
        <w:rPr>
          <w:rFonts w:ascii="Calibri" w:eastAsia="Times New Roman" w:hAnsi="Calibri" w:cs="Calibri"/>
          <w:bCs/>
          <w:lang w:val="en-US"/>
        </w:rPr>
        <w:t xml:space="preserve">Verizon (2025). </w:t>
      </w:r>
      <w:r w:rsidRPr="00105882">
        <w:rPr>
          <w:rFonts w:ascii="Calibri" w:eastAsia="Times New Roman" w:hAnsi="Calibri" w:cs="Calibri"/>
          <w:bCs/>
          <w:i/>
          <w:iCs/>
          <w:lang w:val="en-US"/>
        </w:rPr>
        <w:t>2025 Data Breach Investigations Report (DBIR)</w:t>
      </w:r>
      <w:r w:rsidRPr="00105882">
        <w:rPr>
          <w:rFonts w:ascii="Calibri" w:eastAsia="Times New Roman" w:hAnsi="Calibri" w:cs="Calibri"/>
          <w:bCs/>
          <w:lang w:val="en-US"/>
        </w:rPr>
        <w:t>. Verizon Business, New York. [Available: https://www.verizon.com/business/resources/reports/dbir/]</w:t>
      </w:r>
    </w:p>
    <w:p w14:paraId="7D9E39FE" w14:textId="77777777" w:rsidR="00E65F38" w:rsidRPr="00105882" w:rsidRDefault="00E65F38" w:rsidP="00105882">
      <w:pPr>
        <w:spacing w:line="360" w:lineRule="auto"/>
        <w:rPr>
          <w:rFonts w:ascii="Calibri" w:eastAsia="Times New Roman" w:hAnsi="Calibri" w:cs="Calibri"/>
          <w:bCs/>
          <w:lang w:val="en-US"/>
        </w:rPr>
      </w:pPr>
    </w:p>
    <w:p w14:paraId="3A23C5A0" w14:textId="4716E354"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Vial, G. (2019). ‘Understanding digital transformation</w:t>
      </w:r>
      <w:r w:rsidR="007E2FAD" w:rsidRPr="00105882">
        <w:rPr>
          <w:rFonts w:ascii="Calibri" w:eastAsia="Times New Roman" w:hAnsi="Calibri" w:cs="Calibri"/>
          <w:lang w:val="en-US"/>
        </w:rPr>
        <w:t>: A review and research agenda’,</w:t>
      </w:r>
      <w:r w:rsidRPr="00105882">
        <w:rPr>
          <w:rFonts w:ascii="Calibri" w:eastAsia="Times New Roman" w:hAnsi="Calibri" w:cs="Calibri"/>
          <w:lang w:val="en-US"/>
        </w:rPr>
        <w:t xml:space="preserve"> </w:t>
      </w:r>
      <w:r w:rsidRPr="00105882">
        <w:rPr>
          <w:rFonts w:ascii="Calibri" w:eastAsia="Times New Roman" w:hAnsi="Calibri" w:cs="Calibri"/>
          <w:i/>
          <w:iCs/>
          <w:lang w:val="en-US"/>
        </w:rPr>
        <w:t>Journal of Strategic Information Systems</w:t>
      </w:r>
      <w:r w:rsidRPr="00105882">
        <w:rPr>
          <w:rFonts w:ascii="Calibri" w:eastAsia="Times New Roman" w:hAnsi="Calibri" w:cs="Calibri"/>
          <w:lang w:val="en-US"/>
        </w:rPr>
        <w:t>, 28(2), pp. 118–144. [Available: https://doi.org/10.1016/j.jsis.2019.01.003]</w:t>
      </w:r>
    </w:p>
    <w:p w14:paraId="09616AD0" w14:textId="77777777" w:rsidR="00E65F38" w:rsidRPr="00105882" w:rsidRDefault="00E65F38" w:rsidP="00105882">
      <w:pPr>
        <w:spacing w:line="360" w:lineRule="auto"/>
        <w:rPr>
          <w:rFonts w:ascii="Calibri" w:eastAsia="Times New Roman" w:hAnsi="Calibri" w:cs="Calibri"/>
          <w:bCs/>
          <w:lang w:val="en-US"/>
        </w:rPr>
      </w:pPr>
    </w:p>
    <w:p w14:paraId="794B5F50" w14:textId="4F676A22" w:rsidR="00E65F38" w:rsidRPr="00105882" w:rsidRDefault="00E65F38" w:rsidP="00105882">
      <w:pPr>
        <w:spacing w:line="360" w:lineRule="auto"/>
        <w:rPr>
          <w:rFonts w:ascii="Calibri" w:eastAsia="Times New Roman" w:hAnsi="Calibri" w:cs="Calibri"/>
          <w:bCs/>
          <w:lang w:val="en-US"/>
        </w:rPr>
      </w:pPr>
      <w:r w:rsidRPr="00105882">
        <w:rPr>
          <w:rFonts w:ascii="Calibri" w:eastAsia="Times New Roman" w:hAnsi="Calibri" w:cs="Calibri"/>
          <w:bCs/>
          <w:lang w:val="en-US"/>
        </w:rPr>
        <w:t xml:space="preserve">von Solms, R., von Solms, S. (2018). </w:t>
      </w:r>
      <w:r w:rsidR="007E2FAD" w:rsidRPr="00105882">
        <w:rPr>
          <w:rFonts w:ascii="Calibri" w:eastAsia="Times New Roman" w:hAnsi="Calibri" w:cs="Calibri"/>
          <w:bCs/>
          <w:lang w:val="en-US"/>
        </w:rPr>
        <w:t>‘</w:t>
      </w:r>
      <w:r w:rsidRPr="00105882">
        <w:rPr>
          <w:rFonts w:ascii="Calibri" w:eastAsia="Times New Roman" w:hAnsi="Calibri" w:cs="Calibri"/>
          <w:bCs/>
          <w:lang w:val="en-US"/>
        </w:rPr>
        <w:t>Cybersecurity and information security: What goes where?</w:t>
      </w:r>
      <w:r w:rsidR="007E2FAD" w:rsidRPr="00105882">
        <w:rPr>
          <w:rFonts w:ascii="Calibri" w:eastAsia="Times New Roman" w:hAnsi="Calibri" w:cs="Calibri"/>
          <w:bCs/>
          <w:lang w:val="en-US"/>
        </w:rPr>
        <w:t>’,</w:t>
      </w:r>
      <w:r w:rsidRPr="00105882">
        <w:rPr>
          <w:rFonts w:ascii="Calibri" w:eastAsia="Times New Roman" w:hAnsi="Calibri" w:cs="Calibri"/>
          <w:bCs/>
          <w:lang w:val="en-US"/>
        </w:rPr>
        <w:t xml:space="preserve"> </w:t>
      </w:r>
      <w:r w:rsidRPr="00105882">
        <w:rPr>
          <w:rFonts w:ascii="Calibri" w:eastAsia="Times New Roman" w:hAnsi="Calibri" w:cs="Calibri"/>
          <w:bCs/>
          <w:i/>
          <w:iCs/>
          <w:lang w:val="en-US"/>
        </w:rPr>
        <w:t>Information &amp; Computer Security</w:t>
      </w:r>
      <w:r w:rsidRPr="00105882">
        <w:rPr>
          <w:rFonts w:ascii="Calibri" w:eastAsia="Times New Roman" w:hAnsi="Calibri" w:cs="Calibri"/>
          <w:bCs/>
          <w:lang w:val="en-US"/>
        </w:rPr>
        <w:t xml:space="preserve"> 26 (1), 2–9. [Available: https://doi.org/10.1108/ICS-04-2017-0025]</w:t>
      </w:r>
    </w:p>
    <w:p w14:paraId="5B947147" w14:textId="77777777" w:rsidR="00E65F38" w:rsidRPr="00105882" w:rsidRDefault="00E65F38" w:rsidP="00105882">
      <w:pPr>
        <w:spacing w:line="360" w:lineRule="auto"/>
        <w:rPr>
          <w:rFonts w:ascii="Calibri" w:eastAsia="Times New Roman" w:hAnsi="Calibri" w:cs="Calibri"/>
          <w:bCs/>
          <w:lang w:val="en-US"/>
        </w:rPr>
      </w:pPr>
    </w:p>
    <w:p w14:paraId="68CA9C50" w14:textId="62412A3D"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Wamba, S.F., Queiroz, M.M., Wu, L., Sivarajah, U. and Das, A. (2020). ‘Big data </w:t>
      </w:r>
      <w:r w:rsidR="007E2FAD" w:rsidRPr="00105882">
        <w:rPr>
          <w:rFonts w:ascii="Calibri" w:eastAsia="Times New Roman" w:hAnsi="Calibri" w:cs="Calibri"/>
          <w:lang w:val="en-US"/>
        </w:rPr>
        <w:t>analytics and firm performance’,</w:t>
      </w:r>
      <w:r w:rsidRPr="00105882">
        <w:rPr>
          <w:rFonts w:ascii="Calibri" w:eastAsia="Times New Roman" w:hAnsi="Calibri" w:cs="Calibri"/>
          <w:lang w:val="en-US"/>
        </w:rPr>
        <w:t xml:space="preserve"> </w:t>
      </w:r>
      <w:r w:rsidRPr="00105882">
        <w:rPr>
          <w:rFonts w:ascii="Calibri" w:eastAsia="Times New Roman" w:hAnsi="Calibri" w:cs="Calibri"/>
          <w:i/>
          <w:iCs/>
          <w:lang w:val="en-US"/>
        </w:rPr>
        <w:t>International Journal of Information Management</w:t>
      </w:r>
      <w:r w:rsidRPr="00105882">
        <w:rPr>
          <w:rFonts w:ascii="Calibri" w:eastAsia="Times New Roman" w:hAnsi="Calibri" w:cs="Calibri"/>
          <w:lang w:val="en-US"/>
        </w:rPr>
        <w:t>, 50, pp. 345–356. [Available: https://doi.org/10.1016/j.ijinfomgt.2019.08.021]</w:t>
      </w:r>
    </w:p>
    <w:p w14:paraId="3FDB9C01" w14:textId="77777777" w:rsidR="00E65F38" w:rsidRPr="00105882" w:rsidRDefault="00E65F38" w:rsidP="00105882">
      <w:pPr>
        <w:spacing w:line="360" w:lineRule="auto"/>
        <w:rPr>
          <w:rFonts w:ascii="Calibri" w:eastAsia="Times New Roman" w:hAnsi="Calibri" w:cs="Calibri"/>
          <w:bCs/>
          <w:lang w:val="en-US"/>
        </w:rPr>
      </w:pPr>
    </w:p>
    <w:p w14:paraId="66FC9E43" w14:textId="77777777"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t xml:space="preserve">Weill, P. and Ross, J.W. (2004). </w:t>
      </w:r>
      <w:r w:rsidRPr="00105882">
        <w:rPr>
          <w:rFonts w:ascii="Calibri" w:eastAsia="Times New Roman" w:hAnsi="Calibri" w:cs="Calibri"/>
          <w:i/>
          <w:iCs/>
          <w:lang w:val="en-US"/>
        </w:rPr>
        <w:t>IT Governance: How Top Performers Manage IT Decision Rights for Superior Results</w:t>
      </w:r>
      <w:r w:rsidRPr="00105882">
        <w:rPr>
          <w:rFonts w:ascii="Calibri" w:eastAsia="Times New Roman" w:hAnsi="Calibri" w:cs="Calibri"/>
          <w:lang w:val="en-US"/>
        </w:rPr>
        <w:t>. Boston, MA: Harvard Business School Press.</w:t>
      </w:r>
    </w:p>
    <w:p w14:paraId="0450709F" w14:textId="77777777" w:rsidR="00E65F38" w:rsidRPr="00105882" w:rsidRDefault="00E65F38" w:rsidP="00105882">
      <w:pPr>
        <w:spacing w:line="360" w:lineRule="auto"/>
        <w:rPr>
          <w:rFonts w:ascii="Calibri" w:eastAsia="Times New Roman" w:hAnsi="Calibri" w:cs="Calibri"/>
          <w:bCs/>
          <w:lang w:val="en-US"/>
        </w:rPr>
      </w:pPr>
    </w:p>
    <w:p w14:paraId="1CFD360B" w14:textId="4EA79DA0" w:rsidR="00E65F38" w:rsidRPr="00105882" w:rsidRDefault="00E65F38" w:rsidP="00105882">
      <w:pPr>
        <w:spacing w:line="360" w:lineRule="auto"/>
        <w:rPr>
          <w:rFonts w:ascii="Calibri" w:eastAsia="Times New Roman" w:hAnsi="Calibri" w:cs="Calibri"/>
          <w:lang w:val="en-US"/>
        </w:rPr>
      </w:pPr>
      <w:r w:rsidRPr="00105882">
        <w:rPr>
          <w:rFonts w:ascii="Calibri" w:eastAsia="Times New Roman" w:hAnsi="Calibri" w:cs="Calibri"/>
          <w:lang w:val="en-US"/>
        </w:rPr>
        <w:lastRenderedPageBreak/>
        <w:t xml:space="preserve">World Economic Forum (2023). </w:t>
      </w:r>
      <w:r w:rsidRPr="00105882">
        <w:rPr>
          <w:rFonts w:ascii="Calibri" w:eastAsia="Times New Roman" w:hAnsi="Calibri" w:cs="Calibri"/>
          <w:i/>
          <w:iCs/>
          <w:lang w:val="en-US"/>
        </w:rPr>
        <w:t>Global Cybersecurity Outlook 2023</w:t>
      </w:r>
      <w:r w:rsidRPr="00105882">
        <w:rPr>
          <w:rFonts w:ascii="Calibri" w:eastAsia="Times New Roman" w:hAnsi="Calibri" w:cs="Calibri"/>
          <w:lang w:val="en-US"/>
        </w:rPr>
        <w:t>. Geneva: World Economic Forum. [Available: https://www.weforum.org/reports/global-cybersecurity-outlook-2023]</w:t>
      </w:r>
    </w:p>
    <w:p w14:paraId="390EF2E7" w14:textId="77777777" w:rsidR="00E65F38" w:rsidRPr="00105882" w:rsidRDefault="00E65F38" w:rsidP="00105882">
      <w:pPr>
        <w:spacing w:line="360" w:lineRule="auto"/>
        <w:rPr>
          <w:rFonts w:ascii="Calibri" w:eastAsia="Times New Roman" w:hAnsi="Calibri" w:cs="Calibri"/>
          <w:bCs/>
          <w:lang w:val="en-US"/>
        </w:rPr>
      </w:pPr>
    </w:p>
    <w:p w14:paraId="0D895685" w14:textId="145BEAE7" w:rsidR="00F03687" w:rsidRPr="00105882" w:rsidRDefault="00E65F38" w:rsidP="00105882">
      <w:pPr>
        <w:spacing w:line="360" w:lineRule="auto"/>
        <w:rPr>
          <w:rFonts w:ascii="Calibri" w:eastAsia="Times New Roman" w:hAnsi="Calibri" w:cs="Calibri"/>
          <w:bCs/>
          <w:lang w:val="en-US"/>
        </w:rPr>
      </w:pPr>
      <w:r w:rsidRPr="00105882">
        <w:rPr>
          <w:rFonts w:ascii="Calibri" w:eastAsia="Times New Roman" w:hAnsi="Calibri" w:cs="Calibri"/>
          <w:bCs/>
          <w:lang w:val="sv-SE"/>
        </w:rPr>
        <w:t xml:space="preserve">Zhu, K., Dong, S., </w:t>
      </w:r>
      <w:r w:rsidR="007E2FAD" w:rsidRPr="00105882">
        <w:rPr>
          <w:rFonts w:ascii="Calibri" w:eastAsia="Times New Roman" w:hAnsi="Calibri" w:cs="Calibri"/>
          <w:bCs/>
          <w:lang w:val="sv-SE"/>
        </w:rPr>
        <w:t xml:space="preserve">Xu, S.X., Kraemer, K.L. (2017). </w:t>
      </w:r>
      <w:r w:rsidR="007E2FAD" w:rsidRPr="00105882">
        <w:rPr>
          <w:rFonts w:ascii="Calibri" w:eastAsia="Times New Roman" w:hAnsi="Calibri" w:cs="Calibri"/>
          <w:bCs/>
          <w:lang w:val="en-GB"/>
        </w:rPr>
        <w:t>’</w:t>
      </w:r>
      <w:r w:rsidRPr="00105882">
        <w:rPr>
          <w:rFonts w:ascii="Calibri" w:eastAsia="Times New Roman" w:hAnsi="Calibri" w:cs="Calibri"/>
          <w:bCs/>
          <w:lang w:val="en-US"/>
        </w:rPr>
        <w:t>Innovation diffusion in global contexts: Determinants of post-adoption digital transf</w:t>
      </w:r>
      <w:r w:rsidR="007E2FAD" w:rsidRPr="00105882">
        <w:rPr>
          <w:rFonts w:ascii="Calibri" w:eastAsia="Times New Roman" w:hAnsi="Calibri" w:cs="Calibri"/>
          <w:bCs/>
          <w:lang w:val="en-US"/>
        </w:rPr>
        <w:t xml:space="preserve">ormation of European companies’, </w:t>
      </w:r>
      <w:r w:rsidRPr="00105882">
        <w:rPr>
          <w:rFonts w:ascii="Calibri" w:eastAsia="Times New Roman" w:hAnsi="Calibri" w:cs="Calibri"/>
          <w:bCs/>
          <w:i/>
          <w:iCs/>
          <w:lang w:val="en-US"/>
        </w:rPr>
        <w:t>MIS Quarterly</w:t>
      </w:r>
      <w:r w:rsidRPr="00105882">
        <w:rPr>
          <w:rFonts w:ascii="Calibri" w:eastAsia="Times New Roman" w:hAnsi="Calibri" w:cs="Calibri"/>
          <w:bCs/>
          <w:lang w:val="en-US"/>
        </w:rPr>
        <w:t xml:space="preserve"> 30 (1), 163–193. [Available: https://doi.org/10.2307/25148721]</w:t>
      </w:r>
    </w:p>
    <w:p w14:paraId="68C8F48C" w14:textId="77777777" w:rsidR="00E65F38" w:rsidRPr="00105882" w:rsidRDefault="00E65F38" w:rsidP="00105882">
      <w:pPr>
        <w:spacing w:line="360" w:lineRule="auto"/>
        <w:rPr>
          <w:rFonts w:ascii="Calibri" w:eastAsia="Times New Roman" w:hAnsi="Calibri" w:cs="Calibri"/>
          <w:bCs/>
          <w:lang w:val="en-US"/>
        </w:rPr>
      </w:pPr>
    </w:p>
    <w:sectPr w:rsidR="00E65F38" w:rsidRPr="0010588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296BCCA-49C9-44E9-95EB-750D82CC40AD}"/>
    <w:embedBold r:id="rId2" w:fontKey="{E3D35CE7-785E-4D49-AFCD-97F74D61D8C7}"/>
    <w:embedItalic r:id="rId3" w:fontKey="{1C104D8F-A751-4CC9-99EF-D0532A5678A0}"/>
    <w:embedBoldItalic r:id="rId4" w:fontKey="{4C5E3369-0B4E-46E8-B0B1-AFE3EDEDDE68}"/>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2DF78AC7-ED22-4F44-8955-4E746F0D6F3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E742D"/>
    <w:multiLevelType w:val="multilevel"/>
    <w:tmpl w:val="539030FA"/>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96436C3"/>
    <w:multiLevelType w:val="hybridMultilevel"/>
    <w:tmpl w:val="150CC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043DAA"/>
    <w:multiLevelType w:val="hybridMultilevel"/>
    <w:tmpl w:val="28582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6672479">
    <w:abstractNumId w:val="0"/>
  </w:num>
  <w:num w:numId="2" w16cid:durableId="1475367329">
    <w:abstractNumId w:val="1"/>
  </w:num>
  <w:num w:numId="3" w16cid:durableId="724569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687"/>
    <w:rsid w:val="000728F1"/>
    <w:rsid w:val="00105882"/>
    <w:rsid w:val="00136BA6"/>
    <w:rsid w:val="001A1FEE"/>
    <w:rsid w:val="001C222F"/>
    <w:rsid w:val="001D4774"/>
    <w:rsid w:val="002C79E3"/>
    <w:rsid w:val="002D1AFE"/>
    <w:rsid w:val="002F4B0C"/>
    <w:rsid w:val="00357FE1"/>
    <w:rsid w:val="00376342"/>
    <w:rsid w:val="003A79FE"/>
    <w:rsid w:val="00441AF2"/>
    <w:rsid w:val="00463A5D"/>
    <w:rsid w:val="00583CE2"/>
    <w:rsid w:val="00627B09"/>
    <w:rsid w:val="00676C84"/>
    <w:rsid w:val="0069417B"/>
    <w:rsid w:val="0071271C"/>
    <w:rsid w:val="0077522C"/>
    <w:rsid w:val="007C28B7"/>
    <w:rsid w:val="007E2FAD"/>
    <w:rsid w:val="00800326"/>
    <w:rsid w:val="008B0A84"/>
    <w:rsid w:val="008C50DC"/>
    <w:rsid w:val="009A27C7"/>
    <w:rsid w:val="00A31AEB"/>
    <w:rsid w:val="00A7118D"/>
    <w:rsid w:val="00B41BEE"/>
    <w:rsid w:val="00BF2903"/>
    <w:rsid w:val="00C202D2"/>
    <w:rsid w:val="00C8380C"/>
    <w:rsid w:val="00D319BC"/>
    <w:rsid w:val="00DD6FEA"/>
    <w:rsid w:val="00E65F38"/>
    <w:rsid w:val="00F03687"/>
    <w:rsid w:val="00F759B8"/>
    <w:rsid w:val="00FD0C21"/>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028DE"/>
  <w15:docId w15:val="{B991E8CD-3418-4704-8A4B-A2E932EB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Z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aption">
    <w:name w:val="caption"/>
    <w:basedOn w:val="Normal"/>
    <w:next w:val="Normal"/>
    <w:uiPriority w:val="35"/>
    <w:unhideWhenUsed/>
    <w:qFormat/>
    <w:rsid w:val="003A79FE"/>
    <w:pPr>
      <w:spacing w:after="200" w:line="240" w:lineRule="auto"/>
    </w:pPr>
    <w:rPr>
      <w:i/>
      <w:iCs/>
      <w:color w:val="1F497D" w:themeColor="text2"/>
      <w:sz w:val="18"/>
      <w:szCs w:val="18"/>
    </w:rPr>
  </w:style>
  <w:style w:type="character" w:styleId="Hyperlink">
    <w:name w:val="Hyperlink"/>
    <w:basedOn w:val="DefaultParagraphFont"/>
    <w:uiPriority w:val="99"/>
    <w:unhideWhenUsed/>
    <w:rsid w:val="00E65F38"/>
    <w:rPr>
      <w:color w:val="0000FF" w:themeColor="hyperlink"/>
      <w:u w:val="single"/>
    </w:rPr>
  </w:style>
  <w:style w:type="character" w:styleId="UnresolvedMention">
    <w:name w:val="Unresolved Mention"/>
    <w:basedOn w:val="DefaultParagraphFont"/>
    <w:uiPriority w:val="99"/>
    <w:semiHidden/>
    <w:unhideWhenUsed/>
    <w:rsid w:val="0071271C"/>
    <w:rPr>
      <w:color w:val="605E5C"/>
      <w:shd w:val="clear" w:color="auto" w:fill="E1DFDD"/>
    </w:rPr>
  </w:style>
  <w:style w:type="paragraph" w:styleId="ListParagraph">
    <w:name w:val="List Paragraph"/>
    <w:basedOn w:val="Normal"/>
    <w:uiPriority w:val="34"/>
    <w:qFormat/>
    <w:rsid w:val="001058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7385</Words>
  <Characters>52732</Characters>
  <Application>Microsoft Office Word</Application>
  <DocSecurity>4</DocSecurity>
  <Lines>1014</Lines>
  <Paragraphs>239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Anupam Mazumdar</dc:creator>
  <cp:lastModifiedBy>Anupam Mazumdar</cp:lastModifiedBy>
  <cp:revision>2</cp:revision>
  <dcterms:created xsi:type="dcterms:W3CDTF">2026-02-17T17:03:00Z</dcterms:created>
  <dcterms:modified xsi:type="dcterms:W3CDTF">2026-02-17T17:03:00Z</dcterms:modified>
</cp:coreProperties>
</file>