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2A618" w14:textId="77777777" w:rsidR="00054358" w:rsidRDefault="00054358"/>
    <w:p w14:paraId="299ADADC" w14:textId="77777777" w:rsidR="006A5392" w:rsidRPr="006A5392" w:rsidRDefault="006A5392" w:rsidP="006A5392">
      <w:pPr>
        <w:pStyle w:val="NoSpacing"/>
      </w:pPr>
      <w:r w:rsidRPr="006A5392">
        <w:t>BMPP5002D</w:t>
      </w:r>
    </w:p>
    <w:p w14:paraId="34CAF23B" w14:textId="77777777" w:rsidR="006A5392" w:rsidRPr="006A5392" w:rsidRDefault="006A5392" w:rsidP="006A5392">
      <w:pPr>
        <w:pStyle w:val="NoSpacing"/>
      </w:pPr>
      <w:r w:rsidRPr="006A5392">
        <w:t xml:space="preserve">Assignment1 Draft </w:t>
      </w:r>
    </w:p>
    <w:p w14:paraId="68BB7FC6" w14:textId="77777777" w:rsidR="006A5392" w:rsidRDefault="006A5392" w:rsidP="006A5392">
      <w:pPr>
        <w:pStyle w:val="NoSpacing"/>
      </w:pPr>
      <w:r w:rsidRPr="006A5392">
        <w:t>Alan Oliver</w:t>
      </w:r>
      <w:r>
        <w:t xml:space="preserve"> </w:t>
      </w:r>
    </w:p>
    <w:p w14:paraId="7C21AD90" w14:textId="77777777" w:rsidR="006A5392" w:rsidRDefault="006A5392" w:rsidP="006A5392">
      <w:pPr>
        <w:pStyle w:val="NoSpacing"/>
      </w:pPr>
    </w:p>
    <w:p w14:paraId="330C56F6" w14:textId="77777777" w:rsidR="006A5392" w:rsidRPr="00607DA4" w:rsidRDefault="006A5392" w:rsidP="006A5392">
      <w:r w:rsidRPr="00607DA4">
        <w:rPr>
          <w:b/>
          <w:bCs/>
        </w:rPr>
        <w:t>Essay 1</w:t>
      </w:r>
      <w:r w:rsidRPr="00607DA4">
        <w:t xml:space="preserve">: </w:t>
      </w:r>
    </w:p>
    <w:p w14:paraId="7B70F9B3" w14:textId="77777777" w:rsidR="006A5392" w:rsidRPr="006A5392" w:rsidRDefault="006A5392" w:rsidP="006A5392">
      <w:pPr>
        <w:rPr>
          <w:u w:val="single"/>
        </w:rPr>
      </w:pPr>
      <w:r w:rsidRPr="006A5392">
        <w:rPr>
          <w:u w:val="single"/>
        </w:rPr>
        <w:t>How Might the Code of Ethics help to reduce the incidences of professional misconduct and increase public confidence in the police?</w:t>
      </w:r>
    </w:p>
    <w:p w14:paraId="38283C2B" w14:textId="5CDBD7FA" w:rsidR="00607DA4" w:rsidRDefault="00607DA4" w:rsidP="00607DA4">
      <w:pPr>
        <w:pStyle w:val="PlainText"/>
      </w:pPr>
      <w:r>
        <w:t xml:space="preserve">Professional misconduct within the police force can significantly erode public trust and hinder effective law enforcement. </w:t>
      </w:r>
      <w:proofErr w:type="gramStart"/>
      <w:r>
        <w:t>In order to</w:t>
      </w:r>
      <w:proofErr w:type="gramEnd"/>
      <w:r>
        <w:t xml:space="preserve"> address this issue, many police </w:t>
      </w:r>
      <w:r w:rsidR="00D57EE8">
        <w:t>forces</w:t>
      </w:r>
      <w:r>
        <w:t xml:space="preserve"> implement a comprehensive code of ethics. A code of ethics provides guidelines and expectations for ethical conduct, promotes integrity, and establishes accountability within police organizations. This essay will explore how a code of ethics acts as a powerful tool in reducing instances of professional misconduct and enhancing public confidence in the police.</w:t>
      </w:r>
    </w:p>
    <w:p w14:paraId="2FBDFBA2" w14:textId="77777777" w:rsidR="00775137" w:rsidRDefault="00775137" w:rsidP="00607DA4">
      <w:pPr>
        <w:pStyle w:val="PlainText"/>
      </w:pPr>
    </w:p>
    <w:p w14:paraId="4AC1E5B4" w14:textId="5251E31A" w:rsidR="000734A8" w:rsidRDefault="007A03C7" w:rsidP="00607DA4">
      <w:pPr>
        <w:pStyle w:val="PlainText"/>
      </w:pPr>
      <w:r>
        <w:t>Initially i</w:t>
      </w:r>
      <w:r w:rsidR="00492255">
        <w:t>ntrodu</w:t>
      </w:r>
      <w:r w:rsidR="00775137">
        <w:t xml:space="preserve">ced by the college of policing </w:t>
      </w:r>
      <w:r>
        <w:t xml:space="preserve">in 2014, the code of ethics </w:t>
      </w:r>
      <w:r w:rsidR="003E23BF">
        <w:t xml:space="preserve">is described </w:t>
      </w:r>
      <w:r w:rsidR="002A1CCD">
        <w:t>in Professor Robin B</w:t>
      </w:r>
      <w:r w:rsidR="00553086">
        <w:t>r</w:t>
      </w:r>
      <w:r w:rsidR="002A1CCD">
        <w:t>yant</w:t>
      </w:r>
      <w:r w:rsidR="000F7647">
        <w:t>’</w:t>
      </w:r>
      <w:r w:rsidR="002A1CCD">
        <w:t xml:space="preserve">s </w:t>
      </w:r>
      <w:r w:rsidR="004E2A70">
        <w:t xml:space="preserve">Handbook </w:t>
      </w:r>
      <w:r w:rsidR="002E553D">
        <w:t>f</w:t>
      </w:r>
      <w:r w:rsidR="004E2A70">
        <w:t xml:space="preserve">or Police Students as being </w:t>
      </w:r>
      <w:r w:rsidR="00E732D8">
        <w:t xml:space="preserve">central to the </w:t>
      </w:r>
      <w:r w:rsidR="0011546E">
        <w:t>professionalization of the police service and police pr</w:t>
      </w:r>
      <w:r w:rsidR="00553086">
        <w:t>actices.</w:t>
      </w:r>
      <w:r w:rsidR="00C86FB9">
        <w:t xml:space="preserve"> </w:t>
      </w:r>
      <w:r w:rsidR="00213852">
        <w:t>(Bryant and Bryant</w:t>
      </w:r>
      <w:r w:rsidR="00612F62">
        <w:t xml:space="preserve">,2021, p </w:t>
      </w:r>
      <w:r w:rsidR="008B4FAC">
        <w:t xml:space="preserve">73.) </w:t>
      </w:r>
      <w:r w:rsidR="00C86FB9">
        <w:t xml:space="preserve">The code of ethics </w:t>
      </w:r>
      <w:r w:rsidR="008D02D9">
        <w:t xml:space="preserve">applies to all police officers, </w:t>
      </w:r>
      <w:r w:rsidR="00BE1D43">
        <w:t xml:space="preserve">staff </w:t>
      </w:r>
      <w:r w:rsidR="000F7647">
        <w:t>a</w:t>
      </w:r>
      <w:r w:rsidR="00BE1D43">
        <w:t xml:space="preserve">nd volunteers engaged in policing. This ensures that its influence reaches across the </w:t>
      </w:r>
      <w:r w:rsidR="002E553D">
        <w:t>whole police</w:t>
      </w:r>
      <w:r w:rsidR="000C2885">
        <w:t xml:space="preserve"> </w:t>
      </w:r>
      <w:r w:rsidR="00EB23F5">
        <w:t>force and is consistent in i</w:t>
      </w:r>
      <w:r w:rsidR="0028764A">
        <w:t xml:space="preserve">ts impact </w:t>
      </w:r>
      <w:r w:rsidR="000734A8">
        <w:t xml:space="preserve">on the decisions and actions of police officers and those who work for the police force. </w:t>
      </w:r>
    </w:p>
    <w:p w14:paraId="7A990613" w14:textId="38EBD7C8" w:rsidR="00607DA4" w:rsidRDefault="007A03C7" w:rsidP="00607DA4">
      <w:pPr>
        <w:pStyle w:val="PlainText"/>
      </w:pPr>
      <w:r>
        <w:t xml:space="preserve"> </w:t>
      </w:r>
    </w:p>
    <w:p w14:paraId="30865AA3" w14:textId="7D0EB81E" w:rsidR="004B4CB9" w:rsidRDefault="00607DA4" w:rsidP="00607DA4">
      <w:pPr>
        <w:pStyle w:val="PlainText"/>
      </w:pPr>
      <w:r>
        <w:t xml:space="preserve">Instilling </w:t>
      </w:r>
      <w:r w:rsidR="00C93F70">
        <w:t>c</w:t>
      </w:r>
      <w:r>
        <w:t xml:space="preserve">ore </w:t>
      </w:r>
      <w:r w:rsidR="00C93F70">
        <w:t>v</w:t>
      </w:r>
      <w:r>
        <w:t xml:space="preserve">alues and </w:t>
      </w:r>
      <w:r w:rsidR="00C93F70">
        <w:t>e</w:t>
      </w:r>
      <w:r>
        <w:t xml:space="preserve">thical </w:t>
      </w:r>
      <w:r w:rsidR="00C93F70">
        <w:t>c</w:t>
      </w:r>
      <w:r>
        <w:t xml:space="preserve">onduct </w:t>
      </w:r>
      <w:r w:rsidR="007B1203">
        <w:t>a</w:t>
      </w:r>
      <w:r>
        <w:t xml:space="preserve"> code of ethics serves as a foundational document that articulates the core values and principles that guide police officers' behaviour. By clearly defining expectations regarding professionalism, integrity, and responsibility, the code helps police officers understand the importance of upholding ethical standards while carrying out their duties. This promotes a collective understanding of desired conduct and provides a benchmark against which actions can be assessed.</w:t>
      </w:r>
    </w:p>
    <w:p w14:paraId="5E75E028" w14:textId="77777777" w:rsidR="0064184B" w:rsidRDefault="0064184B" w:rsidP="00607DA4">
      <w:pPr>
        <w:pStyle w:val="PlainText"/>
      </w:pPr>
    </w:p>
    <w:p w14:paraId="125FD31A" w14:textId="27685F8A" w:rsidR="0064184B" w:rsidRDefault="0064184B" w:rsidP="00607DA4">
      <w:pPr>
        <w:pStyle w:val="PlainText"/>
      </w:pPr>
      <w:r>
        <w:rPr>
          <w:rFonts w:asciiTheme="minorHAnsi" w:hAnsiTheme="minorHAnsi" w:cstheme="minorHAnsi"/>
          <w:color w:val="000000"/>
          <w:spacing w:val="3"/>
          <w:szCs w:val="22"/>
        </w:rPr>
        <w:t xml:space="preserve">According to the college of Policing, </w:t>
      </w:r>
      <w:r w:rsidR="00A03677">
        <w:rPr>
          <w:rFonts w:asciiTheme="minorHAnsi" w:hAnsiTheme="minorHAnsi" w:cstheme="minorHAnsi"/>
          <w:color w:val="000000"/>
          <w:spacing w:val="3"/>
          <w:szCs w:val="22"/>
        </w:rPr>
        <w:t>e</w:t>
      </w:r>
      <w:r w:rsidRPr="009329B5">
        <w:rPr>
          <w:rFonts w:asciiTheme="minorHAnsi" w:hAnsiTheme="minorHAnsi" w:cstheme="minorHAnsi"/>
          <w:color w:val="000000"/>
          <w:spacing w:val="3"/>
          <w:szCs w:val="22"/>
        </w:rPr>
        <w:t>vidence tells us that simply having a Code of Ethics is not enough to reduce unprofessional behaviour</w:t>
      </w:r>
      <w:r w:rsidR="00A03677">
        <w:rPr>
          <w:rFonts w:asciiTheme="minorHAnsi" w:hAnsiTheme="minorHAnsi" w:cstheme="minorHAnsi"/>
          <w:color w:val="000000"/>
          <w:spacing w:val="3"/>
          <w:szCs w:val="22"/>
        </w:rPr>
        <w:t xml:space="preserve">, on it own. </w:t>
      </w:r>
      <w:r w:rsidR="00D41AA8">
        <w:rPr>
          <w:rFonts w:asciiTheme="minorHAnsi" w:hAnsiTheme="minorHAnsi" w:cstheme="minorHAnsi"/>
          <w:color w:val="000000"/>
          <w:spacing w:val="3"/>
          <w:szCs w:val="22"/>
        </w:rPr>
        <w:t xml:space="preserve">That is to say that simply drafting the code </w:t>
      </w:r>
      <w:r w:rsidR="00B74157">
        <w:rPr>
          <w:rFonts w:asciiTheme="minorHAnsi" w:hAnsiTheme="minorHAnsi" w:cstheme="minorHAnsi"/>
          <w:color w:val="000000"/>
          <w:spacing w:val="3"/>
          <w:szCs w:val="22"/>
        </w:rPr>
        <w:t xml:space="preserve">of ethics and having it in existence </w:t>
      </w:r>
      <w:r w:rsidR="005B4E14">
        <w:rPr>
          <w:rFonts w:asciiTheme="minorHAnsi" w:hAnsiTheme="minorHAnsi" w:cstheme="minorHAnsi"/>
          <w:color w:val="000000"/>
          <w:spacing w:val="3"/>
          <w:szCs w:val="22"/>
        </w:rPr>
        <w:t>is not enough for it achieve its intended goal.</w:t>
      </w:r>
      <w:r w:rsidRPr="009329B5">
        <w:rPr>
          <w:rFonts w:asciiTheme="minorHAnsi" w:hAnsiTheme="minorHAnsi" w:cstheme="minorHAnsi"/>
          <w:color w:val="000000"/>
          <w:spacing w:val="3"/>
          <w:szCs w:val="22"/>
        </w:rPr>
        <w:t> </w:t>
      </w:r>
      <w:r w:rsidR="000A5FE7">
        <w:rPr>
          <w:rFonts w:asciiTheme="minorHAnsi" w:hAnsiTheme="minorHAnsi" w:cstheme="minorHAnsi"/>
          <w:color w:val="000000"/>
          <w:spacing w:val="3"/>
          <w:szCs w:val="22"/>
        </w:rPr>
        <w:t>The code of ethics</w:t>
      </w:r>
      <w:r w:rsidRPr="009329B5">
        <w:rPr>
          <w:rFonts w:asciiTheme="minorHAnsi" w:hAnsiTheme="minorHAnsi" w:cstheme="minorHAnsi"/>
          <w:color w:val="000000"/>
          <w:spacing w:val="3"/>
          <w:szCs w:val="22"/>
        </w:rPr>
        <w:t xml:space="preserve"> needs to be </w:t>
      </w:r>
      <w:r w:rsidR="00D73A7F">
        <w:rPr>
          <w:rFonts w:asciiTheme="minorHAnsi" w:hAnsiTheme="minorHAnsi" w:cstheme="minorHAnsi"/>
          <w:color w:val="000000"/>
          <w:spacing w:val="3"/>
          <w:szCs w:val="22"/>
        </w:rPr>
        <w:t>incorporated</w:t>
      </w:r>
      <w:r w:rsidRPr="009329B5">
        <w:rPr>
          <w:rFonts w:asciiTheme="minorHAnsi" w:hAnsiTheme="minorHAnsi" w:cstheme="minorHAnsi"/>
          <w:color w:val="000000"/>
          <w:spacing w:val="3"/>
          <w:szCs w:val="22"/>
        </w:rPr>
        <w:t xml:space="preserve"> </w:t>
      </w:r>
      <w:r w:rsidR="00D73A7F">
        <w:rPr>
          <w:rFonts w:asciiTheme="minorHAnsi" w:hAnsiTheme="minorHAnsi" w:cstheme="minorHAnsi"/>
          <w:color w:val="000000"/>
          <w:spacing w:val="3"/>
          <w:szCs w:val="22"/>
        </w:rPr>
        <w:t>fully</w:t>
      </w:r>
      <w:r w:rsidRPr="009329B5">
        <w:rPr>
          <w:rFonts w:asciiTheme="minorHAnsi" w:hAnsiTheme="minorHAnsi" w:cstheme="minorHAnsi"/>
          <w:color w:val="000000"/>
          <w:spacing w:val="3"/>
          <w:szCs w:val="22"/>
        </w:rPr>
        <w:t xml:space="preserve"> a</w:t>
      </w:r>
      <w:r w:rsidR="003F4EEE">
        <w:rPr>
          <w:rFonts w:asciiTheme="minorHAnsi" w:hAnsiTheme="minorHAnsi" w:cstheme="minorHAnsi"/>
          <w:color w:val="000000"/>
          <w:spacing w:val="3"/>
          <w:szCs w:val="22"/>
        </w:rPr>
        <w:t>s an ongoing consideration for ever</w:t>
      </w:r>
      <w:r w:rsidR="0098560D">
        <w:rPr>
          <w:rFonts w:asciiTheme="minorHAnsi" w:hAnsiTheme="minorHAnsi" w:cstheme="minorHAnsi"/>
          <w:color w:val="000000"/>
          <w:spacing w:val="3"/>
          <w:szCs w:val="22"/>
        </w:rPr>
        <w:t xml:space="preserve">y part of policing. </w:t>
      </w:r>
      <w:r w:rsidR="00D73A7F">
        <w:rPr>
          <w:rFonts w:asciiTheme="minorHAnsi" w:hAnsiTheme="minorHAnsi" w:cstheme="minorHAnsi"/>
          <w:color w:val="000000"/>
          <w:spacing w:val="3"/>
          <w:szCs w:val="22"/>
        </w:rPr>
        <w:t xml:space="preserve">This is way in </w:t>
      </w:r>
      <w:r w:rsidR="00FD1A95">
        <w:rPr>
          <w:rFonts w:asciiTheme="minorHAnsi" w:hAnsiTheme="minorHAnsi" w:cstheme="minorHAnsi"/>
          <w:color w:val="000000"/>
          <w:spacing w:val="3"/>
          <w:szCs w:val="22"/>
        </w:rPr>
        <w:t>which the public will gain more confidence in the police</w:t>
      </w:r>
      <w:r w:rsidR="000A5FE7">
        <w:rPr>
          <w:rFonts w:asciiTheme="minorHAnsi" w:hAnsiTheme="minorHAnsi" w:cstheme="minorHAnsi"/>
          <w:color w:val="000000"/>
          <w:spacing w:val="3"/>
          <w:szCs w:val="22"/>
        </w:rPr>
        <w:t xml:space="preserve">. </w:t>
      </w:r>
      <w:r w:rsidR="00C56CB5">
        <w:rPr>
          <w:rFonts w:asciiTheme="minorHAnsi" w:hAnsiTheme="minorHAnsi" w:cstheme="minorHAnsi"/>
          <w:color w:val="000000"/>
          <w:spacing w:val="3"/>
          <w:szCs w:val="22"/>
        </w:rPr>
        <w:t>(College of Policing</w:t>
      </w:r>
      <w:r w:rsidR="00E334A2">
        <w:rPr>
          <w:rFonts w:asciiTheme="minorHAnsi" w:hAnsiTheme="minorHAnsi" w:cstheme="minorHAnsi"/>
          <w:color w:val="000000"/>
          <w:spacing w:val="3"/>
          <w:szCs w:val="22"/>
        </w:rPr>
        <w:t>, 2014).</w:t>
      </w:r>
    </w:p>
    <w:p w14:paraId="7D942009" w14:textId="77777777" w:rsidR="00607DA4" w:rsidRDefault="00607DA4" w:rsidP="00607DA4">
      <w:pPr>
        <w:pStyle w:val="PlainText"/>
      </w:pPr>
    </w:p>
    <w:p w14:paraId="369DF19B" w14:textId="1EDABFB2" w:rsidR="00607DA4" w:rsidRDefault="00607DA4" w:rsidP="00607DA4">
      <w:pPr>
        <w:pStyle w:val="PlainText"/>
      </w:pPr>
      <w:r>
        <w:t xml:space="preserve">Promoting Accountability and Transparency </w:t>
      </w:r>
      <w:r w:rsidR="00040E71">
        <w:t>a</w:t>
      </w:r>
      <w:r>
        <w:t xml:space="preserve"> well-designed code of ethics delineates the consequences of misconduct, including disciplinary actions and potential legal repercussions. By emphasizing the importance of accountability, a code of ethics motivates police officers to adhere to ethical standards and discourages them from engaging in misconduct. Furthermore, a transparent system of accountability ensures that offenders are held responsible for their actions, reassuring the public that internal mechanisms are in place to address any misconduct promptly and fairly.</w:t>
      </w:r>
    </w:p>
    <w:p w14:paraId="644A965B" w14:textId="77777777" w:rsidR="00607DA4" w:rsidRDefault="00607DA4" w:rsidP="00607DA4">
      <w:pPr>
        <w:pStyle w:val="PlainText"/>
      </w:pPr>
    </w:p>
    <w:p w14:paraId="1C77131A" w14:textId="5215B22F" w:rsidR="00607DA4" w:rsidRDefault="00607DA4" w:rsidP="00607DA4">
      <w:pPr>
        <w:pStyle w:val="PlainText"/>
      </w:pPr>
      <w:r>
        <w:t xml:space="preserve">Encouraging </w:t>
      </w:r>
      <w:r w:rsidR="00687DB5">
        <w:t>e</w:t>
      </w:r>
      <w:r>
        <w:t xml:space="preserve">thical </w:t>
      </w:r>
      <w:r w:rsidR="00687DB5">
        <w:t>d</w:t>
      </w:r>
      <w:r>
        <w:t>ecision</w:t>
      </w:r>
      <w:r w:rsidR="00687DB5">
        <w:t xml:space="preserve"> m</w:t>
      </w:r>
      <w:r>
        <w:t xml:space="preserve">aking </w:t>
      </w:r>
      <w:r w:rsidR="00687DB5">
        <w:t>l</w:t>
      </w:r>
      <w:r>
        <w:t>aw enforcement professionals often face complex and high-pressure situations that require quick and ethical decision-making. A code of ethics provides officers with a framework for critically analysing ethical dilemmas and making decisions based on moral values. It guides officers to consider factors such as fairness, impartiality, and respect for individual rights. By doing so, the code promotes consistency in decision-making and minimizes the potential for personal biases or misconduct to influence outcomes.</w:t>
      </w:r>
    </w:p>
    <w:p w14:paraId="1F249175" w14:textId="77777777" w:rsidR="00607DA4" w:rsidRDefault="00607DA4" w:rsidP="00607DA4">
      <w:pPr>
        <w:pStyle w:val="PlainText"/>
      </w:pPr>
    </w:p>
    <w:p w14:paraId="58ECF425" w14:textId="16BA0B11" w:rsidR="00607DA4" w:rsidRDefault="00607DA4" w:rsidP="00607DA4">
      <w:pPr>
        <w:pStyle w:val="PlainText"/>
      </w:pPr>
      <w:r>
        <w:lastRenderedPageBreak/>
        <w:t xml:space="preserve">Fostering Professionalism and Integrity </w:t>
      </w:r>
      <w:r w:rsidR="007B1203">
        <w:t xml:space="preserve">a </w:t>
      </w:r>
      <w:r>
        <w:t>code of ethics emphasizes the importance of professionalism and integrity as foundational attributes of police officers. By adhering to such a code, police officers demonstrate a commitment to maintaining high standards of behaviour and actively promote public confidence. This fosters a culture of professionalism within the police force, fostering a sense of pride and dedication among officers. When the public perceives professionalism in policing, it increases their trust and confidence in law enforcement agencies.</w:t>
      </w:r>
    </w:p>
    <w:p w14:paraId="4A432FE5" w14:textId="77777777" w:rsidR="00C610AA" w:rsidRDefault="00C610AA" w:rsidP="00607DA4">
      <w:pPr>
        <w:pStyle w:val="PlainText"/>
      </w:pPr>
    </w:p>
    <w:p w14:paraId="79196AA7" w14:textId="7A31241C" w:rsidR="00607DA4" w:rsidRDefault="00607DA4" w:rsidP="00607DA4">
      <w:pPr>
        <w:pStyle w:val="PlainText"/>
      </w:pPr>
      <w:r>
        <w:t>Ensuring Ethical Conduct in Challenging Situations Police officers often face difficult scenarios that test their commitment to ethical conduct. A code of ethics establishes guidelines to navigate these challenging situations. For example, it may provide guidance on the appropriate use of force, handling confidential information, engaging with diverse communities, and avoiding bias during investigations. The code acts as a compass, offering officers clear direction and ethical boundaries. This guidance reduces the likelihood of misconduct occurring during stressful or ambiguous circumstances.</w:t>
      </w:r>
    </w:p>
    <w:p w14:paraId="78EC367A" w14:textId="77777777" w:rsidR="00AC499D" w:rsidRDefault="00AC499D" w:rsidP="00607DA4">
      <w:pPr>
        <w:pStyle w:val="PlainText"/>
      </w:pPr>
    </w:p>
    <w:p w14:paraId="5F1D8EB7" w14:textId="77364E0B" w:rsidR="00607DA4" w:rsidRDefault="00D15D0C" w:rsidP="00603F56">
      <w:r>
        <w:t>I</w:t>
      </w:r>
      <w:r w:rsidR="00B305A1">
        <w:t>n</w:t>
      </w:r>
      <w:r>
        <w:t xml:space="preserve"> a</w:t>
      </w:r>
      <w:r w:rsidR="00AC499D">
        <w:t xml:space="preserve"> study on </w:t>
      </w:r>
      <w:r w:rsidR="00BE42C1">
        <w:t xml:space="preserve">the drivers of public </w:t>
      </w:r>
      <w:r w:rsidR="002D07FE">
        <w:t>trust and confidence in police in the UK in 2012</w:t>
      </w:r>
      <w:r w:rsidR="009C283E">
        <w:t xml:space="preserve">, </w:t>
      </w:r>
      <w:r w:rsidR="0038153F">
        <w:t xml:space="preserve">it was concluded that </w:t>
      </w:r>
      <w:r w:rsidR="00FD2DB3" w:rsidRPr="00F9382F">
        <w:t>there is evidence of perceptions and attitudes of</w:t>
      </w:r>
      <w:r w:rsidR="00FD2DB3">
        <w:t xml:space="preserve"> </w:t>
      </w:r>
      <w:r w:rsidR="006C771F">
        <w:t>members of the public who have</w:t>
      </w:r>
      <w:r>
        <w:t xml:space="preserve"> had</w:t>
      </w:r>
      <w:r w:rsidR="006C771F">
        <w:t xml:space="preserve"> cause to interact with the police </w:t>
      </w:r>
      <w:r w:rsidR="004C13DF">
        <w:t>either regularly or on one specific occasion</w:t>
      </w:r>
      <w:r w:rsidR="00FD2DB3" w:rsidRPr="00F9382F">
        <w:t xml:space="preserve"> </w:t>
      </w:r>
      <w:r w:rsidR="00FD2DB3">
        <w:t xml:space="preserve">being </w:t>
      </w:r>
      <w:r w:rsidR="006048C7">
        <w:t xml:space="preserve">directly influenced by </w:t>
      </w:r>
      <w:r w:rsidR="00FD2DB3" w:rsidRPr="00F9382F">
        <w:t xml:space="preserve">the way </w:t>
      </w:r>
      <w:r w:rsidR="004C13DF">
        <w:t xml:space="preserve">the </w:t>
      </w:r>
      <w:r w:rsidR="00FD2DB3" w:rsidRPr="00F9382F">
        <w:t>policing services</w:t>
      </w:r>
      <w:r w:rsidR="00FD2DB3">
        <w:t xml:space="preserve"> </w:t>
      </w:r>
      <w:r w:rsidR="00FD2DB3" w:rsidRPr="00F9382F">
        <w:t>are delivered</w:t>
      </w:r>
      <w:r w:rsidR="004C13DF">
        <w:t xml:space="preserve"> during that </w:t>
      </w:r>
      <w:r w:rsidR="00F97697">
        <w:t xml:space="preserve">interaction and the </w:t>
      </w:r>
      <w:r>
        <w:t>subsequent action tak</w:t>
      </w:r>
      <w:r w:rsidR="006D7823">
        <w:t>en</w:t>
      </w:r>
      <w:r>
        <w:t xml:space="preserve"> by the police</w:t>
      </w:r>
      <w:r w:rsidR="00C41666">
        <w:t>.</w:t>
      </w:r>
      <w:r w:rsidR="00F97697">
        <w:t xml:space="preserve"> </w:t>
      </w:r>
      <w:r w:rsidR="00C41666">
        <w:t xml:space="preserve">How the public gauged the </w:t>
      </w:r>
      <w:r w:rsidR="007B1203">
        <w:t>professionalism,</w:t>
      </w:r>
      <w:r w:rsidR="00B305A1">
        <w:t xml:space="preserve"> Integrity, </w:t>
      </w:r>
      <w:r w:rsidR="00192FB0">
        <w:t xml:space="preserve">none bias, fairness, </w:t>
      </w:r>
      <w:r w:rsidR="00D438BD">
        <w:t>transparency</w:t>
      </w:r>
      <w:r w:rsidR="00825D36">
        <w:t xml:space="preserve"> and ethical </w:t>
      </w:r>
      <w:r w:rsidR="00D438BD">
        <w:t>behaviour</w:t>
      </w:r>
      <w:r w:rsidR="006D7823">
        <w:t xml:space="preserve"> of the police officers and the police staff</w:t>
      </w:r>
      <w:r w:rsidR="00AA0136">
        <w:t xml:space="preserve"> during their own experiences</w:t>
      </w:r>
      <w:r w:rsidR="007B1203">
        <w:t xml:space="preserve"> </w:t>
      </w:r>
      <w:r w:rsidR="008E554A">
        <w:t xml:space="preserve">directly </w:t>
      </w:r>
      <w:r w:rsidR="00FD2DB3" w:rsidRPr="00F9382F">
        <w:t>effects</w:t>
      </w:r>
      <w:r w:rsidR="00FD2DB3">
        <w:t xml:space="preserve"> </w:t>
      </w:r>
      <w:r w:rsidR="00AA0136">
        <w:t>their</w:t>
      </w:r>
      <w:r w:rsidR="00FD2DB3" w:rsidRPr="00F9382F">
        <w:t xml:space="preserve"> trust and confidence</w:t>
      </w:r>
      <w:r w:rsidR="00AA0136">
        <w:t xml:space="preserve"> in the police</w:t>
      </w:r>
      <w:r w:rsidR="00FD2DB3" w:rsidRPr="00F9382F">
        <w:t xml:space="preserve">. Further, </w:t>
      </w:r>
      <w:r w:rsidR="00FD4394">
        <w:t>this study</w:t>
      </w:r>
      <w:r w:rsidR="00FD2DB3">
        <w:t xml:space="preserve"> </w:t>
      </w:r>
      <w:r w:rsidR="00FD2DB3" w:rsidRPr="00F9382F">
        <w:t>confirm</w:t>
      </w:r>
      <w:r w:rsidR="00FD4394">
        <w:t>s</w:t>
      </w:r>
      <w:r w:rsidR="00FD2DB3" w:rsidRPr="00F9382F">
        <w:t xml:space="preserve"> the importance of </w:t>
      </w:r>
      <w:r w:rsidR="00FD4394">
        <w:t xml:space="preserve">police </w:t>
      </w:r>
      <w:r w:rsidR="00FD2DB3" w:rsidRPr="00F9382F">
        <w:t>treating people</w:t>
      </w:r>
      <w:r w:rsidR="00FD2DB3">
        <w:t xml:space="preserve"> </w:t>
      </w:r>
      <w:r w:rsidR="00FD2DB3" w:rsidRPr="00F9382F">
        <w:t xml:space="preserve">as individuals and understanding their </w:t>
      </w:r>
      <w:r w:rsidR="00FD4394">
        <w:t xml:space="preserve">individual and community </w:t>
      </w:r>
      <w:r w:rsidR="00FD2DB3" w:rsidRPr="00F9382F">
        <w:t>needs</w:t>
      </w:r>
      <w:r w:rsidR="00FD2DB3">
        <w:t xml:space="preserve"> </w:t>
      </w:r>
      <w:r w:rsidR="00FD2DB3" w:rsidRPr="00F9382F">
        <w:t>and expectations.</w:t>
      </w:r>
      <w:r w:rsidR="004F1CF5">
        <w:t xml:space="preserve"> </w:t>
      </w:r>
      <w:r w:rsidR="00BA2908">
        <w:t xml:space="preserve"> </w:t>
      </w:r>
      <w:r w:rsidR="00B8196E">
        <w:t>(Merry Et al</w:t>
      </w:r>
      <w:r w:rsidR="005B2DF7">
        <w:t xml:space="preserve">, 2012, </w:t>
      </w:r>
      <w:r w:rsidR="00D130FF">
        <w:t>p. 132</w:t>
      </w:r>
      <w:r w:rsidR="004B0015">
        <w:t>).</w:t>
      </w:r>
    </w:p>
    <w:p w14:paraId="6C6CA8F4" w14:textId="77777777" w:rsidR="00B274EC" w:rsidRDefault="00607DA4" w:rsidP="00607DA4">
      <w:pPr>
        <w:pStyle w:val="PlainText"/>
      </w:pPr>
      <w:r>
        <w:t xml:space="preserve">In conclusion a code of ethics plays a vital role in reducing professional misconduct and enhancing public confidence in the police force. Establishing clear guidelines, promoting accountability, encouraging ethical decision-making, fostering professionalism, and addressing challenging situations are all crucial elements of a robust code of ethics. When applied effectively, such a code can help guard against misconduct, ensure the desired behaviour of police officers, and restore and maintain trust between law enforcement agencies and the public they serve. </w:t>
      </w:r>
    </w:p>
    <w:p w14:paraId="03EA21A4" w14:textId="77777777" w:rsidR="00B274EC" w:rsidRDefault="00B274EC" w:rsidP="00607DA4">
      <w:pPr>
        <w:pStyle w:val="PlainText"/>
      </w:pPr>
    </w:p>
    <w:p w14:paraId="0BF8DAAD" w14:textId="6512A54D" w:rsidR="00607DA4" w:rsidRDefault="00876506" w:rsidP="00607DA4">
      <w:pPr>
        <w:pStyle w:val="PlainText"/>
      </w:pPr>
      <w:r>
        <w:t xml:space="preserve">By </w:t>
      </w:r>
      <w:r w:rsidR="00585AD6">
        <w:t xml:space="preserve">laying out a single code of ethics underpinning the behaviours </w:t>
      </w:r>
      <w:r w:rsidR="00CC2EBB">
        <w:t xml:space="preserve">and standards that every police officer and member of police staff is required to adhere to </w:t>
      </w:r>
      <w:r w:rsidR="005F57CE">
        <w:t xml:space="preserve">both </w:t>
      </w:r>
      <w:r w:rsidR="00CC2EBB">
        <w:t xml:space="preserve">on and off duty, there is </w:t>
      </w:r>
      <w:r w:rsidR="00C92DF3">
        <w:t xml:space="preserve">a very clear expectation </w:t>
      </w:r>
      <w:r w:rsidR="00B274EC">
        <w:t xml:space="preserve">set for both the public and police officers </w:t>
      </w:r>
      <w:r w:rsidR="005F57CE">
        <w:t xml:space="preserve">in terms of </w:t>
      </w:r>
      <w:r w:rsidR="006B1A86">
        <w:t xml:space="preserve">how the police should conduct themselves and </w:t>
      </w:r>
      <w:r w:rsidR="00896429">
        <w:t>what ethics and values should lie at the core of th</w:t>
      </w:r>
      <w:r w:rsidR="00B925E1">
        <w:t>eir decision making</w:t>
      </w:r>
      <w:r w:rsidR="00BF1683">
        <w:t xml:space="preserve">. </w:t>
      </w:r>
      <w:r w:rsidR="00F27D7F">
        <w:t xml:space="preserve">Using this </w:t>
      </w:r>
      <w:r w:rsidR="00607DA4">
        <w:t xml:space="preserve">comprehensive code of ethics to create a strong ethical foundation </w:t>
      </w:r>
      <w:r w:rsidR="00F27D7F">
        <w:t>that extends throughout</w:t>
      </w:r>
      <w:r w:rsidR="00607DA4">
        <w:t xml:space="preserve"> the police force</w:t>
      </w:r>
      <w:r w:rsidR="00F27D7F">
        <w:t xml:space="preserve"> </w:t>
      </w:r>
      <w:r w:rsidR="00D17C6C">
        <w:t xml:space="preserve">and having </w:t>
      </w:r>
      <w:r w:rsidR="00603F56">
        <w:t xml:space="preserve">consequences in place for police officers and staff, should they fall short of these expectations </w:t>
      </w:r>
      <w:r w:rsidR="009F40F2">
        <w:t xml:space="preserve">does increase the public </w:t>
      </w:r>
      <w:r w:rsidR="002D5C8C">
        <w:t xml:space="preserve">confidence in the police. </w:t>
      </w:r>
    </w:p>
    <w:p w14:paraId="64E9CA4E" w14:textId="77777777" w:rsidR="006A5392" w:rsidRDefault="006A5392" w:rsidP="006A5392"/>
    <w:p w14:paraId="7802F9A9" w14:textId="4ED09787" w:rsidR="006A5392" w:rsidRDefault="00607DA4" w:rsidP="006A5392">
      <w:r>
        <w:t xml:space="preserve">WORD COUNT: </w:t>
      </w:r>
      <w:r w:rsidR="002D5C8C">
        <w:t>9</w:t>
      </w:r>
      <w:r w:rsidR="00534324">
        <w:t>8</w:t>
      </w:r>
      <w:r w:rsidR="00E334A2">
        <w:t>1</w:t>
      </w:r>
    </w:p>
    <w:p w14:paraId="2530B4BE" w14:textId="77777777" w:rsidR="006A5392" w:rsidRDefault="006A5392" w:rsidP="006A5392"/>
    <w:p w14:paraId="5892A9AD" w14:textId="77777777" w:rsidR="006A5392" w:rsidRPr="00607DA4" w:rsidRDefault="006A5392" w:rsidP="006A5392">
      <w:pPr>
        <w:rPr>
          <w:b/>
          <w:bCs/>
        </w:rPr>
      </w:pPr>
      <w:r w:rsidRPr="00607DA4">
        <w:rPr>
          <w:b/>
          <w:bCs/>
        </w:rPr>
        <w:t>Essay 2:</w:t>
      </w:r>
    </w:p>
    <w:p w14:paraId="0D8424B9" w14:textId="77777777" w:rsidR="006A5392" w:rsidRPr="006A5392" w:rsidRDefault="006A5392" w:rsidP="006A5392">
      <w:pPr>
        <w:rPr>
          <w:u w:val="single"/>
        </w:rPr>
      </w:pPr>
      <w:r w:rsidRPr="006A5392">
        <w:rPr>
          <w:u w:val="single"/>
        </w:rPr>
        <w:t xml:space="preserve">How effective is a multi-agency approach as a means of managing violent and sexual offenders? </w:t>
      </w:r>
    </w:p>
    <w:p w14:paraId="21817CA4" w14:textId="77777777" w:rsidR="00607DA4" w:rsidRDefault="00607DA4" w:rsidP="00607DA4">
      <w:pPr>
        <w:pStyle w:val="PlainText"/>
      </w:pPr>
      <w:r>
        <w:t xml:space="preserve">The effective management of violent and sexual offenders is a demanding task that requires close cooperation and coordination among various agencies within the criminal justice system. A multi-agency approach, which involves the collaboration of law enforcement, probation services, mental health professionals, and social workers, has emerged as an effective means of addressing the </w:t>
      </w:r>
      <w:r>
        <w:lastRenderedPageBreak/>
        <w:t>complex needs of these individuals. This essay will explore the effectiveness of a multi-agency approach in managing violent and sexual offenders by examining its potential benefits and highlighting some of the challenges that may arise.</w:t>
      </w:r>
    </w:p>
    <w:p w14:paraId="7F97523A" w14:textId="77777777" w:rsidR="00607DA4" w:rsidRDefault="00607DA4" w:rsidP="00607DA4">
      <w:pPr>
        <w:pStyle w:val="PlainText"/>
      </w:pPr>
    </w:p>
    <w:p w14:paraId="6B3A732E" w14:textId="77777777" w:rsidR="00607DA4" w:rsidRDefault="00607DA4" w:rsidP="00607DA4">
      <w:pPr>
        <w:pStyle w:val="PlainText"/>
      </w:pPr>
      <w:r>
        <w:t>First and foremost, a multi-agency approach ensures that the management of violent and sexual offenders is comprehensive and holistic. By bringing together different agencies, information can be shared and analysed from various perspectives, allowing for a greater understanding of an offender's background, risks, and needs. This collaborative effort facilitates the development of tailored intervention plans that target specific risk factors, increasing the likelihood of successful rehabilitation and reducing the risk of reoffending. For instance, a combination of targeted therapy, substance abuse treatment, and close supervision may be designed to address the complex needs of an offender with a history of violent behaviour and substance addiction.</w:t>
      </w:r>
    </w:p>
    <w:p w14:paraId="6ECFC543" w14:textId="77777777" w:rsidR="00514991" w:rsidRDefault="00514991" w:rsidP="00607DA4">
      <w:pPr>
        <w:pStyle w:val="PlainText"/>
      </w:pPr>
    </w:p>
    <w:p w14:paraId="63AB96FB" w14:textId="31380A6A" w:rsidR="0061745D" w:rsidRDefault="0029377A" w:rsidP="009227A2">
      <w:r>
        <w:t>Kir</w:t>
      </w:r>
      <w:r w:rsidR="003B7567">
        <w:t>kland and Baron</w:t>
      </w:r>
      <w:r w:rsidR="00194C5E">
        <w:t xml:space="preserve"> (</w:t>
      </w:r>
      <w:r w:rsidR="004B4CB9">
        <w:t>2014</w:t>
      </w:r>
      <w:r w:rsidR="00194C5E">
        <w:t>)</w:t>
      </w:r>
      <w:r w:rsidR="003B7567">
        <w:t xml:space="preserve"> explain how a </w:t>
      </w:r>
      <w:r w:rsidR="00B65A42">
        <w:t xml:space="preserve">therapeutic approach can be more effective than the traditional single agency, criminal justice approach. </w:t>
      </w:r>
      <w:r w:rsidR="000B464D" w:rsidRPr="009F694E">
        <w:rPr>
          <w:rFonts w:cstheme="minorHAnsi"/>
          <w:color w:val="333333"/>
        </w:rPr>
        <w:t>Cognitive Analytic Therapy</w:t>
      </w:r>
      <w:r w:rsidR="00D617D7">
        <w:rPr>
          <w:rFonts w:cstheme="minorHAnsi"/>
          <w:color w:val="333333"/>
        </w:rPr>
        <w:t xml:space="preserve"> for example</w:t>
      </w:r>
      <w:r w:rsidR="000B464D" w:rsidRPr="009F694E">
        <w:rPr>
          <w:rFonts w:cstheme="minorHAnsi"/>
          <w:color w:val="333333"/>
        </w:rPr>
        <w:t xml:space="preserve"> is a collaborative psychotherapy. The </w:t>
      </w:r>
      <w:r w:rsidR="00C460B3">
        <w:rPr>
          <w:rFonts w:cstheme="minorHAnsi"/>
          <w:color w:val="333333"/>
        </w:rPr>
        <w:t>therapy looks at</w:t>
      </w:r>
      <w:r w:rsidR="000B464D" w:rsidRPr="009F694E">
        <w:rPr>
          <w:rFonts w:cstheme="minorHAnsi"/>
          <w:color w:val="333333"/>
        </w:rPr>
        <w:t xml:space="preserve"> how early experiences influence the development of unhelpful patterns that maintain a person's </w:t>
      </w:r>
      <w:r w:rsidR="000975DD">
        <w:rPr>
          <w:rFonts w:cstheme="minorHAnsi"/>
          <w:color w:val="333333"/>
        </w:rPr>
        <w:t>predisposed</w:t>
      </w:r>
      <w:r w:rsidR="00C460B3">
        <w:rPr>
          <w:rFonts w:cstheme="minorHAnsi"/>
          <w:color w:val="333333"/>
        </w:rPr>
        <w:t xml:space="preserve"> tenday to offend in </w:t>
      </w:r>
      <w:r w:rsidR="00DD4900">
        <w:rPr>
          <w:rFonts w:cstheme="minorHAnsi"/>
          <w:color w:val="333333"/>
        </w:rPr>
        <w:t>a particular way</w:t>
      </w:r>
      <w:r w:rsidR="000B464D" w:rsidRPr="009F694E">
        <w:rPr>
          <w:rFonts w:cstheme="minorHAnsi"/>
          <w:color w:val="333333"/>
        </w:rPr>
        <w:t xml:space="preserve">. Within the UK, </w:t>
      </w:r>
      <w:r w:rsidR="000975DD">
        <w:rPr>
          <w:rFonts w:cstheme="minorHAnsi"/>
          <w:color w:val="333333"/>
        </w:rPr>
        <w:t>multiagency collaborations</w:t>
      </w:r>
      <w:r w:rsidR="000B464D" w:rsidRPr="009F694E">
        <w:rPr>
          <w:rFonts w:cstheme="minorHAnsi"/>
          <w:color w:val="333333"/>
        </w:rPr>
        <w:t xml:space="preserve"> are increasing their uses of treatment teams. Offending behaviour is relational (perpetrator to victim</w:t>
      </w:r>
      <w:r w:rsidR="00AA0235">
        <w:rPr>
          <w:rFonts w:cstheme="minorHAnsi"/>
          <w:color w:val="333333"/>
        </w:rPr>
        <w:t>)</w:t>
      </w:r>
      <w:r w:rsidR="0011608B">
        <w:rPr>
          <w:rFonts w:cstheme="minorHAnsi"/>
          <w:color w:val="333333"/>
        </w:rPr>
        <w:t xml:space="preserve">. </w:t>
      </w:r>
      <w:r w:rsidR="00DC05AD">
        <w:rPr>
          <w:rFonts w:cstheme="minorHAnsi"/>
          <w:color w:val="333333"/>
        </w:rPr>
        <w:t>This multi</w:t>
      </w:r>
      <w:r w:rsidR="00957281">
        <w:rPr>
          <w:rFonts w:cstheme="minorHAnsi"/>
          <w:color w:val="333333"/>
        </w:rPr>
        <w:t>-</w:t>
      </w:r>
      <w:r w:rsidR="00DC05AD">
        <w:rPr>
          <w:rFonts w:cstheme="minorHAnsi"/>
          <w:color w:val="333333"/>
        </w:rPr>
        <w:t>agency approa</w:t>
      </w:r>
      <w:r w:rsidR="00957281">
        <w:rPr>
          <w:rFonts w:cstheme="minorHAnsi"/>
          <w:color w:val="333333"/>
        </w:rPr>
        <w:t>ch involves t</w:t>
      </w:r>
      <w:r w:rsidR="0011608B">
        <w:rPr>
          <w:rFonts w:cstheme="minorHAnsi"/>
          <w:color w:val="333333"/>
        </w:rPr>
        <w:t xml:space="preserve">he </w:t>
      </w:r>
      <w:r w:rsidR="000B464D" w:rsidRPr="009F694E">
        <w:rPr>
          <w:rFonts w:cstheme="minorHAnsi"/>
          <w:color w:val="333333"/>
        </w:rPr>
        <w:t>National Health Service consultation service (Serious Offender Liaison Service) working with the Police and Criminal Justice</w:t>
      </w:r>
      <w:r w:rsidR="0011608B">
        <w:rPr>
          <w:rFonts w:cstheme="minorHAnsi"/>
          <w:color w:val="333333"/>
        </w:rPr>
        <w:t xml:space="preserve"> system and</w:t>
      </w:r>
      <w:r w:rsidR="000B464D" w:rsidRPr="009F694E">
        <w:rPr>
          <w:rFonts w:cstheme="minorHAnsi"/>
          <w:color w:val="333333"/>
        </w:rPr>
        <w:t xml:space="preserve"> Social </w:t>
      </w:r>
      <w:r w:rsidR="0011608B">
        <w:rPr>
          <w:rFonts w:cstheme="minorHAnsi"/>
          <w:color w:val="333333"/>
        </w:rPr>
        <w:t>Services</w:t>
      </w:r>
      <w:r w:rsidR="000B464D" w:rsidRPr="009F694E">
        <w:rPr>
          <w:rFonts w:cstheme="minorHAnsi"/>
          <w:color w:val="333333"/>
        </w:rPr>
        <w:t xml:space="preserve"> to assess, formulate and give advice regarding working with serious sexual and violent offenders, often with personality disorders</w:t>
      </w:r>
      <w:r w:rsidR="009227A2">
        <w:rPr>
          <w:rFonts w:cstheme="minorHAnsi"/>
          <w:color w:val="333333"/>
        </w:rPr>
        <w:t xml:space="preserve">. </w:t>
      </w:r>
      <w:r w:rsidR="00FC2E5D">
        <w:rPr>
          <w:rFonts w:cstheme="minorHAnsi"/>
          <w:color w:val="333333"/>
        </w:rPr>
        <w:t>(Kirkland and Baron, 2014).</w:t>
      </w:r>
    </w:p>
    <w:p w14:paraId="054A3898" w14:textId="77777777" w:rsidR="00607DA4" w:rsidRDefault="00607DA4" w:rsidP="00607DA4">
      <w:pPr>
        <w:pStyle w:val="PlainText"/>
      </w:pPr>
      <w:r>
        <w:t>Furthermore, a multi-agency approach allows for the pooling of resources and expertise. Each agency brings a unique set of skills and knowledge to the table, enabling a comprehensive assessment and management of violent and sexual offenders. Law enforcement agencies may provide crucial information about an offender's criminal history and risk level, while mental health professionals can diagnose and treat any underlying mental health issues that may contribute to their offending behaviour. Probation services and social workers can ensure proper monitoring and support, addressing the social and rehabilitative needs of the offender. By combining these resources, agencies can work together to provide a comprehensive and effective response to managing violent and sexual offenders.</w:t>
      </w:r>
    </w:p>
    <w:p w14:paraId="56114750" w14:textId="77777777" w:rsidR="00446C9D" w:rsidRDefault="00446C9D" w:rsidP="00607DA4">
      <w:pPr>
        <w:pStyle w:val="PlainText"/>
      </w:pPr>
    </w:p>
    <w:p w14:paraId="7423FB16" w14:textId="77777777" w:rsidR="00607DA4" w:rsidRDefault="00607DA4" w:rsidP="00607DA4">
      <w:pPr>
        <w:pStyle w:val="PlainText"/>
      </w:pPr>
      <w:r>
        <w:t>In addition, a multi-agency approach enhances the coordination and continuity of care for offenders. By having multiple agencies involved, communication and information sharing are crucial components that contribute to the success of managing these individuals. The coordination of efforts ensures that all agencies are working towards a shared goal, minimizing duplication and gaps in service provision. For instance, if a violent offender is released from prison and placed on probation, probation officers can work closely with mental health professionals to ensure a smooth transition and continued support. This collaboration can prevent institutional failures and ensure that the offender receives the necessary treatment and support while under community supervision.</w:t>
      </w:r>
    </w:p>
    <w:p w14:paraId="23646A7D" w14:textId="77777777" w:rsidR="00607DA4" w:rsidRDefault="00607DA4" w:rsidP="00607DA4">
      <w:pPr>
        <w:pStyle w:val="PlainText"/>
      </w:pPr>
    </w:p>
    <w:p w14:paraId="5E55FBAD" w14:textId="77777777" w:rsidR="00607DA4" w:rsidRDefault="00607DA4" w:rsidP="00607DA4">
      <w:pPr>
        <w:pStyle w:val="PlainText"/>
      </w:pPr>
      <w:r>
        <w:t>However, it is important to acknowledge that a multi-agency approach is not without challenges. One of the main obstacles is the coordination and cooperation among agencies with different priorities and work cultures. Interagency communication and information-sharing can be hindered by differences in organizational structures, policies, and practices. Overcoming these barriers requires effective leadership, clear protocols, and regular meetings, fostering a shared commitment to the common goal of managing violent and sexual offenders effectively.</w:t>
      </w:r>
    </w:p>
    <w:p w14:paraId="23A4F384" w14:textId="77777777" w:rsidR="00607DA4" w:rsidRDefault="00607DA4" w:rsidP="00607DA4">
      <w:pPr>
        <w:pStyle w:val="PlainText"/>
      </w:pPr>
    </w:p>
    <w:p w14:paraId="0919C553" w14:textId="692F41A2" w:rsidR="00E73DC4" w:rsidRPr="00E334A2" w:rsidRDefault="00E73DC4" w:rsidP="006B1F39">
      <w:pPr>
        <w:rPr>
          <w:rFonts w:cstheme="minorHAnsi"/>
        </w:rPr>
      </w:pPr>
      <w:r w:rsidRPr="00E334A2">
        <w:rPr>
          <w:rFonts w:cstheme="minorHAnsi"/>
        </w:rPr>
        <w:lastRenderedPageBreak/>
        <w:t xml:space="preserve">Indeed Dixon, describes this </w:t>
      </w:r>
      <w:r w:rsidR="004C14C7" w:rsidRPr="00E334A2">
        <w:rPr>
          <w:rFonts w:cstheme="minorHAnsi"/>
        </w:rPr>
        <w:t xml:space="preserve">disparity </w:t>
      </w:r>
      <w:r w:rsidR="002B27B7" w:rsidRPr="00E334A2">
        <w:rPr>
          <w:rFonts w:cstheme="minorHAnsi"/>
        </w:rPr>
        <w:t xml:space="preserve">and states </w:t>
      </w:r>
      <w:r w:rsidR="004C14C7" w:rsidRPr="00E334A2">
        <w:rPr>
          <w:rFonts w:cstheme="minorHAnsi"/>
        </w:rPr>
        <w:t xml:space="preserve">that </w:t>
      </w:r>
      <w:proofErr w:type="gramStart"/>
      <w:r w:rsidR="004C14C7" w:rsidRPr="00E334A2">
        <w:rPr>
          <w:rFonts w:cstheme="minorHAnsi"/>
          <w:color w:val="333333"/>
          <w:shd w:val="clear" w:color="auto" w:fill="FFFFFF"/>
        </w:rPr>
        <w:t>Multi-agency</w:t>
      </w:r>
      <w:proofErr w:type="gramEnd"/>
      <w:r w:rsidR="004C14C7" w:rsidRPr="00E334A2">
        <w:rPr>
          <w:rFonts w:cstheme="minorHAnsi"/>
          <w:color w:val="333333"/>
          <w:shd w:val="clear" w:color="auto" w:fill="FFFFFF"/>
        </w:rPr>
        <w:t xml:space="preserve"> working can be complex</w:t>
      </w:r>
      <w:r w:rsidR="005D7824" w:rsidRPr="00E334A2">
        <w:rPr>
          <w:rFonts w:cstheme="minorHAnsi"/>
          <w:color w:val="333333"/>
          <w:shd w:val="clear" w:color="auto" w:fill="FFFFFF"/>
        </w:rPr>
        <w:t xml:space="preserve"> to say the least. At first glances </w:t>
      </w:r>
      <w:r w:rsidR="004C14C7" w:rsidRPr="00E334A2">
        <w:rPr>
          <w:rFonts w:cstheme="minorHAnsi"/>
          <w:color w:val="333333"/>
          <w:shd w:val="clear" w:color="auto" w:fill="FFFFFF"/>
        </w:rPr>
        <w:t>the</w:t>
      </w:r>
      <w:r w:rsidR="005D7824" w:rsidRPr="00E334A2">
        <w:rPr>
          <w:rFonts w:cstheme="minorHAnsi"/>
          <w:color w:val="333333"/>
          <w:shd w:val="clear" w:color="auto" w:fill="FFFFFF"/>
        </w:rPr>
        <w:t xml:space="preserve"> </w:t>
      </w:r>
      <w:r w:rsidR="00C35762" w:rsidRPr="00E334A2">
        <w:rPr>
          <w:rFonts w:cstheme="minorHAnsi"/>
          <w:color w:val="333333"/>
          <w:shd w:val="clear" w:color="auto" w:fill="FFFFFF"/>
        </w:rPr>
        <w:t xml:space="preserve">coming together of </w:t>
      </w:r>
      <w:proofErr w:type="spellStart"/>
      <w:r w:rsidR="00C35762" w:rsidRPr="00E334A2">
        <w:rPr>
          <w:rFonts w:cstheme="minorHAnsi"/>
          <w:color w:val="333333"/>
          <w:shd w:val="clear" w:color="auto" w:fill="FFFFFF"/>
        </w:rPr>
        <w:t>like minded</w:t>
      </w:r>
      <w:proofErr w:type="spellEnd"/>
      <w:r w:rsidR="00C35762" w:rsidRPr="00E334A2">
        <w:rPr>
          <w:rFonts w:cstheme="minorHAnsi"/>
          <w:color w:val="333333"/>
          <w:shd w:val="clear" w:color="auto" w:fill="FFFFFF"/>
        </w:rPr>
        <w:t xml:space="preserve"> agencies and their staff </w:t>
      </w:r>
      <w:r w:rsidR="002B2AC6" w:rsidRPr="00E334A2">
        <w:rPr>
          <w:rFonts w:cstheme="minorHAnsi"/>
          <w:color w:val="333333"/>
          <w:shd w:val="clear" w:color="auto" w:fill="FFFFFF"/>
        </w:rPr>
        <w:t>to worker with one another towards the same goal could be considered straight forward. However</w:t>
      </w:r>
      <w:r w:rsidR="00503E99" w:rsidRPr="00E334A2">
        <w:rPr>
          <w:rFonts w:cstheme="minorHAnsi"/>
          <w:color w:val="333333"/>
          <w:shd w:val="clear" w:color="auto" w:fill="FFFFFF"/>
        </w:rPr>
        <w:t>, whilst</w:t>
      </w:r>
      <w:r w:rsidR="004C14C7" w:rsidRPr="00E334A2">
        <w:rPr>
          <w:rFonts w:cstheme="minorHAnsi"/>
          <w:color w:val="333333"/>
          <w:shd w:val="clear" w:color="auto" w:fill="FFFFFF"/>
        </w:rPr>
        <w:t xml:space="preserve"> agencies and individuals involved typically share aims and goals about the safeguarding process, each has their own guidelines, practices, and processes</w:t>
      </w:r>
      <w:r w:rsidR="00503E99" w:rsidRPr="00E334A2">
        <w:rPr>
          <w:rFonts w:cstheme="minorHAnsi"/>
          <w:color w:val="333333"/>
          <w:shd w:val="clear" w:color="auto" w:fill="FFFFFF"/>
        </w:rPr>
        <w:t xml:space="preserve"> which </w:t>
      </w:r>
      <w:r w:rsidR="00222428" w:rsidRPr="00E334A2">
        <w:rPr>
          <w:rFonts w:cstheme="minorHAnsi"/>
          <w:color w:val="333333"/>
          <w:shd w:val="clear" w:color="auto" w:fill="FFFFFF"/>
        </w:rPr>
        <w:t xml:space="preserve">limit their own responses or options and can </w:t>
      </w:r>
      <w:r w:rsidR="00DB5B66" w:rsidRPr="00E334A2">
        <w:rPr>
          <w:rFonts w:cstheme="minorHAnsi"/>
          <w:color w:val="333333"/>
          <w:shd w:val="clear" w:color="auto" w:fill="FFFFFF"/>
        </w:rPr>
        <w:t xml:space="preserve">mean that different time frames are imposed </w:t>
      </w:r>
      <w:r w:rsidR="00885858" w:rsidRPr="00E334A2">
        <w:rPr>
          <w:rFonts w:cstheme="minorHAnsi"/>
          <w:color w:val="333333"/>
          <w:shd w:val="clear" w:color="auto" w:fill="FFFFFF"/>
        </w:rPr>
        <w:t>on agencies</w:t>
      </w:r>
      <w:r w:rsidR="00FD139E" w:rsidRPr="00E334A2">
        <w:rPr>
          <w:rFonts w:cstheme="minorHAnsi"/>
          <w:color w:val="333333"/>
          <w:shd w:val="clear" w:color="auto" w:fill="FFFFFF"/>
        </w:rPr>
        <w:t xml:space="preserve">. </w:t>
      </w:r>
      <w:r w:rsidR="004C14C7" w:rsidRPr="00E334A2">
        <w:rPr>
          <w:rFonts w:cstheme="minorHAnsi"/>
          <w:color w:val="333333"/>
          <w:shd w:val="clear" w:color="auto" w:fill="FFFFFF"/>
        </w:rPr>
        <w:t xml:space="preserve">This is further complicated by the different structures of different agencies. Some are considered or treated as a ‘single entity’ under an umbrella heading, for example, ‘education’ or ‘health’, and this may obscure significant differences and layers of complexity within their </w:t>
      </w:r>
      <w:r w:rsidR="00FD139E" w:rsidRPr="00E334A2">
        <w:rPr>
          <w:rFonts w:cstheme="minorHAnsi"/>
          <w:color w:val="333333"/>
          <w:shd w:val="clear" w:color="auto" w:fill="FFFFFF"/>
        </w:rPr>
        <w:t xml:space="preserve">sub </w:t>
      </w:r>
      <w:r w:rsidR="004C14C7" w:rsidRPr="00E334A2">
        <w:rPr>
          <w:rFonts w:cstheme="minorHAnsi"/>
          <w:color w:val="333333"/>
          <w:shd w:val="clear" w:color="auto" w:fill="FFFFFF"/>
        </w:rPr>
        <w:t>structures and teams. For example, ‘education’ for one family could include several schools or pre-school settings that each function as discrete, relatively autonomous units. ‘Health’ can include health visiting, midwifery, primary and secondary care</w:t>
      </w:r>
      <w:r w:rsidR="00E334A2" w:rsidRPr="00E334A2">
        <w:rPr>
          <w:rFonts w:cstheme="minorHAnsi"/>
          <w:color w:val="333333"/>
          <w:shd w:val="clear" w:color="auto" w:fill="FFFFFF"/>
        </w:rPr>
        <w:t>,</w:t>
      </w:r>
      <w:r w:rsidR="004C14C7" w:rsidRPr="00E334A2">
        <w:rPr>
          <w:rFonts w:cstheme="minorHAnsi"/>
          <w:color w:val="333333"/>
          <w:shd w:val="clear" w:color="auto" w:fill="FFFFFF"/>
        </w:rPr>
        <w:t xml:space="preserve"> all of whom may be bound by different work protocols, professional guidance, </w:t>
      </w:r>
      <w:proofErr w:type="gramStart"/>
      <w:r w:rsidR="00477F62" w:rsidRPr="00E334A2">
        <w:rPr>
          <w:rFonts w:cstheme="minorHAnsi"/>
          <w:color w:val="333333"/>
          <w:shd w:val="clear" w:color="auto" w:fill="FFFFFF"/>
        </w:rPr>
        <w:t>systems</w:t>
      </w:r>
      <w:proofErr w:type="gramEnd"/>
      <w:r w:rsidR="00477F62" w:rsidRPr="00E334A2">
        <w:rPr>
          <w:rFonts w:cstheme="minorHAnsi"/>
          <w:color w:val="333333"/>
          <w:shd w:val="clear" w:color="auto" w:fill="FFFFFF"/>
        </w:rPr>
        <w:t xml:space="preserve"> </w:t>
      </w:r>
      <w:r w:rsidR="004C14C7" w:rsidRPr="00E334A2">
        <w:rPr>
          <w:rFonts w:cstheme="minorHAnsi"/>
          <w:color w:val="333333"/>
          <w:shd w:val="clear" w:color="auto" w:fill="FFFFFF"/>
        </w:rPr>
        <w:t>and</w:t>
      </w:r>
      <w:r w:rsidR="00477F62" w:rsidRPr="00E334A2">
        <w:rPr>
          <w:rFonts w:cstheme="minorHAnsi"/>
          <w:color w:val="333333"/>
          <w:shd w:val="clear" w:color="auto" w:fill="FFFFFF"/>
        </w:rPr>
        <w:t xml:space="preserve"> </w:t>
      </w:r>
      <w:r w:rsidR="004C14C7" w:rsidRPr="00E334A2">
        <w:rPr>
          <w:rFonts w:cstheme="minorHAnsi"/>
          <w:color w:val="333333"/>
          <w:shd w:val="clear" w:color="auto" w:fill="FFFFFF"/>
        </w:rPr>
        <w:t>boundaries.</w:t>
      </w:r>
      <w:r w:rsidR="00477F62" w:rsidRPr="00E334A2">
        <w:rPr>
          <w:rFonts w:cstheme="minorHAnsi"/>
          <w:color w:val="333333"/>
          <w:shd w:val="clear" w:color="auto" w:fill="FFFFFF"/>
        </w:rPr>
        <w:t xml:space="preserve"> (Dixon</w:t>
      </w:r>
      <w:r w:rsidR="00CA7929" w:rsidRPr="00E334A2">
        <w:rPr>
          <w:rFonts w:cstheme="minorHAnsi"/>
          <w:color w:val="333333"/>
          <w:shd w:val="clear" w:color="auto" w:fill="FFFFFF"/>
        </w:rPr>
        <w:t xml:space="preserve"> et al., 2022)</w:t>
      </w:r>
    </w:p>
    <w:p w14:paraId="0A1ED65D" w14:textId="77777777" w:rsidR="00607DA4" w:rsidRDefault="00607DA4" w:rsidP="00607DA4">
      <w:pPr>
        <w:pStyle w:val="PlainText"/>
      </w:pPr>
      <w:r w:rsidRPr="00E334A2">
        <w:rPr>
          <w:rFonts w:asciiTheme="minorHAnsi" w:hAnsiTheme="minorHAnsi" w:cstheme="minorHAnsi"/>
        </w:rPr>
        <w:t>Moreover, resource constraints may pose challenges to the implementation of a multi-agency approach. Agencies may have limited</w:t>
      </w:r>
      <w:r>
        <w:t xml:space="preserve"> budgets, staff, or services, impacting their ability to provide comprehensive support to offenders. To address this challenge, governments need to prioritize funding for collaborative initiatives and provide adequate resources to support effective multi-agency working. Investing in training and capacity-building can also ensure that professionals have the necessary skills and knowledge to work effectively within this approach.</w:t>
      </w:r>
    </w:p>
    <w:p w14:paraId="5C12653B" w14:textId="77777777" w:rsidR="00607DA4" w:rsidRDefault="00607DA4" w:rsidP="00607DA4">
      <w:pPr>
        <w:pStyle w:val="PlainText"/>
      </w:pPr>
    </w:p>
    <w:p w14:paraId="48C27228" w14:textId="677EE05A" w:rsidR="00607DA4" w:rsidRDefault="00607DA4" w:rsidP="00607DA4">
      <w:pPr>
        <w:pStyle w:val="PlainText"/>
      </w:pPr>
      <w:r>
        <w:t xml:space="preserve">In conclusion, a multi-agency approach is an effective means of managing violent and sexual offenders. It allows for comprehensive and holistic interventions, pooling of resources and expertise, and enhanced coordination and continuity of care. While challenges may arise in terms of coordination and resource allocation, addressing these obstacles can lead to successful collaboration among agencies and ultimately improve the management of violent and sexual offenders. </w:t>
      </w:r>
      <w:r w:rsidR="0086194C">
        <w:t>All agencies concerned</w:t>
      </w:r>
      <w:r>
        <w:t xml:space="preserve"> must continue to prioritize and invest in this approach</w:t>
      </w:r>
      <w:r w:rsidR="00394A1B">
        <w:t xml:space="preserve">, continuing to adapt and improve </w:t>
      </w:r>
      <w:r w:rsidR="00514991">
        <w:t>their cohesion with one another</w:t>
      </w:r>
      <w:r>
        <w:t xml:space="preserve"> to ensure the safety of communities and reduce the risk of reoffending by these individuals.</w:t>
      </w:r>
    </w:p>
    <w:p w14:paraId="66A24DAF" w14:textId="77777777" w:rsidR="006A5392" w:rsidRDefault="006A5392" w:rsidP="006A5392"/>
    <w:p w14:paraId="7B8B14A7" w14:textId="33C2E345" w:rsidR="009867FC" w:rsidRDefault="00607DA4" w:rsidP="006A5392">
      <w:r>
        <w:t xml:space="preserve">WORD COUNT: </w:t>
      </w:r>
      <w:r w:rsidR="00957281">
        <w:t>97</w:t>
      </w:r>
      <w:r w:rsidR="004B4CB9">
        <w:t>7</w:t>
      </w:r>
    </w:p>
    <w:p w14:paraId="21A441F5" w14:textId="77777777" w:rsidR="00607DA4" w:rsidRDefault="00607DA4" w:rsidP="006A5392"/>
    <w:p w14:paraId="35830E13" w14:textId="77777777" w:rsidR="006A5392" w:rsidRPr="00607DA4" w:rsidRDefault="006A5392" w:rsidP="006A5392">
      <w:pPr>
        <w:rPr>
          <w:b/>
          <w:bCs/>
        </w:rPr>
      </w:pPr>
      <w:r w:rsidRPr="00607DA4">
        <w:rPr>
          <w:b/>
          <w:bCs/>
        </w:rPr>
        <w:t>Essay 3:</w:t>
      </w:r>
    </w:p>
    <w:p w14:paraId="7FBFBFF9" w14:textId="77777777" w:rsidR="006A5392" w:rsidRPr="009867FC" w:rsidRDefault="006A5392" w:rsidP="006A5392">
      <w:pPr>
        <w:rPr>
          <w:u w:val="single"/>
        </w:rPr>
      </w:pPr>
      <w:r w:rsidRPr="009867FC">
        <w:rPr>
          <w:u w:val="single"/>
        </w:rPr>
        <w:t>To what extent is ‘Lifestyle’ theory an accurate reflection of what makes certain people vulnerable to becoming a victim of Serious and Organised Crime?</w:t>
      </w:r>
    </w:p>
    <w:p w14:paraId="7A34A1D3" w14:textId="77777777" w:rsidR="00607DA4" w:rsidRDefault="00607DA4" w:rsidP="00607DA4">
      <w:pPr>
        <w:pStyle w:val="PlainText"/>
      </w:pPr>
      <w:r>
        <w:t>To assess the accuracy of the ‘lifestyle’ theory in explaining why certain individuals are more susceptible to becoming victims of Serious and Organised crime, it is crucial to examine the key factors and variables that influence vulnerability within this context. Coined by James F. Short Jr., 'lifestyle' theory suggests that one's routine activities, choices, and behaviours shape their vulnerability to victimization. While it undeniably plays a role in determining vulnerability, it is inadequate to provide a comprehensive understanding of the multifaceted nature of victimization within Serious and Organised crime.</w:t>
      </w:r>
    </w:p>
    <w:p w14:paraId="50310AEC" w14:textId="77777777" w:rsidR="00607DA4" w:rsidRDefault="00607DA4" w:rsidP="00607DA4">
      <w:pPr>
        <w:pStyle w:val="PlainText"/>
      </w:pPr>
    </w:p>
    <w:p w14:paraId="047CCF89" w14:textId="51599793" w:rsidR="00607DA4" w:rsidRDefault="00607DA4" w:rsidP="00607DA4">
      <w:pPr>
        <w:pStyle w:val="PlainText"/>
      </w:pPr>
      <w:r>
        <w:t>The lifestyle theory p</w:t>
      </w:r>
      <w:r w:rsidR="0023761F">
        <w:t>roposes</w:t>
      </w:r>
      <w:r>
        <w:t xml:space="preserve"> that individuals who engage in high-risk activities, possess valuable resources, and have limited guardianship are more likely to become victims of crime. For instance, those who visibly display their wealth through expensive possessions and luxurious lifestyles may attract the attention of criminals seeking financial gain. Furthermore, individuals who consistently </w:t>
      </w:r>
      <w:r>
        <w:lastRenderedPageBreak/>
        <w:t>participate in activities such as drug use, gambling, or excessive partying may expose themselves to criminal networks that take advantage of their vulnerability. These lifestyle choices increase the likelihood of contact with offenders and, consequently, the likelihood of victimization.</w:t>
      </w:r>
    </w:p>
    <w:p w14:paraId="124532F9" w14:textId="77777777" w:rsidR="00D2610B" w:rsidRDefault="00D2610B" w:rsidP="00607DA4">
      <w:pPr>
        <w:pStyle w:val="PlainText"/>
      </w:pPr>
    </w:p>
    <w:p w14:paraId="5A6EB3C0" w14:textId="69F6D2F9" w:rsidR="00810615" w:rsidRPr="00597F08" w:rsidRDefault="00965EA4" w:rsidP="00810615">
      <w:pPr>
        <w:pStyle w:val="NoSpacing"/>
        <w:rPr>
          <w:color w:val="212121"/>
        </w:rPr>
      </w:pPr>
      <w:r>
        <w:rPr>
          <w:color w:val="212121"/>
        </w:rPr>
        <w:t xml:space="preserve">This can be better understood when we look at ‘lifestyle’ as </w:t>
      </w:r>
      <w:r w:rsidR="00997048">
        <w:rPr>
          <w:color w:val="212121"/>
        </w:rPr>
        <w:t>both behaviours and environment.</w:t>
      </w:r>
      <w:r w:rsidR="001737DE">
        <w:rPr>
          <w:color w:val="212121"/>
        </w:rPr>
        <w:t xml:space="preserve"> Combined with t</w:t>
      </w:r>
      <w:r w:rsidR="00997048">
        <w:rPr>
          <w:color w:val="212121"/>
        </w:rPr>
        <w:t xml:space="preserve">he </w:t>
      </w:r>
      <w:r w:rsidR="002D3866">
        <w:rPr>
          <w:color w:val="212121"/>
        </w:rPr>
        <w:t>immediate</w:t>
      </w:r>
      <w:r w:rsidR="009F5FF0">
        <w:rPr>
          <w:color w:val="212121"/>
        </w:rPr>
        <w:t xml:space="preserve"> social influences and </w:t>
      </w:r>
      <w:r w:rsidR="002D3866">
        <w:rPr>
          <w:color w:val="212121"/>
        </w:rPr>
        <w:t xml:space="preserve">absence of appropriate </w:t>
      </w:r>
      <w:r w:rsidR="00AC227C">
        <w:rPr>
          <w:color w:val="212121"/>
        </w:rPr>
        <w:t xml:space="preserve">guardianship. </w:t>
      </w:r>
      <w:r w:rsidR="00C37ED4">
        <w:rPr>
          <w:color w:val="212121"/>
        </w:rPr>
        <w:t xml:space="preserve">In </w:t>
      </w:r>
      <w:r w:rsidR="00494631">
        <w:rPr>
          <w:color w:val="212121"/>
        </w:rPr>
        <w:t xml:space="preserve">these </w:t>
      </w:r>
      <w:r w:rsidR="004D0362">
        <w:rPr>
          <w:color w:val="212121"/>
        </w:rPr>
        <w:t>environments</w:t>
      </w:r>
      <w:r w:rsidR="00934129">
        <w:rPr>
          <w:color w:val="212121"/>
        </w:rPr>
        <w:t xml:space="preserve"> </w:t>
      </w:r>
      <w:r w:rsidR="00810615" w:rsidRPr="00597F08">
        <w:rPr>
          <w:color w:val="212121"/>
        </w:rPr>
        <w:t>certain lifestyles or routine activities are riskier than others, exposing adolescents to risky and vulnerable situations that create opportunity for crime.</w:t>
      </w:r>
      <w:r w:rsidR="00494631">
        <w:rPr>
          <w:color w:val="212121"/>
        </w:rPr>
        <w:t xml:space="preserve"> </w:t>
      </w:r>
      <w:r w:rsidR="009D2BCA">
        <w:rPr>
          <w:color w:val="212121"/>
        </w:rPr>
        <w:t xml:space="preserve">We </w:t>
      </w:r>
      <w:r w:rsidR="00E334A2">
        <w:rPr>
          <w:color w:val="212121"/>
        </w:rPr>
        <w:t>know</w:t>
      </w:r>
      <w:r w:rsidR="009D2BCA">
        <w:rPr>
          <w:color w:val="212121"/>
        </w:rPr>
        <w:t xml:space="preserve"> from the fact that </w:t>
      </w:r>
      <w:r w:rsidR="00BF74E8">
        <w:rPr>
          <w:color w:val="212121"/>
        </w:rPr>
        <w:t xml:space="preserve">there are crime hot spots, and communities that experience lower or higher </w:t>
      </w:r>
      <w:r w:rsidR="005A3568">
        <w:rPr>
          <w:color w:val="212121"/>
        </w:rPr>
        <w:t xml:space="preserve">crime rates than others that </w:t>
      </w:r>
      <w:r w:rsidR="009D2BCA">
        <w:rPr>
          <w:color w:val="212121"/>
        </w:rPr>
        <w:t>c</w:t>
      </w:r>
      <w:r w:rsidR="00810615" w:rsidRPr="00597F08">
        <w:rPr>
          <w:color w:val="212121"/>
        </w:rPr>
        <w:t>rime is not randomly observed across space and time; certain places and times are considered high-risk.</w:t>
      </w:r>
      <w:r w:rsidR="005A3568">
        <w:rPr>
          <w:color w:val="212121"/>
        </w:rPr>
        <w:t xml:space="preserve"> Resulting in </w:t>
      </w:r>
      <w:r w:rsidR="009D28F1">
        <w:rPr>
          <w:color w:val="212121"/>
        </w:rPr>
        <w:t xml:space="preserve">a greater probability of an offence occurring. </w:t>
      </w:r>
      <w:r w:rsidR="00810615" w:rsidRPr="00597F08">
        <w:rPr>
          <w:color w:val="212121"/>
        </w:rPr>
        <w:t xml:space="preserve"> </w:t>
      </w:r>
      <w:r w:rsidR="008657E3">
        <w:rPr>
          <w:color w:val="212121"/>
        </w:rPr>
        <w:t>Much the same way as a location can be considered high risk, so too can an indi</w:t>
      </w:r>
      <w:r w:rsidR="00BA2E66">
        <w:rPr>
          <w:color w:val="212121"/>
        </w:rPr>
        <w:t>vidual, s</w:t>
      </w:r>
      <w:r w:rsidR="00810615" w:rsidRPr="00597F08">
        <w:rPr>
          <w:color w:val="212121"/>
        </w:rPr>
        <w:t>ituational and opportunity theories suggest that crime is tied to individuals’ social activities, their interpersonal interactions, and the structure of the physical and social environment around them</w:t>
      </w:r>
      <w:r w:rsidR="00BA2E66">
        <w:rPr>
          <w:color w:val="212121"/>
        </w:rPr>
        <w:t xml:space="preserve">. </w:t>
      </w:r>
      <w:r w:rsidR="00E377D7">
        <w:rPr>
          <w:color w:val="212121"/>
        </w:rPr>
        <w:t>(Kwak and Kim, 2022).</w:t>
      </w:r>
    </w:p>
    <w:p w14:paraId="43327F67" w14:textId="77777777" w:rsidR="00607DA4" w:rsidRDefault="00607DA4" w:rsidP="00607DA4">
      <w:pPr>
        <w:pStyle w:val="PlainText"/>
      </w:pPr>
    </w:p>
    <w:p w14:paraId="034E7AF2" w14:textId="657DB539" w:rsidR="00607DA4" w:rsidRDefault="00607DA4" w:rsidP="00607DA4">
      <w:pPr>
        <w:pStyle w:val="PlainText"/>
      </w:pPr>
      <w:r>
        <w:t>Moreover, the</w:t>
      </w:r>
      <w:r w:rsidR="00E334A2">
        <w:t xml:space="preserve"> ‘lifestyle’</w:t>
      </w:r>
      <w:r>
        <w:t xml:space="preserve"> theory emphasizes the importance of guardianship in protecting individuals from victimization. Limited guardianship, such as weak social bonds, lack of supervision, or absence of security measures, can increase vulnerability. A person lacking strong social ties, who lives alone, or lacks access to security systems, may be an appealing target for organised criminals who can exploit their isolation. Therefore, the theory argues that the absence of guardianship can make individuals more vulnerable to becoming victims.</w:t>
      </w:r>
    </w:p>
    <w:p w14:paraId="74CF584C" w14:textId="77777777" w:rsidR="00607DA4" w:rsidRDefault="00607DA4" w:rsidP="00607DA4">
      <w:pPr>
        <w:pStyle w:val="PlainText"/>
      </w:pPr>
    </w:p>
    <w:p w14:paraId="517B5944" w14:textId="77777777" w:rsidR="00607DA4" w:rsidRDefault="00607DA4" w:rsidP="00607DA4">
      <w:pPr>
        <w:pStyle w:val="PlainText"/>
      </w:pPr>
      <w:r>
        <w:t>However, the ‘lifestyle’ theory fails to account for the broader systemic factors that contribute to vulnerability in Serious and Organised crime. Socioeconomic disparities, for instance, play a crucial role in determining an individual's susceptibility to becoming a victim. Individuals living in areas plagued by poverty, limited resources, and inadequate social support systems are inherently more vulnerable to being targeted by organised criminal networks. It is important to recognize that factors such as education, employment opportunities, and social inequality shape an individual's options and choices, therefore influencing their vulnerability.</w:t>
      </w:r>
    </w:p>
    <w:p w14:paraId="22A29037" w14:textId="77777777" w:rsidR="008C251F" w:rsidRDefault="008C251F" w:rsidP="00607DA4">
      <w:pPr>
        <w:pStyle w:val="PlainText"/>
      </w:pPr>
    </w:p>
    <w:p w14:paraId="041C67A3" w14:textId="5151E10E" w:rsidR="00607DA4" w:rsidRPr="00A32B91" w:rsidRDefault="001830F5" w:rsidP="00A32B91">
      <w:pPr>
        <w:tabs>
          <w:tab w:val="left" w:pos="3852"/>
        </w:tabs>
        <w:rPr>
          <w:rFonts w:cstheme="minorHAnsi"/>
        </w:rPr>
      </w:pPr>
      <w:r>
        <w:rPr>
          <w:rFonts w:cstheme="minorHAnsi"/>
        </w:rPr>
        <w:t xml:space="preserve">Furthermore, </w:t>
      </w:r>
      <w:r w:rsidR="008C251F">
        <w:rPr>
          <w:rFonts w:cstheme="minorHAnsi"/>
        </w:rPr>
        <w:t xml:space="preserve">the Social Disorganization theory, argues that victimization is more likely to occur in disadvantaged neighbourhoods and places more emphasis on the economic and environmental factors rather that the individual per say. </w:t>
      </w:r>
      <w:r w:rsidR="003A5C83">
        <w:rPr>
          <w:rFonts w:cstheme="minorHAnsi"/>
        </w:rPr>
        <w:t>(</w:t>
      </w:r>
      <w:r w:rsidR="00DB6783">
        <w:rPr>
          <w:rFonts w:cstheme="minorHAnsi"/>
        </w:rPr>
        <w:t>Van Wil</w:t>
      </w:r>
      <w:r w:rsidR="00867A78">
        <w:rPr>
          <w:rFonts w:cstheme="minorHAnsi"/>
        </w:rPr>
        <w:t>sem, W</w:t>
      </w:r>
      <w:r w:rsidR="00EE7F2E">
        <w:rPr>
          <w:rFonts w:cstheme="minorHAnsi"/>
        </w:rPr>
        <w:t>itt</w:t>
      </w:r>
      <w:r w:rsidR="00867A78">
        <w:rPr>
          <w:rFonts w:cstheme="minorHAnsi"/>
        </w:rPr>
        <w:t>ebrood and D</w:t>
      </w:r>
      <w:r w:rsidR="007D15FF">
        <w:rPr>
          <w:rFonts w:cstheme="minorHAnsi"/>
        </w:rPr>
        <w:t>e</w:t>
      </w:r>
      <w:r w:rsidR="00867A78">
        <w:rPr>
          <w:rFonts w:cstheme="minorHAnsi"/>
        </w:rPr>
        <w:t xml:space="preserve"> </w:t>
      </w:r>
      <w:r w:rsidR="007D15FF">
        <w:rPr>
          <w:rFonts w:cstheme="minorHAnsi"/>
        </w:rPr>
        <w:t>G</w:t>
      </w:r>
      <w:r w:rsidR="00867A78">
        <w:rPr>
          <w:rFonts w:cstheme="minorHAnsi"/>
        </w:rPr>
        <w:t>raaf, 2006</w:t>
      </w:r>
      <w:r w:rsidR="007D15FF">
        <w:rPr>
          <w:rFonts w:cstheme="minorHAnsi"/>
        </w:rPr>
        <w:t>).</w:t>
      </w:r>
    </w:p>
    <w:p w14:paraId="50C09B33" w14:textId="16443BA5" w:rsidR="00607DA4" w:rsidRPr="006F0DFE" w:rsidRDefault="001D47E2" w:rsidP="00067537">
      <w:pPr>
        <w:pStyle w:val="NoSpacing"/>
      </w:pPr>
      <w:r>
        <w:t>In Addition</w:t>
      </w:r>
      <w:r w:rsidR="00607DA4">
        <w:t>, the</w:t>
      </w:r>
      <w:r>
        <w:t xml:space="preserve"> Lifestyle</w:t>
      </w:r>
      <w:r w:rsidR="00607DA4">
        <w:t xml:space="preserve"> theory overlooks the power dynamics and coercion involved in Serious and Organised crime. While some individuals may engage in high-risk activities voluntarily, others are compelled by external pressures or societal constraints. </w:t>
      </w:r>
      <w:r w:rsidR="003F2F36">
        <w:rPr>
          <w:shd w:val="clear" w:color="auto" w:fill="FFFFFF"/>
        </w:rPr>
        <w:t>M</w:t>
      </w:r>
      <w:r w:rsidR="00AF32C2" w:rsidRPr="00422C13">
        <w:rPr>
          <w:shd w:val="clear" w:color="auto" w:fill="FFFFFF"/>
        </w:rPr>
        <w:t xml:space="preserve">any studies show a </w:t>
      </w:r>
      <w:r w:rsidR="003F2F36">
        <w:rPr>
          <w:shd w:val="clear" w:color="auto" w:fill="FFFFFF"/>
        </w:rPr>
        <w:t xml:space="preserve">direct </w:t>
      </w:r>
      <w:r w:rsidR="00067537">
        <w:rPr>
          <w:shd w:val="clear" w:color="auto" w:fill="FFFFFF"/>
        </w:rPr>
        <w:t>correlation</w:t>
      </w:r>
      <w:r w:rsidR="003F2F36">
        <w:rPr>
          <w:shd w:val="clear" w:color="auto" w:fill="FFFFFF"/>
        </w:rPr>
        <w:t xml:space="preserve"> between </w:t>
      </w:r>
      <w:r w:rsidR="00AF32C2" w:rsidRPr="00422C13">
        <w:rPr>
          <w:shd w:val="clear" w:color="auto" w:fill="FFFFFF"/>
        </w:rPr>
        <w:t>income inequality and the rate of violent crime</w:t>
      </w:r>
      <w:r w:rsidR="003F2F36">
        <w:rPr>
          <w:shd w:val="clear" w:color="auto" w:fill="FFFFFF"/>
        </w:rPr>
        <w:t>. (</w:t>
      </w:r>
      <w:r w:rsidR="00DE3FCB">
        <w:rPr>
          <w:shd w:val="clear" w:color="auto" w:fill="FFFFFF"/>
        </w:rPr>
        <w:t xml:space="preserve">Dong, </w:t>
      </w:r>
      <w:proofErr w:type="gramStart"/>
      <w:r w:rsidR="00DE3FCB">
        <w:rPr>
          <w:shd w:val="clear" w:color="auto" w:fill="FFFFFF"/>
        </w:rPr>
        <w:t>Egger</w:t>
      </w:r>
      <w:proofErr w:type="gramEnd"/>
      <w:r w:rsidR="003B70F8">
        <w:rPr>
          <w:shd w:val="clear" w:color="auto" w:fill="FFFFFF"/>
        </w:rPr>
        <w:t xml:space="preserve"> and Guo, 2020). </w:t>
      </w:r>
      <w:r w:rsidR="00607DA4">
        <w:t xml:space="preserve">The theory's focus on individual choices disregards the fact that some people may have limited </w:t>
      </w:r>
      <w:r w:rsidR="003F377A">
        <w:t xml:space="preserve">free will </w:t>
      </w:r>
      <w:r w:rsidR="00337622">
        <w:t>and or options</w:t>
      </w:r>
      <w:r w:rsidR="00607DA4">
        <w:t xml:space="preserve"> due to socio-economic circumstances, historical disadvantage, or involvement in illicit activities to meet basic needs. Vulnerability to Serious and Organised crime can be driven by a lack of alternatives rather </w:t>
      </w:r>
      <w:r w:rsidR="00607DA4" w:rsidRPr="006F0DFE">
        <w:t>than an individual's lifestyle choices.</w:t>
      </w:r>
    </w:p>
    <w:p w14:paraId="080EDC35" w14:textId="77777777" w:rsidR="00607DA4" w:rsidRPr="006F0DFE" w:rsidRDefault="00607DA4" w:rsidP="00607DA4">
      <w:pPr>
        <w:pStyle w:val="PlainText"/>
        <w:rPr>
          <w:rFonts w:asciiTheme="minorHAnsi" w:hAnsiTheme="minorHAnsi" w:cstheme="minorHAnsi"/>
        </w:rPr>
      </w:pPr>
    </w:p>
    <w:p w14:paraId="3D228737" w14:textId="5EE4ABCE" w:rsidR="00607DA4" w:rsidRPr="006F0DFE" w:rsidRDefault="00607DA4" w:rsidP="00663B8A">
      <w:pPr>
        <w:tabs>
          <w:tab w:val="left" w:pos="3852"/>
        </w:tabs>
        <w:rPr>
          <w:rFonts w:cstheme="minorHAnsi"/>
        </w:rPr>
      </w:pPr>
      <w:r w:rsidRPr="006F0DFE">
        <w:rPr>
          <w:rFonts w:cstheme="minorHAnsi"/>
        </w:rPr>
        <w:t xml:space="preserve">Moreover, the ‘lifestyle’ theory neglects the role of systemic factors such as gender and race in shaping vulnerability to victimization. Research consistently indicates that certain groups, particularly marginalized communities, are disproportionately targeted by organised crime due to systemic discrimination and structural inequalities. </w:t>
      </w:r>
      <w:r w:rsidR="001B4D27" w:rsidRPr="006F0DFE">
        <w:rPr>
          <w:rFonts w:cstheme="minorHAnsi"/>
        </w:rPr>
        <w:t xml:space="preserve"> </w:t>
      </w:r>
      <w:r w:rsidR="006F0DFE" w:rsidRPr="006F0DFE">
        <w:rPr>
          <w:rFonts w:cstheme="minorHAnsi"/>
          <w:color w:val="333333"/>
          <w:shd w:val="clear" w:color="auto" w:fill="FFFFFF"/>
        </w:rPr>
        <w:t xml:space="preserve">recent research has found racial inequalities between white groups and people of ethnic minority groups. Black groups experience the most disadvantages; they are disproportionately represented in low-wage employment, underrepresented in high-wage employment, and more likely to earn less than white people in comparable roles. People in ethnic minority groups are also more likely to live in poverty than white </w:t>
      </w:r>
      <w:r w:rsidR="006F0DFE" w:rsidRPr="006F0DFE">
        <w:rPr>
          <w:rFonts w:cstheme="minorHAnsi"/>
          <w:color w:val="333333"/>
          <w:shd w:val="clear" w:color="auto" w:fill="FFFFFF"/>
        </w:rPr>
        <w:lastRenderedPageBreak/>
        <w:t xml:space="preserve">people. Ethnic minority groups are more likely to be stopped and searched by the police compared with white people. In education, ethnic minority groups are more likely to attend schools that are under </w:t>
      </w:r>
      <w:r w:rsidR="00BE041B" w:rsidRPr="006F0DFE">
        <w:rPr>
          <w:rFonts w:cstheme="minorHAnsi"/>
          <w:color w:val="333333"/>
          <w:shd w:val="clear" w:color="auto" w:fill="FFFFFF"/>
        </w:rPr>
        <w:t>resourced and</w:t>
      </w:r>
      <w:r w:rsidR="006F0DFE" w:rsidRPr="006F0DFE">
        <w:rPr>
          <w:rFonts w:cstheme="minorHAnsi"/>
          <w:color w:val="333333"/>
          <w:shd w:val="clear" w:color="auto" w:fill="FFFFFF"/>
        </w:rPr>
        <w:t xml:space="preserve"> are less likely to have a bachelor's degree. </w:t>
      </w:r>
      <w:r w:rsidR="00BC010E">
        <w:rPr>
          <w:rFonts w:cstheme="minorHAnsi"/>
          <w:color w:val="333333"/>
          <w:shd w:val="clear" w:color="auto" w:fill="FFFFFF"/>
        </w:rPr>
        <w:t>(</w:t>
      </w:r>
      <w:r w:rsidR="00663B8A">
        <w:rPr>
          <w:rFonts w:cstheme="minorHAnsi"/>
          <w:color w:val="333333"/>
          <w:shd w:val="clear" w:color="auto" w:fill="FFFFFF"/>
        </w:rPr>
        <w:t xml:space="preserve">Bhopal, 2023) </w:t>
      </w:r>
      <w:r w:rsidRPr="006F0DFE">
        <w:rPr>
          <w:rFonts w:cstheme="minorHAnsi"/>
        </w:rPr>
        <w:t>A narrow focus on individual lifestyles fails to account for the social dynamics that perpetuate victimization within these groups.</w:t>
      </w:r>
    </w:p>
    <w:p w14:paraId="70AA1807" w14:textId="77777777" w:rsidR="00607DA4" w:rsidRDefault="00607DA4" w:rsidP="00607DA4">
      <w:pPr>
        <w:pStyle w:val="PlainText"/>
      </w:pPr>
    </w:p>
    <w:p w14:paraId="4868B695" w14:textId="77777777" w:rsidR="00607DA4" w:rsidRDefault="00607DA4" w:rsidP="00607DA4">
      <w:pPr>
        <w:pStyle w:val="PlainText"/>
      </w:pPr>
      <w:r>
        <w:t>In conclusion, while the ‘lifestyle’ theory offers valuable insights into why certain individuals may be targeted by Serious and Organised crime, its narrow focus on individual choices and lack of consideration for systemic factors limit its accuracy in explaining vulnerability comprehensively. By acknowledging broader socio-economic disparities, power dynamics, and systemic discrimination, a more holistic understanding of victimization can be reached. Consequently, policymakers and law enforcement agencies can develop more effective strategies to address the root causes of vulnerability and better protect individuals from Serious and Organised crime.</w:t>
      </w:r>
    </w:p>
    <w:p w14:paraId="74315DA6" w14:textId="77777777" w:rsidR="006A5392" w:rsidRDefault="006A5392" w:rsidP="006A5392"/>
    <w:p w14:paraId="24E29C3F" w14:textId="73AD344D" w:rsidR="009867FC" w:rsidRDefault="00607DA4" w:rsidP="006A5392">
      <w:r>
        <w:t xml:space="preserve">WORD COUNT: </w:t>
      </w:r>
      <w:r w:rsidR="007A43CD">
        <w:t>9</w:t>
      </w:r>
      <w:r w:rsidR="00217A9E">
        <w:t>26</w:t>
      </w:r>
    </w:p>
    <w:p w14:paraId="2490E8F1" w14:textId="77777777" w:rsidR="00607DA4" w:rsidRDefault="00607DA4" w:rsidP="006A5392"/>
    <w:p w14:paraId="66452709" w14:textId="77777777" w:rsidR="006A5392" w:rsidRDefault="009867FC" w:rsidP="006A5392">
      <w:r w:rsidRPr="00607DA4">
        <w:rPr>
          <w:b/>
          <w:bCs/>
        </w:rPr>
        <w:t xml:space="preserve">Essay </w:t>
      </w:r>
      <w:r w:rsidR="006A5392" w:rsidRPr="00607DA4">
        <w:rPr>
          <w:b/>
          <w:bCs/>
        </w:rPr>
        <w:t>4</w:t>
      </w:r>
      <w:r>
        <w:t>:</w:t>
      </w:r>
    </w:p>
    <w:p w14:paraId="05F77B09" w14:textId="77777777" w:rsidR="006A5392" w:rsidRPr="009867FC" w:rsidRDefault="006A5392" w:rsidP="006A5392">
      <w:pPr>
        <w:rPr>
          <w:u w:val="single"/>
        </w:rPr>
      </w:pPr>
      <w:r w:rsidRPr="009867FC">
        <w:rPr>
          <w:u w:val="single"/>
        </w:rPr>
        <w:t xml:space="preserve">Why </w:t>
      </w:r>
      <w:proofErr w:type="gramStart"/>
      <w:r w:rsidRPr="009867FC">
        <w:rPr>
          <w:u w:val="single"/>
        </w:rPr>
        <w:t>is</w:t>
      </w:r>
      <w:proofErr w:type="gramEnd"/>
      <w:r w:rsidRPr="009867FC">
        <w:rPr>
          <w:u w:val="single"/>
        </w:rPr>
        <w:t xml:space="preserve"> a partnership approach the most effective way of preventing re-offending?</w:t>
      </w:r>
    </w:p>
    <w:p w14:paraId="0237B7EE" w14:textId="465DA717" w:rsidR="00607DA4" w:rsidRDefault="00607DA4" w:rsidP="00607DA4">
      <w:pPr>
        <w:pStyle w:val="PlainText"/>
      </w:pPr>
      <w:r>
        <w:t xml:space="preserve">The prevention of re-offending is a complex and crucial issue that demands a multifaceted approach involving various stakeholders. While there are several strategies available, a partnership approach has emerged as the most effective method for addressing re-offending. By fostering collaboration and shared responsibility among key </w:t>
      </w:r>
      <w:r w:rsidR="00625053">
        <w:t>factors</w:t>
      </w:r>
      <w:r>
        <w:t xml:space="preserve"> such as the criminal justice system, non-profits, community organizations, </w:t>
      </w:r>
      <w:r w:rsidR="001537CE">
        <w:t xml:space="preserve">local authorities, </w:t>
      </w:r>
      <w:r w:rsidR="00BC52DC">
        <w:t xml:space="preserve">local businesses </w:t>
      </w:r>
      <w:r>
        <w:t>and individuals</w:t>
      </w:r>
      <w:r w:rsidR="00BC52DC">
        <w:t xml:space="preserve"> and</w:t>
      </w:r>
      <w:r w:rsidR="00A554CB">
        <w:t xml:space="preserve"> individuals</w:t>
      </w:r>
      <w:r>
        <w:t xml:space="preserve"> involved in rehabilitation, this approach effectively reduces </w:t>
      </w:r>
      <w:r w:rsidR="00A554CB">
        <w:t>re-offending</w:t>
      </w:r>
      <w:r>
        <w:t xml:space="preserve"> rates. This essay will discuss the fundamental reasons why the partnership approach is crucial in preventing re-offending, examining its ability to provide holistic support, enhance individual accountability, and generate sustainable change.</w:t>
      </w:r>
    </w:p>
    <w:p w14:paraId="2E97C6A8" w14:textId="77777777" w:rsidR="00607DA4" w:rsidRDefault="00607DA4" w:rsidP="00607DA4">
      <w:pPr>
        <w:pStyle w:val="PlainText"/>
      </w:pPr>
    </w:p>
    <w:p w14:paraId="30098A52" w14:textId="4B6B2D0A" w:rsidR="00246649" w:rsidRPr="00246649" w:rsidRDefault="0071030C" w:rsidP="00246649">
      <w:pPr>
        <w:tabs>
          <w:tab w:val="left" w:pos="3852"/>
        </w:tabs>
      </w:pPr>
      <w:r>
        <w:t>We will start by looki</w:t>
      </w:r>
      <w:r w:rsidR="007C064F">
        <w:t>ng at what is meant by a partnership approach t</w:t>
      </w:r>
      <w:r w:rsidR="005C7B91">
        <w:t xml:space="preserve">o preventing re offending. </w:t>
      </w:r>
      <w:r w:rsidR="00246649">
        <w:t xml:space="preserve">Partnership approaches </w:t>
      </w:r>
      <w:r w:rsidR="00CB6B5E">
        <w:t xml:space="preserve">created by two or more </w:t>
      </w:r>
      <w:r w:rsidR="002568B1">
        <w:t>agencies that start with an agreement</w:t>
      </w:r>
      <w:r w:rsidR="00246649">
        <w:t xml:space="preserve"> on the premise that no single agency can deal with, or </w:t>
      </w:r>
      <w:r w:rsidR="002568B1">
        <w:t xml:space="preserve">can </w:t>
      </w:r>
      <w:r w:rsidR="001B41A9">
        <w:t xml:space="preserve">be </w:t>
      </w:r>
      <w:r w:rsidR="002568B1">
        <w:t>sole</w:t>
      </w:r>
      <w:r w:rsidR="001B41A9">
        <w:t>ly</w:t>
      </w:r>
      <w:r w:rsidR="00246649">
        <w:t xml:space="preserve"> responsible</w:t>
      </w:r>
      <w:r w:rsidR="001B41A9">
        <w:t>,</w:t>
      </w:r>
      <w:r w:rsidR="00246649">
        <w:t xml:space="preserve"> for dealing with, complex community safety and crime problems. There are a range of ways of describing what constitutes a partnership approach; </w:t>
      </w:r>
      <w:proofErr w:type="gramStart"/>
      <w:r w:rsidR="00246649">
        <w:t>however</w:t>
      </w:r>
      <w:proofErr w:type="gramEnd"/>
      <w:r w:rsidR="00246649">
        <w:t xml:space="preserve"> it can </w:t>
      </w:r>
      <w:r w:rsidR="00BD2BAF">
        <w:t xml:space="preserve">simply be </w:t>
      </w:r>
      <w:r w:rsidR="003F69D2">
        <w:t>described</w:t>
      </w:r>
      <w:r w:rsidR="00246649">
        <w:t xml:space="preserve"> as a </w:t>
      </w:r>
      <w:r w:rsidR="007A6F02">
        <w:t>collaborative</w:t>
      </w:r>
      <w:r w:rsidR="00246649">
        <w:t xml:space="preserve"> relationship between two or more </w:t>
      </w:r>
      <w:r w:rsidR="00BD2BAF">
        <w:t>agencies</w:t>
      </w:r>
      <w:r w:rsidR="00246649">
        <w:t xml:space="preserve"> to achieve a common goal.</w:t>
      </w:r>
      <w:r w:rsidR="00246649">
        <w:t xml:space="preserve"> </w:t>
      </w:r>
      <w:r w:rsidR="00104FAB">
        <w:t>(B</w:t>
      </w:r>
      <w:r w:rsidR="00C01178">
        <w:t>e</w:t>
      </w:r>
      <w:r w:rsidR="00104FAB">
        <w:t>rry et al.</w:t>
      </w:r>
      <w:r w:rsidR="00C01178">
        <w:t>, 2011)</w:t>
      </w:r>
      <w:r>
        <w:t>.</w:t>
      </w:r>
      <w:r w:rsidR="00104FAB">
        <w:t xml:space="preserve"> </w:t>
      </w:r>
    </w:p>
    <w:p w14:paraId="25375755" w14:textId="32A7ECEE" w:rsidR="00246649" w:rsidRDefault="00246649" w:rsidP="00607DA4">
      <w:pPr>
        <w:pStyle w:val="PlainText"/>
      </w:pPr>
    </w:p>
    <w:p w14:paraId="0FACE06C" w14:textId="52FC9DC4" w:rsidR="00607DA4" w:rsidRDefault="00607DA4" w:rsidP="00607DA4">
      <w:pPr>
        <w:pStyle w:val="PlainText"/>
      </w:pPr>
      <w:r>
        <w:t>A partnership-based approach is highly effective in preventing re-offending due to its ability to provide comprehensive support to individuals in the criminal justice system. By fostering collaboration between various stakeholders, such as probation officers, psychologists, social workers, and community-based organizations, this approach ensures that offenders receive a wide range of services tailored to their individual needs.</w:t>
      </w:r>
      <w:r w:rsidR="0023126B">
        <w:t xml:space="preserve"> </w:t>
      </w:r>
      <w:r w:rsidR="00DD2012">
        <w:t xml:space="preserve">Bryant and Bryant state that </w:t>
      </w:r>
      <w:r w:rsidR="00C746FB">
        <w:t>the Crime and Disorder</w:t>
      </w:r>
      <w:r w:rsidR="00B96375">
        <w:t xml:space="preserve"> Act 1998 established community safety </w:t>
      </w:r>
      <w:proofErr w:type="gramStart"/>
      <w:r w:rsidR="00B96375">
        <w:t>partnerships, and</w:t>
      </w:r>
      <w:proofErr w:type="gramEnd"/>
      <w:r w:rsidR="00B96375">
        <w:t xml:space="preserve"> made </w:t>
      </w:r>
      <w:r w:rsidR="00C83422">
        <w:t>partnerships</w:t>
      </w:r>
      <w:r w:rsidR="00B96375">
        <w:t xml:space="preserve">- working a </w:t>
      </w:r>
      <w:r w:rsidR="00C83422">
        <w:t>statutory</w:t>
      </w:r>
      <w:r w:rsidR="00B96375">
        <w:t xml:space="preserve"> requirement</w:t>
      </w:r>
      <w:r w:rsidR="00C83422">
        <w:t xml:space="preserve"> for organisations such as the police </w:t>
      </w:r>
      <w:r w:rsidR="001E4B33">
        <w:t xml:space="preserve">authorities. </w:t>
      </w:r>
      <w:r w:rsidR="00B07C01">
        <w:t xml:space="preserve">(Bryant et al. </w:t>
      </w:r>
      <w:r w:rsidR="00A14CEE">
        <w:t>2021).</w:t>
      </w:r>
    </w:p>
    <w:p w14:paraId="762A3AFD" w14:textId="77777777" w:rsidR="00607DA4" w:rsidRDefault="00607DA4" w:rsidP="00607DA4">
      <w:pPr>
        <w:pStyle w:val="PlainText"/>
      </w:pPr>
    </w:p>
    <w:p w14:paraId="4D25FF1C" w14:textId="7CD1F059" w:rsidR="00607DA4" w:rsidRDefault="00607DA4" w:rsidP="00607DA4">
      <w:pPr>
        <w:pStyle w:val="PlainText"/>
      </w:pPr>
      <w:r>
        <w:t xml:space="preserve">Holistic support can include mental health counselling, substance abuse treatment, educational and vocational training, and assistance in securing stable housing and employment opportunities. Such comprehensive assistance helps address the underlying causes of criminal behaviour, reducing the </w:t>
      </w:r>
      <w:r>
        <w:lastRenderedPageBreak/>
        <w:t>likelihood of re-offending. Moreover, partnerships can facilitate the provision of wraparound services, ensuring that offenders can access support in different areas of their lives.</w:t>
      </w:r>
      <w:r w:rsidR="005D0DD4">
        <w:t xml:space="preserve"> Bryant and Bryant </w:t>
      </w:r>
      <w:r w:rsidR="00AA4B6E">
        <w:t>report that the aim to reduce crime levels and imp</w:t>
      </w:r>
      <w:r w:rsidR="00E633C6">
        <w:t>rove community safety and qua</w:t>
      </w:r>
      <w:r w:rsidR="00140081">
        <w:t>lity of life.</w:t>
      </w:r>
    </w:p>
    <w:p w14:paraId="45B8B11C" w14:textId="77777777" w:rsidR="00607DA4" w:rsidRDefault="00607DA4" w:rsidP="00607DA4">
      <w:pPr>
        <w:pStyle w:val="PlainText"/>
      </w:pPr>
    </w:p>
    <w:p w14:paraId="596F5424" w14:textId="77777777" w:rsidR="00607DA4" w:rsidRDefault="00607DA4" w:rsidP="00607DA4">
      <w:pPr>
        <w:pStyle w:val="PlainText"/>
      </w:pPr>
      <w:r>
        <w:t>The partnership approach also emphasizes individual accountability, which is crucial in preventing re-offending. By involving multiple stakeholders, this approach ensures that all relevant actors work cohesively towards common goals and objectives. Offenders are held accountable by the various agencies and organizations involved in their rehabilitation, whereby progress and compliance are regularly monitored.</w:t>
      </w:r>
    </w:p>
    <w:p w14:paraId="1EFBC22C" w14:textId="77777777" w:rsidR="00607DA4" w:rsidRDefault="00607DA4" w:rsidP="00607DA4">
      <w:pPr>
        <w:pStyle w:val="PlainText"/>
      </w:pPr>
    </w:p>
    <w:p w14:paraId="3B54C456" w14:textId="77777777" w:rsidR="00607DA4" w:rsidRDefault="00607DA4" w:rsidP="00607DA4">
      <w:pPr>
        <w:pStyle w:val="PlainText"/>
      </w:pPr>
      <w:r>
        <w:t>These partnerships enable the development of personalized and transparent rehabilitation plans. The involvement of multiple professionals, mentors, and community members creates a system of checks and balances, ensuring that offenders adhere to their commitments and pursue positive behavioural change. Moreover, the collaborative nature of partnerships provides opportunities for offenders to take ownership of their actions, making them active participants in their rehabilitation process rather than passive recipients.</w:t>
      </w:r>
    </w:p>
    <w:p w14:paraId="3DFCF37B" w14:textId="77777777" w:rsidR="00607DA4" w:rsidRDefault="00607DA4" w:rsidP="00607DA4">
      <w:pPr>
        <w:pStyle w:val="PlainText"/>
      </w:pPr>
    </w:p>
    <w:p w14:paraId="2C15802A" w14:textId="77777777" w:rsidR="00607DA4" w:rsidRDefault="00607DA4" w:rsidP="00607DA4">
      <w:pPr>
        <w:pStyle w:val="PlainText"/>
      </w:pPr>
      <w:r>
        <w:t>Sustainable change, leading to a reduction in recidivism rates, can be achieved through the partnership approach. Collaboration between organizations involved in rehabilitation and the wider community enables the creation of a supportive environment for offenders transitioning back into society. Building connections between offenders and positive role models, mentors, and community members facilitates the development of pro-social networks, reducing the risk of re-offending.</w:t>
      </w:r>
    </w:p>
    <w:p w14:paraId="4FE293DD" w14:textId="77777777" w:rsidR="00607DA4" w:rsidRDefault="00607DA4" w:rsidP="00607DA4">
      <w:pPr>
        <w:pStyle w:val="PlainText"/>
      </w:pPr>
    </w:p>
    <w:p w14:paraId="424F5F80" w14:textId="77777777" w:rsidR="00607DA4" w:rsidRDefault="00607DA4" w:rsidP="00607DA4">
      <w:pPr>
        <w:pStyle w:val="PlainText"/>
      </w:pPr>
      <w:r>
        <w:t>Furthermore, partnerships can address the social determinants that contribute to criminal behaviour, such as poverty, lack of education, and limited access to healthcare. By working together, stakeholders can formulate programs that tackle these issues comprehensively, providing offenders with the tools and resources necessary to reintegrate successfully.</w:t>
      </w:r>
    </w:p>
    <w:p w14:paraId="7A0F7FA6" w14:textId="77777777" w:rsidR="00607DA4" w:rsidRDefault="00607DA4" w:rsidP="00607DA4">
      <w:pPr>
        <w:pStyle w:val="PlainText"/>
      </w:pPr>
    </w:p>
    <w:p w14:paraId="3FA0EE74" w14:textId="77777777" w:rsidR="00607DA4" w:rsidRDefault="00607DA4" w:rsidP="00607DA4">
      <w:pPr>
        <w:pStyle w:val="PlainText"/>
      </w:pPr>
      <w:r>
        <w:t xml:space="preserve">In conclusion, the partnership approach is the most effective way of preventing re-offending. By enabling comprehensive support, promoting individual accountability, and generating sustainable change, this collaborative method addresses the complex challenges faced by offenders. Embracing a partnership approach not only benefits the individuals involved but also contributes to the overall safety and well-being of </w:t>
      </w:r>
      <w:proofErr w:type="gramStart"/>
      <w:r>
        <w:t>society as a whole</w:t>
      </w:r>
      <w:proofErr w:type="gramEnd"/>
      <w:r>
        <w:t>.</w:t>
      </w:r>
    </w:p>
    <w:p w14:paraId="1BE8A864" w14:textId="77777777" w:rsidR="006A5392" w:rsidRDefault="006A5392" w:rsidP="006A5392"/>
    <w:p w14:paraId="4790CC69" w14:textId="6CBCA99F" w:rsidR="00607DA4" w:rsidRDefault="00607DA4" w:rsidP="006A5392">
      <w:r>
        <w:t xml:space="preserve">WORD COUNT: </w:t>
      </w:r>
      <w:r w:rsidR="007E6350">
        <w:t>658</w:t>
      </w:r>
    </w:p>
    <w:p w14:paraId="6AAFA9CF" w14:textId="77777777" w:rsidR="004B1856" w:rsidRDefault="004B1856" w:rsidP="006A5392"/>
    <w:p w14:paraId="0513EA44" w14:textId="1101505E" w:rsidR="00AB686C" w:rsidRPr="00D95CB7" w:rsidRDefault="004B1856" w:rsidP="006A5392">
      <w:pPr>
        <w:rPr>
          <w:b/>
          <w:bCs/>
          <w:sz w:val="28"/>
          <w:szCs w:val="28"/>
          <w:u w:val="single"/>
        </w:rPr>
      </w:pPr>
      <w:r w:rsidRPr="00D95CB7">
        <w:rPr>
          <w:b/>
          <w:bCs/>
          <w:sz w:val="28"/>
          <w:szCs w:val="28"/>
          <w:u w:val="single"/>
        </w:rPr>
        <w:t xml:space="preserve">Bibliography: </w:t>
      </w:r>
    </w:p>
    <w:p w14:paraId="2C4FBB17" w14:textId="77777777" w:rsidR="00663B8A" w:rsidRDefault="00663B8A" w:rsidP="006A5392"/>
    <w:p w14:paraId="0CF75B5D" w14:textId="3A26B268" w:rsidR="00C60D5B" w:rsidRDefault="00C44D2F" w:rsidP="006A5392">
      <w:r>
        <w:t>Berry, G., Briggs, P., Erol</w:t>
      </w:r>
      <w:r w:rsidR="00593415">
        <w:t xml:space="preserve">, R. and Van </w:t>
      </w:r>
      <w:proofErr w:type="spellStart"/>
      <w:r w:rsidR="00593415">
        <w:t>Staden</w:t>
      </w:r>
      <w:proofErr w:type="spellEnd"/>
      <w:r w:rsidR="00593415">
        <w:t xml:space="preserve">, L. (2011). </w:t>
      </w:r>
      <w:r w:rsidR="002517C5">
        <w:rPr>
          <w:i/>
          <w:iCs/>
        </w:rPr>
        <w:t>The effectiveness of partnership working inn a crime and disorder context</w:t>
      </w:r>
      <w:r w:rsidR="00230937">
        <w:rPr>
          <w:i/>
          <w:iCs/>
        </w:rPr>
        <w:t xml:space="preserve"> A rapid evidence assessment. </w:t>
      </w:r>
      <w:r w:rsidR="00230937">
        <w:t>[</w:t>
      </w:r>
      <w:r w:rsidR="00FF0FE8">
        <w:t xml:space="preserve">online] Available at: </w:t>
      </w:r>
      <w:hyperlink r:id="rId4" w:history="1">
        <w:r w:rsidR="00C60D5B" w:rsidRPr="0088419D">
          <w:rPr>
            <w:rStyle w:val="Hyperlink"/>
          </w:rPr>
          <w:t>https://assets.pubishing.serice.gov.uk/media/5a756a3c40f0b6397f35e41b/horr52-report.pdf</w:t>
        </w:r>
      </w:hyperlink>
      <w:r w:rsidR="00C60D5B">
        <w:t>.</w:t>
      </w:r>
    </w:p>
    <w:p w14:paraId="1F94AF83" w14:textId="1D66D49D" w:rsidR="00C44D2F" w:rsidRDefault="00593415" w:rsidP="006A5392">
      <w:r>
        <w:t xml:space="preserve"> </w:t>
      </w:r>
    </w:p>
    <w:p w14:paraId="34FA74AA" w14:textId="09FE40BF" w:rsidR="00ED18E3" w:rsidRPr="002716D3" w:rsidRDefault="00ED18E3" w:rsidP="006A5392">
      <w:r>
        <w:t>Bhopal, K. (2023). Critical Race Theory:</w:t>
      </w:r>
      <w:r w:rsidR="009015F5">
        <w:t xml:space="preserve"> Confronting, Challenging, and Rethinking White</w:t>
      </w:r>
      <w:r w:rsidR="00326867">
        <w:t xml:space="preserve"> Privilege. </w:t>
      </w:r>
      <w:r w:rsidR="00326867">
        <w:rPr>
          <w:i/>
          <w:iCs/>
        </w:rPr>
        <w:t>Annual Review of Sociology</w:t>
      </w:r>
      <w:r w:rsidR="002716D3">
        <w:rPr>
          <w:i/>
          <w:iCs/>
        </w:rPr>
        <w:t xml:space="preserve">, </w:t>
      </w:r>
      <w:r w:rsidR="002716D3">
        <w:t xml:space="preserve">49(1), pp.111-128. </w:t>
      </w:r>
      <w:proofErr w:type="spellStart"/>
      <w:proofErr w:type="gramStart"/>
      <w:r w:rsidR="002716D3">
        <w:t>DOI:</w:t>
      </w:r>
      <w:r w:rsidR="00781FC5">
        <w:t>https</w:t>
      </w:r>
      <w:proofErr w:type="spellEnd"/>
      <w:r w:rsidR="00781FC5">
        <w:t>://doi.org</w:t>
      </w:r>
      <w:r w:rsidR="00E5136F">
        <w:t>/10.1146/annurev-soc031021-123</w:t>
      </w:r>
      <w:r w:rsidR="00BE041B">
        <w:t>710</w:t>
      </w:r>
      <w:proofErr w:type="gramEnd"/>
      <w:r w:rsidR="00BE041B">
        <w:t>.</w:t>
      </w:r>
    </w:p>
    <w:p w14:paraId="085B1A0E" w14:textId="77777777" w:rsidR="00663B8A" w:rsidRDefault="00663B8A" w:rsidP="006A5392"/>
    <w:p w14:paraId="6F5AA5F8" w14:textId="09C93DF8" w:rsidR="00E80BD5" w:rsidRDefault="00E80BD5" w:rsidP="006A5392">
      <w:r>
        <w:t>Bryant, R. and Bryant</w:t>
      </w:r>
      <w:r w:rsidR="00070101">
        <w:t xml:space="preserve">, S. (2021). </w:t>
      </w:r>
      <w:r w:rsidR="00070101">
        <w:rPr>
          <w:i/>
          <w:iCs/>
        </w:rPr>
        <w:t>Blackstone’s Han</w:t>
      </w:r>
      <w:r w:rsidR="00E8468D">
        <w:rPr>
          <w:i/>
          <w:iCs/>
        </w:rPr>
        <w:t xml:space="preserve">dbook </w:t>
      </w:r>
      <w:proofErr w:type="gramStart"/>
      <w:r w:rsidR="00E8468D">
        <w:rPr>
          <w:i/>
          <w:iCs/>
        </w:rPr>
        <w:t>For</w:t>
      </w:r>
      <w:proofErr w:type="gramEnd"/>
      <w:r w:rsidR="00E8468D">
        <w:rPr>
          <w:i/>
          <w:iCs/>
        </w:rPr>
        <w:t xml:space="preserve"> Policing Students 2021. </w:t>
      </w:r>
      <w:r w:rsidR="00E8468D">
        <w:t>S.L</w:t>
      </w:r>
      <w:r w:rsidR="002A487F">
        <w:t xml:space="preserve">.: Oxford </w:t>
      </w:r>
      <w:proofErr w:type="spellStart"/>
      <w:r w:rsidR="002A487F">
        <w:t>Univ</w:t>
      </w:r>
      <w:proofErr w:type="spellEnd"/>
      <w:r w:rsidR="002A487F">
        <w:t xml:space="preserve"> Press, p</w:t>
      </w:r>
      <w:r w:rsidR="004F76CE">
        <w:t xml:space="preserve"> 73.</w:t>
      </w:r>
    </w:p>
    <w:p w14:paraId="64C1BB72" w14:textId="77777777" w:rsidR="008C7244" w:rsidRDefault="008C7244" w:rsidP="006A5392"/>
    <w:p w14:paraId="70630DAA" w14:textId="651836F8" w:rsidR="00A14CEE" w:rsidRDefault="00A14CEE" w:rsidP="00A14CEE">
      <w:r>
        <w:t xml:space="preserve">Bryant, R. and Bryant, S. (2021). </w:t>
      </w:r>
      <w:r>
        <w:rPr>
          <w:i/>
          <w:iCs/>
        </w:rPr>
        <w:t xml:space="preserve">Blackstone’s Handbook </w:t>
      </w:r>
      <w:proofErr w:type="gramStart"/>
      <w:r>
        <w:rPr>
          <w:i/>
          <w:iCs/>
        </w:rPr>
        <w:t>For</w:t>
      </w:r>
      <w:proofErr w:type="gramEnd"/>
      <w:r>
        <w:rPr>
          <w:i/>
          <w:iCs/>
        </w:rPr>
        <w:t xml:space="preserve"> Policing Students 2021. </w:t>
      </w:r>
      <w:r>
        <w:t xml:space="preserve">S.L.: Oxford </w:t>
      </w:r>
      <w:proofErr w:type="spellStart"/>
      <w:r>
        <w:t>Univ</w:t>
      </w:r>
      <w:proofErr w:type="spellEnd"/>
      <w:r>
        <w:t xml:space="preserve"> Press, p</w:t>
      </w:r>
      <w:r>
        <w:t>.169</w:t>
      </w:r>
      <w:r>
        <w:t>.</w:t>
      </w:r>
    </w:p>
    <w:p w14:paraId="25CE24B5" w14:textId="77777777" w:rsidR="00A14CEE" w:rsidRDefault="00A14CEE" w:rsidP="006A5392"/>
    <w:p w14:paraId="5D7AC60C" w14:textId="6961B74C" w:rsidR="00896E1E" w:rsidRDefault="009339B8" w:rsidP="006A5392">
      <w:r>
        <w:t xml:space="preserve">College </w:t>
      </w:r>
      <w:r w:rsidR="007D6FF4">
        <w:t xml:space="preserve">of Policing (2014). </w:t>
      </w:r>
      <w:r w:rsidR="007D6FF4">
        <w:rPr>
          <w:i/>
          <w:iCs/>
        </w:rPr>
        <w:t>Code of Ethics</w:t>
      </w:r>
      <w:r w:rsidR="009E39FB">
        <w:rPr>
          <w:i/>
          <w:iCs/>
        </w:rPr>
        <w:t xml:space="preserve">. </w:t>
      </w:r>
      <w:r w:rsidR="009E39FB">
        <w:t>[online] College of Policing. Available at:</w:t>
      </w:r>
      <w:r w:rsidR="00902C97">
        <w:t xml:space="preserve"> </w:t>
      </w:r>
      <w:hyperlink r:id="rId5" w:history="1">
        <w:r w:rsidR="008C7244" w:rsidRPr="0088419D">
          <w:rPr>
            <w:rStyle w:val="Hyperlink"/>
          </w:rPr>
          <w:t>https://www.college.police.uk/ethics/code-of-ethics</w:t>
        </w:r>
      </w:hyperlink>
      <w:r w:rsidR="008C7244">
        <w:t>.</w:t>
      </w:r>
    </w:p>
    <w:p w14:paraId="6492DBFA" w14:textId="77777777" w:rsidR="008C7244" w:rsidRPr="009E39FB" w:rsidRDefault="008C7244" w:rsidP="006A5392"/>
    <w:p w14:paraId="2D8E87D2" w14:textId="39392781" w:rsidR="006B1F39" w:rsidRDefault="006B1F39" w:rsidP="006A5392">
      <w:r>
        <w:t>Dixon, S., Kendall, B.,</w:t>
      </w:r>
      <w:r w:rsidR="003F14A2">
        <w:t xml:space="preserve"> Driscoll, J. and Pope, C. (2022). Supporting the </w:t>
      </w:r>
      <w:r w:rsidR="00230F32">
        <w:t xml:space="preserve">‘multi’ in multi-agency </w:t>
      </w:r>
      <w:proofErr w:type="gramStart"/>
      <w:r w:rsidR="00230F32">
        <w:t>working</w:t>
      </w:r>
      <w:r w:rsidR="003003D7">
        <w:t>:</w:t>
      </w:r>
      <w:proofErr w:type="gramEnd"/>
      <w:r w:rsidR="003003D7">
        <w:t xml:space="preserve"> learning with and from each other could enable multi-agency safeguarding</w:t>
      </w:r>
      <w:r w:rsidR="00BD2610">
        <w:t xml:space="preserve">. </w:t>
      </w:r>
      <w:r w:rsidR="00BD2610">
        <w:rPr>
          <w:i/>
          <w:iCs/>
        </w:rPr>
        <w:t xml:space="preserve">British Journal of General </w:t>
      </w:r>
      <w:r w:rsidR="00DF48AD">
        <w:rPr>
          <w:i/>
          <w:iCs/>
        </w:rPr>
        <w:t xml:space="preserve">Practice, </w:t>
      </w:r>
      <w:r w:rsidR="00DF48AD">
        <w:t>72(</w:t>
      </w:r>
      <w:r w:rsidR="00AE0501">
        <w:t xml:space="preserve">722), pp. 438-439. </w:t>
      </w:r>
      <w:proofErr w:type="spellStart"/>
      <w:r w:rsidR="00AE0501">
        <w:t>DOI:</w:t>
      </w:r>
      <w:hyperlink r:id="rId6" w:history="1">
        <w:r w:rsidR="007A7FD4" w:rsidRPr="0088419D">
          <w:rPr>
            <w:rStyle w:val="Hyperlink"/>
          </w:rPr>
          <w:t>https</w:t>
        </w:r>
        <w:proofErr w:type="spellEnd"/>
        <w:r w:rsidR="007A7FD4" w:rsidRPr="0088419D">
          <w:rPr>
            <w:rStyle w:val="Hyperlink"/>
          </w:rPr>
          <w:t>://doi#.rog/10.3399/bjgp22x720617</w:t>
        </w:r>
      </w:hyperlink>
      <w:r w:rsidR="00896E1E">
        <w:t>.</w:t>
      </w:r>
    </w:p>
    <w:p w14:paraId="6825E9D6" w14:textId="77777777" w:rsidR="00896E1E" w:rsidRDefault="00896E1E" w:rsidP="006A5392"/>
    <w:p w14:paraId="7D04EECE" w14:textId="18C5BEA6" w:rsidR="00C94208" w:rsidRDefault="00C94208" w:rsidP="006A5392">
      <w:r>
        <w:t xml:space="preserve">Dong, B., Egger, P.H. and </w:t>
      </w:r>
      <w:r w:rsidR="00BD0AD6">
        <w:t xml:space="preserve">Guo, Y. (2020). Is Poverty the </w:t>
      </w:r>
      <w:proofErr w:type="gramStart"/>
      <w:r w:rsidR="00BD0AD6">
        <w:t>Mother</w:t>
      </w:r>
      <w:proofErr w:type="gramEnd"/>
      <w:r w:rsidR="00BD0AD6">
        <w:t xml:space="preserve"> of all Crime?</w:t>
      </w:r>
      <w:r w:rsidR="00636FF8">
        <w:t xml:space="preserve"> Evidence </w:t>
      </w:r>
      <w:r w:rsidR="00035880">
        <w:t>F</w:t>
      </w:r>
      <w:r w:rsidR="00636FF8">
        <w:t xml:space="preserve">rom </w:t>
      </w:r>
      <w:r w:rsidR="00035880">
        <w:t>H</w:t>
      </w:r>
      <w:r w:rsidR="00636FF8">
        <w:t xml:space="preserve">omicide </w:t>
      </w:r>
      <w:r w:rsidR="00035880">
        <w:t>R</w:t>
      </w:r>
      <w:r w:rsidR="00636FF8">
        <w:t>ates in China</w:t>
      </w:r>
      <w:r w:rsidR="00035880">
        <w:t xml:space="preserve">. </w:t>
      </w:r>
      <w:proofErr w:type="spellStart"/>
      <w:r w:rsidR="00035880">
        <w:rPr>
          <w:i/>
          <w:iCs/>
        </w:rPr>
        <w:t>Plos</w:t>
      </w:r>
      <w:proofErr w:type="spellEnd"/>
      <w:r w:rsidR="00035880">
        <w:rPr>
          <w:i/>
          <w:iCs/>
        </w:rPr>
        <w:t xml:space="preserve"> One</w:t>
      </w:r>
      <w:r w:rsidR="00E72690">
        <w:rPr>
          <w:i/>
          <w:iCs/>
        </w:rPr>
        <w:t xml:space="preserve">, </w:t>
      </w:r>
      <w:r w:rsidR="00E72690">
        <w:t xml:space="preserve">[online] 15(5). </w:t>
      </w:r>
      <w:proofErr w:type="spellStart"/>
      <w:proofErr w:type="gramStart"/>
      <w:r w:rsidR="00E72690">
        <w:t>DOI:</w:t>
      </w:r>
      <w:r w:rsidR="00ED0969">
        <w:t>https</w:t>
      </w:r>
      <w:proofErr w:type="spellEnd"/>
      <w:r w:rsidR="00ED0969">
        <w:t>://doi.org/10.1371/journal.pone</w:t>
      </w:r>
      <w:r w:rsidR="007A43CD">
        <w:t>.0233034</w:t>
      </w:r>
      <w:proofErr w:type="gramEnd"/>
      <w:r w:rsidR="007A43CD">
        <w:t>.</w:t>
      </w:r>
    </w:p>
    <w:p w14:paraId="3EE916CB" w14:textId="77777777" w:rsidR="007A43CD" w:rsidRPr="00E72690" w:rsidRDefault="007A43CD" w:rsidP="006A5392"/>
    <w:p w14:paraId="2DBA1CD2" w14:textId="364CA338" w:rsidR="00FC2E5D" w:rsidRPr="00767B4A" w:rsidRDefault="00FC2E5D" w:rsidP="006A5392">
      <w:r>
        <w:t xml:space="preserve">Kirkland, J. and </w:t>
      </w:r>
      <w:r w:rsidR="00C723B7">
        <w:t>Baron, E. (2014). Using a cognitive ana</w:t>
      </w:r>
      <w:r w:rsidR="00554899">
        <w:t xml:space="preserve">lytic approach to formulate a </w:t>
      </w:r>
      <w:r w:rsidR="00DB3F05">
        <w:t xml:space="preserve">complex sexual and violent offender to </w:t>
      </w:r>
      <w:r w:rsidR="00D72E09">
        <w:t xml:space="preserve">inform multi-agency </w:t>
      </w:r>
      <w:proofErr w:type="gramStart"/>
      <w:r w:rsidR="00D72E09">
        <w:t>working:</w:t>
      </w:r>
      <w:proofErr w:type="gramEnd"/>
      <w:r w:rsidR="006A77F2">
        <w:t xml:space="preserve"> developing a shared understanding. </w:t>
      </w:r>
      <w:r w:rsidR="006A77F2">
        <w:rPr>
          <w:i/>
          <w:iCs/>
        </w:rPr>
        <w:t xml:space="preserve">Journal of </w:t>
      </w:r>
      <w:r w:rsidR="00767B4A">
        <w:rPr>
          <w:i/>
          <w:iCs/>
        </w:rPr>
        <w:t>S</w:t>
      </w:r>
      <w:r w:rsidR="006A77F2">
        <w:rPr>
          <w:i/>
          <w:iCs/>
        </w:rPr>
        <w:t>exual Aggre</w:t>
      </w:r>
      <w:r w:rsidR="00767B4A">
        <w:rPr>
          <w:i/>
          <w:iCs/>
        </w:rPr>
        <w:t xml:space="preserve">ssion, </w:t>
      </w:r>
      <w:r w:rsidR="00767B4A">
        <w:t>21(3)</w:t>
      </w:r>
      <w:r w:rsidR="003467FA">
        <w:t xml:space="preserve">, pp.394-405. </w:t>
      </w:r>
      <w:r w:rsidR="00BA4741">
        <w:t>DOI: https://doi.org/10.1080/133552600.2014.939596</w:t>
      </w:r>
      <w:r w:rsidR="0003299C">
        <w:t>.</w:t>
      </w:r>
    </w:p>
    <w:p w14:paraId="078F20F0" w14:textId="77777777" w:rsidR="00FC2E5D" w:rsidRDefault="00FC2E5D" w:rsidP="006A5392"/>
    <w:p w14:paraId="000185F7" w14:textId="009E48A1" w:rsidR="00E377D7" w:rsidRDefault="00C34C6D" w:rsidP="006A5392">
      <w:r>
        <w:t>Kwak, H. and Kim, E.</w:t>
      </w:r>
      <w:r w:rsidR="002D4B4E">
        <w:t xml:space="preserve">-K. (2022). The Role </w:t>
      </w:r>
      <w:r w:rsidR="008D6E7C">
        <w:t>of Low Self-Control and Risky Lifestyles in Criminal Victi</w:t>
      </w:r>
      <w:r w:rsidR="005512E2">
        <w:t xml:space="preserve">mization: </w:t>
      </w:r>
      <w:r w:rsidR="00501061">
        <w:t xml:space="preserve"> A </w:t>
      </w:r>
      <w:r w:rsidR="005512E2">
        <w:t>Study of Adolescents inn South Korea</w:t>
      </w:r>
      <w:r w:rsidR="003001B7">
        <w:t xml:space="preserve">. </w:t>
      </w:r>
      <w:r w:rsidR="003001B7">
        <w:rPr>
          <w:i/>
          <w:iCs/>
        </w:rPr>
        <w:t>International Journal of Environmental Research</w:t>
      </w:r>
      <w:r w:rsidR="00501061">
        <w:rPr>
          <w:i/>
          <w:iCs/>
        </w:rPr>
        <w:t xml:space="preserve"> and Public Health, </w:t>
      </w:r>
      <w:r w:rsidR="00501061">
        <w:t>19(18)</w:t>
      </w:r>
      <w:r w:rsidR="0062027C">
        <w:t xml:space="preserve">, p.11500. </w:t>
      </w:r>
      <w:proofErr w:type="spellStart"/>
      <w:proofErr w:type="gramStart"/>
      <w:r w:rsidR="0062027C">
        <w:t>DOI:https</w:t>
      </w:r>
      <w:proofErr w:type="spellEnd"/>
      <w:r w:rsidR="0062027C">
        <w:t>://doi.org/10</w:t>
      </w:r>
      <w:r w:rsidR="007A7FD4">
        <w:t>.3390/ijerph191811500</w:t>
      </w:r>
      <w:proofErr w:type="gramEnd"/>
      <w:r w:rsidR="007A7FD4">
        <w:t>.</w:t>
      </w:r>
    </w:p>
    <w:p w14:paraId="7E72A2FA" w14:textId="77777777" w:rsidR="007A7FD4" w:rsidRPr="00501061" w:rsidRDefault="007A7FD4" w:rsidP="006A5392"/>
    <w:p w14:paraId="5FA65BB6" w14:textId="7B6A65A4" w:rsidR="004B1856" w:rsidRDefault="00965586" w:rsidP="006A5392">
      <w:r>
        <w:t>Merry</w:t>
      </w:r>
      <w:r w:rsidR="006608ED">
        <w:t>, Simon; Power, Nicola; McManus</w:t>
      </w:r>
      <w:r w:rsidR="00356486">
        <w:t>, Michelle; Alison, Laurence</w:t>
      </w:r>
      <w:r w:rsidR="008E11D8">
        <w:t xml:space="preserve"> (2012) </w:t>
      </w:r>
      <w:r w:rsidR="00BE4D43">
        <w:t>‘Drivers of Public Trust and Confidence in Police</w:t>
      </w:r>
      <w:r w:rsidR="0083537B">
        <w:t xml:space="preserve"> in the UK’</w:t>
      </w:r>
      <w:r w:rsidR="008F76B2">
        <w:t xml:space="preserve">, </w:t>
      </w:r>
      <w:r w:rsidR="008F76B2">
        <w:rPr>
          <w:i/>
          <w:iCs/>
        </w:rPr>
        <w:t xml:space="preserve">International Journal of </w:t>
      </w:r>
      <w:r w:rsidR="00153079">
        <w:rPr>
          <w:i/>
          <w:iCs/>
        </w:rPr>
        <w:t>Police Science &amp; Management</w:t>
      </w:r>
      <w:r w:rsidR="004835ED">
        <w:t xml:space="preserve"> </w:t>
      </w:r>
      <w:r w:rsidR="00144412">
        <w:t>14(2) pp. 118</w:t>
      </w:r>
      <w:r w:rsidR="00DE3899">
        <w:t xml:space="preserve">-135. </w:t>
      </w:r>
      <w:proofErr w:type="spellStart"/>
      <w:proofErr w:type="gramStart"/>
      <w:r w:rsidR="00DE3899">
        <w:t>DOI:</w:t>
      </w:r>
      <w:r w:rsidR="006D721F">
        <w:t>https</w:t>
      </w:r>
      <w:proofErr w:type="spellEnd"/>
      <w:r w:rsidR="00A60FAB">
        <w:t>://doi.org/</w:t>
      </w:r>
      <w:r w:rsidR="00DE3899">
        <w:t>10.1350/</w:t>
      </w:r>
      <w:r w:rsidR="00333B88">
        <w:t>ijps.2012.14.2.268</w:t>
      </w:r>
      <w:proofErr w:type="gramEnd"/>
      <w:r w:rsidR="00333B88">
        <w:t>.</w:t>
      </w:r>
    </w:p>
    <w:p w14:paraId="552C8488" w14:textId="77777777" w:rsidR="00EE7F2E" w:rsidRDefault="00EE7F2E" w:rsidP="006A5392"/>
    <w:p w14:paraId="041AAF25" w14:textId="77777777" w:rsidR="006D721F" w:rsidRDefault="000E13CF" w:rsidP="006A5392">
      <w:r>
        <w:t>Van Wilsem, J.</w:t>
      </w:r>
      <w:r w:rsidR="00F27FC8">
        <w:t xml:space="preserve"> Wittebrood, K. and De Graff, N.D. (2006). </w:t>
      </w:r>
      <w:r w:rsidR="00CD5405">
        <w:t>Socioeconomic Dynamics of Neighbourhoods</w:t>
      </w:r>
      <w:r w:rsidR="00D360BA">
        <w:t xml:space="preserve"> and the Risk o</w:t>
      </w:r>
      <w:r w:rsidR="003E0883">
        <w:t>f</w:t>
      </w:r>
      <w:r w:rsidR="00D360BA">
        <w:t xml:space="preserve"> Crime Victimization: A Multilevel Study </w:t>
      </w:r>
      <w:r w:rsidR="00A646AE">
        <w:t>of Improving, Declining and Stable Areas in the Netherlands</w:t>
      </w:r>
      <w:r w:rsidR="003E0883">
        <w:t xml:space="preserve">. </w:t>
      </w:r>
      <w:r w:rsidR="00A542D3">
        <w:rPr>
          <w:i/>
          <w:iCs/>
        </w:rPr>
        <w:t xml:space="preserve">Social Problems, </w:t>
      </w:r>
      <w:r w:rsidR="00A542D3">
        <w:t>53(2), pp.226-247.</w:t>
      </w:r>
      <w:r w:rsidR="00A13FF8">
        <w:t xml:space="preserve"> </w:t>
      </w:r>
      <w:proofErr w:type="spellStart"/>
      <w:proofErr w:type="gramStart"/>
      <w:r w:rsidR="00A13FF8">
        <w:t>DOI:https</w:t>
      </w:r>
      <w:proofErr w:type="spellEnd"/>
      <w:r w:rsidR="00A13FF8">
        <w:t>://doi</w:t>
      </w:r>
      <w:r w:rsidR="006D721F">
        <w:t>.org/10.1525/sp.2006.53.2.226</w:t>
      </w:r>
      <w:proofErr w:type="gramEnd"/>
      <w:r w:rsidR="006D721F">
        <w:t>.</w:t>
      </w:r>
    </w:p>
    <w:p w14:paraId="2569DC2E" w14:textId="77777777" w:rsidR="006D721F" w:rsidRDefault="006D721F" w:rsidP="006A5392"/>
    <w:p w14:paraId="1F214C40" w14:textId="0EBDE0E8" w:rsidR="00EE7F2E" w:rsidRDefault="003E0883" w:rsidP="006A5392">
      <w:r>
        <w:t xml:space="preserve"> </w:t>
      </w:r>
    </w:p>
    <w:p w14:paraId="3DB95573" w14:textId="77777777" w:rsidR="00333B88" w:rsidRPr="00153079" w:rsidRDefault="00333B88" w:rsidP="006A5392"/>
    <w:sectPr w:rsidR="00333B88" w:rsidRPr="001530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392"/>
    <w:rsid w:val="0003299C"/>
    <w:rsid w:val="00035880"/>
    <w:rsid w:val="00040E71"/>
    <w:rsid w:val="00054358"/>
    <w:rsid w:val="00067537"/>
    <w:rsid w:val="00070101"/>
    <w:rsid w:val="000734A8"/>
    <w:rsid w:val="000975DD"/>
    <w:rsid w:val="000A5FE7"/>
    <w:rsid w:val="000B464D"/>
    <w:rsid w:val="000C2885"/>
    <w:rsid w:val="000D0CFD"/>
    <w:rsid w:val="000E13CF"/>
    <w:rsid w:val="000E6279"/>
    <w:rsid w:val="000F7647"/>
    <w:rsid w:val="00104FAB"/>
    <w:rsid w:val="0011546E"/>
    <w:rsid w:val="0011608B"/>
    <w:rsid w:val="00140081"/>
    <w:rsid w:val="00144412"/>
    <w:rsid w:val="00153079"/>
    <w:rsid w:val="001537CE"/>
    <w:rsid w:val="001737DE"/>
    <w:rsid w:val="001830F5"/>
    <w:rsid w:val="00192FB0"/>
    <w:rsid w:val="00194C5E"/>
    <w:rsid w:val="001B41A9"/>
    <w:rsid w:val="001B4D27"/>
    <w:rsid w:val="001C4654"/>
    <w:rsid w:val="001D47E2"/>
    <w:rsid w:val="001E4B33"/>
    <w:rsid w:val="00213852"/>
    <w:rsid w:val="00217A9E"/>
    <w:rsid w:val="00222428"/>
    <w:rsid w:val="00230937"/>
    <w:rsid w:val="00230F32"/>
    <w:rsid w:val="0023126B"/>
    <w:rsid w:val="0023761F"/>
    <w:rsid w:val="00246649"/>
    <w:rsid w:val="002517C5"/>
    <w:rsid w:val="002568B1"/>
    <w:rsid w:val="002716D3"/>
    <w:rsid w:val="0028764A"/>
    <w:rsid w:val="0029377A"/>
    <w:rsid w:val="00294EE1"/>
    <w:rsid w:val="002A0290"/>
    <w:rsid w:val="002A1CCD"/>
    <w:rsid w:val="002A487F"/>
    <w:rsid w:val="002B27B7"/>
    <w:rsid w:val="002B2AC6"/>
    <w:rsid w:val="002B5E3D"/>
    <w:rsid w:val="002C75E3"/>
    <w:rsid w:val="002D07FE"/>
    <w:rsid w:val="002D3866"/>
    <w:rsid w:val="002D4B4E"/>
    <w:rsid w:val="002D5C8C"/>
    <w:rsid w:val="002E553D"/>
    <w:rsid w:val="003001B7"/>
    <w:rsid w:val="003003D7"/>
    <w:rsid w:val="0032091C"/>
    <w:rsid w:val="00326867"/>
    <w:rsid w:val="00333B88"/>
    <w:rsid w:val="00337622"/>
    <w:rsid w:val="003467FA"/>
    <w:rsid w:val="00356486"/>
    <w:rsid w:val="0038153F"/>
    <w:rsid w:val="00394A1B"/>
    <w:rsid w:val="003A5C83"/>
    <w:rsid w:val="003B70F8"/>
    <w:rsid w:val="003B7567"/>
    <w:rsid w:val="003D3CB2"/>
    <w:rsid w:val="003E0883"/>
    <w:rsid w:val="003E23BF"/>
    <w:rsid w:val="003F14A2"/>
    <w:rsid w:val="003F2F36"/>
    <w:rsid w:val="003F377A"/>
    <w:rsid w:val="003F4EEE"/>
    <w:rsid w:val="003F69D2"/>
    <w:rsid w:val="00405C83"/>
    <w:rsid w:val="00446C9D"/>
    <w:rsid w:val="00477F62"/>
    <w:rsid w:val="004835ED"/>
    <w:rsid w:val="00492255"/>
    <w:rsid w:val="00494631"/>
    <w:rsid w:val="004B0015"/>
    <w:rsid w:val="004B1856"/>
    <w:rsid w:val="004B4AEA"/>
    <w:rsid w:val="004B4CB9"/>
    <w:rsid w:val="004C0F83"/>
    <w:rsid w:val="004C13DF"/>
    <w:rsid w:val="004C14C7"/>
    <w:rsid w:val="004D0362"/>
    <w:rsid w:val="004E2A70"/>
    <w:rsid w:val="004F1CF5"/>
    <w:rsid w:val="004F76CE"/>
    <w:rsid w:val="00501061"/>
    <w:rsid w:val="00503E99"/>
    <w:rsid w:val="00514991"/>
    <w:rsid w:val="00534324"/>
    <w:rsid w:val="005512E2"/>
    <w:rsid w:val="00553086"/>
    <w:rsid w:val="00554899"/>
    <w:rsid w:val="00585AD6"/>
    <w:rsid w:val="00593415"/>
    <w:rsid w:val="005A3568"/>
    <w:rsid w:val="005B2DF7"/>
    <w:rsid w:val="005B4E14"/>
    <w:rsid w:val="005C7B91"/>
    <w:rsid w:val="005D0DD4"/>
    <w:rsid w:val="005D5B64"/>
    <w:rsid w:val="005D7824"/>
    <w:rsid w:val="005E1303"/>
    <w:rsid w:val="005F57CE"/>
    <w:rsid w:val="00603F56"/>
    <w:rsid w:val="006048C7"/>
    <w:rsid w:val="00607DA4"/>
    <w:rsid w:val="00612F62"/>
    <w:rsid w:val="0061745D"/>
    <w:rsid w:val="0062027C"/>
    <w:rsid w:val="00625053"/>
    <w:rsid w:val="00636FF8"/>
    <w:rsid w:val="0064184B"/>
    <w:rsid w:val="006608ED"/>
    <w:rsid w:val="00663B8A"/>
    <w:rsid w:val="00677F61"/>
    <w:rsid w:val="00687DB5"/>
    <w:rsid w:val="006A5392"/>
    <w:rsid w:val="006A77F2"/>
    <w:rsid w:val="006B1A86"/>
    <w:rsid w:val="006B1F39"/>
    <w:rsid w:val="006C771F"/>
    <w:rsid w:val="006D721F"/>
    <w:rsid w:val="006D7823"/>
    <w:rsid w:val="006F0DFE"/>
    <w:rsid w:val="0071030C"/>
    <w:rsid w:val="00767B4A"/>
    <w:rsid w:val="00775137"/>
    <w:rsid w:val="00781FC5"/>
    <w:rsid w:val="007A03C7"/>
    <w:rsid w:val="007A43CD"/>
    <w:rsid w:val="007A6F02"/>
    <w:rsid w:val="007A7FD4"/>
    <w:rsid w:val="007B1203"/>
    <w:rsid w:val="007B41A3"/>
    <w:rsid w:val="007C064F"/>
    <w:rsid w:val="007D15FF"/>
    <w:rsid w:val="007D6FF4"/>
    <w:rsid w:val="007E6350"/>
    <w:rsid w:val="00810615"/>
    <w:rsid w:val="00825D36"/>
    <w:rsid w:val="0083537B"/>
    <w:rsid w:val="0086194C"/>
    <w:rsid w:val="008657E3"/>
    <w:rsid w:val="00867A78"/>
    <w:rsid w:val="00876506"/>
    <w:rsid w:val="00885858"/>
    <w:rsid w:val="00896429"/>
    <w:rsid w:val="00896E1E"/>
    <w:rsid w:val="008A6154"/>
    <w:rsid w:val="008B4FAC"/>
    <w:rsid w:val="008C251F"/>
    <w:rsid w:val="008C7244"/>
    <w:rsid w:val="008D02D9"/>
    <w:rsid w:val="008D6E7C"/>
    <w:rsid w:val="008E11D8"/>
    <w:rsid w:val="008E554A"/>
    <w:rsid w:val="008F76B2"/>
    <w:rsid w:val="009015F5"/>
    <w:rsid w:val="00902C97"/>
    <w:rsid w:val="00915D93"/>
    <w:rsid w:val="009227A2"/>
    <w:rsid w:val="009339B8"/>
    <w:rsid w:val="00934129"/>
    <w:rsid w:val="00957281"/>
    <w:rsid w:val="00965586"/>
    <w:rsid w:val="00965EA4"/>
    <w:rsid w:val="0098560D"/>
    <w:rsid w:val="009867FC"/>
    <w:rsid w:val="00997048"/>
    <w:rsid w:val="009C283E"/>
    <w:rsid w:val="009D28F1"/>
    <w:rsid w:val="009D2BCA"/>
    <w:rsid w:val="009E39FB"/>
    <w:rsid w:val="009F40F2"/>
    <w:rsid w:val="009F5FF0"/>
    <w:rsid w:val="00A03677"/>
    <w:rsid w:val="00A13FF8"/>
    <w:rsid w:val="00A14CEE"/>
    <w:rsid w:val="00A32B91"/>
    <w:rsid w:val="00A440E6"/>
    <w:rsid w:val="00A542D3"/>
    <w:rsid w:val="00A554CB"/>
    <w:rsid w:val="00A60FAB"/>
    <w:rsid w:val="00A646AE"/>
    <w:rsid w:val="00A767EE"/>
    <w:rsid w:val="00A95836"/>
    <w:rsid w:val="00AA0136"/>
    <w:rsid w:val="00AA0235"/>
    <w:rsid w:val="00AA4B6E"/>
    <w:rsid w:val="00AB686C"/>
    <w:rsid w:val="00AC227C"/>
    <w:rsid w:val="00AC499D"/>
    <w:rsid w:val="00AE0501"/>
    <w:rsid w:val="00AE5312"/>
    <w:rsid w:val="00AF32C2"/>
    <w:rsid w:val="00B07C01"/>
    <w:rsid w:val="00B274EC"/>
    <w:rsid w:val="00B305A1"/>
    <w:rsid w:val="00B65A42"/>
    <w:rsid w:val="00B74157"/>
    <w:rsid w:val="00B8196E"/>
    <w:rsid w:val="00B925E1"/>
    <w:rsid w:val="00B96375"/>
    <w:rsid w:val="00BA2908"/>
    <w:rsid w:val="00BA2E66"/>
    <w:rsid w:val="00BA4741"/>
    <w:rsid w:val="00BC010E"/>
    <w:rsid w:val="00BC52DC"/>
    <w:rsid w:val="00BD0AD6"/>
    <w:rsid w:val="00BD2610"/>
    <w:rsid w:val="00BD2BAF"/>
    <w:rsid w:val="00BD64C6"/>
    <w:rsid w:val="00BE041B"/>
    <w:rsid w:val="00BE1D43"/>
    <w:rsid w:val="00BE2AD7"/>
    <w:rsid w:val="00BE42C1"/>
    <w:rsid w:val="00BE4D43"/>
    <w:rsid w:val="00BF1683"/>
    <w:rsid w:val="00BF74E8"/>
    <w:rsid w:val="00C01178"/>
    <w:rsid w:val="00C34C6D"/>
    <w:rsid w:val="00C35762"/>
    <w:rsid w:val="00C37ED4"/>
    <w:rsid w:val="00C41666"/>
    <w:rsid w:val="00C44D2F"/>
    <w:rsid w:val="00C460B3"/>
    <w:rsid w:val="00C56CB5"/>
    <w:rsid w:val="00C60D5B"/>
    <w:rsid w:val="00C610AA"/>
    <w:rsid w:val="00C723B7"/>
    <w:rsid w:val="00C746FB"/>
    <w:rsid w:val="00C83422"/>
    <w:rsid w:val="00C86FB9"/>
    <w:rsid w:val="00C92DF3"/>
    <w:rsid w:val="00C93F70"/>
    <w:rsid w:val="00C94208"/>
    <w:rsid w:val="00CA7929"/>
    <w:rsid w:val="00CB6B5E"/>
    <w:rsid w:val="00CC2EBB"/>
    <w:rsid w:val="00CD5405"/>
    <w:rsid w:val="00D130FF"/>
    <w:rsid w:val="00D15D0C"/>
    <w:rsid w:val="00D17C6C"/>
    <w:rsid w:val="00D2610B"/>
    <w:rsid w:val="00D360BA"/>
    <w:rsid w:val="00D41AA8"/>
    <w:rsid w:val="00D438BD"/>
    <w:rsid w:val="00D504B5"/>
    <w:rsid w:val="00D57EE8"/>
    <w:rsid w:val="00D617D7"/>
    <w:rsid w:val="00D72E09"/>
    <w:rsid w:val="00D73A7F"/>
    <w:rsid w:val="00D95CB7"/>
    <w:rsid w:val="00DB3F05"/>
    <w:rsid w:val="00DB5B66"/>
    <w:rsid w:val="00DB6783"/>
    <w:rsid w:val="00DC05AD"/>
    <w:rsid w:val="00DD2012"/>
    <w:rsid w:val="00DD4900"/>
    <w:rsid w:val="00DE3899"/>
    <w:rsid w:val="00DE3FCB"/>
    <w:rsid w:val="00DF48AD"/>
    <w:rsid w:val="00E334A2"/>
    <w:rsid w:val="00E377D7"/>
    <w:rsid w:val="00E5136F"/>
    <w:rsid w:val="00E633C6"/>
    <w:rsid w:val="00E72690"/>
    <w:rsid w:val="00E732D8"/>
    <w:rsid w:val="00E73DC4"/>
    <w:rsid w:val="00E80BD5"/>
    <w:rsid w:val="00E8468D"/>
    <w:rsid w:val="00EB23F5"/>
    <w:rsid w:val="00ED0969"/>
    <w:rsid w:val="00ED18E3"/>
    <w:rsid w:val="00EE7F2E"/>
    <w:rsid w:val="00F23A8B"/>
    <w:rsid w:val="00F27D7F"/>
    <w:rsid w:val="00F27FC8"/>
    <w:rsid w:val="00F97697"/>
    <w:rsid w:val="00FC2E5D"/>
    <w:rsid w:val="00FD139E"/>
    <w:rsid w:val="00FD1A95"/>
    <w:rsid w:val="00FD2DB3"/>
    <w:rsid w:val="00FD4394"/>
    <w:rsid w:val="00FE3A69"/>
    <w:rsid w:val="00FF0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9DF5A"/>
  <w15:chartTrackingRefBased/>
  <w15:docId w15:val="{AA3F8E01-5863-408C-9FEE-670FEB84D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5392"/>
    <w:pPr>
      <w:spacing w:after="0" w:line="240" w:lineRule="auto"/>
    </w:pPr>
  </w:style>
  <w:style w:type="paragraph" w:styleId="PlainText">
    <w:name w:val="Plain Text"/>
    <w:basedOn w:val="Normal"/>
    <w:link w:val="PlainTextChar"/>
    <w:uiPriority w:val="99"/>
    <w:semiHidden/>
    <w:unhideWhenUsed/>
    <w:rsid w:val="006A5392"/>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6A5392"/>
    <w:rPr>
      <w:rFonts w:ascii="Calibri" w:hAnsi="Calibri"/>
      <w:szCs w:val="21"/>
    </w:rPr>
  </w:style>
  <w:style w:type="character" w:styleId="Hyperlink">
    <w:name w:val="Hyperlink"/>
    <w:basedOn w:val="DefaultParagraphFont"/>
    <w:uiPriority w:val="99"/>
    <w:unhideWhenUsed/>
    <w:rsid w:val="00896E1E"/>
    <w:rPr>
      <w:color w:val="0563C1" w:themeColor="hyperlink"/>
      <w:u w:val="single"/>
    </w:rPr>
  </w:style>
  <w:style w:type="character" w:styleId="UnresolvedMention">
    <w:name w:val="Unresolved Mention"/>
    <w:basedOn w:val="DefaultParagraphFont"/>
    <w:uiPriority w:val="99"/>
    <w:semiHidden/>
    <w:unhideWhenUsed/>
    <w:rsid w:val="00896E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99989">
      <w:bodyDiv w:val="1"/>
      <w:marLeft w:val="0"/>
      <w:marRight w:val="0"/>
      <w:marTop w:val="0"/>
      <w:marBottom w:val="0"/>
      <w:divBdr>
        <w:top w:val="none" w:sz="0" w:space="0" w:color="auto"/>
        <w:left w:val="none" w:sz="0" w:space="0" w:color="auto"/>
        <w:bottom w:val="none" w:sz="0" w:space="0" w:color="auto"/>
        <w:right w:val="none" w:sz="0" w:space="0" w:color="auto"/>
      </w:divBdr>
    </w:div>
    <w:div w:id="282149785">
      <w:bodyDiv w:val="1"/>
      <w:marLeft w:val="0"/>
      <w:marRight w:val="0"/>
      <w:marTop w:val="0"/>
      <w:marBottom w:val="0"/>
      <w:divBdr>
        <w:top w:val="none" w:sz="0" w:space="0" w:color="auto"/>
        <w:left w:val="none" w:sz="0" w:space="0" w:color="auto"/>
        <w:bottom w:val="none" w:sz="0" w:space="0" w:color="auto"/>
        <w:right w:val="none" w:sz="0" w:space="0" w:color="auto"/>
      </w:divBdr>
    </w:div>
    <w:div w:id="356976254">
      <w:bodyDiv w:val="1"/>
      <w:marLeft w:val="0"/>
      <w:marRight w:val="0"/>
      <w:marTop w:val="0"/>
      <w:marBottom w:val="0"/>
      <w:divBdr>
        <w:top w:val="none" w:sz="0" w:space="0" w:color="auto"/>
        <w:left w:val="none" w:sz="0" w:space="0" w:color="auto"/>
        <w:bottom w:val="none" w:sz="0" w:space="0" w:color="auto"/>
        <w:right w:val="none" w:sz="0" w:space="0" w:color="auto"/>
      </w:divBdr>
    </w:div>
    <w:div w:id="906644704">
      <w:bodyDiv w:val="1"/>
      <w:marLeft w:val="0"/>
      <w:marRight w:val="0"/>
      <w:marTop w:val="0"/>
      <w:marBottom w:val="0"/>
      <w:divBdr>
        <w:top w:val="none" w:sz="0" w:space="0" w:color="auto"/>
        <w:left w:val="none" w:sz="0" w:space="0" w:color="auto"/>
        <w:bottom w:val="none" w:sz="0" w:space="0" w:color="auto"/>
        <w:right w:val="none" w:sz="0" w:space="0" w:color="auto"/>
      </w:divBdr>
    </w:div>
    <w:div w:id="1916621595">
      <w:bodyDiv w:val="1"/>
      <w:marLeft w:val="0"/>
      <w:marRight w:val="0"/>
      <w:marTop w:val="0"/>
      <w:marBottom w:val="0"/>
      <w:divBdr>
        <w:top w:val="none" w:sz="0" w:space="0" w:color="auto"/>
        <w:left w:val="none" w:sz="0" w:space="0" w:color="auto"/>
        <w:bottom w:val="none" w:sz="0" w:space="0" w:color="auto"/>
        <w:right w:val="none" w:sz="0" w:space="0" w:color="auto"/>
      </w:divBdr>
    </w:div>
    <w:div w:id="2118481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rog/10.3399/bjgp22x720617" TargetMode="External"/><Relationship Id="rId5" Type="http://schemas.openxmlformats.org/officeDocument/2006/relationships/hyperlink" Target="https://www.college.police.uk/ethics/code-of-ethics" TargetMode="External"/><Relationship Id="rId4" Type="http://schemas.openxmlformats.org/officeDocument/2006/relationships/hyperlink" Target="https://assets.pubishing.serice.gov.uk/media/5a756a3c40f0b6397f35e41b/horr52-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4151</Words>
  <Characters>23664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Alan</dc:creator>
  <cp:keywords/>
  <dc:description/>
  <cp:lastModifiedBy>Oliver, Alan</cp:lastModifiedBy>
  <cp:revision>2</cp:revision>
  <dcterms:created xsi:type="dcterms:W3CDTF">2023-11-13T23:56:00Z</dcterms:created>
  <dcterms:modified xsi:type="dcterms:W3CDTF">2023-11-13T23:56:00Z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2023-10-23T12:55:52Z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3b619004-4815-4a64-8a4f-140f2efbab25</vt:lpwstr>
  </property>
  <property fmtid="{D5CDD505-2E9C-101B-9397-08002B2CF9AE}" pid="8" name="MSIP_Label_f2acd28b-79a3-4a0f-b0ff-4b75658b1549_ContentBits">
    <vt:lpwstr>0</vt:lpwstr>
  </property>
</Properties>
</file>