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DA0" w:rsidRDefault="00EE7768" w:rsidP="004016EE">
      <w:pPr>
        <w:pStyle w:val="ae"/>
      </w:pPr>
      <w:r>
        <w:rPr>
          <w:noProof/>
          <w:lang w:val="bg-BG" w:eastAsia="bg-BG"/>
        </w:rPr>
        <w:drawing>
          <wp:inline distT="0" distB="0" distL="0" distR="0" wp14:anchorId="34DEE498" wp14:editId="65F45A75">
            <wp:extent cx="3381555" cy="1688337"/>
            <wp:effectExtent l="19050" t="0" r="9345" b="0"/>
            <wp:docPr id="2" name="Picture 1" descr="C:\Users\user\Downloads\Download\Downloads\30.3.21\Uni-Wales-Trinity-David-logo-6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Download\Downloads\30.3.21\Uni-Wales-Trinity-David-logo-600x300.jpg"/>
                    <pic:cNvPicPr>
                      <a:picLocks noChangeAspect="1" noChangeArrowheads="1"/>
                    </pic:cNvPicPr>
                  </pic:nvPicPr>
                  <pic:blipFill>
                    <a:blip r:embed="rId9"/>
                    <a:srcRect/>
                    <a:stretch>
                      <a:fillRect/>
                    </a:stretch>
                  </pic:blipFill>
                  <pic:spPr bwMode="auto">
                    <a:xfrm>
                      <a:off x="0" y="0"/>
                      <a:ext cx="3382696" cy="1688907"/>
                    </a:xfrm>
                    <a:prstGeom prst="rect">
                      <a:avLst/>
                    </a:prstGeom>
                    <a:noFill/>
                    <a:ln w="9525">
                      <a:noFill/>
                      <a:miter lim="800000"/>
                      <a:headEnd/>
                      <a:tailEnd/>
                    </a:ln>
                  </pic:spPr>
                </pic:pic>
              </a:graphicData>
            </a:graphic>
          </wp:inline>
        </w:drawing>
      </w:r>
    </w:p>
    <w:p w:rsidR="00385F7E" w:rsidRDefault="00385F7E" w:rsidP="00385F7E">
      <w:pPr>
        <w:jc w:val="center"/>
        <w:rPr>
          <w:b/>
          <w:bCs/>
          <w:sz w:val="36"/>
          <w:szCs w:val="32"/>
        </w:rPr>
      </w:pPr>
      <w:r w:rsidRPr="00385F7E">
        <w:rPr>
          <w:b/>
          <w:bCs/>
          <w:sz w:val="36"/>
          <w:szCs w:val="32"/>
        </w:rPr>
        <w:t>BA (</w:t>
      </w:r>
      <w:proofErr w:type="spellStart"/>
      <w:r w:rsidRPr="00385F7E">
        <w:rPr>
          <w:b/>
          <w:bCs/>
          <w:sz w:val="36"/>
          <w:szCs w:val="32"/>
        </w:rPr>
        <w:t>Hons</w:t>
      </w:r>
      <w:proofErr w:type="spellEnd"/>
      <w:r w:rsidRPr="00385F7E">
        <w:rPr>
          <w:b/>
          <w:bCs/>
          <w:sz w:val="36"/>
          <w:szCs w:val="32"/>
        </w:rPr>
        <w:t>) International Hotel Management</w:t>
      </w:r>
    </w:p>
    <w:p w:rsidR="00385F7E" w:rsidRDefault="00385F7E" w:rsidP="00385F7E">
      <w:pPr>
        <w:jc w:val="center"/>
        <w:rPr>
          <w:b/>
          <w:bCs/>
          <w:sz w:val="36"/>
          <w:szCs w:val="32"/>
        </w:rPr>
      </w:pPr>
      <w:r w:rsidRPr="006C4DA0">
        <w:rPr>
          <w:b/>
          <w:bCs/>
          <w:sz w:val="36"/>
          <w:szCs w:val="32"/>
        </w:rPr>
        <w:t>BMIH5005</w:t>
      </w:r>
    </w:p>
    <w:p w:rsidR="00385F7E" w:rsidRDefault="00385F7E" w:rsidP="00385F7E">
      <w:pPr>
        <w:jc w:val="center"/>
        <w:rPr>
          <w:b/>
          <w:bCs/>
          <w:sz w:val="36"/>
          <w:szCs w:val="32"/>
        </w:rPr>
      </w:pPr>
      <w:r w:rsidRPr="006C4DA0">
        <w:rPr>
          <w:b/>
          <w:bCs/>
          <w:sz w:val="36"/>
          <w:szCs w:val="32"/>
        </w:rPr>
        <w:t xml:space="preserve">Personnel </w:t>
      </w:r>
      <w:proofErr w:type="gramStart"/>
      <w:r w:rsidRPr="006C4DA0">
        <w:rPr>
          <w:b/>
          <w:bCs/>
          <w:sz w:val="36"/>
          <w:szCs w:val="32"/>
        </w:rPr>
        <w:t>Resourcing</w:t>
      </w:r>
      <w:proofErr w:type="gramEnd"/>
      <w:r w:rsidRPr="006C4DA0">
        <w:rPr>
          <w:b/>
          <w:bCs/>
          <w:sz w:val="36"/>
          <w:szCs w:val="32"/>
        </w:rPr>
        <w:t xml:space="preserve"> </w:t>
      </w:r>
      <w:proofErr w:type="spellStart"/>
      <w:r w:rsidRPr="006C4DA0">
        <w:rPr>
          <w:b/>
          <w:bCs/>
          <w:sz w:val="36"/>
          <w:szCs w:val="32"/>
        </w:rPr>
        <w:t>andDevelopment</w:t>
      </w:r>
      <w:proofErr w:type="spellEnd"/>
    </w:p>
    <w:p w:rsidR="006C4DA0" w:rsidRDefault="00385F7E" w:rsidP="00385F7E">
      <w:pPr>
        <w:jc w:val="center"/>
        <w:rPr>
          <w:b/>
          <w:bCs/>
          <w:sz w:val="36"/>
          <w:szCs w:val="32"/>
        </w:rPr>
      </w:pPr>
      <w:r>
        <w:rPr>
          <w:b/>
          <w:bCs/>
          <w:sz w:val="36"/>
          <w:szCs w:val="32"/>
        </w:rPr>
        <w:t xml:space="preserve">Essay- </w:t>
      </w:r>
      <w:r w:rsidRPr="00385F7E">
        <w:rPr>
          <w:b/>
          <w:bCs/>
          <w:sz w:val="36"/>
          <w:szCs w:val="32"/>
        </w:rPr>
        <w:t xml:space="preserve">Employee Engagement </w:t>
      </w:r>
      <w:proofErr w:type="spellStart"/>
      <w:r w:rsidRPr="00385F7E">
        <w:rPr>
          <w:b/>
          <w:bCs/>
          <w:sz w:val="36"/>
          <w:szCs w:val="32"/>
        </w:rPr>
        <w:t>andMotivation</w:t>
      </w:r>
      <w:proofErr w:type="spellEnd"/>
    </w:p>
    <w:p w:rsidR="006C4DA0" w:rsidRDefault="006C4DA0" w:rsidP="00A42D03">
      <w:pPr>
        <w:jc w:val="center"/>
        <w:rPr>
          <w:b/>
          <w:bCs/>
          <w:sz w:val="36"/>
          <w:szCs w:val="32"/>
        </w:rPr>
      </w:pPr>
    </w:p>
    <w:p w:rsidR="000C2789" w:rsidRPr="00385F7E" w:rsidRDefault="00385F7E" w:rsidP="00A42D03">
      <w:pPr>
        <w:jc w:val="center"/>
        <w:rPr>
          <w:b/>
          <w:bCs/>
          <w:sz w:val="28"/>
          <w:szCs w:val="32"/>
        </w:rPr>
      </w:pPr>
      <w:r w:rsidRPr="00385F7E">
        <w:rPr>
          <w:b/>
          <w:bCs/>
          <w:sz w:val="28"/>
          <w:szCs w:val="32"/>
        </w:rPr>
        <w:t xml:space="preserve">Topic: </w:t>
      </w:r>
      <w:r w:rsidR="0012638A" w:rsidRPr="00385F7E">
        <w:rPr>
          <w:b/>
          <w:bCs/>
          <w:sz w:val="28"/>
          <w:szCs w:val="32"/>
        </w:rPr>
        <w:t xml:space="preserve">How to engage employees (Generation </w:t>
      </w:r>
      <w:proofErr w:type="spellStart"/>
      <w:r w:rsidR="0012638A" w:rsidRPr="00385F7E">
        <w:rPr>
          <w:b/>
          <w:bCs/>
          <w:sz w:val="28"/>
          <w:szCs w:val="32"/>
        </w:rPr>
        <w:t>Ys</w:t>
      </w:r>
      <w:proofErr w:type="spellEnd"/>
      <w:r w:rsidR="0012638A" w:rsidRPr="00385F7E">
        <w:rPr>
          <w:b/>
          <w:bCs/>
          <w:sz w:val="28"/>
          <w:szCs w:val="32"/>
        </w:rPr>
        <w:t xml:space="preserve"> or Generation </w:t>
      </w:r>
      <w:proofErr w:type="spellStart"/>
      <w:r w:rsidR="0012638A" w:rsidRPr="00385F7E">
        <w:rPr>
          <w:b/>
          <w:bCs/>
          <w:sz w:val="28"/>
          <w:szCs w:val="32"/>
        </w:rPr>
        <w:t>Zs</w:t>
      </w:r>
      <w:proofErr w:type="spellEnd"/>
      <w:proofErr w:type="gramStart"/>
      <w:r w:rsidR="0012638A" w:rsidRPr="00385F7E">
        <w:rPr>
          <w:b/>
          <w:bCs/>
          <w:sz w:val="28"/>
          <w:szCs w:val="32"/>
        </w:rPr>
        <w:t>)throughout</w:t>
      </w:r>
      <w:proofErr w:type="gramEnd"/>
      <w:r w:rsidR="0012638A" w:rsidRPr="00385F7E">
        <w:rPr>
          <w:b/>
          <w:bCs/>
          <w:sz w:val="28"/>
          <w:szCs w:val="32"/>
        </w:rPr>
        <w:t xml:space="preserve"> the employee lifecycle?</w:t>
      </w:r>
    </w:p>
    <w:p w:rsidR="00C16FF2" w:rsidRDefault="00C16FF2" w:rsidP="00A42D03">
      <w:pPr>
        <w:jc w:val="center"/>
        <w:rPr>
          <w:b/>
          <w:bCs/>
          <w:sz w:val="36"/>
          <w:szCs w:val="32"/>
        </w:rPr>
      </w:pPr>
    </w:p>
    <w:p w:rsidR="001660E1" w:rsidRDefault="0012638A" w:rsidP="00A42D03">
      <w:pPr>
        <w:jc w:val="center"/>
        <w:rPr>
          <w:b/>
          <w:bCs/>
          <w:sz w:val="28"/>
          <w:szCs w:val="32"/>
        </w:rPr>
      </w:pPr>
      <w:r w:rsidRPr="00385F7E">
        <w:rPr>
          <w:b/>
          <w:bCs/>
          <w:sz w:val="28"/>
          <w:szCs w:val="32"/>
        </w:rPr>
        <w:t>Student</w:t>
      </w:r>
      <w:r w:rsidR="00E457CA">
        <w:rPr>
          <w:b/>
          <w:bCs/>
          <w:sz w:val="28"/>
          <w:szCs w:val="32"/>
        </w:rPr>
        <w:t>’s</w:t>
      </w:r>
      <w:r w:rsidRPr="00385F7E">
        <w:rPr>
          <w:b/>
          <w:bCs/>
          <w:sz w:val="28"/>
          <w:szCs w:val="32"/>
        </w:rPr>
        <w:t xml:space="preserve"> name: </w:t>
      </w:r>
      <w:proofErr w:type="spellStart"/>
      <w:r w:rsidR="00E457CA">
        <w:rPr>
          <w:b/>
          <w:bCs/>
          <w:sz w:val="28"/>
          <w:szCs w:val="32"/>
        </w:rPr>
        <w:t>Antonina</w:t>
      </w:r>
      <w:proofErr w:type="spellEnd"/>
      <w:r w:rsidR="00E457CA">
        <w:rPr>
          <w:b/>
          <w:bCs/>
          <w:sz w:val="28"/>
          <w:szCs w:val="32"/>
        </w:rPr>
        <w:t xml:space="preserve"> </w:t>
      </w:r>
      <w:proofErr w:type="spellStart"/>
      <w:r w:rsidR="00E457CA">
        <w:rPr>
          <w:b/>
          <w:bCs/>
          <w:sz w:val="28"/>
          <w:szCs w:val="32"/>
        </w:rPr>
        <w:t>Vasileva</w:t>
      </w:r>
      <w:proofErr w:type="spellEnd"/>
      <w:r w:rsidR="00E457CA">
        <w:rPr>
          <w:b/>
          <w:bCs/>
          <w:sz w:val="28"/>
          <w:szCs w:val="32"/>
        </w:rPr>
        <w:t xml:space="preserve"> </w:t>
      </w:r>
      <w:proofErr w:type="spellStart"/>
      <w:r w:rsidR="00E457CA">
        <w:rPr>
          <w:b/>
          <w:bCs/>
          <w:sz w:val="28"/>
          <w:szCs w:val="32"/>
        </w:rPr>
        <w:t>Danchova</w:t>
      </w:r>
      <w:proofErr w:type="spellEnd"/>
    </w:p>
    <w:p w:rsidR="00E457CA" w:rsidRPr="00385F7E" w:rsidRDefault="00E457CA" w:rsidP="00A42D03">
      <w:pPr>
        <w:jc w:val="center"/>
        <w:rPr>
          <w:b/>
          <w:bCs/>
          <w:sz w:val="28"/>
          <w:szCs w:val="32"/>
        </w:rPr>
      </w:pPr>
      <w:r>
        <w:rPr>
          <w:b/>
          <w:bCs/>
          <w:sz w:val="28"/>
          <w:szCs w:val="32"/>
        </w:rPr>
        <w:t>Student’s ID</w:t>
      </w:r>
      <w:proofErr w:type="gramStart"/>
      <w:r>
        <w:rPr>
          <w:b/>
          <w:bCs/>
          <w:sz w:val="28"/>
          <w:szCs w:val="32"/>
        </w:rPr>
        <w:t>:2211877</w:t>
      </w:r>
      <w:proofErr w:type="gramEnd"/>
    </w:p>
    <w:p w:rsidR="00E457CA" w:rsidRDefault="00E457CA" w:rsidP="009442DA">
      <w:pPr>
        <w:jc w:val="center"/>
        <w:rPr>
          <w:b/>
          <w:bCs/>
          <w:sz w:val="28"/>
          <w:szCs w:val="32"/>
        </w:rPr>
      </w:pPr>
      <w:r>
        <w:rPr>
          <w:b/>
          <w:bCs/>
          <w:sz w:val="28"/>
          <w:szCs w:val="32"/>
        </w:rPr>
        <w:t>Module</w:t>
      </w:r>
      <w:proofErr w:type="gramStart"/>
      <w:r>
        <w:rPr>
          <w:b/>
          <w:bCs/>
          <w:sz w:val="28"/>
          <w:szCs w:val="32"/>
        </w:rPr>
        <w:t>:BMIH5005</w:t>
      </w:r>
      <w:proofErr w:type="gramEnd"/>
    </w:p>
    <w:p w:rsidR="00294AD8" w:rsidRDefault="00E457CA" w:rsidP="009442DA">
      <w:pPr>
        <w:jc w:val="center"/>
        <w:rPr>
          <w:b/>
          <w:bCs/>
          <w:sz w:val="28"/>
          <w:szCs w:val="32"/>
        </w:rPr>
      </w:pPr>
      <w:r>
        <w:rPr>
          <w:b/>
          <w:bCs/>
          <w:sz w:val="28"/>
          <w:szCs w:val="32"/>
        </w:rPr>
        <w:t xml:space="preserve">Lecture </w:t>
      </w:r>
      <w:proofErr w:type="spellStart"/>
      <w:r>
        <w:rPr>
          <w:b/>
          <w:bCs/>
          <w:sz w:val="28"/>
          <w:szCs w:val="32"/>
        </w:rPr>
        <w:t>name:Helen</w:t>
      </w:r>
      <w:proofErr w:type="spellEnd"/>
      <w:r>
        <w:rPr>
          <w:b/>
          <w:bCs/>
          <w:sz w:val="28"/>
          <w:szCs w:val="32"/>
        </w:rPr>
        <w:t xml:space="preserve"> Lee</w:t>
      </w:r>
      <w:bookmarkStart w:id="0" w:name="_GoBack"/>
      <w:bookmarkEnd w:id="0"/>
      <w:r w:rsidR="00294AD8">
        <w:rPr>
          <w:b/>
          <w:bCs/>
          <w:sz w:val="28"/>
          <w:szCs w:val="32"/>
        </w:rPr>
        <w:br/>
      </w:r>
    </w:p>
    <w:p w:rsidR="00294AD8" w:rsidRDefault="00294AD8">
      <w:pPr>
        <w:spacing w:after="160" w:line="259" w:lineRule="auto"/>
        <w:jc w:val="left"/>
        <w:rPr>
          <w:b/>
          <w:bCs/>
          <w:sz w:val="28"/>
          <w:szCs w:val="32"/>
        </w:rPr>
      </w:pPr>
      <w:r>
        <w:rPr>
          <w:b/>
          <w:bCs/>
          <w:sz w:val="28"/>
          <w:szCs w:val="32"/>
        </w:rPr>
        <w:br w:type="page"/>
      </w:r>
    </w:p>
    <w:sdt>
      <w:sdtPr>
        <w:rPr>
          <w:rFonts w:ascii="Arial" w:eastAsiaTheme="minorHAnsi" w:hAnsi="Arial" w:cs="Arial"/>
          <w:b w:val="0"/>
          <w:bCs w:val="0"/>
          <w:color w:val="auto"/>
          <w:sz w:val="24"/>
          <w:szCs w:val="22"/>
          <w:lang w:val="en-GB"/>
        </w:rPr>
        <w:id w:val="1472963469"/>
        <w:docPartObj>
          <w:docPartGallery w:val="Table of Contents"/>
          <w:docPartUnique/>
        </w:docPartObj>
      </w:sdtPr>
      <w:sdtEndPr>
        <w:rPr>
          <w:rFonts w:cstheme="minorBidi"/>
        </w:rPr>
      </w:sdtEndPr>
      <w:sdtContent>
        <w:p w:rsidR="00E052C8" w:rsidRPr="00E052C8" w:rsidRDefault="00E052C8" w:rsidP="00E052C8">
          <w:pPr>
            <w:pStyle w:val="ac"/>
            <w:jc w:val="center"/>
            <w:rPr>
              <w:rFonts w:ascii="Arial" w:hAnsi="Arial" w:cs="Arial"/>
              <w:color w:val="auto"/>
              <w:sz w:val="24"/>
            </w:rPr>
          </w:pPr>
          <w:r w:rsidRPr="00E052C8">
            <w:rPr>
              <w:rFonts w:ascii="Arial" w:hAnsi="Arial" w:cs="Arial"/>
              <w:color w:val="auto"/>
              <w:sz w:val="24"/>
            </w:rPr>
            <w:t>Table of Contents</w:t>
          </w:r>
        </w:p>
        <w:p w:rsidR="00E052C8" w:rsidRDefault="00FE0756">
          <w:pPr>
            <w:pStyle w:val="11"/>
            <w:tabs>
              <w:tab w:val="right" w:leader="dot" w:pos="9350"/>
            </w:tabs>
            <w:rPr>
              <w:noProof/>
            </w:rPr>
          </w:pPr>
          <w:r>
            <w:fldChar w:fldCharType="begin"/>
          </w:r>
          <w:r w:rsidR="00E052C8">
            <w:instrText xml:space="preserve"> TOC \o "1-3" \h \z \u </w:instrText>
          </w:r>
          <w:r>
            <w:fldChar w:fldCharType="separate"/>
          </w:r>
          <w:hyperlink w:anchor="_Toc147243165" w:history="1">
            <w:r w:rsidR="00E052C8" w:rsidRPr="004A48AF">
              <w:rPr>
                <w:rStyle w:val="ad"/>
                <w:noProof/>
              </w:rPr>
              <w:t>1. Introduction</w:t>
            </w:r>
            <w:r w:rsidR="00E052C8">
              <w:rPr>
                <w:noProof/>
                <w:webHidden/>
              </w:rPr>
              <w:tab/>
            </w:r>
            <w:r>
              <w:rPr>
                <w:noProof/>
                <w:webHidden/>
              </w:rPr>
              <w:fldChar w:fldCharType="begin"/>
            </w:r>
            <w:r w:rsidR="00E052C8">
              <w:rPr>
                <w:noProof/>
                <w:webHidden/>
              </w:rPr>
              <w:instrText xml:space="preserve"> PAGEREF _Toc147243165 \h </w:instrText>
            </w:r>
            <w:r>
              <w:rPr>
                <w:noProof/>
                <w:webHidden/>
              </w:rPr>
            </w:r>
            <w:r>
              <w:rPr>
                <w:noProof/>
                <w:webHidden/>
              </w:rPr>
              <w:fldChar w:fldCharType="separate"/>
            </w:r>
            <w:r w:rsidR="00E052C8">
              <w:rPr>
                <w:noProof/>
                <w:webHidden/>
              </w:rPr>
              <w:t>3</w:t>
            </w:r>
            <w:r>
              <w:rPr>
                <w:noProof/>
                <w:webHidden/>
              </w:rPr>
              <w:fldChar w:fldCharType="end"/>
            </w:r>
          </w:hyperlink>
        </w:p>
        <w:p w:rsidR="00E052C8" w:rsidRDefault="007F326C">
          <w:pPr>
            <w:pStyle w:val="11"/>
            <w:tabs>
              <w:tab w:val="right" w:leader="dot" w:pos="9350"/>
            </w:tabs>
            <w:rPr>
              <w:noProof/>
            </w:rPr>
          </w:pPr>
          <w:hyperlink w:anchor="_Toc147243166" w:history="1">
            <w:r w:rsidR="00E052C8" w:rsidRPr="004A48AF">
              <w:rPr>
                <w:rStyle w:val="ad"/>
                <w:noProof/>
              </w:rPr>
              <w:t>2. Main Body</w:t>
            </w:r>
            <w:r w:rsidR="00E052C8">
              <w:rPr>
                <w:noProof/>
                <w:webHidden/>
              </w:rPr>
              <w:tab/>
            </w:r>
            <w:r w:rsidR="00FE0756">
              <w:rPr>
                <w:noProof/>
                <w:webHidden/>
              </w:rPr>
              <w:fldChar w:fldCharType="begin"/>
            </w:r>
            <w:r w:rsidR="00E052C8">
              <w:rPr>
                <w:noProof/>
                <w:webHidden/>
              </w:rPr>
              <w:instrText xml:space="preserve"> PAGEREF _Toc147243166 \h </w:instrText>
            </w:r>
            <w:r w:rsidR="00FE0756">
              <w:rPr>
                <w:noProof/>
                <w:webHidden/>
              </w:rPr>
            </w:r>
            <w:r w:rsidR="00FE0756">
              <w:rPr>
                <w:noProof/>
                <w:webHidden/>
              </w:rPr>
              <w:fldChar w:fldCharType="separate"/>
            </w:r>
            <w:r w:rsidR="00E052C8">
              <w:rPr>
                <w:noProof/>
                <w:webHidden/>
              </w:rPr>
              <w:t>3</w:t>
            </w:r>
            <w:r w:rsidR="00FE0756">
              <w:rPr>
                <w:noProof/>
                <w:webHidden/>
              </w:rPr>
              <w:fldChar w:fldCharType="end"/>
            </w:r>
          </w:hyperlink>
        </w:p>
        <w:p w:rsidR="00E052C8" w:rsidRDefault="007F326C">
          <w:pPr>
            <w:pStyle w:val="11"/>
            <w:tabs>
              <w:tab w:val="right" w:leader="dot" w:pos="9350"/>
            </w:tabs>
            <w:rPr>
              <w:noProof/>
            </w:rPr>
          </w:pPr>
          <w:hyperlink w:anchor="_Toc147243167" w:history="1">
            <w:r w:rsidR="00E052C8" w:rsidRPr="004A48AF">
              <w:rPr>
                <w:rStyle w:val="ad"/>
                <w:noProof/>
              </w:rPr>
              <w:t>3. Conclusion</w:t>
            </w:r>
            <w:r w:rsidR="00E052C8">
              <w:rPr>
                <w:noProof/>
                <w:webHidden/>
              </w:rPr>
              <w:tab/>
            </w:r>
            <w:r w:rsidR="00FE0756">
              <w:rPr>
                <w:noProof/>
                <w:webHidden/>
              </w:rPr>
              <w:fldChar w:fldCharType="begin"/>
            </w:r>
            <w:r w:rsidR="00E052C8">
              <w:rPr>
                <w:noProof/>
                <w:webHidden/>
              </w:rPr>
              <w:instrText xml:space="preserve"> PAGEREF _Toc147243167 \h </w:instrText>
            </w:r>
            <w:r w:rsidR="00FE0756">
              <w:rPr>
                <w:noProof/>
                <w:webHidden/>
              </w:rPr>
            </w:r>
            <w:r w:rsidR="00FE0756">
              <w:rPr>
                <w:noProof/>
                <w:webHidden/>
              </w:rPr>
              <w:fldChar w:fldCharType="separate"/>
            </w:r>
            <w:r w:rsidR="00E052C8">
              <w:rPr>
                <w:noProof/>
                <w:webHidden/>
              </w:rPr>
              <w:t>9</w:t>
            </w:r>
            <w:r w:rsidR="00FE0756">
              <w:rPr>
                <w:noProof/>
                <w:webHidden/>
              </w:rPr>
              <w:fldChar w:fldCharType="end"/>
            </w:r>
          </w:hyperlink>
        </w:p>
        <w:p w:rsidR="00E052C8" w:rsidRDefault="007F326C">
          <w:pPr>
            <w:pStyle w:val="11"/>
            <w:tabs>
              <w:tab w:val="right" w:leader="dot" w:pos="9350"/>
            </w:tabs>
            <w:rPr>
              <w:noProof/>
            </w:rPr>
          </w:pPr>
          <w:hyperlink w:anchor="_Toc147243168" w:history="1">
            <w:r w:rsidR="00E052C8" w:rsidRPr="004A48AF">
              <w:rPr>
                <w:rStyle w:val="ad"/>
                <w:noProof/>
              </w:rPr>
              <w:t>References</w:t>
            </w:r>
            <w:r w:rsidR="00E052C8">
              <w:rPr>
                <w:noProof/>
                <w:webHidden/>
              </w:rPr>
              <w:tab/>
            </w:r>
            <w:r w:rsidR="00FE0756">
              <w:rPr>
                <w:noProof/>
                <w:webHidden/>
              </w:rPr>
              <w:fldChar w:fldCharType="begin"/>
            </w:r>
            <w:r w:rsidR="00E052C8">
              <w:rPr>
                <w:noProof/>
                <w:webHidden/>
              </w:rPr>
              <w:instrText xml:space="preserve"> PAGEREF _Toc147243168 \h </w:instrText>
            </w:r>
            <w:r w:rsidR="00FE0756">
              <w:rPr>
                <w:noProof/>
                <w:webHidden/>
              </w:rPr>
            </w:r>
            <w:r w:rsidR="00FE0756">
              <w:rPr>
                <w:noProof/>
                <w:webHidden/>
              </w:rPr>
              <w:fldChar w:fldCharType="separate"/>
            </w:r>
            <w:r w:rsidR="00E052C8">
              <w:rPr>
                <w:noProof/>
                <w:webHidden/>
              </w:rPr>
              <w:t>11</w:t>
            </w:r>
            <w:r w:rsidR="00FE0756">
              <w:rPr>
                <w:noProof/>
                <w:webHidden/>
              </w:rPr>
              <w:fldChar w:fldCharType="end"/>
            </w:r>
          </w:hyperlink>
        </w:p>
        <w:p w:rsidR="00E052C8" w:rsidRDefault="00FE0756">
          <w:r>
            <w:fldChar w:fldCharType="end"/>
          </w:r>
        </w:p>
      </w:sdtContent>
    </w:sdt>
    <w:p w:rsidR="00F4370E" w:rsidRPr="00385F7E" w:rsidRDefault="00F4370E" w:rsidP="009442DA">
      <w:pPr>
        <w:jc w:val="center"/>
        <w:rPr>
          <w:b/>
          <w:bCs/>
          <w:sz w:val="28"/>
          <w:szCs w:val="32"/>
        </w:rPr>
      </w:pPr>
    </w:p>
    <w:p w:rsidR="004618B9" w:rsidRPr="006C4DA0" w:rsidRDefault="0012638A" w:rsidP="009442DA">
      <w:pPr>
        <w:jc w:val="center"/>
        <w:rPr>
          <w:b/>
          <w:bCs/>
          <w:sz w:val="36"/>
          <w:szCs w:val="32"/>
        </w:rPr>
      </w:pPr>
      <w:r w:rsidRPr="006C4DA0">
        <w:rPr>
          <w:b/>
          <w:bCs/>
          <w:sz w:val="36"/>
          <w:szCs w:val="32"/>
        </w:rPr>
        <w:br w:type="page"/>
      </w:r>
    </w:p>
    <w:p w:rsidR="00841656" w:rsidRPr="00E75E46" w:rsidRDefault="00E75E46" w:rsidP="00E75E46">
      <w:pPr>
        <w:pStyle w:val="1"/>
      </w:pPr>
      <w:bookmarkStart w:id="1" w:name="_Toc147243165"/>
      <w:r w:rsidRPr="00E75E46">
        <w:lastRenderedPageBreak/>
        <w:t>1. Introduction</w:t>
      </w:r>
      <w:bookmarkEnd w:id="1"/>
    </w:p>
    <w:p w:rsidR="00E75E46" w:rsidRPr="00E75E46" w:rsidRDefault="00A06119" w:rsidP="00A06119">
      <w:r>
        <w:t>The following assignment provides a discussion of what the human resource department must employ employees of Generation Y and Generation Z throughout the employee term within a larger hotel. The assignment discusses the role of human resources in engaging employees, characteristics of the Generation Z the ways to engage and the advantages of engaging a team. Further, an explanation has been given regarding the employee lifecycle and examples of team engagement. Additionally, the e</w:t>
      </w:r>
      <w:r w:rsidRPr="001473D1">
        <w:t>mployee engagement model and implementation process</w:t>
      </w:r>
      <w:r>
        <w:t xml:space="preserve"> have been classified in this assignment. </w:t>
      </w:r>
    </w:p>
    <w:p w:rsidR="00763DBB" w:rsidRDefault="0012638A" w:rsidP="00B11DA2">
      <w:pPr>
        <w:pStyle w:val="1"/>
      </w:pPr>
      <w:bookmarkStart w:id="2" w:name="_Toc147243166"/>
      <w:r>
        <w:t xml:space="preserve">2. </w:t>
      </w:r>
      <w:r w:rsidR="00E147E3">
        <w:t>Main Body</w:t>
      </w:r>
      <w:bookmarkEnd w:id="2"/>
    </w:p>
    <w:p w:rsidR="00E147E3" w:rsidRDefault="0012638A">
      <w:pPr>
        <w:rPr>
          <w:b/>
          <w:bCs/>
          <w:i/>
          <w:iCs/>
        </w:rPr>
      </w:pPr>
      <w:r w:rsidRPr="00A06119">
        <w:rPr>
          <w:b/>
          <w:bCs/>
          <w:i/>
          <w:iCs/>
        </w:rPr>
        <w:t>R</w:t>
      </w:r>
      <w:r w:rsidR="00C846E8" w:rsidRPr="00A06119">
        <w:rPr>
          <w:b/>
          <w:bCs/>
          <w:i/>
          <w:iCs/>
        </w:rPr>
        <w:t>ole of human resources in engaging employees</w:t>
      </w:r>
    </w:p>
    <w:p w:rsidR="006D184C" w:rsidRDefault="00765EE5" w:rsidP="006D184C">
      <w:proofErr w:type="spellStart"/>
      <w:r w:rsidRPr="006A7480">
        <w:rPr>
          <w:color w:val="FF0000"/>
        </w:rPr>
        <w:t>Ercantan</w:t>
      </w:r>
      <w:proofErr w:type="spellEnd"/>
      <w:r w:rsidR="005E2BCC">
        <w:rPr>
          <w:color w:val="FF0000"/>
        </w:rPr>
        <w:t xml:space="preserve"> </w:t>
      </w:r>
      <w:r w:rsidRPr="006A7480">
        <w:rPr>
          <w:color w:val="FF0000"/>
        </w:rPr>
        <w:t xml:space="preserve">and </w:t>
      </w:r>
      <w:proofErr w:type="spellStart"/>
      <w:r w:rsidRPr="006A7480">
        <w:rPr>
          <w:color w:val="FF0000"/>
        </w:rPr>
        <w:t>Eyupoglu</w:t>
      </w:r>
      <w:proofErr w:type="spellEnd"/>
      <w:r w:rsidR="005E2BCC">
        <w:rPr>
          <w:color w:val="FF0000"/>
        </w:rPr>
        <w:t xml:space="preserve"> </w:t>
      </w:r>
      <w:r w:rsidR="006D184C" w:rsidRPr="006A7480">
        <w:rPr>
          <w:color w:val="FF0000"/>
        </w:rPr>
        <w:t>(202</w:t>
      </w:r>
      <w:r w:rsidRPr="006A7480">
        <w:rPr>
          <w:color w:val="FF0000"/>
        </w:rPr>
        <w:t>2</w:t>
      </w:r>
      <w:r w:rsidR="006D184C" w:rsidRPr="006A7480">
        <w:rPr>
          <w:color w:val="FF0000"/>
        </w:rPr>
        <w:t>)</w:t>
      </w:r>
      <w:r w:rsidR="006D184C">
        <w:t xml:space="preserve"> suggested that the HR plays one of the vital roles when it comes to employee engagement signifying the value and the security that the HR delivers to the employees. HR is responsible for initiating comfortable communication between the employees and reducing the threatening environment by implementing diversity in terms of language and ethnicity. </w:t>
      </w:r>
      <w:proofErr w:type="spellStart"/>
      <w:r w:rsidR="006D184C" w:rsidRPr="00CF7599">
        <w:t>Dirani</w:t>
      </w:r>
      <w:r w:rsidR="006D184C">
        <w:rPr>
          <w:i/>
          <w:iCs/>
        </w:rPr>
        <w:t>et</w:t>
      </w:r>
      <w:proofErr w:type="spellEnd"/>
      <w:r w:rsidR="006D184C">
        <w:rPr>
          <w:i/>
          <w:iCs/>
        </w:rPr>
        <w:t xml:space="preserve"> al. </w:t>
      </w:r>
      <w:r w:rsidR="006D184C">
        <w:t xml:space="preserve">(2020) opined regarding the use of training and development sessions that provide for improvement of the employees requiring development and skill </w:t>
      </w:r>
      <w:r w:rsidR="002E11FA">
        <w:t>growth</w:t>
      </w:r>
      <w:r w:rsidR="006D184C">
        <w:t>. This helps the employees to feel confident and interact with the other employees in the workplace.</w:t>
      </w:r>
    </w:p>
    <w:p w:rsidR="006D184C" w:rsidRPr="00632774" w:rsidRDefault="006D184C" w:rsidP="006D184C">
      <w:proofErr w:type="spellStart"/>
      <w:r>
        <w:t>Chaudhary</w:t>
      </w:r>
      <w:proofErr w:type="spellEnd"/>
      <w:r>
        <w:t xml:space="preserve"> (2020) adhered to the core of building awareness about the enhancement of the employee experience to be subjected to the competency of the HR allowing the employees to feel free in the workplace. It regards the peer pressure that the employees feel during the delivery of their tasks due to the high intensity of workplace competition. According to </w:t>
      </w:r>
      <w:proofErr w:type="spellStart"/>
      <w:r w:rsidR="00905388" w:rsidRPr="00A909A4">
        <w:rPr>
          <w:color w:val="FF0000"/>
        </w:rPr>
        <w:t>Nicolás-Agustín</w:t>
      </w:r>
      <w:proofErr w:type="spellEnd"/>
      <w:r w:rsidR="00905388" w:rsidRPr="00A909A4">
        <w:rPr>
          <w:color w:val="FF0000"/>
        </w:rPr>
        <w:t xml:space="preserve">, Jiménez-Jiménez and </w:t>
      </w:r>
      <w:proofErr w:type="spellStart"/>
      <w:r w:rsidR="00905388" w:rsidRPr="00A909A4">
        <w:rPr>
          <w:color w:val="FF0000"/>
        </w:rPr>
        <w:t>Maeso</w:t>
      </w:r>
      <w:proofErr w:type="spellEnd"/>
      <w:r w:rsidR="00905388" w:rsidRPr="00A909A4">
        <w:rPr>
          <w:color w:val="FF0000"/>
        </w:rPr>
        <w:t xml:space="preserve">-Fernandez </w:t>
      </w:r>
      <w:r w:rsidR="009F74E3" w:rsidRPr="00A909A4">
        <w:rPr>
          <w:color w:val="FF0000"/>
        </w:rPr>
        <w:t>(</w:t>
      </w:r>
      <w:r w:rsidR="00905388" w:rsidRPr="00A909A4">
        <w:rPr>
          <w:color w:val="FF0000"/>
        </w:rPr>
        <w:t>2022</w:t>
      </w:r>
      <w:r w:rsidR="00AB29D5" w:rsidRPr="00A909A4">
        <w:rPr>
          <w:color w:val="FF0000"/>
        </w:rPr>
        <w:t>)</w:t>
      </w:r>
      <w:r w:rsidRPr="00A909A4">
        <w:rPr>
          <w:color w:val="FF0000"/>
        </w:rPr>
        <w:t>,</w:t>
      </w:r>
      <w:r>
        <w:t xml:space="preserve"> HR also fosters the complete consideration of honest employee feedback and vice versa to allow the workplace to be safer and more relaxed for the employees. Similarly, HR also ensures the improvement of the employees to allow them to depart their skills and talent for the organisational betterment.  </w:t>
      </w:r>
    </w:p>
    <w:p w:rsidR="006D184C" w:rsidRDefault="006D184C" w:rsidP="006D184C">
      <w:pPr>
        <w:rPr>
          <w:b/>
          <w:bCs/>
          <w:i/>
          <w:iCs/>
        </w:rPr>
      </w:pPr>
      <w:r w:rsidRPr="00FB1A46">
        <w:rPr>
          <w:b/>
          <w:bCs/>
          <w:i/>
          <w:iCs/>
        </w:rPr>
        <w:lastRenderedPageBreak/>
        <w:t xml:space="preserve">Characteristics of Generation </w:t>
      </w:r>
      <w:proofErr w:type="spellStart"/>
      <w:r w:rsidRPr="00FB1A46">
        <w:rPr>
          <w:b/>
          <w:bCs/>
          <w:i/>
          <w:iCs/>
        </w:rPr>
        <w:t>Z</w:t>
      </w:r>
      <w:r>
        <w:rPr>
          <w:b/>
          <w:bCs/>
          <w:i/>
          <w:iCs/>
        </w:rPr>
        <w:t>s</w:t>
      </w:r>
      <w:proofErr w:type="spellEnd"/>
    </w:p>
    <w:p w:rsidR="006D184C" w:rsidRDefault="006D184C" w:rsidP="006D184C">
      <w:r>
        <w:t xml:space="preserve">Recognising the characteristics of Gen Z is dependent on the surroundings when it comes to employees of an organisation. </w:t>
      </w:r>
      <w:proofErr w:type="spellStart"/>
      <w:r w:rsidRPr="00E63955">
        <w:t>Agustina</w:t>
      </w:r>
      <w:proofErr w:type="spellEnd"/>
      <w:r w:rsidRPr="00E63955">
        <w:t xml:space="preserve"> and </w:t>
      </w:r>
      <w:proofErr w:type="spellStart"/>
      <w:r w:rsidRPr="00E63955">
        <w:t>Fauzia</w:t>
      </w:r>
      <w:proofErr w:type="spellEnd"/>
      <w:r>
        <w:t xml:space="preserve"> (2021) subjected to organisations that offer financial security and stability to Gen Z, </w:t>
      </w:r>
      <w:r w:rsidR="0082001B">
        <w:t xml:space="preserve">as </w:t>
      </w:r>
      <w:r>
        <w:t>they are likely to stay working for the company as long-term employment characteristics. Further, using social media and other social platforms becomes easier for Gen Z as they are recognised as pros of the social media era (</w:t>
      </w:r>
      <w:r w:rsidR="00881B5E" w:rsidRPr="006626A2">
        <w:rPr>
          <w:color w:val="FF0000"/>
        </w:rPr>
        <w:t xml:space="preserve">Cooke, </w:t>
      </w:r>
      <w:proofErr w:type="spellStart"/>
      <w:r w:rsidR="00881B5E" w:rsidRPr="006626A2">
        <w:rPr>
          <w:color w:val="FF0000"/>
        </w:rPr>
        <w:t>Dickmann</w:t>
      </w:r>
      <w:proofErr w:type="spellEnd"/>
      <w:r w:rsidR="00881B5E" w:rsidRPr="006626A2">
        <w:rPr>
          <w:color w:val="FF0000"/>
        </w:rPr>
        <w:t xml:space="preserve"> and Parry</w:t>
      </w:r>
      <w:r w:rsidR="00881B5E">
        <w:rPr>
          <w:color w:val="FF0000"/>
        </w:rPr>
        <w:t>, 2022</w:t>
      </w:r>
      <w:r>
        <w:t xml:space="preserve">). Gen Z is interpreted as valuing better salaries and beneficial packages rather than getting hold of lower designations in organisations. </w:t>
      </w:r>
      <w:proofErr w:type="spellStart"/>
      <w:r w:rsidR="00172F77" w:rsidRPr="006A7480">
        <w:rPr>
          <w:color w:val="FF0000"/>
        </w:rPr>
        <w:t>Ercantan</w:t>
      </w:r>
      <w:proofErr w:type="spellEnd"/>
      <w:r w:rsidR="00172F77" w:rsidRPr="006A7480">
        <w:rPr>
          <w:color w:val="FF0000"/>
        </w:rPr>
        <w:t xml:space="preserve"> and </w:t>
      </w:r>
      <w:proofErr w:type="spellStart"/>
      <w:r w:rsidR="00172F77" w:rsidRPr="006A7480">
        <w:rPr>
          <w:color w:val="FF0000"/>
        </w:rPr>
        <w:t>Eyupoglu</w:t>
      </w:r>
      <w:proofErr w:type="spellEnd"/>
      <w:r w:rsidR="005E2BCC">
        <w:rPr>
          <w:color w:val="FF0000"/>
        </w:rPr>
        <w:t xml:space="preserve"> </w:t>
      </w:r>
      <w:r w:rsidR="00172F77" w:rsidRPr="006A7480">
        <w:rPr>
          <w:color w:val="FF0000"/>
        </w:rPr>
        <w:t>(2022</w:t>
      </w:r>
      <w:proofErr w:type="gramStart"/>
      <w:r w:rsidR="00172F77" w:rsidRPr="006A7480">
        <w:rPr>
          <w:color w:val="FF0000"/>
        </w:rPr>
        <w:t>)</w:t>
      </w:r>
      <w:r>
        <w:t>signified</w:t>
      </w:r>
      <w:proofErr w:type="gramEnd"/>
      <w:r>
        <w:t xml:space="preserve"> that Gen Z tends to avoid over-working and bare minimum wages and alongside this, they expect the leaders to recognise the mental health and well-being of the employees.  </w:t>
      </w:r>
    </w:p>
    <w:p w:rsidR="006D184C" w:rsidRPr="00B67048" w:rsidRDefault="006D184C" w:rsidP="006D184C">
      <w:r>
        <w:t xml:space="preserve">Gen Z </w:t>
      </w:r>
      <w:r w:rsidR="00CB1A7A">
        <w:t xml:space="preserve">employees </w:t>
      </w:r>
      <w:r>
        <w:t xml:space="preserve">are entrepreneurial and tech-savvy as they are likely to have the energy and expectations of working for modern technology-supporting organisations. </w:t>
      </w:r>
      <w:proofErr w:type="spellStart"/>
      <w:r w:rsidR="005357B6" w:rsidRPr="00423E62">
        <w:rPr>
          <w:color w:val="FF0000"/>
        </w:rPr>
        <w:t>Mukhuty</w:t>
      </w:r>
      <w:proofErr w:type="spellEnd"/>
      <w:r w:rsidR="005357B6" w:rsidRPr="00423E62">
        <w:rPr>
          <w:color w:val="FF0000"/>
        </w:rPr>
        <w:t xml:space="preserve">, </w:t>
      </w:r>
      <w:proofErr w:type="spellStart"/>
      <w:r w:rsidR="005357B6" w:rsidRPr="00423E62">
        <w:rPr>
          <w:color w:val="FF0000"/>
        </w:rPr>
        <w:t>Upadhyay</w:t>
      </w:r>
      <w:proofErr w:type="spellEnd"/>
      <w:r w:rsidR="005357B6" w:rsidRPr="00423E62">
        <w:rPr>
          <w:color w:val="FF0000"/>
        </w:rPr>
        <w:t xml:space="preserve"> and </w:t>
      </w:r>
      <w:proofErr w:type="spellStart"/>
      <w:r w:rsidR="005357B6" w:rsidRPr="00423E62">
        <w:rPr>
          <w:color w:val="FF0000"/>
        </w:rPr>
        <w:t>Rothwell</w:t>
      </w:r>
      <w:proofErr w:type="spellEnd"/>
      <w:r w:rsidR="005E2BCC">
        <w:rPr>
          <w:color w:val="FF0000"/>
        </w:rPr>
        <w:t xml:space="preserve"> </w:t>
      </w:r>
      <w:r w:rsidRPr="00476372">
        <w:rPr>
          <w:color w:val="FF0000"/>
        </w:rPr>
        <w:t>(20</w:t>
      </w:r>
      <w:r w:rsidR="005357B6" w:rsidRPr="00476372">
        <w:rPr>
          <w:color w:val="FF0000"/>
        </w:rPr>
        <w:t>22)</w:t>
      </w:r>
      <w:r>
        <w:t xml:space="preserve"> suggested that Gen Z have more respect towar</w:t>
      </w:r>
      <w:r w:rsidR="00CD314F">
        <w:t>ds Corporate Social Responsibility</w:t>
      </w:r>
      <w:r>
        <w:t xml:space="preserve"> (CSR), as they have their concerns and regard for securing a safer and healthier environment. </w:t>
      </w:r>
      <w:proofErr w:type="spellStart"/>
      <w:r w:rsidRPr="00B51348">
        <w:t>Szymkowiak</w:t>
      </w:r>
      <w:r>
        <w:rPr>
          <w:i/>
          <w:iCs/>
        </w:rPr>
        <w:t>et</w:t>
      </w:r>
      <w:proofErr w:type="spellEnd"/>
      <w:r>
        <w:rPr>
          <w:i/>
          <w:iCs/>
        </w:rPr>
        <w:t xml:space="preserve"> al. </w:t>
      </w:r>
      <w:r>
        <w:t xml:space="preserve">(2021) </w:t>
      </w:r>
      <w:r w:rsidR="00CB1A7A">
        <w:t xml:space="preserve">stated that </w:t>
      </w:r>
      <w:r>
        <w:t>the perspective of Gen Z caring about the feedback regarding their performances and are encouraged with a positive understanding of their actions and decisions.</w:t>
      </w:r>
    </w:p>
    <w:p w:rsidR="006D184C" w:rsidRDefault="006D184C" w:rsidP="006D184C">
      <w:pPr>
        <w:rPr>
          <w:b/>
          <w:bCs/>
          <w:i/>
          <w:iCs/>
        </w:rPr>
      </w:pPr>
      <w:r w:rsidRPr="00FB1A46">
        <w:rPr>
          <w:b/>
          <w:bCs/>
          <w:i/>
          <w:iCs/>
        </w:rPr>
        <w:t xml:space="preserve">Ways of engaging and advantages of engaging a team </w:t>
      </w:r>
    </w:p>
    <w:p w:rsidR="006D184C" w:rsidRDefault="006D184C" w:rsidP="006D184C">
      <w:r>
        <w:t xml:space="preserve">According to </w:t>
      </w:r>
      <w:proofErr w:type="spellStart"/>
      <w:r w:rsidR="00287CB2" w:rsidRPr="006E4971">
        <w:rPr>
          <w:color w:val="FF0000"/>
        </w:rPr>
        <w:t>Alqudah</w:t>
      </w:r>
      <w:proofErr w:type="spellEnd"/>
      <w:r w:rsidR="00287CB2" w:rsidRPr="006E4971">
        <w:rPr>
          <w:color w:val="FF0000"/>
        </w:rPr>
        <w:t xml:space="preserve">, </w:t>
      </w:r>
      <w:proofErr w:type="spellStart"/>
      <w:r w:rsidR="00287CB2" w:rsidRPr="006E4971">
        <w:rPr>
          <w:color w:val="FF0000"/>
        </w:rPr>
        <w:t>Carballo-Penela</w:t>
      </w:r>
      <w:proofErr w:type="spellEnd"/>
      <w:r w:rsidR="00287CB2" w:rsidRPr="006E4971">
        <w:rPr>
          <w:color w:val="FF0000"/>
        </w:rPr>
        <w:t xml:space="preserve"> and </w:t>
      </w:r>
      <w:proofErr w:type="spellStart"/>
      <w:r w:rsidR="00287CB2" w:rsidRPr="006E4971">
        <w:rPr>
          <w:color w:val="FF0000"/>
        </w:rPr>
        <w:t>Ruzo-</w:t>
      </w:r>
      <w:proofErr w:type="gramStart"/>
      <w:r w:rsidR="00287CB2" w:rsidRPr="006E4971">
        <w:rPr>
          <w:color w:val="FF0000"/>
        </w:rPr>
        <w:t>Sanmartín</w:t>
      </w:r>
      <w:proofErr w:type="spellEnd"/>
      <w:r w:rsidR="00287CB2">
        <w:rPr>
          <w:color w:val="FF0000"/>
        </w:rPr>
        <w:t>(</w:t>
      </w:r>
      <w:proofErr w:type="gramEnd"/>
      <w:r w:rsidR="00287CB2" w:rsidRPr="006E4971">
        <w:rPr>
          <w:color w:val="FF0000"/>
        </w:rPr>
        <w:t>2022</w:t>
      </w:r>
      <w:r>
        <w:t xml:space="preserve">), engaging Gen Z employees can be helpful if it offers growth opportunities and flexibility. This refers to the consideration of the flexible working environment that attracts Gen </w:t>
      </w:r>
      <w:proofErr w:type="spellStart"/>
      <w:r>
        <w:t>Zs</w:t>
      </w:r>
      <w:proofErr w:type="spellEnd"/>
      <w:r>
        <w:t xml:space="preserve"> and offers them the credibility to think and work freely. Furthermore, with the proper understanding of the committed EDI and social responsibility, Gen Z are recognised to be more responsible and hard-working of the company has the sense of social and environmental well-being alongside the workplace flexibility (</w:t>
      </w:r>
      <w:proofErr w:type="spellStart"/>
      <w:r w:rsidR="00966122" w:rsidRPr="00966122">
        <w:rPr>
          <w:color w:val="FF0000"/>
        </w:rPr>
        <w:t>Alzoubi</w:t>
      </w:r>
      <w:proofErr w:type="spellEnd"/>
      <w:r w:rsidR="00966122" w:rsidRPr="00966122">
        <w:rPr>
          <w:color w:val="FF0000"/>
        </w:rPr>
        <w:t xml:space="preserve"> </w:t>
      </w:r>
      <w:r w:rsidR="00966122" w:rsidRPr="00966122">
        <w:rPr>
          <w:i/>
          <w:iCs/>
          <w:color w:val="FF0000"/>
        </w:rPr>
        <w:t xml:space="preserve">et al., </w:t>
      </w:r>
      <w:r w:rsidR="00966122" w:rsidRPr="00966122">
        <w:rPr>
          <w:color w:val="FF0000"/>
        </w:rPr>
        <w:t>2022</w:t>
      </w:r>
      <w:r>
        <w:t xml:space="preserve">). It also implies the collective significance of development and education plans for the employees to help them </w:t>
      </w:r>
      <w:r w:rsidR="001E7637">
        <w:t xml:space="preserve">to </w:t>
      </w:r>
      <w:r>
        <w:t xml:space="preserve">foster talents and skills that can be beneficial for the company and the employees in the </w:t>
      </w:r>
      <w:r w:rsidR="0089196E">
        <w:t>end</w:t>
      </w:r>
      <w:r>
        <w:t xml:space="preserve"> (</w:t>
      </w:r>
      <w:proofErr w:type="spellStart"/>
      <w:r>
        <w:t>Bovill</w:t>
      </w:r>
      <w:proofErr w:type="spellEnd"/>
      <w:r>
        <w:t xml:space="preserve">, 2020). It will help the organisation to </w:t>
      </w:r>
      <w:r>
        <w:lastRenderedPageBreak/>
        <w:t>engage with Gen Z and offer them credibility and reasons to consider the profit of the company.</w:t>
      </w:r>
    </w:p>
    <w:p w:rsidR="006D184C" w:rsidRDefault="006D184C" w:rsidP="006D184C">
      <w:r>
        <w:t xml:space="preserve">Gen </w:t>
      </w:r>
      <w:proofErr w:type="spellStart"/>
      <w:r>
        <w:t>Zs</w:t>
      </w:r>
      <w:proofErr w:type="spellEnd"/>
      <w:r>
        <w:t xml:space="preserve"> are interested in </w:t>
      </w:r>
      <w:r w:rsidR="000E5D71">
        <w:t xml:space="preserve">using </w:t>
      </w:r>
      <w:r>
        <w:t xml:space="preserve">technology, as it has been offering them priority over the technologically advanced era and eases their daily work. </w:t>
      </w:r>
      <w:proofErr w:type="spellStart"/>
      <w:r>
        <w:t>Knopman</w:t>
      </w:r>
      <w:proofErr w:type="spellEnd"/>
      <w:r>
        <w:t xml:space="preserve">, </w:t>
      </w:r>
      <w:r w:rsidR="0089196E">
        <w:t>Jones,</w:t>
      </w:r>
      <w:r>
        <w:t xml:space="preserve"> and </w:t>
      </w:r>
      <w:proofErr w:type="spellStart"/>
      <w:r>
        <w:t>Greicius</w:t>
      </w:r>
      <w:proofErr w:type="spellEnd"/>
      <w:r>
        <w:t xml:space="preserve"> (2021) stated that transparency at work and the active collectiveness of healthy relationships with the employees could be the major manner of engagement for the employees that signified as Gen Z. It helps them to open about the needs and issues they have been facing in the workplace. </w:t>
      </w:r>
      <w:proofErr w:type="spellStart"/>
      <w:r w:rsidR="00456BF8" w:rsidRPr="00303A2D">
        <w:rPr>
          <w:color w:val="FF0000"/>
        </w:rPr>
        <w:t>Farrukh</w:t>
      </w:r>
      <w:proofErr w:type="spellEnd"/>
      <w:r w:rsidR="005E2BCC">
        <w:rPr>
          <w:color w:val="FF0000"/>
        </w:rPr>
        <w:t xml:space="preserve"> </w:t>
      </w:r>
      <w:r w:rsidR="00A34B88" w:rsidRPr="00303A2D">
        <w:rPr>
          <w:i/>
          <w:iCs/>
          <w:color w:val="FF0000"/>
        </w:rPr>
        <w:t>et</w:t>
      </w:r>
      <w:r w:rsidR="00456BF8" w:rsidRPr="00303A2D">
        <w:rPr>
          <w:i/>
          <w:iCs/>
          <w:color w:val="FF0000"/>
        </w:rPr>
        <w:t xml:space="preserve"> al</w:t>
      </w:r>
      <w:r w:rsidR="00456BF8" w:rsidRPr="00303A2D">
        <w:rPr>
          <w:color w:val="FF0000"/>
        </w:rPr>
        <w:t xml:space="preserve">. </w:t>
      </w:r>
      <w:r w:rsidRPr="00303A2D">
        <w:rPr>
          <w:color w:val="FF0000"/>
        </w:rPr>
        <w:t>(202</w:t>
      </w:r>
      <w:r w:rsidR="00456BF8" w:rsidRPr="00303A2D">
        <w:rPr>
          <w:color w:val="FF0000"/>
        </w:rPr>
        <w:t>2</w:t>
      </w:r>
      <w:r w:rsidRPr="00303A2D">
        <w:rPr>
          <w:color w:val="FF0000"/>
        </w:rPr>
        <w:t>)</w:t>
      </w:r>
      <w:r>
        <w:t xml:space="preserve"> suggested that when it comes to the consideration of the democratic leadership style, Gen Z feel more approachable and reliant on the leader to share their problems and ask for their help. This also increases the chances of communication and team development scopes as the improvement of </w:t>
      </w:r>
      <w:r w:rsidR="00B34930">
        <w:t>one-employee</w:t>
      </w:r>
      <w:r>
        <w:t xml:space="preserve"> helps and initiates the improvement of their employees as well.</w:t>
      </w:r>
    </w:p>
    <w:p w:rsidR="00A06119" w:rsidRPr="00A06119" w:rsidRDefault="006D184C" w:rsidP="006D184C">
      <w:pPr>
        <w:rPr>
          <w:bCs/>
          <w:iCs/>
        </w:rPr>
      </w:pPr>
      <w:r>
        <w:t>In terms of advantages of considering engagement with Gen Z</w:t>
      </w:r>
      <w:r w:rsidR="00911D5B">
        <w:t xml:space="preserve">, it is essential to </w:t>
      </w:r>
      <w:r>
        <w:t xml:space="preserve">depict the potential of encouraging better innovation adaptations and fresh viewpoints to the workplace. </w:t>
      </w:r>
      <w:r w:rsidR="00A21D21" w:rsidRPr="005F52A0">
        <w:rPr>
          <w:color w:val="FF0000"/>
        </w:rPr>
        <w:t xml:space="preserve">Lu </w:t>
      </w:r>
      <w:r w:rsidR="00A21D21" w:rsidRPr="005F52A0">
        <w:rPr>
          <w:i/>
          <w:iCs/>
          <w:color w:val="FF0000"/>
        </w:rPr>
        <w:t xml:space="preserve">et al. </w:t>
      </w:r>
      <w:r w:rsidR="00A21D21" w:rsidRPr="005F52A0">
        <w:rPr>
          <w:color w:val="FF0000"/>
        </w:rPr>
        <w:t>(2022)</w:t>
      </w:r>
      <w:r>
        <w:t xml:space="preserve"> referred to the concept of technological interventions and adaptability to be collectively well implemented within the company and its policy. With the proper understanding of the deliveries and the power of Gen Z, the organisation can be able to manage the profit and the competitive advantage of hard-working employees (</w:t>
      </w:r>
      <w:r w:rsidR="002154A2" w:rsidRPr="000023B3">
        <w:rPr>
          <w:color w:val="FF0000"/>
        </w:rPr>
        <w:t>Pass and Ridgway</w:t>
      </w:r>
      <w:r w:rsidRPr="00291F60">
        <w:rPr>
          <w:color w:val="FF0000"/>
        </w:rPr>
        <w:t>, 202</w:t>
      </w:r>
      <w:r w:rsidR="00A358CD" w:rsidRPr="00291F60">
        <w:rPr>
          <w:color w:val="FF0000"/>
        </w:rPr>
        <w:t>2</w:t>
      </w:r>
      <w:r>
        <w:t xml:space="preserve">). </w:t>
      </w:r>
      <w:proofErr w:type="spellStart"/>
      <w:r w:rsidRPr="002228BE">
        <w:t>Munsch</w:t>
      </w:r>
      <w:proofErr w:type="spellEnd"/>
      <w:r>
        <w:t xml:space="preserve"> (2021) has depicted that the organisations have the advantage of diversity and inclusion focus as Gen Z have been recognised to be focused on adaptability and diversity-focused employees that prefer working in symphony. </w:t>
      </w:r>
      <w:r w:rsidRPr="003F18F8">
        <w:t>Seibert</w:t>
      </w:r>
      <w:r>
        <w:t xml:space="preserve"> (2021) signified that this has been helping the growth of the empathy of the company in total when compared to the organisation that has a rigid working environment and policies. </w:t>
      </w:r>
    </w:p>
    <w:p w:rsidR="00056D04" w:rsidRDefault="0012638A">
      <w:pPr>
        <w:rPr>
          <w:b/>
          <w:bCs/>
          <w:i/>
          <w:iCs/>
        </w:rPr>
      </w:pPr>
      <w:r w:rsidRPr="00D93840">
        <w:rPr>
          <w:b/>
          <w:bCs/>
          <w:i/>
          <w:iCs/>
        </w:rPr>
        <w:t xml:space="preserve">Explaining the employee lifecycle </w:t>
      </w:r>
    </w:p>
    <w:p w:rsidR="00D93840" w:rsidRDefault="0012638A">
      <w:r w:rsidRPr="00BB1437">
        <w:rPr>
          <w:bCs/>
          <w:iCs/>
        </w:rPr>
        <w:t xml:space="preserve">According to </w:t>
      </w:r>
      <w:proofErr w:type="spellStart"/>
      <w:r w:rsidRPr="00EC6B8F">
        <w:t>Kakade</w:t>
      </w:r>
      <w:proofErr w:type="spellEnd"/>
      <w:r w:rsidRPr="00EC6B8F">
        <w:t xml:space="preserve"> (2020)</w:t>
      </w:r>
      <w:r>
        <w:t xml:space="preserve">, </w:t>
      </w:r>
      <w:r w:rsidR="00EB1A4E">
        <w:t>the employee lifecycle is the procedure</w:t>
      </w:r>
      <w:r w:rsidR="00F61836">
        <w:t xml:space="preserve"> or model for identifying the </w:t>
      </w:r>
      <w:r w:rsidR="004E61B9">
        <w:t xml:space="preserve">different layers of worker advancement </w:t>
      </w:r>
      <w:r w:rsidR="00913487">
        <w:t xml:space="preserve">in an organisation with the progressive help of the employer. This helps to conduct the employee survey and their </w:t>
      </w:r>
      <w:r w:rsidR="00913487">
        <w:lastRenderedPageBreak/>
        <w:t xml:space="preserve">satisfaction within an organisation, which could reduce the employee turnover rate. </w:t>
      </w:r>
      <w:r w:rsidR="00DF27B3">
        <w:t xml:space="preserve">Taking this aspect, </w:t>
      </w:r>
      <w:r w:rsidR="00290C41">
        <w:t xml:space="preserve">the following stages have been outlined: </w:t>
      </w:r>
    </w:p>
    <w:p w:rsidR="00290C41" w:rsidRPr="007A5DA3" w:rsidRDefault="0012638A">
      <w:pPr>
        <w:rPr>
          <w:i/>
        </w:rPr>
      </w:pPr>
      <w:r w:rsidRPr="007A5DA3">
        <w:rPr>
          <w:i/>
        </w:rPr>
        <w:t xml:space="preserve">Attraction </w:t>
      </w:r>
    </w:p>
    <w:p w:rsidR="00160CF2" w:rsidRDefault="00412DEC">
      <w:proofErr w:type="spellStart"/>
      <w:r w:rsidRPr="00E02402">
        <w:rPr>
          <w:color w:val="FF0000"/>
          <w:shd w:val="clear" w:color="auto" w:fill="FFFFFF"/>
        </w:rPr>
        <w:t>TkalacVerčič</w:t>
      </w:r>
      <w:proofErr w:type="spellEnd"/>
      <w:r w:rsidRPr="00E02402">
        <w:rPr>
          <w:color w:val="FF0000"/>
          <w:shd w:val="clear" w:color="auto" w:fill="FFFFFF"/>
        </w:rPr>
        <w:t xml:space="preserve">, </w:t>
      </w:r>
      <w:proofErr w:type="spellStart"/>
      <w:r w:rsidRPr="00E02402">
        <w:rPr>
          <w:color w:val="FF0000"/>
          <w:shd w:val="clear" w:color="auto" w:fill="FFFFFF"/>
        </w:rPr>
        <w:t>Galić</w:t>
      </w:r>
      <w:proofErr w:type="spellEnd"/>
      <w:r w:rsidRPr="00E02402">
        <w:rPr>
          <w:color w:val="FF0000"/>
          <w:shd w:val="clear" w:color="auto" w:fill="FFFFFF"/>
        </w:rPr>
        <w:t xml:space="preserve"> and </w:t>
      </w:r>
      <w:proofErr w:type="spellStart"/>
      <w:r w:rsidRPr="00E02402">
        <w:rPr>
          <w:color w:val="FF0000"/>
          <w:shd w:val="clear" w:color="auto" w:fill="FFFFFF"/>
        </w:rPr>
        <w:t>Žnidar</w:t>
      </w:r>
      <w:proofErr w:type="spellEnd"/>
      <w:r w:rsidRPr="00E02402">
        <w:rPr>
          <w:color w:val="FF0000"/>
          <w:shd w:val="clear" w:color="auto" w:fill="FFFFFF"/>
        </w:rPr>
        <w:t xml:space="preserve"> (2023)</w:t>
      </w:r>
      <w:r w:rsidR="0012638A">
        <w:rPr>
          <w:shd w:val="clear" w:color="auto" w:fill="FFFFFF"/>
        </w:rPr>
        <w:t xml:space="preserve"> have mentioned that attraction is the first stage of the employee lifecycle</w:t>
      </w:r>
      <w:r w:rsidR="00E140A5">
        <w:rPr>
          <w:shd w:val="clear" w:color="auto" w:fill="FFFFFF"/>
        </w:rPr>
        <w:t xml:space="preserve">, which considers the understanding of </w:t>
      </w:r>
      <w:r w:rsidR="008522C8">
        <w:rPr>
          <w:shd w:val="clear" w:color="auto" w:fill="FFFFFF"/>
        </w:rPr>
        <w:t xml:space="preserve">employee knowledge regarding the brand of the company. This ensures the flexibility </w:t>
      </w:r>
      <w:r w:rsidR="009A2B35">
        <w:rPr>
          <w:shd w:val="clear" w:color="auto" w:fill="FFFFFF"/>
        </w:rPr>
        <w:t xml:space="preserve">of the employees and generates attraction. Besides, by obtaining the benefits of the company, employees become aware of the company's potential to make sustainable strategies in community development. </w:t>
      </w:r>
      <w:r w:rsidR="00856C20">
        <w:rPr>
          <w:shd w:val="clear" w:color="auto" w:fill="FFFFFF"/>
        </w:rPr>
        <w:t xml:space="preserve">Hence, it can be said that hotel companies must consider Gen Y and Gen Z </w:t>
      </w:r>
      <w:r w:rsidR="00285B76">
        <w:rPr>
          <w:shd w:val="clear" w:color="auto" w:fill="FFFFFF"/>
        </w:rPr>
        <w:t xml:space="preserve">employees by building strategic attraction and providing benefits to them. </w:t>
      </w:r>
    </w:p>
    <w:p w:rsidR="00160CF2" w:rsidRPr="007A5DA3" w:rsidRDefault="0012638A">
      <w:pPr>
        <w:rPr>
          <w:i/>
        </w:rPr>
      </w:pPr>
      <w:r w:rsidRPr="007A5DA3">
        <w:rPr>
          <w:i/>
        </w:rPr>
        <w:t xml:space="preserve">Recruitment </w:t>
      </w:r>
    </w:p>
    <w:p w:rsidR="00C739CA" w:rsidRDefault="00957E03">
      <w:r w:rsidRPr="00FE3A32">
        <w:rPr>
          <w:color w:val="FF0000"/>
          <w:shd w:val="clear" w:color="auto" w:fill="FFFFFF"/>
        </w:rPr>
        <w:t xml:space="preserve">Da Cruz </w:t>
      </w:r>
      <w:proofErr w:type="spellStart"/>
      <w:r w:rsidRPr="00FE3A32">
        <w:rPr>
          <w:color w:val="FF0000"/>
          <w:shd w:val="clear" w:color="auto" w:fill="FFFFFF"/>
        </w:rPr>
        <w:t>Carvalho</w:t>
      </w:r>
      <w:proofErr w:type="spellEnd"/>
      <w:r w:rsidRPr="00FE3A32">
        <w:rPr>
          <w:color w:val="FF0000"/>
          <w:shd w:val="clear" w:color="auto" w:fill="FFFFFF"/>
        </w:rPr>
        <w:t xml:space="preserve">, </w:t>
      </w:r>
      <w:r w:rsidR="00A74DCC" w:rsidRPr="00FE3A32">
        <w:rPr>
          <w:color w:val="FF0000"/>
          <w:shd w:val="clear" w:color="auto" w:fill="FFFFFF"/>
        </w:rPr>
        <w:t>Riana,</w:t>
      </w:r>
      <w:r w:rsidRPr="00FE3A32">
        <w:rPr>
          <w:color w:val="FF0000"/>
          <w:shd w:val="clear" w:color="auto" w:fill="FFFFFF"/>
        </w:rPr>
        <w:t xml:space="preserve"> and </w:t>
      </w:r>
      <w:proofErr w:type="spellStart"/>
      <w:r w:rsidRPr="00FE3A32">
        <w:rPr>
          <w:color w:val="FF0000"/>
          <w:shd w:val="clear" w:color="auto" w:fill="FFFFFF"/>
        </w:rPr>
        <w:t>Soares</w:t>
      </w:r>
      <w:proofErr w:type="spellEnd"/>
      <w:r w:rsidRPr="00FE3A32">
        <w:rPr>
          <w:color w:val="FF0000"/>
          <w:shd w:val="clear" w:color="auto" w:fill="FFFFFF"/>
        </w:rPr>
        <w:t xml:space="preserve"> (2020)</w:t>
      </w:r>
      <w:r w:rsidR="0012638A">
        <w:rPr>
          <w:shd w:val="clear" w:color="auto" w:fill="FFFFFF"/>
        </w:rPr>
        <w:t xml:space="preserve"> have depicted that </w:t>
      </w:r>
      <w:r w:rsidR="00815DDB">
        <w:rPr>
          <w:shd w:val="clear" w:color="auto" w:fill="FFFFFF"/>
        </w:rPr>
        <w:t xml:space="preserve">recruitment is the second process that elaborates the major procedures to </w:t>
      </w:r>
      <w:r w:rsidR="000D4B78">
        <w:rPr>
          <w:shd w:val="clear" w:color="auto" w:fill="FFFFFF"/>
        </w:rPr>
        <w:t xml:space="preserve">attract employees and </w:t>
      </w:r>
      <w:r w:rsidR="00A3326D">
        <w:rPr>
          <w:shd w:val="clear" w:color="auto" w:fill="FFFFFF"/>
        </w:rPr>
        <w:t xml:space="preserve">hire new talents. Through this stage, organisations could manage talent orientation and attract specific talents to achieve the company's success as a whole. </w:t>
      </w:r>
      <w:r w:rsidR="00334544">
        <w:rPr>
          <w:shd w:val="clear" w:color="auto" w:fill="FFFFFF"/>
        </w:rPr>
        <w:t xml:space="preserve">Through using different recruiting software, </w:t>
      </w:r>
      <w:r w:rsidR="00A93884">
        <w:rPr>
          <w:shd w:val="clear" w:color="auto" w:fill="FFFFFF"/>
        </w:rPr>
        <w:t>companies</w:t>
      </w:r>
      <w:r w:rsidR="00334544">
        <w:rPr>
          <w:shd w:val="clear" w:color="auto" w:fill="FFFFFF"/>
        </w:rPr>
        <w:t xml:space="preserve"> could ensure the design and flexibility of the recruitment before the talents and engage them in organisational activities. Hence, hotel companies</w:t>
      </w:r>
      <w:r w:rsidR="00A93884">
        <w:rPr>
          <w:shd w:val="clear" w:color="auto" w:fill="FFFFFF"/>
        </w:rPr>
        <w:t xml:space="preserve"> must find a strategic path for recruiting new talent in the organisations. </w:t>
      </w:r>
    </w:p>
    <w:p w:rsidR="000D1C47" w:rsidRPr="007A5DA3" w:rsidRDefault="0012638A">
      <w:pPr>
        <w:rPr>
          <w:i/>
        </w:rPr>
      </w:pPr>
      <w:proofErr w:type="spellStart"/>
      <w:r w:rsidRPr="007A5DA3">
        <w:rPr>
          <w:i/>
        </w:rPr>
        <w:t>Onboarding</w:t>
      </w:r>
      <w:proofErr w:type="spellEnd"/>
    </w:p>
    <w:p w:rsidR="00160CF2" w:rsidRDefault="0012638A">
      <w:r>
        <w:t xml:space="preserve">As opined by </w:t>
      </w:r>
      <w:proofErr w:type="spellStart"/>
      <w:r w:rsidR="00C70E64" w:rsidRPr="000C4B35">
        <w:rPr>
          <w:color w:val="FF0000"/>
          <w:shd w:val="clear" w:color="auto" w:fill="FFFFFF"/>
        </w:rPr>
        <w:t>Godinho</w:t>
      </w:r>
      <w:proofErr w:type="spellEnd"/>
      <w:r w:rsidR="00C70E64" w:rsidRPr="000C4B35">
        <w:rPr>
          <w:color w:val="FF0000"/>
          <w:shd w:val="clear" w:color="auto" w:fill="FFFFFF"/>
        </w:rPr>
        <w:t xml:space="preserve"> </w:t>
      </w:r>
      <w:r w:rsidR="00C70E64" w:rsidRPr="000C4B35">
        <w:rPr>
          <w:i/>
          <w:color w:val="FF0000"/>
          <w:shd w:val="clear" w:color="auto" w:fill="FFFFFF"/>
        </w:rPr>
        <w:t>et al</w:t>
      </w:r>
      <w:r w:rsidR="00C70E64" w:rsidRPr="000C4B35">
        <w:rPr>
          <w:color w:val="FF0000"/>
          <w:shd w:val="clear" w:color="auto" w:fill="FFFFFF"/>
        </w:rPr>
        <w:t>. (2023)</w:t>
      </w:r>
      <w:r>
        <w:rPr>
          <w:shd w:val="clear" w:color="auto" w:fill="FFFFFF"/>
        </w:rPr>
        <w:t xml:space="preserve">, the </w:t>
      </w:r>
      <w:proofErr w:type="spellStart"/>
      <w:r>
        <w:rPr>
          <w:shd w:val="clear" w:color="auto" w:fill="FFFFFF"/>
        </w:rPr>
        <w:t>onboarding</w:t>
      </w:r>
      <w:proofErr w:type="spellEnd"/>
      <w:r>
        <w:rPr>
          <w:shd w:val="clear" w:color="auto" w:fill="FFFFFF"/>
        </w:rPr>
        <w:t xml:space="preserve"> stage helps employees to know the policies and practices of the organisations, which engages their compatibility with the operational effort. </w:t>
      </w:r>
      <w:r w:rsidR="000F2CBA">
        <w:rPr>
          <w:shd w:val="clear" w:color="auto" w:fill="FFFFFF"/>
        </w:rPr>
        <w:t xml:space="preserve">This stage helps employees to make their places for boosting their performances through understanding organisational culture. </w:t>
      </w:r>
      <w:r w:rsidR="00D71230">
        <w:rPr>
          <w:shd w:val="clear" w:color="auto" w:fill="FFFFFF"/>
        </w:rPr>
        <w:t xml:space="preserve">Besides, this technique provides knowledge regarding the duties of the employees, who need specific </w:t>
      </w:r>
      <w:r w:rsidR="006C7F1B">
        <w:rPr>
          <w:shd w:val="clear" w:color="auto" w:fill="FFFFFF"/>
        </w:rPr>
        <w:t xml:space="preserve">training to cope with the activities. Hence, through this technique, hotel companies may provide organisational policies and norms towards employees. </w:t>
      </w:r>
    </w:p>
    <w:p w:rsidR="0000233C" w:rsidRPr="007A5DA3" w:rsidRDefault="0012638A">
      <w:pPr>
        <w:rPr>
          <w:i/>
        </w:rPr>
      </w:pPr>
      <w:r w:rsidRPr="007A5DA3">
        <w:rPr>
          <w:i/>
        </w:rPr>
        <w:t>Development</w:t>
      </w:r>
    </w:p>
    <w:p w:rsidR="00160CF2" w:rsidRDefault="0012638A">
      <w:r>
        <w:lastRenderedPageBreak/>
        <w:t xml:space="preserve">According to </w:t>
      </w:r>
      <w:proofErr w:type="spellStart"/>
      <w:r w:rsidR="00D04525" w:rsidRPr="00D04525">
        <w:rPr>
          <w:color w:val="FF0000"/>
          <w:shd w:val="clear" w:color="auto" w:fill="FFFFFF"/>
        </w:rPr>
        <w:t>Saffar</w:t>
      </w:r>
      <w:proofErr w:type="spellEnd"/>
      <w:r w:rsidR="00D04525" w:rsidRPr="00D04525">
        <w:rPr>
          <w:color w:val="FF0000"/>
          <w:shd w:val="clear" w:color="auto" w:fill="FFFFFF"/>
        </w:rPr>
        <w:t xml:space="preserve"> and </w:t>
      </w:r>
      <w:proofErr w:type="spellStart"/>
      <w:r w:rsidR="00D04525" w:rsidRPr="00D04525">
        <w:rPr>
          <w:color w:val="FF0000"/>
          <w:shd w:val="clear" w:color="auto" w:fill="FFFFFF"/>
        </w:rPr>
        <w:t>Obeidat</w:t>
      </w:r>
      <w:proofErr w:type="spellEnd"/>
      <w:r w:rsidR="00D04525" w:rsidRPr="00D04525">
        <w:rPr>
          <w:color w:val="FF0000"/>
          <w:shd w:val="clear" w:color="auto" w:fill="FFFFFF"/>
        </w:rPr>
        <w:t xml:space="preserve"> (2020)</w:t>
      </w:r>
      <w:r w:rsidR="00D04525">
        <w:rPr>
          <w:shd w:val="clear" w:color="auto" w:fill="FFFFFF"/>
        </w:rPr>
        <w:t>,</w:t>
      </w:r>
      <w:r w:rsidR="005E2BCC">
        <w:rPr>
          <w:shd w:val="clear" w:color="auto" w:fill="FFFFFF"/>
        </w:rPr>
        <w:t xml:space="preserve"> </w:t>
      </w:r>
      <w:r w:rsidR="008F4006">
        <w:rPr>
          <w:shd w:val="clear" w:color="auto" w:fill="FFFFFF"/>
        </w:rPr>
        <w:t xml:space="preserve">this stage considers the professional improvement of the employees by giving standard feedback in a specific way. </w:t>
      </w:r>
      <w:r w:rsidR="001331D2">
        <w:rPr>
          <w:shd w:val="clear" w:color="auto" w:fill="FFFFFF"/>
        </w:rPr>
        <w:t xml:space="preserve">This specific way could ensure a strategic </w:t>
      </w:r>
      <w:proofErr w:type="spellStart"/>
      <w:r w:rsidR="006703FF">
        <w:t>path</w:t>
      </w:r>
      <w:r w:rsidR="00735834">
        <w:t>for</w:t>
      </w:r>
      <w:proofErr w:type="spellEnd"/>
      <w:r w:rsidR="00735834">
        <w:t xml:space="preserve"> building the performance of the </w:t>
      </w:r>
      <w:r w:rsidR="006703FF">
        <w:t xml:space="preserve">employees and help employers </w:t>
      </w:r>
      <w:r w:rsidR="005630E6">
        <w:t xml:space="preserve">identify the best way to motivate employees. Hence, with the aid of this stage, hotel companies could engage Gen Y and Gen Z employees effectively. </w:t>
      </w:r>
    </w:p>
    <w:p w:rsidR="00160CF2" w:rsidRPr="007A5DA3" w:rsidRDefault="0012638A">
      <w:pPr>
        <w:rPr>
          <w:i/>
        </w:rPr>
      </w:pPr>
      <w:r w:rsidRPr="007A5DA3">
        <w:rPr>
          <w:i/>
        </w:rPr>
        <w:t xml:space="preserve">Retention </w:t>
      </w:r>
    </w:p>
    <w:p w:rsidR="00D019E7" w:rsidRDefault="005E27C6">
      <w:r w:rsidRPr="00FD518A">
        <w:rPr>
          <w:color w:val="FF0000"/>
          <w:shd w:val="clear" w:color="auto" w:fill="FFFFFF"/>
        </w:rPr>
        <w:t>Singh (2019)</w:t>
      </w:r>
      <w:r w:rsidR="0012638A">
        <w:rPr>
          <w:shd w:val="clear" w:color="auto" w:fill="FFFFFF"/>
        </w:rPr>
        <w:t xml:space="preserve"> have stated that </w:t>
      </w:r>
      <w:r w:rsidR="00153F54">
        <w:rPr>
          <w:shd w:val="clear" w:color="auto" w:fill="FFFFFF"/>
        </w:rPr>
        <w:t xml:space="preserve">the retention stage in the employee life cycle </w:t>
      </w:r>
      <w:r w:rsidR="00002BB6">
        <w:rPr>
          <w:shd w:val="clear" w:color="auto" w:fill="FFFFFF"/>
        </w:rPr>
        <w:t xml:space="preserve">promotes employee consistency and development, </w:t>
      </w:r>
      <w:r w:rsidR="001E5FE1">
        <w:rPr>
          <w:shd w:val="clear" w:color="auto" w:fill="FFFFFF"/>
        </w:rPr>
        <w:t>which promotes</w:t>
      </w:r>
      <w:r w:rsidR="00002BB6">
        <w:rPr>
          <w:shd w:val="clear" w:color="auto" w:fill="FFFFFF"/>
        </w:rPr>
        <w:t xml:space="preserve"> employees </w:t>
      </w:r>
      <w:r w:rsidR="001E5FE1">
        <w:rPr>
          <w:shd w:val="clear" w:color="auto" w:fill="FFFFFF"/>
        </w:rPr>
        <w:t>through information</w:t>
      </w:r>
      <w:r w:rsidR="00002BB6">
        <w:rPr>
          <w:shd w:val="clear" w:color="auto" w:fill="FFFFFF"/>
        </w:rPr>
        <w:t xml:space="preserve"> and understand</w:t>
      </w:r>
      <w:r w:rsidR="001E5FE1">
        <w:rPr>
          <w:shd w:val="clear" w:color="auto" w:fill="FFFFFF"/>
        </w:rPr>
        <w:t>ing</w:t>
      </w:r>
      <w:r w:rsidR="00002BB6">
        <w:rPr>
          <w:shd w:val="clear" w:color="auto" w:fill="FFFFFF"/>
        </w:rPr>
        <w:t xml:space="preserve"> the company's processes. With the aid of this, companies could ensure recognition, </w:t>
      </w:r>
      <w:r w:rsidR="0089196E">
        <w:rPr>
          <w:shd w:val="clear" w:color="auto" w:fill="FFFFFF"/>
        </w:rPr>
        <w:t>training,</w:t>
      </w:r>
      <w:r w:rsidR="00002BB6">
        <w:rPr>
          <w:shd w:val="clear" w:color="auto" w:fill="FFFFFF"/>
        </w:rPr>
        <w:t xml:space="preserve"> and appreciation </w:t>
      </w:r>
      <w:r w:rsidR="00E75C06">
        <w:rPr>
          <w:shd w:val="clear" w:color="auto" w:fill="FFFFFF"/>
        </w:rPr>
        <w:t xml:space="preserve">for helping employees and ensure their retention limit. </w:t>
      </w:r>
      <w:r w:rsidR="00387F6B">
        <w:rPr>
          <w:shd w:val="clear" w:color="auto" w:fill="FFFFFF"/>
        </w:rPr>
        <w:t xml:space="preserve">Hence, through this stage, hotel companies </w:t>
      </w:r>
      <w:r w:rsidR="00E911EB">
        <w:rPr>
          <w:shd w:val="clear" w:color="auto" w:fill="FFFFFF"/>
        </w:rPr>
        <w:t xml:space="preserve">could bolster the engagement rate between Gen Y and Gen Z. </w:t>
      </w:r>
    </w:p>
    <w:p w:rsidR="00160CF2" w:rsidRPr="006548BD" w:rsidRDefault="0012638A">
      <w:pPr>
        <w:rPr>
          <w:i/>
        </w:rPr>
      </w:pPr>
      <w:r w:rsidRPr="006548BD">
        <w:rPr>
          <w:i/>
        </w:rPr>
        <w:t xml:space="preserve">Separation </w:t>
      </w:r>
    </w:p>
    <w:p w:rsidR="00034338" w:rsidRPr="00BB1437" w:rsidRDefault="004B6097">
      <w:pPr>
        <w:rPr>
          <w:bCs/>
          <w:iCs/>
        </w:rPr>
      </w:pPr>
      <w:r w:rsidRPr="009644C0">
        <w:rPr>
          <w:color w:val="FF0000"/>
          <w:shd w:val="clear" w:color="auto" w:fill="FFFFFF"/>
        </w:rPr>
        <w:t xml:space="preserve">Garcia-Perez </w:t>
      </w:r>
      <w:r w:rsidRPr="009644C0">
        <w:rPr>
          <w:i/>
          <w:color w:val="FF0000"/>
          <w:shd w:val="clear" w:color="auto" w:fill="FFFFFF"/>
        </w:rPr>
        <w:t>et al</w:t>
      </w:r>
      <w:r w:rsidRPr="009644C0">
        <w:rPr>
          <w:color w:val="FF0000"/>
          <w:shd w:val="clear" w:color="auto" w:fill="FFFFFF"/>
        </w:rPr>
        <w:t>. (2019)</w:t>
      </w:r>
      <w:r w:rsidR="0012638A">
        <w:rPr>
          <w:shd w:val="clear" w:color="auto" w:fill="FFFFFF"/>
        </w:rPr>
        <w:t xml:space="preserve"> have mentioned that </w:t>
      </w:r>
      <w:r w:rsidR="00BB379B">
        <w:rPr>
          <w:shd w:val="clear" w:color="auto" w:fill="FFFFFF"/>
        </w:rPr>
        <w:t>the off</w:t>
      </w:r>
      <w:r w:rsidR="0089196E">
        <w:rPr>
          <w:shd w:val="clear" w:color="auto" w:fill="FFFFFF"/>
        </w:rPr>
        <w:t>-</w:t>
      </w:r>
      <w:r w:rsidR="00BB379B">
        <w:rPr>
          <w:shd w:val="clear" w:color="auto" w:fill="FFFFFF"/>
        </w:rPr>
        <w:t xml:space="preserve">boarding </w:t>
      </w:r>
      <w:r w:rsidR="00E469AA">
        <w:rPr>
          <w:shd w:val="clear" w:color="auto" w:fill="FFFFFF"/>
        </w:rPr>
        <w:t xml:space="preserve">or separation </w:t>
      </w:r>
      <w:r w:rsidR="00BB379B">
        <w:rPr>
          <w:shd w:val="clear" w:color="auto" w:fill="FFFFFF"/>
        </w:rPr>
        <w:t xml:space="preserve">system helps employers to separate exiting employees by gaining positive feedback from the retiring employees. This helps possible to make employee retention strategic and effective. This stage also considers the brand value of the organisation and ensures greater safety </w:t>
      </w:r>
      <w:r w:rsidR="00F571E9">
        <w:rPr>
          <w:shd w:val="clear" w:color="auto" w:fill="FFFFFF"/>
        </w:rPr>
        <w:t xml:space="preserve">for </w:t>
      </w:r>
      <w:r w:rsidR="00BE728E">
        <w:rPr>
          <w:shd w:val="clear" w:color="auto" w:fill="FFFFFF"/>
        </w:rPr>
        <w:t xml:space="preserve">the future performance of the organisation. </w:t>
      </w:r>
    </w:p>
    <w:p w:rsidR="00056D04" w:rsidRDefault="0012638A">
      <w:pPr>
        <w:rPr>
          <w:b/>
          <w:bCs/>
          <w:i/>
          <w:iCs/>
        </w:rPr>
      </w:pPr>
      <w:r w:rsidRPr="00B34930">
        <w:rPr>
          <w:b/>
          <w:bCs/>
          <w:i/>
          <w:iCs/>
        </w:rPr>
        <w:t xml:space="preserve">Examples of team engagement </w:t>
      </w:r>
    </w:p>
    <w:p w:rsidR="007442E2" w:rsidRPr="000E6CDF" w:rsidRDefault="007442E2" w:rsidP="007442E2">
      <w:pPr>
        <w:rPr>
          <w:bCs/>
          <w:iCs/>
        </w:rPr>
      </w:pPr>
      <w:r>
        <w:rPr>
          <w:bCs/>
          <w:iCs/>
        </w:rPr>
        <w:t>As per the opinion of</w:t>
      </w:r>
      <w:r w:rsidR="005E2BCC">
        <w:rPr>
          <w:bCs/>
          <w:iCs/>
        </w:rPr>
        <w:t xml:space="preserve"> </w:t>
      </w:r>
      <w:proofErr w:type="spellStart"/>
      <w:r>
        <w:t>Freyn</w:t>
      </w:r>
      <w:proofErr w:type="spellEnd"/>
      <w:r w:rsidRPr="00402064">
        <w:t>,</w:t>
      </w:r>
      <w:r w:rsidR="005E2BCC">
        <w:t xml:space="preserve"> </w:t>
      </w:r>
      <w:proofErr w:type="spellStart"/>
      <w:r w:rsidR="0089196E">
        <w:t>Sedaghatjou</w:t>
      </w:r>
      <w:proofErr w:type="spellEnd"/>
      <w:r w:rsidR="0089196E">
        <w:t>,</w:t>
      </w:r>
      <w:r>
        <w:t xml:space="preserve"> and Rodney(</w:t>
      </w:r>
      <w:r w:rsidRPr="00402064">
        <w:t>2021</w:t>
      </w:r>
      <w:r>
        <w:t xml:space="preserve">), </w:t>
      </w:r>
      <w:r>
        <w:rPr>
          <w:bCs/>
          <w:iCs/>
        </w:rPr>
        <w:t>c</w:t>
      </w:r>
      <w:r w:rsidRPr="00B56C8B">
        <w:rPr>
          <w:bCs/>
          <w:iCs/>
        </w:rPr>
        <w:t xml:space="preserve">reating an engaged and productive team requires effective team member </w:t>
      </w:r>
      <w:proofErr w:type="spellStart"/>
      <w:r w:rsidRPr="00B56C8B">
        <w:rPr>
          <w:bCs/>
          <w:iCs/>
        </w:rPr>
        <w:t>engagement.</w:t>
      </w:r>
      <w:r w:rsidRPr="000E6CDF">
        <w:rPr>
          <w:bCs/>
          <w:iCs/>
        </w:rPr>
        <w:t>Team</w:t>
      </w:r>
      <w:proofErr w:type="spellEnd"/>
      <w:r w:rsidRPr="000E6CDF">
        <w:rPr>
          <w:bCs/>
          <w:iCs/>
        </w:rPr>
        <w:t xml:space="preserve"> engagement depends on effective communication</w:t>
      </w:r>
      <w:r>
        <w:rPr>
          <w:bCs/>
          <w:iCs/>
        </w:rPr>
        <w:t xml:space="preserve"> where c</w:t>
      </w:r>
      <w:r w:rsidRPr="000E6CDF">
        <w:rPr>
          <w:bCs/>
          <w:iCs/>
        </w:rPr>
        <w:t xml:space="preserve">ollaboration can be encouraged by holding periodic team conferences where every individual gets a chance to speak and provide updates. </w:t>
      </w:r>
      <w:proofErr w:type="spellStart"/>
      <w:r w:rsidR="00743C93" w:rsidRPr="003F5EB5">
        <w:rPr>
          <w:color w:val="FF0000"/>
        </w:rPr>
        <w:t>Tovmasyan</w:t>
      </w:r>
      <w:proofErr w:type="spellEnd"/>
      <w:r w:rsidR="00743C93" w:rsidRPr="003F5EB5">
        <w:rPr>
          <w:color w:val="FF0000"/>
        </w:rPr>
        <w:t xml:space="preserve"> and </w:t>
      </w:r>
      <w:proofErr w:type="spellStart"/>
      <w:r w:rsidR="00743C93" w:rsidRPr="003F5EB5">
        <w:rPr>
          <w:color w:val="FF0000"/>
        </w:rPr>
        <w:t>Minasyan</w:t>
      </w:r>
      <w:proofErr w:type="spellEnd"/>
      <w:r w:rsidR="00743C93" w:rsidRPr="003F5EB5">
        <w:rPr>
          <w:color w:val="FF0000"/>
        </w:rPr>
        <w:t xml:space="preserve"> (2020) </w:t>
      </w:r>
      <w:r>
        <w:rPr>
          <w:bCs/>
          <w:iCs/>
        </w:rPr>
        <w:t>denoted that c</w:t>
      </w:r>
      <w:r w:rsidRPr="000E6CDF">
        <w:rPr>
          <w:bCs/>
          <w:iCs/>
        </w:rPr>
        <w:t>onsider</w:t>
      </w:r>
      <w:r>
        <w:rPr>
          <w:bCs/>
          <w:iCs/>
        </w:rPr>
        <w:t>ing the h</w:t>
      </w:r>
      <w:r w:rsidRPr="000E6CDF">
        <w:rPr>
          <w:bCs/>
          <w:iCs/>
        </w:rPr>
        <w:t xml:space="preserve">olding </w:t>
      </w:r>
      <w:r>
        <w:rPr>
          <w:bCs/>
          <w:iCs/>
        </w:rPr>
        <w:t xml:space="preserve">of </w:t>
      </w:r>
      <w:r w:rsidRPr="000E6CDF">
        <w:rPr>
          <w:bCs/>
          <w:iCs/>
        </w:rPr>
        <w:t>weekly "status update" meetings where each team member can share their ideas, issues, and progress</w:t>
      </w:r>
      <w:r>
        <w:rPr>
          <w:bCs/>
          <w:iCs/>
        </w:rPr>
        <w:t>, would</w:t>
      </w:r>
      <w:r w:rsidRPr="000E6CDF">
        <w:rPr>
          <w:bCs/>
          <w:iCs/>
        </w:rPr>
        <w:t xml:space="preserve"> not only keep everyone up to date but also promote engagement and guarantee that everyone's viewpoint is heard.</w:t>
      </w:r>
    </w:p>
    <w:p w:rsidR="00B34930" w:rsidRPr="00B34930" w:rsidRDefault="007442E2" w:rsidP="007442E2">
      <w:pPr>
        <w:rPr>
          <w:bCs/>
          <w:iCs/>
        </w:rPr>
      </w:pPr>
      <w:r w:rsidRPr="0060591D">
        <w:rPr>
          <w:bCs/>
          <w:iCs/>
        </w:rPr>
        <w:lastRenderedPageBreak/>
        <w:t xml:space="preserve">Investing in the development of </w:t>
      </w:r>
      <w:r>
        <w:rPr>
          <w:bCs/>
          <w:iCs/>
        </w:rPr>
        <w:t>the</w:t>
      </w:r>
      <w:r w:rsidRPr="0060591D">
        <w:rPr>
          <w:bCs/>
          <w:iCs/>
        </w:rPr>
        <w:t xml:space="preserve"> employees can greatly increase engagement. </w:t>
      </w:r>
      <w:r>
        <w:rPr>
          <w:bCs/>
          <w:iCs/>
        </w:rPr>
        <w:t>P</w:t>
      </w:r>
      <w:r w:rsidRPr="0060591D">
        <w:rPr>
          <w:bCs/>
          <w:iCs/>
        </w:rPr>
        <w:t>roviding chances for career-relevant skill</w:t>
      </w:r>
      <w:r>
        <w:rPr>
          <w:bCs/>
          <w:iCs/>
        </w:rPr>
        <w:t xml:space="preserve"> advancement or certifications can g</w:t>
      </w:r>
      <w:r w:rsidRPr="0060591D">
        <w:rPr>
          <w:bCs/>
          <w:iCs/>
        </w:rPr>
        <w:t xml:space="preserve">ive people access to online workshops, courses, or mentorship programmes, for instance. Team members are typically more motivated and dedicated when they perceive that their employer is interested in their professional </w:t>
      </w:r>
      <w:proofErr w:type="gramStart"/>
      <w:r w:rsidRPr="0060591D">
        <w:rPr>
          <w:bCs/>
          <w:iCs/>
        </w:rPr>
        <w:t>development</w:t>
      </w:r>
      <w:r>
        <w:rPr>
          <w:bCs/>
          <w:iCs/>
        </w:rPr>
        <w:t>(</w:t>
      </w:r>
      <w:proofErr w:type="spellStart"/>
      <w:proofErr w:type="gramEnd"/>
      <w:r>
        <w:t>Tovmasyan</w:t>
      </w:r>
      <w:proofErr w:type="spellEnd"/>
      <w:r w:rsidRPr="00402064">
        <w:t xml:space="preserve"> a</w:t>
      </w:r>
      <w:r>
        <w:t xml:space="preserve">nd </w:t>
      </w:r>
      <w:proofErr w:type="spellStart"/>
      <w:r>
        <w:t>Minasyan</w:t>
      </w:r>
      <w:proofErr w:type="spellEnd"/>
      <w:r>
        <w:t xml:space="preserve">, </w:t>
      </w:r>
      <w:r w:rsidRPr="00402064">
        <w:t>2020</w:t>
      </w:r>
      <w:r>
        <w:rPr>
          <w:bCs/>
          <w:iCs/>
        </w:rPr>
        <w:t>)</w:t>
      </w:r>
      <w:r w:rsidRPr="0060591D">
        <w:rPr>
          <w:bCs/>
          <w:iCs/>
        </w:rPr>
        <w:t>.</w:t>
      </w:r>
      <w:r>
        <w:rPr>
          <w:bCs/>
          <w:iCs/>
        </w:rPr>
        <w:t xml:space="preserve"> Further, e</w:t>
      </w:r>
      <w:r w:rsidRPr="0060591D">
        <w:rPr>
          <w:bCs/>
          <w:iCs/>
        </w:rPr>
        <w:t xml:space="preserve">ngaging </w:t>
      </w:r>
      <w:r>
        <w:rPr>
          <w:bCs/>
          <w:iCs/>
        </w:rPr>
        <w:t>the</w:t>
      </w:r>
      <w:r w:rsidRPr="0060591D">
        <w:rPr>
          <w:bCs/>
          <w:iCs/>
        </w:rPr>
        <w:t xml:space="preserve"> team may be maintained in large part by recognising and rewarding exceptional achievement. Implement</w:t>
      </w:r>
      <w:r>
        <w:rPr>
          <w:bCs/>
          <w:iCs/>
        </w:rPr>
        <w:t>ing</w:t>
      </w:r>
      <w:r w:rsidRPr="0060591D">
        <w:rPr>
          <w:bCs/>
          <w:iCs/>
        </w:rPr>
        <w:t xml:space="preserve"> a programme for staff appreciation that offers frequent </w:t>
      </w:r>
      <w:r>
        <w:rPr>
          <w:bCs/>
          <w:iCs/>
        </w:rPr>
        <w:t>appreciation</w:t>
      </w:r>
      <w:r w:rsidRPr="0060591D">
        <w:rPr>
          <w:bCs/>
          <w:iCs/>
        </w:rPr>
        <w:t>, prizes, or bonuses for meeting or exceeding milestones</w:t>
      </w:r>
      <w:r>
        <w:rPr>
          <w:bCs/>
          <w:iCs/>
        </w:rPr>
        <w:t xml:space="preserve"> also motivates the employees (</w:t>
      </w:r>
      <w:proofErr w:type="spellStart"/>
      <w:r w:rsidR="00743C93" w:rsidRPr="003F5EB5">
        <w:rPr>
          <w:color w:val="FF0000"/>
        </w:rPr>
        <w:t>Freyn</w:t>
      </w:r>
      <w:proofErr w:type="spellEnd"/>
      <w:r w:rsidR="00743C93" w:rsidRPr="003F5EB5">
        <w:rPr>
          <w:color w:val="FF0000"/>
        </w:rPr>
        <w:t xml:space="preserve">, </w:t>
      </w:r>
      <w:proofErr w:type="spellStart"/>
      <w:r w:rsidR="00743C93" w:rsidRPr="003F5EB5">
        <w:rPr>
          <w:color w:val="FF0000"/>
        </w:rPr>
        <w:t>Sedaghatjou</w:t>
      </w:r>
      <w:proofErr w:type="spellEnd"/>
      <w:r w:rsidR="00743C93" w:rsidRPr="003F5EB5">
        <w:rPr>
          <w:color w:val="FF0000"/>
        </w:rPr>
        <w:t>, and Rodney, 2021</w:t>
      </w:r>
      <w:r w:rsidRPr="003F5EB5">
        <w:rPr>
          <w:bCs/>
          <w:iCs/>
          <w:color w:val="FF0000"/>
        </w:rPr>
        <w:t>).</w:t>
      </w:r>
      <w:r>
        <w:rPr>
          <w:bCs/>
          <w:iCs/>
        </w:rPr>
        <w:t>The employees</w:t>
      </w:r>
      <w:r w:rsidRPr="0060591D">
        <w:rPr>
          <w:bCs/>
          <w:iCs/>
        </w:rPr>
        <w:t xml:space="preserve"> might feel valued and appreciated by receiving public acknowledgement during team meetings or via a corporate communication platform.</w:t>
      </w:r>
    </w:p>
    <w:p w:rsidR="002664A6" w:rsidRDefault="0012638A">
      <w:pPr>
        <w:rPr>
          <w:b/>
          <w:bCs/>
          <w:i/>
          <w:iCs/>
        </w:rPr>
      </w:pPr>
      <w:r w:rsidRPr="00D452CD">
        <w:rPr>
          <w:b/>
          <w:bCs/>
          <w:i/>
          <w:iCs/>
        </w:rPr>
        <w:t xml:space="preserve">Employee engagement model and implementation process </w:t>
      </w:r>
    </w:p>
    <w:p w:rsidR="00D452CD" w:rsidRDefault="0012638A" w:rsidP="00BE0F67">
      <w:pPr>
        <w:jc w:val="center"/>
        <w:rPr>
          <w:bCs/>
          <w:iCs/>
        </w:rPr>
      </w:pPr>
      <w:r>
        <w:rPr>
          <w:bCs/>
          <w:iCs/>
          <w:noProof/>
          <w:lang w:val="bg-BG" w:eastAsia="bg-BG"/>
        </w:rPr>
        <w:drawing>
          <wp:inline distT="0" distB="0" distL="0" distR="0">
            <wp:extent cx="4658264"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BD48C0" w:rsidRPr="003F6801" w:rsidRDefault="0012638A" w:rsidP="00BE0F67">
      <w:pPr>
        <w:jc w:val="center"/>
        <w:rPr>
          <w:b/>
          <w:bCs/>
          <w:iCs/>
        </w:rPr>
      </w:pPr>
      <w:r w:rsidRPr="003F6801">
        <w:rPr>
          <w:b/>
          <w:bCs/>
          <w:iCs/>
        </w:rPr>
        <w:t>Figure</w:t>
      </w:r>
      <w:r w:rsidR="00AD5BE3">
        <w:rPr>
          <w:b/>
          <w:bCs/>
          <w:iCs/>
        </w:rPr>
        <w:t xml:space="preserve"> 1</w:t>
      </w:r>
      <w:r w:rsidRPr="003F6801">
        <w:rPr>
          <w:b/>
          <w:bCs/>
          <w:iCs/>
        </w:rPr>
        <w:t xml:space="preserve">: Zinger model of employee engagement </w:t>
      </w:r>
    </w:p>
    <w:p w:rsidR="00BD48C0" w:rsidRDefault="0012638A" w:rsidP="00BE0F67">
      <w:pPr>
        <w:jc w:val="center"/>
        <w:rPr>
          <w:bCs/>
          <w:iCs/>
        </w:rPr>
      </w:pPr>
      <w:r>
        <w:rPr>
          <w:bCs/>
          <w:iCs/>
        </w:rPr>
        <w:t xml:space="preserve">(Source: self-created) </w:t>
      </w:r>
    </w:p>
    <w:p w:rsidR="007A274C" w:rsidRDefault="0012638A" w:rsidP="003F6801">
      <w:r>
        <w:t xml:space="preserve">According to </w:t>
      </w:r>
      <w:r w:rsidR="004C02B4" w:rsidRPr="004C02B4">
        <w:rPr>
          <w:color w:val="FF0000"/>
          <w:shd w:val="clear" w:color="auto" w:fill="FFFFFF"/>
        </w:rPr>
        <w:t>RP (2023)</w:t>
      </w:r>
      <w:r>
        <w:rPr>
          <w:shd w:val="clear" w:color="auto" w:fill="FFFFFF"/>
        </w:rPr>
        <w:t xml:space="preserve">, </w:t>
      </w:r>
      <w:r w:rsidR="00857357">
        <w:rPr>
          <w:shd w:val="clear" w:color="auto" w:fill="FFFFFF"/>
        </w:rPr>
        <w:t xml:space="preserve">the Zinger model of employee engagement is considered a strategic way to improve the employee's </w:t>
      </w:r>
      <w:r w:rsidR="00EE71B9">
        <w:rPr>
          <w:shd w:val="clear" w:color="auto" w:fill="FFFFFF"/>
        </w:rPr>
        <w:t xml:space="preserve">minds and enhances their potential to become </w:t>
      </w:r>
      <w:r w:rsidR="00EE71B9">
        <w:rPr>
          <w:shd w:val="clear" w:color="auto" w:fill="FFFFFF"/>
        </w:rPr>
        <w:lastRenderedPageBreak/>
        <w:t xml:space="preserve">perfect </w:t>
      </w:r>
      <w:r w:rsidR="00442F7B">
        <w:rPr>
          <w:shd w:val="clear" w:color="auto" w:fill="FFFFFF"/>
        </w:rPr>
        <w:t xml:space="preserve">body inside the organisation. </w:t>
      </w:r>
      <w:r w:rsidR="000E192A">
        <w:rPr>
          <w:shd w:val="clear" w:color="auto" w:fill="FFFFFF"/>
        </w:rPr>
        <w:t>The six stages of the Zinger model elaborate on fostering relationships and community, serving customers, experiencing well-being, leveraging energies, professional and personal development and identifying with the organisation</w:t>
      </w:r>
      <w:r w:rsidR="000E192A" w:rsidRPr="00724245">
        <w:rPr>
          <w:color w:val="FF0000"/>
          <w:shd w:val="clear" w:color="auto" w:fill="FFFFFF"/>
        </w:rPr>
        <w:t xml:space="preserve">. </w:t>
      </w:r>
      <w:proofErr w:type="spellStart"/>
      <w:r w:rsidR="00AB2DD5" w:rsidRPr="00F12C06">
        <w:rPr>
          <w:shd w:val="clear" w:color="auto" w:fill="FFFFFF"/>
        </w:rPr>
        <w:t>Hussainy</w:t>
      </w:r>
      <w:proofErr w:type="spellEnd"/>
      <w:r w:rsidR="00AB2DD5" w:rsidRPr="00F12C06">
        <w:rPr>
          <w:shd w:val="clear" w:color="auto" w:fill="FFFFFF"/>
        </w:rPr>
        <w:t xml:space="preserve"> (2020) has</w:t>
      </w:r>
      <w:r w:rsidR="00AB2DD5">
        <w:rPr>
          <w:shd w:val="clear" w:color="auto" w:fill="FFFFFF"/>
        </w:rPr>
        <w:t xml:space="preserve"> mentioned that the </w:t>
      </w:r>
      <w:r w:rsidR="00651189">
        <w:rPr>
          <w:shd w:val="clear" w:color="auto" w:fill="FFFFFF"/>
        </w:rPr>
        <w:t xml:space="preserve">Zinger model helps to </w:t>
      </w:r>
      <w:r w:rsidR="00C83A07">
        <w:rPr>
          <w:shd w:val="clear" w:color="auto" w:fill="FFFFFF"/>
        </w:rPr>
        <w:t xml:space="preserve">identify the relationship status between employers and employees, which creates a strategic opportunity to implement the strategies in the </w:t>
      </w:r>
      <w:proofErr w:type="spellStart"/>
      <w:r w:rsidR="00C83A07">
        <w:rPr>
          <w:shd w:val="clear" w:color="auto" w:fill="FFFFFF"/>
        </w:rPr>
        <w:t>organisation.</w:t>
      </w:r>
      <w:r w:rsidR="001932B4">
        <w:rPr>
          <w:shd w:val="clear" w:color="auto" w:fill="FFFFFF"/>
        </w:rPr>
        <w:t>In</w:t>
      </w:r>
      <w:proofErr w:type="spellEnd"/>
      <w:r w:rsidR="001932B4">
        <w:rPr>
          <w:shd w:val="clear" w:color="auto" w:fill="FFFFFF"/>
        </w:rPr>
        <w:t xml:space="preserve"> the report published in </w:t>
      </w:r>
      <w:r w:rsidR="001932B4" w:rsidRPr="00F12C06">
        <w:t>People Matters (2017)</w:t>
      </w:r>
      <w:r w:rsidR="001932B4" w:rsidRPr="001F5B3D">
        <w:t>,</w:t>
      </w:r>
      <w:r w:rsidR="001932B4">
        <w:t xml:space="preserve"> Marriott International has </w:t>
      </w:r>
      <w:r w:rsidR="00FF1A08">
        <w:t xml:space="preserve">built </w:t>
      </w:r>
      <w:r w:rsidR="0060622A" w:rsidRPr="0060622A">
        <w:rPr>
          <w:i/>
        </w:rPr>
        <w:t>a '</w:t>
      </w:r>
      <w:r w:rsidR="00FF1A08" w:rsidRPr="0060622A">
        <w:rPr>
          <w:i/>
        </w:rPr>
        <w:t>Take Care Well-Being program</w:t>
      </w:r>
      <w:r w:rsidR="0060622A" w:rsidRPr="0060622A">
        <w:rPr>
          <w:i/>
        </w:rPr>
        <w:t>’</w:t>
      </w:r>
      <w:r w:rsidR="00FF1A08">
        <w:t xml:space="preserve"> to motivate their employees and generate value towards a great business output. </w:t>
      </w:r>
      <w:r w:rsidR="00DB3F5D">
        <w:t xml:space="preserve">Besides, </w:t>
      </w:r>
      <w:r w:rsidR="00DB3F5D" w:rsidRPr="0060622A">
        <w:rPr>
          <w:i/>
        </w:rPr>
        <w:t>the Guarantee of Fair Treatment (GFT)</w:t>
      </w:r>
      <w:r w:rsidR="00DB3F5D">
        <w:t xml:space="preserve"> philosophy ensures better recognition for employees to voice workplace concerns, which have been resolved with the aid of strategic ways. </w:t>
      </w:r>
    </w:p>
    <w:p w:rsidR="003F6801" w:rsidRPr="00BE0F67" w:rsidRDefault="00BC73AE" w:rsidP="003F6801">
      <w:proofErr w:type="spellStart"/>
      <w:r w:rsidRPr="00DD797D">
        <w:rPr>
          <w:color w:val="FF0000"/>
          <w:shd w:val="clear" w:color="auto" w:fill="FFFFFF"/>
        </w:rPr>
        <w:t>Suomi</w:t>
      </w:r>
      <w:proofErr w:type="spellEnd"/>
      <w:r w:rsidRPr="00DD797D">
        <w:rPr>
          <w:color w:val="FF0000"/>
          <w:shd w:val="clear" w:color="auto" w:fill="FFFFFF"/>
        </w:rPr>
        <w:t xml:space="preserve"> </w:t>
      </w:r>
      <w:r w:rsidRPr="00DD797D">
        <w:rPr>
          <w:i/>
          <w:color w:val="FF0000"/>
          <w:shd w:val="clear" w:color="auto" w:fill="FFFFFF"/>
        </w:rPr>
        <w:t>et al</w:t>
      </w:r>
      <w:r w:rsidRPr="00DD797D">
        <w:rPr>
          <w:color w:val="FF0000"/>
          <w:shd w:val="clear" w:color="auto" w:fill="FFFFFF"/>
        </w:rPr>
        <w:t>. (2021)</w:t>
      </w:r>
      <w:r w:rsidR="0012638A">
        <w:rPr>
          <w:shd w:val="clear" w:color="auto" w:fill="FFFFFF"/>
        </w:rPr>
        <w:t xml:space="preserve"> have mentioned that </w:t>
      </w:r>
      <w:r w:rsidR="00F65383">
        <w:rPr>
          <w:shd w:val="clear" w:color="auto" w:fill="FFFFFF"/>
        </w:rPr>
        <w:t xml:space="preserve">during the crisis, employee engagement </w:t>
      </w:r>
      <w:r w:rsidR="0030654E">
        <w:rPr>
          <w:shd w:val="clear" w:color="auto" w:fill="FFFFFF"/>
        </w:rPr>
        <w:t xml:space="preserve">is considered a strategic way to build the parameters of </w:t>
      </w:r>
      <w:r w:rsidR="007E2E6D">
        <w:rPr>
          <w:shd w:val="clear" w:color="auto" w:fill="FFFFFF"/>
        </w:rPr>
        <w:t xml:space="preserve">well-being and satisfaction. Apart from this, by managing employee demand, employee </w:t>
      </w:r>
      <w:r w:rsidR="00F669EA">
        <w:rPr>
          <w:shd w:val="clear" w:color="auto" w:fill="FFFFFF"/>
        </w:rPr>
        <w:t>engagement becomes</w:t>
      </w:r>
      <w:r w:rsidR="007E2E6D">
        <w:rPr>
          <w:shd w:val="clear" w:color="auto" w:fill="FFFFFF"/>
        </w:rPr>
        <w:t xml:space="preserve"> possible for generating </w:t>
      </w:r>
      <w:r w:rsidR="003356C6">
        <w:rPr>
          <w:shd w:val="clear" w:color="auto" w:fill="FFFFFF"/>
        </w:rPr>
        <w:t>energy</w:t>
      </w:r>
      <w:r w:rsidR="007E2E6D">
        <w:rPr>
          <w:shd w:val="clear" w:color="auto" w:fill="FFFFFF"/>
        </w:rPr>
        <w:t xml:space="preserve">. </w:t>
      </w:r>
      <w:proofErr w:type="spellStart"/>
      <w:r w:rsidR="00BF6809" w:rsidRPr="00BF6809">
        <w:rPr>
          <w:color w:val="FF0000"/>
          <w:shd w:val="clear" w:color="auto" w:fill="FFFFFF"/>
        </w:rPr>
        <w:t>Nienaber</w:t>
      </w:r>
      <w:proofErr w:type="spellEnd"/>
      <w:r w:rsidR="00BF6809" w:rsidRPr="00BF6809">
        <w:rPr>
          <w:color w:val="FF0000"/>
          <w:shd w:val="clear" w:color="auto" w:fill="FFFFFF"/>
        </w:rPr>
        <w:t xml:space="preserve"> and Martins (2020)</w:t>
      </w:r>
      <w:r w:rsidR="00860557">
        <w:rPr>
          <w:shd w:val="clear" w:color="auto" w:fill="FFFFFF"/>
        </w:rPr>
        <w:t xml:space="preserve"> have stated that </w:t>
      </w:r>
      <w:r w:rsidR="001072E5">
        <w:rPr>
          <w:shd w:val="clear" w:color="auto" w:fill="FFFFFF"/>
        </w:rPr>
        <w:t xml:space="preserve">through organisational identity and professional development, employee well-being could be fulfilled. As Marriott International </w:t>
      </w:r>
      <w:r w:rsidR="006C06D4">
        <w:rPr>
          <w:shd w:val="clear" w:color="auto" w:fill="FFFFFF"/>
        </w:rPr>
        <w:t xml:space="preserve">is a dynamic company, the employee engagement model and its implementation become easier through different schemes and policies. </w:t>
      </w:r>
      <w:r w:rsidR="006C607C">
        <w:rPr>
          <w:shd w:val="clear" w:color="auto" w:fill="FFFFFF"/>
        </w:rPr>
        <w:t>T</w:t>
      </w:r>
      <w:r w:rsidR="00E92653">
        <w:rPr>
          <w:shd w:val="clear" w:color="auto" w:fill="FFFFFF"/>
        </w:rPr>
        <w:t xml:space="preserve">he Zinger model of employee engagement could identify motivational factors, which could effectively be implemented in the operational process for a better organisational culture. </w:t>
      </w:r>
      <w:r w:rsidR="009666DB">
        <w:rPr>
          <w:shd w:val="clear" w:color="auto" w:fill="FFFFFF"/>
        </w:rPr>
        <w:t xml:space="preserve">Hence, it can be said that </w:t>
      </w:r>
      <w:r w:rsidR="006F3FD4">
        <w:rPr>
          <w:shd w:val="clear" w:color="auto" w:fill="FFFFFF"/>
        </w:rPr>
        <w:t xml:space="preserve">through strategic implementation tools and identifying strategic employee management techniques, the relationship between Gen Y and Gen Z could be improved in the hotel industry. </w:t>
      </w:r>
    </w:p>
    <w:p w:rsidR="009168C7" w:rsidRDefault="0012638A" w:rsidP="000F66DE">
      <w:pPr>
        <w:pStyle w:val="1"/>
      </w:pPr>
      <w:bookmarkStart w:id="3" w:name="_Toc147243167"/>
      <w:r w:rsidRPr="007C58C3">
        <w:t>3. Conclusion</w:t>
      </w:r>
      <w:bookmarkEnd w:id="3"/>
    </w:p>
    <w:p w:rsidR="007C58C3" w:rsidRPr="007C58C3" w:rsidRDefault="007F23C7" w:rsidP="007C58C3">
      <w:r>
        <w:t xml:space="preserve">This assignment brought to light the critical part that HR plays in motivating Generation Y and Z workers in the hospitality industry. It discussed the distinctive traits of Generation Z, engagement tactics, and the advantages of a highly engaged team. The task discussed the employee lifecycle and provided instances of good team involvement. There was a focus on the value of acknowledgement, skill development, and communication in fostering team engagement. Additionally, the hotel industry's </w:t>
      </w:r>
      <w:r>
        <w:lastRenderedPageBreak/>
        <w:t>need for customised interaction strategies was emphasised. In today's dynamic workforce, effectively involving these various generations is crucial for organisational success.</w:t>
      </w:r>
    </w:p>
    <w:p w:rsidR="00A04243" w:rsidRDefault="00A04243">
      <w:pPr>
        <w:spacing w:after="160" w:line="259" w:lineRule="auto"/>
        <w:jc w:val="left"/>
        <w:rPr>
          <w:rFonts w:eastAsia="Times New Roman"/>
          <w:b/>
          <w:szCs w:val="48"/>
        </w:rPr>
      </w:pPr>
      <w:r>
        <w:br w:type="page"/>
      </w:r>
    </w:p>
    <w:p w:rsidR="003E0A63" w:rsidRPr="0020703D" w:rsidRDefault="0012638A" w:rsidP="0020703D">
      <w:pPr>
        <w:pStyle w:val="1"/>
      </w:pPr>
      <w:bookmarkStart w:id="4" w:name="_Toc147243168"/>
      <w:r>
        <w:lastRenderedPageBreak/>
        <w:t>References</w:t>
      </w:r>
      <w:bookmarkEnd w:id="4"/>
    </w:p>
    <w:p w:rsidR="003E0A63" w:rsidRPr="003E0A63" w:rsidRDefault="003E0A63" w:rsidP="007A3057">
      <w:pPr>
        <w:rPr>
          <w:rFonts w:cs="Arial"/>
        </w:rPr>
      </w:pPr>
      <w:proofErr w:type="spellStart"/>
      <w:r w:rsidRPr="003E0A63">
        <w:rPr>
          <w:rFonts w:cs="Arial"/>
        </w:rPr>
        <w:t>Agustina</w:t>
      </w:r>
      <w:proofErr w:type="spellEnd"/>
      <w:r w:rsidRPr="003E0A63">
        <w:rPr>
          <w:rFonts w:cs="Arial"/>
        </w:rPr>
        <w:t xml:space="preserve">, T.S. and </w:t>
      </w:r>
      <w:proofErr w:type="spellStart"/>
      <w:r w:rsidRPr="003E0A63">
        <w:rPr>
          <w:rFonts w:cs="Arial"/>
        </w:rPr>
        <w:t>Fauzia</w:t>
      </w:r>
      <w:proofErr w:type="spellEnd"/>
      <w:r w:rsidRPr="003E0A63">
        <w:rPr>
          <w:rFonts w:cs="Arial"/>
        </w:rPr>
        <w:t xml:space="preserve">, D.S., (2021). </w:t>
      </w:r>
      <w:proofErr w:type="gramStart"/>
      <w:r w:rsidRPr="003E0A63">
        <w:rPr>
          <w:rFonts w:cs="Arial"/>
        </w:rPr>
        <w:t>The need for achievement, risk-taking propensity, and entrepreneurial intention of the generation Z. </w:t>
      </w:r>
      <w:proofErr w:type="spellStart"/>
      <w:r w:rsidRPr="003E0A63">
        <w:rPr>
          <w:rFonts w:cs="Arial"/>
          <w:i/>
          <w:iCs/>
        </w:rPr>
        <w:t>Risenologi</w:t>
      </w:r>
      <w:proofErr w:type="spellEnd"/>
      <w:r w:rsidRPr="003E0A63">
        <w:rPr>
          <w:rFonts w:cs="Arial"/>
        </w:rPr>
        <w:t>, </w:t>
      </w:r>
      <w:r w:rsidRPr="003E0A63">
        <w:rPr>
          <w:rFonts w:cs="Arial"/>
          <w:i/>
          <w:iCs/>
        </w:rPr>
        <w:t>6</w:t>
      </w:r>
      <w:r w:rsidRPr="003E0A63">
        <w:rPr>
          <w:rFonts w:cs="Arial"/>
        </w:rPr>
        <w:t>(1), pp.96-106.</w:t>
      </w:r>
      <w:proofErr w:type="gramEnd"/>
    </w:p>
    <w:p w:rsidR="003E0A63" w:rsidRPr="003E0A63" w:rsidRDefault="003E0A63" w:rsidP="007A3057">
      <w:pPr>
        <w:rPr>
          <w:rFonts w:cs="Arial"/>
          <w:color w:val="FF0000"/>
        </w:rPr>
      </w:pPr>
      <w:proofErr w:type="spellStart"/>
      <w:proofErr w:type="gramStart"/>
      <w:r w:rsidRPr="003E0A63">
        <w:rPr>
          <w:rFonts w:cs="Arial"/>
          <w:color w:val="FF0000"/>
        </w:rPr>
        <w:t>Alqudah</w:t>
      </w:r>
      <w:proofErr w:type="spellEnd"/>
      <w:r w:rsidRPr="003E0A63">
        <w:rPr>
          <w:rFonts w:cs="Arial"/>
          <w:color w:val="FF0000"/>
        </w:rPr>
        <w:t xml:space="preserve">, I.H., </w:t>
      </w:r>
      <w:proofErr w:type="spellStart"/>
      <w:r w:rsidRPr="003E0A63">
        <w:rPr>
          <w:rFonts w:cs="Arial"/>
          <w:color w:val="FF0000"/>
        </w:rPr>
        <w:t>Carballo-Penela</w:t>
      </w:r>
      <w:proofErr w:type="spellEnd"/>
      <w:r w:rsidRPr="003E0A63">
        <w:rPr>
          <w:rFonts w:cs="Arial"/>
          <w:color w:val="FF0000"/>
        </w:rPr>
        <w:t xml:space="preserve">, A. and </w:t>
      </w:r>
      <w:proofErr w:type="spellStart"/>
      <w:r w:rsidRPr="003E0A63">
        <w:rPr>
          <w:rFonts w:cs="Arial"/>
          <w:color w:val="FF0000"/>
        </w:rPr>
        <w:t>Ruzo-Sanmartín</w:t>
      </w:r>
      <w:proofErr w:type="spellEnd"/>
      <w:r w:rsidRPr="003E0A63">
        <w:rPr>
          <w:rFonts w:cs="Arial"/>
          <w:color w:val="FF0000"/>
        </w:rPr>
        <w:t>, E., (2022).</w:t>
      </w:r>
      <w:proofErr w:type="gramEnd"/>
      <w:r w:rsidRPr="003E0A63">
        <w:rPr>
          <w:rFonts w:cs="Arial"/>
          <w:color w:val="FF0000"/>
        </w:rPr>
        <w:t xml:space="preserve"> High-performance human resource management practices and readiness for change: An integrative model including affective commitment, employees’ performance, and the moderating role of hierarchy culture. </w:t>
      </w:r>
      <w:r w:rsidRPr="003E0A63">
        <w:rPr>
          <w:rFonts w:cs="Arial"/>
          <w:i/>
          <w:iCs/>
          <w:color w:val="FF0000"/>
        </w:rPr>
        <w:t>European Research on Management and Business Economics</w:t>
      </w:r>
      <w:r w:rsidRPr="003E0A63">
        <w:rPr>
          <w:rFonts w:cs="Arial"/>
          <w:color w:val="FF0000"/>
        </w:rPr>
        <w:t>, </w:t>
      </w:r>
      <w:r w:rsidRPr="003E0A63">
        <w:rPr>
          <w:rFonts w:cs="Arial"/>
          <w:i/>
          <w:iCs/>
          <w:color w:val="FF0000"/>
        </w:rPr>
        <w:t>28</w:t>
      </w:r>
      <w:r w:rsidRPr="003E0A63">
        <w:rPr>
          <w:rFonts w:cs="Arial"/>
          <w:color w:val="FF0000"/>
        </w:rPr>
        <w:t>(1), p.100177.</w:t>
      </w:r>
    </w:p>
    <w:p w:rsidR="003E0A63" w:rsidRPr="003E0A63" w:rsidRDefault="003E0A63" w:rsidP="007A3057">
      <w:pPr>
        <w:rPr>
          <w:rFonts w:cs="Arial"/>
          <w:color w:val="FF0000"/>
        </w:rPr>
      </w:pPr>
      <w:proofErr w:type="spellStart"/>
      <w:proofErr w:type="gramStart"/>
      <w:r w:rsidRPr="003E0A63">
        <w:rPr>
          <w:rFonts w:cs="Arial"/>
          <w:color w:val="FF0000"/>
        </w:rPr>
        <w:t>Alzoubi</w:t>
      </w:r>
      <w:proofErr w:type="spellEnd"/>
      <w:r w:rsidRPr="003E0A63">
        <w:rPr>
          <w:rFonts w:cs="Arial"/>
          <w:color w:val="FF0000"/>
        </w:rPr>
        <w:t xml:space="preserve">, H.M., Ghazal, T.M., </w:t>
      </w:r>
      <w:proofErr w:type="spellStart"/>
      <w:r w:rsidRPr="003E0A63">
        <w:rPr>
          <w:rFonts w:cs="Arial"/>
          <w:color w:val="FF0000"/>
        </w:rPr>
        <w:t>Sahawneh</w:t>
      </w:r>
      <w:proofErr w:type="spellEnd"/>
      <w:r w:rsidRPr="003E0A63">
        <w:rPr>
          <w:rFonts w:cs="Arial"/>
          <w:color w:val="FF0000"/>
        </w:rPr>
        <w:t>, N. and Al-</w:t>
      </w:r>
      <w:proofErr w:type="spellStart"/>
      <w:r w:rsidRPr="003E0A63">
        <w:rPr>
          <w:rFonts w:cs="Arial"/>
          <w:color w:val="FF0000"/>
        </w:rPr>
        <w:t>kassem</w:t>
      </w:r>
      <w:proofErr w:type="spellEnd"/>
      <w:r w:rsidRPr="003E0A63">
        <w:rPr>
          <w:rFonts w:cs="Arial"/>
          <w:color w:val="FF0000"/>
        </w:rPr>
        <w:t>, A.H., (2022).</w:t>
      </w:r>
      <w:proofErr w:type="gramEnd"/>
      <w:r w:rsidRPr="003E0A63">
        <w:rPr>
          <w:rFonts w:cs="Arial"/>
          <w:color w:val="FF0000"/>
        </w:rPr>
        <w:t xml:space="preserve"> Fuzzy assisted human resource management for supply chain management issues. </w:t>
      </w:r>
      <w:proofErr w:type="gramStart"/>
      <w:r w:rsidRPr="003E0A63">
        <w:rPr>
          <w:rFonts w:cs="Arial"/>
          <w:i/>
          <w:iCs/>
          <w:color w:val="FF0000"/>
        </w:rPr>
        <w:t>Annals of Operations Research</w:t>
      </w:r>
      <w:r w:rsidRPr="003E0A63">
        <w:rPr>
          <w:rFonts w:cs="Arial"/>
          <w:color w:val="FF0000"/>
        </w:rPr>
        <w:t>.</w:t>
      </w:r>
      <w:proofErr w:type="gramEnd"/>
    </w:p>
    <w:p w:rsidR="003E0A63" w:rsidRPr="003E0A63" w:rsidRDefault="003E0A63" w:rsidP="007A3057">
      <w:pPr>
        <w:rPr>
          <w:rFonts w:cs="Arial"/>
        </w:rPr>
      </w:pPr>
      <w:proofErr w:type="spellStart"/>
      <w:r w:rsidRPr="003E0A63">
        <w:rPr>
          <w:rFonts w:cs="Arial"/>
        </w:rPr>
        <w:t>Bovill</w:t>
      </w:r>
      <w:proofErr w:type="spellEnd"/>
      <w:r w:rsidRPr="003E0A63">
        <w:rPr>
          <w:rFonts w:cs="Arial"/>
        </w:rPr>
        <w:t>, C., (2020). Co-creation in learning and teaching: The case for a whole-class approach in higher education. </w:t>
      </w:r>
      <w:proofErr w:type="gramStart"/>
      <w:r w:rsidRPr="003E0A63">
        <w:rPr>
          <w:rFonts w:cs="Arial"/>
          <w:i/>
          <w:iCs/>
        </w:rPr>
        <w:t>Higher education</w:t>
      </w:r>
      <w:r w:rsidRPr="003E0A63">
        <w:rPr>
          <w:rFonts w:cs="Arial"/>
        </w:rPr>
        <w:t>, </w:t>
      </w:r>
      <w:r w:rsidRPr="003E0A63">
        <w:rPr>
          <w:rFonts w:cs="Arial"/>
          <w:i/>
          <w:iCs/>
        </w:rPr>
        <w:t>79</w:t>
      </w:r>
      <w:r w:rsidRPr="003E0A63">
        <w:rPr>
          <w:rFonts w:cs="Arial"/>
        </w:rPr>
        <w:t>(6), pp.1023-1037.</w:t>
      </w:r>
      <w:proofErr w:type="gramEnd"/>
    </w:p>
    <w:p w:rsidR="003E0A63" w:rsidRPr="003E0A63" w:rsidRDefault="003E0A63" w:rsidP="007A3057">
      <w:pPr>
        <w:rPr>
          <w:rFonts w:cs="Arial"/>
        </w:rPr>
      </w:pPr>
      <w:proofErr w:type="spellStart"/>
      <w:r w:rsidRPr="003E0A63">
        <w:rPr>
          <w:rFonts w:cs="Arial"/>
        </w:rPr>
        <w:t>Chaudhary</w:t>
      </w:r>
      <w:proofErr w:type="spellEnd"/>
      <w:r w:rsidRPr="003E0A63">
        <w:rPr>
          <w:rFonts w:cs="Arial"/>
        </w:rPr>
        <w:t xml:space="preserve">, R., (2020). Green human resource management and employee green </w:t>
      </w:r>
      <w:proofErr w:type="spellStart"/>
      <w:r w:rsidRPr="003E0A63">
        <w:rPr>
          <w:rFonts w:cs="Arial"/>
        </w:rPr>
        <w:t>behavior</w:t>
      </w:r>
      <w:proofErr w:type="spellEnd"/>
      <w:r w:rsidRPr="003E0A63">
        <w:rPr>
          <w:rFonts w:cs="Arial"/>
        </w:rPr>
        <w:t>: an empirical analysis. </w:t>
      </w:r>
      <w:proofErr w:type="gramStart"/>
      <w:r w:rsidRPr="003E0A63">
        <w:rPr>
          <w:rFonts w:cs="Arial"/>
          <w:i/>
          <w:iCs/>
        </w:rPr>
        <w:t>Corporate Social Responsibility and Environmental Management</w:t>
      </w:r>
      <w:r w:rsidRPr="003E0A63">
        <w:rPr>
          <w:rFonts w:cs="Arial"/>
        </w:rPr>
        <w:t>, </w:t>
      </w:r>
      <w:r w:rsidRPr="003E0A63">
        <w:rPr>
          <w:rFonts w:cs="Arial"/>
          <w:i/>
          <w:iCs/>
        </w:rPr>
        <w:t>27</w:t>
      </w:r>
      <w:r w:rsidRPr="003E0A63">
        <w:rPr>
          <w:rFonts w:cs="Arial"/>
        </w:rPr>
        <w:t>(2), pp.630-641.</w:t>
      </w:r>
      <w:proofErr w:type="gramEnd"/>
    </w:p>
    <w:p w:rsidR="003E0A63" w:rsidRPr="003E0A63" w:rsidRDefault="003E0A63" w:rsidP="007A3057">
      <w:pPr>
        <w:rPr>
          <w:rFonts w:cs="Arial"/>
          <w:color w:val="FF0000"/>
        </w:rPr>
      </w:pPr>
      <w:proofErr w:type="gramStart"/>
      <w:r w:rsidRPr="003E0A63">
        <w:rPr>
          <w:rFonts w:cs="Arial"/>
          <w:color w:val="FF0000"/>
        </w:rPr>
        <w:t xml:space="preserve">Cooke, F.L., </w:t>
      </w:r>
      <w:proofErr w:type="spellStart"/>
      <w:r w:rsidRPr="003E0A63">
        <w:rPr>
          <w:rFonts w:cs="Arial"/>
          <w:color w:val="FF0000"/>
        </w:rPr>
        <w:t>Dickmann</w:t>
      </w:r>
      <w:proofErr w:type="spellEnd"/>
      <w:r w:rsidRPr="003E0A63">
        <w:rPr>
          <w:rFonts w:cs="Arial"/>
          <w:color w:val="FF0000"/>
        </w:rPr>
        <w:t>, M. and Parry, E., (2022).</w:t>
      </w:r>
      <w:proofErr w:type="gramEnd"/>
      <w:r w:rsidRPr="003E0A63">
        <w:rPr>
          <w:rFonts w:cs="Arial"/>
          <w:color w:val="FF0000"/>
        </w:rPr>
        <w:t xml:space="preserve"> </w:t>
      </w:r>
      <w:proofErr w:type="gramStart"/>
      <w:r w:rsidRPr="003E0A63">
        <w:rPr>
          <w:rFonts w:cs="Arial"/>
          <w:color w:val="FF0000"/>
        </w:rPr>
        <w:t>Building sustainable societies through human-centred human resource management: Emerging issues and research opportunities.</w:t>
      </w:r>
      <w:proofErr w:type="gramEnd"/>
      <w:r w:rsidRPr="003E0A63">
        <w:rPr>
          <w:rFonts w:cs="Arial"/>
          <w:color w:val="FF0000"/>
        </w:rPr>
        <w:t> </w:t>
      </w:r>
      <w:proofErr w:type="gramStart"/>
      <w:r w:rsidRPr="003E0A63">
        <w:rPr>
          <w:rFonts w:cs="Arial"/>
          <w:i/>
          <w:iCs/>
          <w:color w:val="FF0000"/>
        </w:rPr>
        <w:t xml:space="preserve">The </w:t>
      </w:r>
      <w:proofErr w:type="spellStart"/>
      <w:r w:rsidRPr="003E0A63">
        <w:rPr>
          <w:rFonts w:cs="Arial"/>
          <w:i/>
          <w:iCs/>
          <w:color w:val="FF0000"/>
        </w:rPr>
        <w:t>InTernaTIonal</w:t>
      </w:r>
      <w:proofErr w:type="spellEnd"/>
      <w:r w:rsidRPr="003E0A63">
        <w:rPr>
          <w:rFonts w:cs="Arial"/>
          <w:i/>
          <w:iCs/>
          <w:color w:val="FF0000"/>
        </w:rPr>
        <w:t xml:space="preserve"> Journal of human resource </w:t>
      </w:r>
      <w:proofErr w:type="spellStart"/>
      <w:r w:rsidRPr="003E0A63">
        <w:rPr>
          <w:rFonts w:cs="Arial"/>
          <w:i/>
          <w:iCs/>
          <w:color w:val="FF0000"/>
        </w:rPr>
        <w:t>managemenT</w:t>
      </w:r>
      <w:proofErr w:type="spellEnd"/>
      <w:r w:rsidRPr="003E0A63">
        <w:rPr>
          <w:rFonts w:cs="Arial"/>
          <w:color w:val="FF0000"/>
        </w:rPr>
        <w:t>, </w:t>
      </w:r>
      <w:r w:rsidRPr="003E0A63">
        <w:rPr>
          <w:rFonts w:cs="Arial"/>
          <w:i/>
          <w:iCs/>
          <w:color w:val="FF0000"/>
        </w:rPr>
        <w:t>33</w:t>
      </w:r>
      <w:r w:rsidRPr="003E0A63">
        <w:rPr>
          <w:rFonts w:cs="Arial"/>
          <w:color w:val="FF0000"/>
        </w:rPr>
        <w:t>(1), pp.1-15.</w:t>
      </w:r>
      <w:proofErr w:type="gramEnd"/>
    </w:p>
    <w:p w:rsidR="003E0A63" w:rsidRPr="003E0A63" w:rsidRDefault="003E0A63" w:rsidP="00957E03">
      <w:pPr>
        <w:rPr>
          <w:rFonts w:cs="Arial"/>
          <w:color w:val="FF0000"/>
          <w:shd w:val="clear" w:color="auto" w:fill="FFFFFF"/>
        </w:rPr>
      </w:pPr>
      <w:r w:rsidRPr="003E0A63">
        <w:rPr>
          <w:rFonts w:cs="Arial"/>
          <w:color w:val="FF0000"/>
          <w:shd w:val="clear" w:color="auto" w:fill="FFFFFF"/>
        </w:rPr>
        <w:t xml:space="preserve">Da Cruz </w:t>
      </w:r>
      <w:proofErr w:type="spellStart"/>
      <w:r w:rsidRPr="003E0A63">
        <w:rPr>
          <w:rFonts w:cs="Arial"/>
          <w:color w:val="FF0000"/>
          <w:shd w:val="clear" w:color="auto" w:fill="FFFFFF"/>
        </w:rPr>
        <w:t>Carvalho</w:t>
      </w:r>
      <w:proofErr w:type="spellEnd"/>
      <w:r w:rsidRPr="003E0A63">
        <w:rPr>
          <w:rFonts w:cs="Arial"/>
          <w:color w:val="FF0000"/>
          <w:shd w:val="clear" w:color="auto" w:fill="FFFFFF"/>
        </w:rPr>
        <w:t xml:space="preserve">, A., Riana, I.G. and </w:t>
      </w:r>
      <w:proofErr w:type="spellStart"/>
      <w:r w:rsidRPr="003E0A63">
        <w:rPr>
          <w:rFonts w:cs="Arial"/>
          <w:color w:val="FF0000"/>
          <w:shd w:val="clear" w:color="auto" w:fill="FFFFFF"/>
        </w:rPr>
        <w:t>Soares</w:t>
      </w:r>
      <w:proofErr w:type="spellEnd"/>
      <w:r w:rsidRPr="003E0A63">
        <w:rPr>
          <w:rFonts w:cs="Arial"/>
          <w:color w:val="FF0000"/>
          <w:shd w:val="clear" w:color="auto" w:fill="FFFFFF"/>
        </w:rPr>
        <w:t xml:space="preserve">, A.D.C., (2020). </w:t>
      </w:r>
      <w:proofErr w:type="gramStart"/>
      <w:r w:rsidRPr="003E0A63">
        <w:rPr>
          <w:rFonts w:cs="Arial"/>
          <w:color w:val="FF0000"/>
          <w:shd w:val="clear" w:color="auto" w:fill="FFFFFF"/>
        </w:rPr>
        <w:t>Motivation on job satisfaction and employee performance.</w:t>
      </w:r>
      <w:proofErr w:type="gramEnd"/>
      <w:r w:rsidRPr="003E0A63">
        <w:rPr>
          <w:rFonts w:cs="Arial"/>
          <w:color w:val="FF0000"/>
          <w:shd w:val="clear" w:color="auto" w:fill="FFFFFF"/>
        </w:rPr>
        <w:t> </w:t>
      </w:r>
      <w:proofErr w:type="gramStart"/>
      <w:r w:rsidRPr="003E0A63">
        <w:rPr>
          <w:rFonts w:cs="Arial"/>
          <w:i/>
          <w:iCs/>
          <w:color w:val="FF0000"/>
          <w:shd w:val="clear" w:color="auto" w:fill="FFFFFF"/>
        </w:rPr>
        <w:t>International research journal of management, IT and social sciences</w:t>
      </w:r>
      <w:r w:rsidRPr="003E0A63">
        <w:rPr>
          <w:rFonts w:cs="Arial"/>
          <w:color w:val="FF0000"/>
          <w:shd w:val="clear" w:color="auto" w:fill="FFFFFF"/>
        </w:rPr>
        <w:t>, </w:t>
      </w:r>
      <w:r w:rsidRPr="003E0A63">
        <w:rPr>
          <w:rFonts w:cs="Arial"/>
          <w:i/>
          <w:iCs/>
          <w:color w:val="FF0000"/>
          <w:shd w:val="clear" w:color="auto" w:fill="FFFFFF"/>
        </w:rPr>
        <w:t>7</w:t>
      </w:r>
      <w:r w:rsidRPr="003E0A63">
        <w:rPr>
          <w:rFonts w:cs="Arial"/>
          <w:color w:val="FF0000"/>
          <w:shd w:val="clear" w:color="auto" w:fill="FFFFFF"/>
        </w:rPr>
        <w:t>(5), pp.13-23.</w:t>
      </w:r>
      <w:proofErr w:type="gramEnd"/>
    </w:p>
    <w:p w:rsidR="003E0A63" w:rsidRPr="003E0A63" w:rsidRDefault="003E0A63" w:rsidP="007A3057">
      <w:pPr>
        <w:rPr>
          <w:rFonts w:cs="Arial"/>
        </w:rPr>
      </w:pPr>
      <w:proofErr w:type="spellStart"/>
      <w:proofErr w:type="gramStart"/>
      <w:r w:rsidRPr="003E0A63">
        <w:rPr>
          <w:rFonts w:cs="Arial"/>
        </w:rPr>
        <w:t>Dirani</w:t>
      </w:r>
      <w:proofErr w:type="spellEnd"/>
      <w:r w:rsidRPr="003E0A63">
        <w:rPr>
          <w:rFonts w:cs="Arial"/>
        </w:rPr>
        <w:t xml:space="preserve">, K.M., </w:t>
      </w:r>
      <w:proofErr w:type="spellStart"/>
      <w:r w:rsidRPr="003E0A63">
        <w:rPr>
          <w:rFonts w:cs="Arial"/>
        </w:rPr>
        <w:t>Abadi</w:t>
      </w:r>
      <w:proofErr w:type="spellEnd"/>
      <w:r w:rsidRPr="003E0A63">
        <w:rPr>
          <w:rFonts w:cs="Arial"/>
        </w:rPr>
        <w:t xml:space="preserve">, M., </w:t>
      </w:r>
      <w:proofErr w:type="spellStart"/>
      <w:r w:rsidRPr="003E0A63">
        <w:rPr>
          <w:rFonts w:cs="Arial"/>
        </w:rPr>
        <w:t>Alizadeh</w:t>
      </w:r>
      <w:proofErr w:type="spellEnd"/>
      <w:r w:rsidRPr="003E0A63">
        <w:rPr>
          <w:rFonts w:cs="Arial"/>
        </w:rPr>
        <w:t xml:space="preserve">, A., </w:t>
      </w:r>
      <w:proofErr w:type="spellStart"/>
      <w:r w:rsidRPr="003E0A63">
        <w:rPr>
          <w:rFonts w:cs="Arial"/>
        </w:rPr>
        <w:t>Barhate</w:t>
      </w:r>
      <w:proofErr w:type="spellEnd"/>
      <w:r w:rsidRPr="003E0A63">
        <w:rPr>
          <w:rFonts w:cs="Arial"/>
        </w:rPr>
        <w:t xml:space="preserve">, B., Garza, R.C., </w:t>
      </w:r>
      <w:proofErr w:type="spellStart"/>
      <w:r w:rsidRPr="003E0A63">
        <w:rPr>
          <w:rFonts w:cs="Arial"/>
        </w:rPr>
        <w:t>Gunasekara</w:t>
      </w:r>
      <w:proofErr w:type="spellEnd"/>
      <w:r w:rsidRPr="003E0A63">
        <w:rPr>
          <w:rFonts w:cs="Arial"/>
        </w:rPr>
        <w:t xml:space="preserve">, N., Ibrahim, G. and </w:t>
      </w:r>
      <w:proofErr w:type="spellStart"/>
      <w:r w:rsidRPr="003E0A63">
        <w:rPr>
          <w:rFonts w:cs="Arial"/>
        </w:rPr>
        <w:t>Majzun</w:t>
      </w:r>
      <w:proofErr w:type="spellEnd"/>
      <w:r w:rsidRPr="003E0A63">
        <w:rPr>
          <w:rFonts w:cs="Arial"/>
        </w:rPr>
        <w:t>, Z., (2020).</w:t>
      </w:r>
      <w:proofErr w:type="gramEnd"/>
      <w:r w:rsidRPr="003E0A63">
        <w:rPr>
          <w:rFonts w:cs="Arial"/>
        </w:rPr>
        <w:t xml:space="preserve"> Leadership competencies and the essential role of </w:t>
      </w:r>
      <w:r w:rsidRPr="003E0A63">
        <w:rPr>
          <w:rFonts w:cs="Arial"/>
        </w:rPr>
        <w:lastRenderedPageBreak/>
        <w:t>human resource development in times of crisis: a response to Covid-19 pandemic. </w:t>
      </w:r>
      <w:proofErr w:type="gramStart"/>
      <w:r w:rsidRPr="003E0A63">
        <w:rPr>
          <w:rFonts w:cs="Arial"/>
          <w:i/>
          <w:iCs/>
        </w:rPr>
        <w:t>Human resource development international</w:t>
      </w:r>
      <w:r w:rsidRPr="003E0A63">
        <w:rPr>
          <w:rFonts w:cs="Arial"/>
        </w:rPr>
        <w:t>, </w:t>
      </w:r>
      <w:r w:rsidRPr="003E0A63">
        <w:rPr>
          <w:rFonts w:cs="Arial"/>
          <w:i/>
          <w:iCs/>
        </w:rPr>
        <w:t>23</w:t>
      </w:r>
      <w:r w:rsidRPr="003E0A63">
        <w:rPr>
          <w:rFonts w:cs="Arial"/>
        </w:rPr>
        <w:t>(4), pp.380-394.</w:t>
      </w:r>
      <w:proofErr w:type="gramEnd"/>
    </w:p>
    <w:p w:rsidR="003E0A63" w:rsidRPr="003E0A63" w:rsidRDefault="003E0A63" w:rsidP="007A3057">
      <w:pPr>
        <w:rPr>
          <w:rFonts w:cs="Arial"/>
          <w:color w:val="FF0000"/>
        </w:rPr>
      </w:pPr>
      <w:proofErr w:type="spellStart"/>
      <w:r w:rsidRPr="003E0A63">
        <w:rPr>
          <w:rFonts w:cs="Arial"/>
          <w:color w:val="FF0000"/>
        </w:rPr>
        <w:t>Ercantan</w:t>
      </w:r>
      <w:proofErr w:type="spellEnd"/>
      <w:r w:rsidRPr="003E0A63">
        <w:rPr>
          <w:rFonts w:cs="Arial"/>
          <w:color w:val="FF0000"/>
        </w:rPr>
        <w:t xml:space="preserve">, O. and </w:t>
      </w:r>
      <w:proofErr w:type="spellStart"/>
      <w:r w:rsidRPr="003E0A63">
        <w:rPr>
          <w:rFonts w:cs="Arial"/>
          <w:color w:val="FF0000"/>
        </w:rPr>
        <w:t>Eyupoglu</w:t>
      </w:r>
      <w:proofErr w:type="spellEnd"/>
      <w:r w:rsidRPr="003E0A63">
        <w:rPr>
          <w:rFonts w:cs="Arial"/>
          <w:color w:val="FF0000"/>
        </w:rPr>
        <w:t xml:space="preserve">, S., (2022). How do green human resource management practices encourage employees to engage in green </w:t>
      </w:r>
      <w:proofErr w:type="spellStart"/>
      <w:r w:rsidRPr="003E0A63">
        <w:rPr>
          <w:rFonts w:cs="Arial"/>
          <w:color w:val="FF0000"/>
        </w:rPr>
        <w:t>behavior</w:t>
      </w:r>
      <w:proofErr w:type="spellEnd"/>
      <w:r w:rsidRPr="003E0A63">
        <w:rPr>
          <w:rFonts w:cs="Arial"/>
          <w:color w:val="FF0000"/>
        </w:rPr>
        <w:t xml:space="preserve">? </w:t>
      </w:r>
      <w:proofErr w:type="gramStart"/>
      <w:r w:rsidRPr="003E0A63">
        <w:rPr>
          <w:rFonts w:cs="Arial"/>
          <w:color w:val="FF0000"/>
        </w:rPr>
        <w:t>Perceptions of university students as prospective employees.</w:t>
      </w:r>
      <w:proofErr w:type="gramEnd"/>
      <w:r w:rsidRPr="003E0A63">
        <w:rPr>
          <w:rFonts w:cs="Arial"/>
          <w:color w:val="FF0000"/>
        </w:rPr>
        <w:t> </w:t>
      </w:r>
      <w:proofErr w:type="gramStart"/>
      <w:r w:rsidRPr="003E0A63">
        <w:rPr>
          <w:rFonts w:cs="Arial"/>
          <w:i/>
          <w:iCs/>
          <w:color w:val="FF0000"/>
        </w:rPr>
        <w:t>Sustainability</w:t>
      </w:r>
      <w:r w:rsidRPr="003E0A63">
        <w:rPr>
          <w:rFonts w:cs="Arial"/>
          <w:color w:val="FF0000"/>
        </w:rPr>
        <w:t>, </w:t>
      </w:r>
      <w:r w:rsidRPr="003E0A63">
        <w:rPr>
          <w:rFonts w:cs="Arial"/>
          <w:i/>
          <w:iCs/>
          <w:color w:val="FF0000"/>
        </w:rPr>
        <w:t>14</w:t>
      </w:r>
      <w:r w:rsidRPr="003E0A63">
        <w:rPr>
          <w:rFonts w:cs="Arial"/>
          <w:color w:val="FF0000"/>
        </w:rPr>
        <w:t>(3), p.1718.</w:t>
      </w:r>
      <w:proofErr w:type="gramEnd"/>
    </w:p>
    <w:p w:rsidR="003E0A63" w:rsidRPr="003E0A63" w:rsidRDefault="003E0A63" w:rsidP="007A3057">
      <w:pPr>
        <w:rPr>
          <w:rFonts w:cs="Arial"/>
          <w:color w:val="FF0000"/>
        </w:rPr>
      </w:pPr>
      <w:proofErr w:type="spellStart"/>
      <w:proofErr w:type="gramStart"/>
      <w:r w:rsidRPr="003E0A63">
        <w:rPr>
          <w:rFonts w:cs="Arial"/>
          <w:color w:val="FF0000"/>
        </w:rPr>
        <w:t>Farrukh</w:t>
      </w:r>
      <w:proofErr w:type="spellEnd"/>
      <w:r w:rsidRPr="003E0A63">
        <w:rPr>
          <w:rFonts w:cs="Arial"/>
          <w:color w:val="FF0000"/>
        </w:rPr>
        <w:t xml:space="preserve">, M., Ansari, N., </w:t>
      </w:r>
      <w:proofErr w:type="spellStart"/>
      <w:r w:rsidRPr="003E0A63">
        <w:rPr>
          <w:rFonts w:cs="Arial"/>
          <w:color w:val="FF0000"/>
        </w:rPr>
        <w:t>Raza</w:t>
      </w:r>
      <w:proofErr w:type="spellEnd"/>
      <w:r w:rsidRPr="003E0A63">
        <w:rPr>
          <w:rFonts w:cs="Arial"/>
          <w:color w:val="FF0000"/>
        </w:rPr>
        <w:t>, A., Wu, Y. and Wang, H., (2022).</w:t>
      </w:r>
      <w:proofErr w:type="gramEnd"/>
      <w:r w:rsidRPr="003E0A63">
        <w:rPr>
          <w:rFonts w:cs="Arial"/>
          <w:color w:val="FF0000"/>
        </w:rPr>
        <w:t xml:space="preserve"> </w:t>
      </w:r>
      <w:proofErr w:type="gramStart"/>
      <w:r w:rsidRPr="003E0A63">
        <w:rPr>
          <w:rFonts w:cs="Arial"/>
          <w:color w:val="FF0000"/>
        </w:rPr>
        <w:t xml:space="preserve">Fostering employee's pro-environmental </w:t>
      </w:r>
      <w:proofErr w:type="spellStart"/>
      <w:r w:rsidRPr="003E0A63">
        <w:rPr>
          <w:rFonts w:cs="Arial"/>
          <w:color w:val="FF0000"/>
        </w:rPr>
        <w:t>behavior</w:t>
      </w:r>
      <w:proofErr w:type="spellEnd"/>
      <w:r w:rsidRPr="003E0A63">
        <w:rPr>
          <w:rFonts w:cs="Arial"/>
          <w:color w:val="FF0000"/>
        </w:rPr>
        <w:t xml:space="preserve"> through green transformational leadership, green human resource management and environmental knowledge.</w:t>
      </w:r>
      <w:proofErr w:type="gramEnd"/>
      <w:r w:rsidRPr="003E0A63">
        <w:rPr>
          <w:rFonts w:cs="Arial"/>
          <w:color w:val="FF0000"/>
        </w:rPr>
        <w:t xml:space="preserve"> </w:t>
      </w:r>
      <w:proofErr w:type="gramStart"/>
      <w:r w:rsidRPr="003E0A63">
        <w:rPr>
          <w:rFonts w:cs="Arial"/>
          <w:color w:val="FF0000"/>
        </w:rPr>
        <w:t>Technological Forecasting and Social Change, 179, p.121643.</w:t>
      </w:r>
      <w:proofErr w:type="gramEnd"/>
    </w:p>
    <w:p w:rsidR="003E0A63" w:rsidRPr="003E0A63" w:rsidRDefault="003E0A63" w:rsidP="007A3057">
      <w:pPr>
        <w:rPr>
          <w:rFonts w:cs="Arial"/>
        </w:rPr>
      </w:pPr>
      <w:proofErr w:type="spellStart"/>
      <w:proofErr w:type="gramStart"/>
      <w:r w:rsidRPr="003E0A63">
        <w:rPr>
          <w:rFonts w:cs="Arial"/>
        </w:rPr>
        <w:t>Freyn</w:t>
      </w:r>
      <w:proofErr w:type="spellEnd"/>
      <w:r w:rsidRPr="003E0A63">
        <w:rPr>
          <w:rFonts w:cs="Arial"/>
        </w:rPr>
        <w:t xml:space="preserve">, S.L., </w:t>
      </w:r>
      <w:proofErr w:type="spellStart"/>
      <w:r w:rsidRPr="003E0A63">
        <w:rPr>
          <w:rFonts w:cs="Arial"/>
        </w:rPr>
        <w:t>Sedaghatjou</w:t>
      </w:r>
      <w:proofErr w:type="spellEnd"/>
      <w:r w:rsidRPr="003E0A63">
        <w:rPr>
          <w:rFonts w:cs="Arial"/>
        </w:rPr>
        <w:t>, M. and Rodney, S., (2021).</w:t>
      </w:r>
      <w:proofErr w:type="gramEnd"/>
      <w:r w:rsidRPr="003E0A63">
        <w:rPr>
          <w:rFonts w:cs="Arial"/>
        </w:rPr>
        <w:t xml:space="preserve"> Collaborative engagement experience-based learning: a teaching framework for business education. </w:t>
      </w:r>
      <w:proofErr w:type="gramStart"/>
      <w:r w:rsidRPr="003E0A63">
        <w:rPr>
          <w:rFonts w:cs="Arial"/>
          <w:i/>
          <w:iCs/>
        </w:rPr>
        <w:t>Higher Education, Skills and Work-Based Learning</w:t>
      </w:r>
      <w:r w:rsidRPr="003E0A63">
        <w:rPr>
          <w:rFonts w:cs="Arial"/>
        </w:rPr>
        <w:t>, </w:t>
      </w:r>
      <w:r w:rsidRPr="003E0A63">
        <w:rPr>
          <w:rFonts w:cs="Arial"/>
          <w:i/>
          <w:iCs/>
        </w:rPr>
        <w:t>11</w:t>
      </w:r>
      <w:r w:rsidRPr="003E0A63">
        <w:rPr>
          <w:rFonts w:cs="Arial"/>
        </w:rPr>
        <w:t>(5), pp.1252-1266.</w:t>
      </w:r>
      <w:proofErr w:type="gramEnd"/>
    </w:p>
    <w:p w:rsidR="003E0A63" w:rsidRPr="003E0A63" w:rsidRDefault="003E0A63" w:rsidP="00555FA4">
      <w:pPr>
        <w:rPr>
          <w:rFonts w:cs="Arial"/>
          <w:color w:val="FF0000"/>
          <w:shd w:val="clear" w:color="auto" w:fill="FFFFFF"/>
        </w:rPr>
      </w:pPr>
      <w:proofErr w:type="gramStart"/>
      <w:r w:rsidRPr="003E0A63">
        <w:rPr>
          <w:rFonts w:cs="Arial"/>
          <w:color w:val="FF0000"/>
          <w:shd w:val="clear" w:color="auto" w:fill="FFFFFF"/>
        </w:rPr>
        <w:t xml:space="preserve">Garcia-Perez, A., </w:t>
      </w:r>
      <w:proofErr w:type="spellStart"/>
      <w:r w:rsidRPr="003E0A63">
        <w:rPr>
          <w:rFonts w:cs="Arial"/>
          <w:color w:val="FF0000"/>
          <w:shd w:val="clear" w:color="auto" w:fill="FFFFFF"/>
        </w:rPr>
        <w:t>Cegarra</w:t>
      </w:r>
      <w:proofErr w:type="spellEnd"/>
      <w:r w:rsidRPr="003E0A63">
        <w:rPr>
          <w:rFonts w:cs="Arial"/>
          <w:color w:val="FF0000"/>
          <w:shd w:val="clear" w:color="auto" w:fill="FFFFFF"/>
        </w:rPr>
        <w:t>-Navarro, J.G., Bedford, D., Thomas, M. and Wakabayashi, S., (2019).</w:t>
      </w:r>
      <w:proofErr w:type="gramEnd"/>
      <w:r w:rsidRPr="003E0A63">
        <w:rPr>
          <w:rFonts w:cs="Arial"/>
          <w:color w:val="FF0000"/>
          <w:shd w:val="clear" w:color="auto" w:fill="FFFFFF"/>
        </w:rPr>
        <w:t xml:space="preserve"> </w:t>
      </w:r>
      <w:proofErr w:type="gramStart"/>
      <w:r w:rsidRPr="003E0A63">
        <w:rPr>
          <w:rFonts w:cs="Arial"/>
          <w:color w:val="FF0000"/>
          <w:shd w:val="clear" w:color="auto" w:fill="FFFFFF"/>
        </w:rPr>
        <w:t>Implications for Human Resource Management Roles and Responsibilities.</w:t>
      </w:r>
      <w:proofErr w:type="gramEnd"/>
      <w:r w:rsidRPr="003E0A63">
        <w:rPr>
          <w:rFonts w:cs="Arial"/>
          <w:color w:val="FF0000"/>
          <w:shd w:val="clear" w:color="auto" w:fill="FFFFFF"/>
        </w:rPr>
        <w:t xml:space="preserve"> In </w:t>
      </w:r>
      <w:r w:rsidRPr="003E0A63">
        <w:rPr>
          <w:rFonts w:cs="Arial"/>
          <w:i/>
          <w:iCs/>
          <w:color w:val="FF0000"/>
          <w:shd w:val="clear" w:color="auto" w:fill="FFFFFF"/>
        </w:rPr>
        <w:t>Critical Capabilities and Competencies for Knowledge Organizations</w:t>
      </w:r>
      <w:r w:rsidRPr="003E0A63">
        <w:rPr>
          <w:rFonts w:cs="Arial"/>
          <w:color w:val="FF0000"/>
          <w:shd w:val="clear" w:color="auto" w:fill="FFFFFF"/>
        </w:rPr>
        <w:t> (pp. 217-224). Emerald Publishing Limited.</w:t>
      </w:r>
    </w:p>
    <w:p w:rsidR="003E0A63" w:rsidRPr="003E0A63" w:rsidRDefault="003E0A63" w:rsidP="00C70E64">
      <w:pPr>
        <w:rPr>
          <w:rFonts w:cs="Arial"/>
          <w:color w:val="FF0000"/>
          <w:shd w:val="clear" w:color="auto" w:fill="FFFFFF"/>
        </w:rPr>
      </w:pPr>
      <w:proofErr w:type="spellStart"/>
      <w:proofErr w:type="gramStart"/>
      <w:r w:rsidRPr="003E0A63">
        <w:rPr>
          <w:rFonts w:cs="Arial"/>
          <w:color w:val="FF0000"/>
          <w:shd w:val="clear" w:color="auto" w:fill="FFFFFF"/>
        </w:rPr>
        <w:t>Godinho</w:t>
      </w:r>
      <w:proofErr w:type="spellEnd"/>
      <w:r w:rsidRPr="003E0A63">
        <w:rPr>
          <w:rFonts w:cs="Arial"/>
          <w:color w:val="FF0000"/>
          <w:shd w:val="clear" w:color="auto" w:fill="FFFFFF"/>
        </w:rPr>
        <w:t xml:space="preserve">, T., Reis, I.P., </w:t>
      </w:r>
      <w:proofErr w:type="spellStart"/>
      <w:r w:rsidRPr="003E0A63">
        <w:rPr>
          <w:rFonts w:cs="Arial"/>
          <w:color w:val="FF0000"/>
          <w:shd w:val="clear" w:color="auto" w:fill="FFFFFF"/>
        </w:rPr>
        <w:t>Carvalho</w:t>
      </w:r>
      <w:proofErr w:type="spellEnd"/>
      <w:r w:rsidRPr="003E0A63">
        <w:rPr>
          <w:rFonts w:cs="Arial"/>
          <w:color w:val="FF0000"/>
          <w:shd w:val="clear" w:color="auto" w:fill="FFFFFF"/>
        </w:rPr>
        <w:t xml:space="preserve">, R. and </w:t>
      </w:r>
      <w:proofErr w:type="spellStart"/>
      <w:r w:rsidRPr="003E0A63">
        <w:rPr>
          <w:rFonts w:cs="Arial"/>
          <w:color w:val="FF0000"/>
          <w:shd w:val="clear" w:color="auto" w:fill="FFFFFF"/>
        </w:rPr>
        <w:t>Martinho</w:t>
      </w:r>
      <w:proofErr w:type="spellEnd"/>
      <w:r w:rsidRPr="003E0A63">
        <w:rPr>
          <w:rFonts w:cs="Arial"/>
          <w:color w:val="FF0000"/>
          <w:shd w:val="clear" w:color="auto" w:fill="FFFFFF"/>
        </w:rPr>
        <w:t>, F., (2023).</w:t>
      </w:r>
      <w:proofErr w:type="gramEnd"/>
      <w:r w:rsidRPr="003E0A63">
        <w:rPr>
          <w:rFonts w:cs="Arial"/>
          <w:color w:val="FF0000"/>
          <w:shd w:val="clear" w:color="auto" w:fill="FFFFFF"/>
        </w:rPr>
        <w:t xml:space="preserve"> </w:t>
      </w:r>
      <w:proofErr w:type="spellStart"/>
      <w:r w:rsidRPr="003E0A63">
        <w:rPr>
          <w:rFonts w:cs="Arial"/>
          <w:color w:val="FF0000"/>
          <w:shd w:val="clear" w:color="auto" w:fill="FFFFFF"/>
        </w:rPr>
        <w:t>Onboarding</w:t>
      </w:r>
      <w:proofErr w:type="spellEnd"/>
      <w:r w:rsidRPr="003E0A63">
        <w:rPr>
          <w:rFonts w:cs="Arial"/>
          <w:color w:val="FF0000"/>
          <w:shd w:val="clear" w:color="auto" w:fill="FFFFFF"/>
        </w:rPr>
        <w:t xml:space="preserve"> Handbook: An Indispensable Tool for </w:t>
      </w:r>
      <w:proofErr w:type="spellStart"/>
      <w:r w:rsidRPr="003E0A63">
        <w:rPr>
          <w:rFonts w:cs="Arial"/>
          <w:color w:val="FF0000"/>
          <w:shd w:val="clear" w:color="auto" w:fill="FFFFFF"/>
        </w:rPr>
        <w:t>Onboarding</w:t>
      </w:r>
      <w:proofErr w:type="spellEnd"/>
      <w:r w:rsidRPr="003E0A63">
        <w:rPr>
          <w:rFonts w:cs="Arial"/>
          <w:color w:val="FF0000"/>
          <w:shd w:val="clear" w:color="auto" w:fill="FFFFFF"/>
        </w:rPr>
        <w:t xml:space="preserve"> Processes. </w:t>
      </w:r>
      <w:r w:rsidRPr="003E0A63">
        <w:rPr>
          <w:rFonts w:cs="Arial"/>
          <w:i/>
          <w:iCs/>
          <w:color w:val="FF0000"/>
          <w:shd w:val="clear" w:color="auto" w:fill="FFFFFF"/>
        </w:rPr>
        <w:t>Administrative Sciences</w:t>
      </w:r>
      <w:r w:rsidRPr="003E0A63">
        <w:rPr>
          <w:rFonts w:cs="Arial"/>
          <w:color w:val="FF0000"/>
          <w:shd w:val="clear" w:color="auto" w:fill="FFFFFF"/>
        </w:rPr>
        <w:t>, </w:t>
      </w:r>
      <w:r w:rsidRPr="003E0A63">
        <w:rPr>
          <w:rFonts w:cs="Arial"/>
          <w:i/>
          <w:iCs/>
          <w:color w:val="FF0000"/>
          <w:shd w:val="clear" w:color="auto" w:fill="FFFFFF"/>
        </w:rPr>
        <w:t>13</w:t>
      </w:r>
      <w:r w:rsidRPr="003E0A63">
        <w:rPr>
          <w:rFonts w:cs="Arial"/>
          <w:color w:val="FF0000"/>
          <w:shd w:val="clear" w:color="auto" w:fill="FFFFFF"/>
        </w:rPr>
        <w:t>(3), p.79.</w:t>
      </w:r>
    </w:p>
    <w:p w:rsidR="003E0A63" w:rsidRPr="003E0A63" w:rsidRDefault="003E0A63" w:rsidP="00AB2DD5">
      <w:pPr>
        <w:rPr>
          <w:rFonts w:cs="Arial"/>
          <w:shd w:val="clear" w:color="auto" w:fill="FFFFFF"/>
        </w:rPr>
      </w:pPr>
      <w:proofErr w:type="spellStart"/>
      <w:r w:rsidRPr="003E0A63">
        <w:rPr>
          <w:rFonts w:cs="Arial"/>
          <w:shd w:val="clear" w:color="auto" w:fill="FFFFFF"/>
        </w:rPr>
        <w:t>Hussainy</w:t>
      </w:r>
      <w:proofErr w:type="spellEnd"/>
      <w:r w:rsidRPr="003E0A63">
        <w:rPr>
          <w:rFonts w:cs="Arial"/>
          <w:shd w:val="clear" w:color="auto" w:fill="FFFFFF"/>
        </w:rPr>
        <w:t>, S.S., (2020). Review on motivational theories &amp; models: Its application for employees’ retention in organizations. </w:t>
      </w:r>
      <w:proofErr w:type="gramStart"/>
      <w:r w:rsidRPr="003E0A63">
        <w:rPr>
          <w:rFonts w:cs="Arial"/>
          <w:i/>
          <w:iCs/>
          <w:shd w:val="clear" w:color="auto" w:fill="FFFFFF"/>
        </w:rPr>
        <w:t>International Journal of Business and Applied Social Science</w:t>
      </w:r>
      <w:r w:rsidRPr="003E0A63">
        <w:rPr>
          <w:rFonts w:cs="Arial"/>
          <w:shd w:val="clear" w:color="auto" w:fill="FFFFFF"/>
        </w:rPr>
        <w:t>, </w:t>
      </w:r>
      <w:r w:rsidRPr="003E0A63">
        <w:rPr>
          <w:rFonts w:cs="Arial"/>
          <w:i/>
          <w:iCs/>
          <w:shd w:val="clear" w:color="auto" w:fill="FFFFFF"/>
        </w:rPr>
        <w:t>6</w:t>
      </w:r>
      <w:r w:rsidRPr="003E0A63">
        <w:rPr>
          <w:rFonts w:cs="Arial"/>
          <w:shd w:val="clear" w:color="auto" w:fill="FFFFFF"/>
        </w:rPr>
        <w:t>(1), pp.40-46.</w:t>
      </w:r>
      <w:proofErr w:type="gramEnd"/>
    </w:p>
    <w:p w:rsidR="003E0A63" w:rsidRPr="003E0A63" w:rsidRDefault="003E0A63" w:rsidP="00646CBB">
      <w:pPr>
        <w:rPr>
          <w:rFonts w:cs="Arial"/>
        </w:rPr>
      </w:pPr>
      <w:proofErr w:type="spellStart"/>
      <w:r w:rsidRPr="003E0A63">
        <w:rPr>
          <w:rFonts w:cs="Arial"/>
        </w:rPr>
        <w:t>Kakade</w:t>
      </w:r>
      <w:proofErr w:type="spellEnd"/>
      <w:r w:rsidRPr="003E0A63">
        <w:rPr>
          <w:rFonts w:cs="Arial"/>
        </w:rPr>
        <w:t xml:space="preserve">, S. (2020) </w:t>
      </w:r>
      <w:proofErr w:type="gramStart"/>
      <w:r w:rsidRPr="003E0A63">
        <w:rPr>
          <w:rFonts w:cs="Arial"/>
          <w:i/>
          <w:iCs/>
        </w:rPr>
        <w:t>What</w:t>
      </w:r>
      <w:proofErr w:type="gramEnd"/>
      <w:r w:rsidRPr="003E0A63">
        <w:rPr>
          <w:rFonts w:cs="Arial"/>
          <w:i/>
          <w:iCs/>
        </w:rPr>
        <w:t xml:space="preserve"> is an Employee Life Cycle? - Definition from WhatIs.com</w:t>
      </w:r>
      <w:r w:rsidRPr="003E0A63">
        <w:rPr>
          <w:rFonts w:cs="Arial"/>
        </w:rPr>
        <w:t xml:space="preserve">, </w:t>
      </w:r>
      <w:proofErr w:type="spellStart"/>
      <w:r w:rsidRPr="003E0A63">
        <w:rPr>
          <w:rFonts w:cs="Arial"/>
          <w:i/>
          <w:iCs/>
        </w:rPr>
        <w:t>SearchHRSoftware</w:t>
      </w:r>
      <w:proofErr w:type="spellEnd"/>
      <w:r w:rsidRPr="003E0A63">
        <w:rPr>
          <w:rFonts w:cs="Arial"/>
        </w:rPr>
        <w:t>. Available at: https://www.techtarget.com/searchhrsoftware/definition/employee-life-cycle (Accessed: 3 October 2023).</w:t>
      </w:r>
    </w:p>
    <w:p w:rsidR="003E0A63" w:rsidRPr="003E0A63" w:rsidRDefault="003E0A63" w:rsidP="007A3057">
      <w:pPr>
        <w:rPr>
          <w:rFonts w:cs="Arial"/>
        </w:rPr>
      </w:pPr>
      <w:proofErr w:type="spellStart"/>
      <w:proofErr w:type="gramStart"/>
      <w:r w:rsidRPr="003E0A63">
        <w:rPr>
          <w:rFonts w:cs="Arial"/>
        </w:rPr>
        <w:lastRenderedPageBreak/>
        <w:t>Knopman</w:t>
      </w:r>
      <w:proofErr w:type="spellEnd"/>
      <w:r w:rsidRPr="003E0A63">
        <w:rPr>
          <w:rFonts w:cs="Arial"/>
        </w:rPr>
        <w:t xml:space="preserve">, D.S., Jones, D.T. and </w:t>
      </w:r>
      <w:proofErr w:type="spellStart"/>
      <w:r w:rsidRPr="003E0A63">
        <w:rPr>
          <w:rFonts w:cs="Arial"/>
        </w:rPr>
        <w:t>Greicius</w:t>
      </w:r>
      <w:proofErr w:type="spellEnd"/>
      <w:r w:rsidRPr="003E0A63">
        <w:rPr>
          <w:rFonts w:cs="Arial"/>
        </w:rPr>
        <w:t>, M.D., (2021).</w:t>
      </w:r>
      <w:proofErr w:type="gramEnd"/>
      <w:r w:rsidRPr="003E0A63">
        <w:rPr>
          <w:rFonts w:cs="Arial"/>
        </w:rPr>
        <w:t xml:space="preserve"> Failure to demonstrate efficacy of </w:t>
      </w:r>
      <w:proofErr w:type="spellStart"/>
      <w:r w:rsidRPr="003E0A63">
        <w:rPr>
          <w:rFonts w:cs="Arial"/>
        </w:rPr>
        <w:t>aducanumab</w:t>
      </w:r>
      <w:proofErr w:type="spellEnd"/>
      <w:r w:rsidRPr="003E0A63">
        <w:rPr>
          <w:rFonts w:cs="Arial"/>
        </w:rPr>
        <w:t xml:space="preserve">: An analysis of the EMERGE and ENGAGE trials as reported by </w:t>
      </w:r>
      <w:proofErr w:type="spellStart"/>
      <w:r w:rsidRPr="003E0A63">
        <w:rPr>
          <w:rFonts w:cs="Arial"/>
        </w:rPr>
        <w:t>Biogen</w:t>
      </w:r>
      <w:proofErr w:type="spellEnd"/>
      <w:r w:rsidRPr="003E0A63">
        <w:rPr>
          <w:rFonts w:cs="Arial"/>
        </w:rPr>
        <w:t>, December 2019. </w:t>
      </w:r>
      <w:proofErr w:type="gramStart"/>
      <w:r w:rsidRPr="003E0A63">
        <w:rPr>
          <w:rFonts w:cs="Arial"/>
          <w:i/>
          <w:iCs/>
        </w:rPr>
        <w:t>Alzheimer's &amp; Dementia</w:t>
      </w:r>
      <w:r w:rsidRPr="003E0A63">
        <w:rPr>
          <w:rFonts w:cs="Arial"/>
        </w:rPr>
        <w:t>, </w:t>
      </w:r>
      <w:r w:rsidRPr="003E0A63">
        <w:rPr>
          <w:rFonts w:cs="Arial"/>
          <w:i/>
          <w:iCs/>
        </w:rPr>
        <w:t>17</w:t>
      </w:r>
      <w:r w:rsidRPr="003E0A63">
        <w:rPr>
          <w:rFonts w:cs="Arial"/>
        </w:rPr>
        <w:t>(4), pp.696-701.</w:t>
      </w:r>
      <w:proofErr w:type="gramEnd"/>
    </w:p>
    <w:p w:rsidR="003E0A63" w:rsidRPr="003E0A63" w:rsidRDefault="003E0A63" w:rsidP="007A3057">
      <w:pPr>
        <w:rPr>
          <w:rFonts w:cs="Arial"/>
          <w:color w:val="FF0000"/>
        </w:rPr>
      </w:pPr>
      <w:r w:rsidRPr="003E0A63">
        <w:rPr>
          <w:rFonts w:cs="Arial"/>
          <w:color w:val="FF0000"/>
        </w:rPr>
        <w:t xml:space="preserve">Lu, H., </w:t>
      </w:r>
      <w:proofErr w:type="spellStart"/>
      <w:r w:rsidRPr="003E0A63">
        <w:rPr>
          <w:rFonts w:cs="Arial"/>
          <w:color w:val="FF0000"/>
        </w:rPr>
        <w:t>Xu</w:t>
      </w:r>
      <w:proofErr w:type="spellEnd"/>
      <w:r w:rsidRPr="003E0A63">
        <w:rPr>
          <w:rFonts w:cs="Arial"/>
          <w:color w:val="FF0000"/>
        </w:rPr>
        <w:t xml:space="preserve">, W., </w:t>
      </w:r>
      <w:proofErr w:type="spellStart"/>
      <w:proofErr w:type="gramStart"/>
      <w:r w:rsidRPr="003E0A63">
        <w:rPr>
          <w:rFonts w:cs="Arial"/>
          <w:color w:val="FF0000"/>
        </w:rPr>
        <w:t>Cai</w:t>
      </w:r>
      <w:proofErr w:type="spellEnd"/>
      <w:proofErr w:type="gramEnd"/>
      <w:r w:rsidRPr="003E0A63">
        <w:rPr>
          <w:rFonts w:cs="Arial"/>
          <w:color w:val="FF0000"/>
        </w:rPr>
        <w:t xml:space="preserve">, S., Yang, F. and Chen, Q., (2022). Does top management team responsible leadership help employees go green? </w:t>
      </w:r>
      <w:proofErr w:type="gramStart"/>
      <w:r w:rsidRPr="003E0A63">
        <w:rPr>
          <w:rFonts w:cs="Arial"/>
          <w:color w:val="FF0000"/>
        </w:rPr>
        <w:t>The role of green human resource management and environmental felt</w:t>
      </w:r>
      <w:r w:rsidRPr="003E0A63">
        <w:rPr>
          <w:rFonts w:ascii="Cambria Math" w:hAnsi="Cambria Math" w:cs="Cambria Math"/>
          <w:color w:val="FF0000"/>
        </w:rPr>
        <w:t>‐</w:t>
      </w:r>
      <w:r w:rsidRPr="003E0A63">
        <w:rPr>
          <w:rFonts w:cs="Arial"/>
          <w:color w:val="FF0000"/>
        </w:rPr>
        <w:t>responsibility.</w:t>
      </w:r>
      <w:proofErr w:type="gramEnd"/>
      <w:r w:rsidRPr="003E0A63">
        <w:rPr>
          <w:rFonts w:cs="Arial"/>
          <w:color w:val="FF0000"/>
        </w:rPr>
        <w:t xml:space="preserve"> </w:t>
      </w:r>
      <w:proofErr w:type="gramStart"/>
      <w:r w:rsidRPr="003E0A63">
        <w:rPr>
          <w:rFonts w:cs="Arial"/>
          <w:color w:val="FF0000"/>
        </w:rPr>
        <w:t>Corporate Social Responsibility and Environmental Management, 29(4), pp.843-859.</w:t>
      </w:r>
      <w:proofErr w:type="gramEnd"/>
    </w:p>
    <w:p w:rsidR="003E0A63" w:rsidRPr="003E0A63" w:rsidRDefault="003E0A63" w:rsidP="007A3057">
      <w:pPr>
        <w:rPr>
          <w:rFonts w:cs="Arial"/>
          <w:color w:val="FF0000"/>
        </w:rPr>
      </w:pPr>
      <w:proofErr w:type="spellStart"/>
      <w:proofErr w:type="gramStart"/>
      <w:r w:rsidRPr="003E0A63">
        <w:rPr>
          <w:rFonts w:cs="Arial"/>
          <w:color w:val="FF0000"/>
        </w:rPr>
        <w:t>Mukhuty</w:t>
      </w:r>
      <w:proofErr w:type="spellEnd"/>
      <w:r w:rsidRPr="003E0A63">
        <w:rPr>
          <w:rFonts w:cs="Arial"/>
          <w:color w:val="FF0000"/>
        </w:rPr>
        <w:t xml:space="preserve">, S., </w:t>
      </w:r>
      <w:proofErr w:type="spellStart"/>
      <w:r w:rsidRPr="003E0A63">
        <w:rPr>
          <w:rFonts w:cs="Arial"/>
          <w:color w:val="FF0000"/>
        </w:rPr>
        <w:t>Upadhyay</w:t>
      </w:r>
      <w:proofErr w:type="spellEnd"/>
      <w:r w:rsidRPr="003E0A63">
        <w:rPr>
          <w:rFonts w:cs="Arial"/>
          <w:color w:val="FF0000"/>
        </w:rPr>
        <w:t xml:space="preserve">, A. and </w:t>
      </w:r>
      <w:proofErr w:type="spellStart"/>
      <w:r w:rsidRPr="003E0A63">
        <w:rPr>
          <w:rFonts w:cs="Arial"/>
          <w:color w:val="FF0000"/>
        </w:rPr>
        <w:t>Rothwell</w:t>
      </w:r>
      <w:proofErr w:type="spellEnd"/>
      <w:r w:rsidRPr="003E0A63">
        <w:rPr>
          <w:rFonts w:cs="Arial"/>
          <w:color w:val="FF0000"/>
        </w:rPr>
        <w:t>, H., (2022).</w:t>
      </w:r>
      <w:proofErr w:type="gramEnd"/>
      <w:r w:rsidRPr="003E0A63">
        <w:rPr>
          <w:rFonts w:cs="Arial"/>
          <w:color w:val="FF0000"/>
        </w:rPr>
        <w:t xml:space="preserve"> Strategic sustainable development of Industry 4.0 through the lens of social responsibility: The role of human resource practices. </w:t>
      </w:r>
      <w:proofErr w:type="gramStart"/>
      <w:r w:rsidRPr="003E0A63">
        <w:rPr>
          <w:rFonts w:cs="Arial"/>
          <w:i/>
          <w:iCs/>
          <w:color w:val="FF0000"/>
        </w:rPr>
        <w:t>Business Strategy and the Environment</w:t>
      </w:r>
      <w:r w:rsidRPr="003E0A63">
        <w:rPr>
          <w:rFonts w:cs="Arial"/>
          <w:color w:val="FF0000"/>
        </w:rPr>
        <w:t>, </w:t>
      </w:r>
      <w:r w:rsidRPr="003E0A63">
        <w:rPr>
          <w:rFonts w:cs="Arial"/>
          <w:i/>
          <w:iCs/>
          <w:color w:val="FF0000"/>
        </w:rPr>
        <w:t>31</w:t>
      </w:r>
      <w:r w:rsidRPr="003E0A63">
        <w:rPr>
          <w:rFonts w:cs="Arial"/>
          <w:color w:val="FF0000"/>
        </w:rPr>
        <w:t>(5), pp.2068-2081.</w:t>
      </w:r>
      <w:proofErr w:type="gramEnd"/>
    </w:p>
    <w:p w:rsidR="003E0A63" w:rsidRPr="003E0A63" w:rsidRDefault="003E0A63" w:rsidP="007A3057">
      <w:pPr>
        <w:rPr>
          <w:rFonts w:cs="Arial"/>
        </w:rPr>
      </w:pPr>
      <w:proofErr w:type="spellStart"/>
      <w:r w:rsidRPr="003E0A63">
        <w:rPr>
          <w:rFonts w:cs="Arial"/>
        </w:rPr>
        <w:t>Munsch</w:t>
      </w:r>
      <w:proofErr w:type="spellEnd"/>
      <w:r w:rsidRPr="003E0A63">
        <w:rPr>
          <w:rFonts w:cs="Arial"/>
        </w:rPr>
        <w:t>, A., (2021). Millennial and generation Z digital marketing communication and advertising effectiveness: A qualitative exploration. </w:t>
      </w:r>
      <w:proofErr w:type="gramStart"/>
      <w:r w:rsidRPr="003E0A63">
        <w:rPr>
          <w:rFonts w:cs="Arial"/>
          <w:i/>
          <w:iCs/>
        </w:rPr>
        <w:t>Journal of Global Scholars of Marketing Science</w:t>
      </w:r>
      <w:r w:rsidRPr="003E0A63">
        <w:rPr>
          <w:rFonts w:cs="Arial"/>
        </w:rPr>
        <w:t>, </w:t>
      </w:r>
      <w:r w:rsidRPr="003E0A63">
        <w:rPr>
          <w:rFonts w:cs="Arial"/>
          <w:i/>
          <w:iCs/>
        </w:rPr>
        <w:t>31</w:t>
      </w:r>
      <w:r w:rsidRPr="003E0A63">
        <w:rPr>
          <w:rFonts w:cs="Arial"/>
        </w:rPr>
        <w:t>(1), pp.10-29.</w:t>
      </w:r>
      <w:proofErr w:type="gramEnd"/>
    </w:p>
    <w:p w:rsidR="003E0A63" w:rsidRPr="003E0A63" w:rsidRDefault="003E0A63" w:rsidP="007A3057">
      <w:pPr>
        <w:rPr>
          <w:rFonts w:cs="Arial"/>
          <w:color w:val="FF0000"/>
        </w:rPr>
      </w:pPr>
      <w:proofErr w:type="spellStart"/>
      <w:r w:rsidRPr="003E0A63">
        <w:rPr>
          <w:rFonts w:cs="Arial"/>
          <w:color w:val="FF0000"/>
        </w:rPr>
        <w:t>Nicolás-Agustín</w:t>
      </w:r>
      <w:proofErr w:type="spellEnd"/>
      <w:r w:rsidRPr="003E0A63">
        <w:rPr>
          <w:rFonts w:cs="Arial"/>
          <w:color w:val="FF0000"/>
        </w:rPr>
        <w:t xml:space="preserve">, </w:t>
      </w:r>
      <w:proofErr w:type="gramStart"/>
      <w:r w:rsidRPr="003E0A63">
        <w:rPr>
          <w:rFonts w:cs="Arial"/>
          <w:color w:val="FF0000"/>
        </w:rPr>
        <w:t>Á.,</w:t>
      </w:r>
      <w:proofErr w:type="gramEnd"/>
      <w:r w:rsidRPr="003E0A63">
        <w:rPr>
          <w:rFonts w:cs="Arial"/>
          <w:color w:val="FF0000"/>
        </w:rPr>
        <w:t xml:space="preserve"> Jiménez-Jiménez, D. and </w:t>
      </w:r>
      <w:proofErr w:type="spellStart"/>
      <w:r w:rsidRPr="003E0A63">
        <w:rPr>
          <w:rFonts w:cs="Arial"/>
          <w:color w:val="FF0000"/>
        </w:rPr>
        <w:t>Maeso</w:t>
      </w:r>
      <w:proofErr w:type="spellEnd"/>
      <w:r w:rsidRPr="003E0A63">
        <w:rPr>
          <w:rFonts w:cs="Arial"/>
          <w:color w:val="FF0000"/>
        </w:rPr>
        <w:t>-Fernandez, F., (2022). The role of human resource practices in the implementation of digital transformation. </w:t>
      </w:r>
      <w:proofErr w:type="gramStart"/>
      <w:r w:rsidRPr="003E0A63">
        <w:rPr>
          <w:rFonts w:cs="Arial"/>
          <w:i/>
          <w:iCs/>
          <w:color w:val="FF0000"/>
        </w:rPr>
        <w:t>International Journal of Manpower</w:t>
      </w:r>
      <w:r w:rsidRPr="003E0A63">
        <w:rPr>
          <w:rFonts w:cs="Arial"/>
          <w:color w:val="FF0000"/>
        </w:rPr>
        <w:t>, </w:t>
      </w:r>
      <w:r w:rsidRPr="003E0A63">
        <w:rPr>
          <w:rFonts w:cs="Arial"/>
          <w:i/>
          <w:iCs/>
          <w:color w:val="FF0000"/>
        </w:rPr>
        <w:t>43</w:t>
      </w:r>
      <w:r w:rsidRPr="003E0A63">
        <w:rPr>
          <w:rFonts w:cs="Arial"/>
          <w:color w:val="FF0000"/>
        </w:rPr>
        <w:t>(2), pp.395-410.</w:t>
      </w:r>
      <w:proofErr w:type="gramEnd"/>
    </w:p>
    <w:p w:rsidR="003E0A63" w:rsidRPr="003E0A63" w:rsidRDefault="003E0A63" w:rsidP="00150885">
      <w:pPr>
        <w:rPr>
          <w:rFonts w:cs="Arial"/>
          <w:color w:val="FF0000"/>
        </w:rPr>
      </w:pPr>
      <w:proofErr w:type="spellStart"/>
      <w:r w:rsidRPr="003E0A63">
        <w:rPr>
          <w:rFonts w:cs="Arial"/>
          <w:color w:val="FF0000"/>
          <w:shd w:val="clear" w:color="auto" w:fill="FFFFFF"/>
        </w:rPr>
        <w:t>Nienaber</w:t>
      </w:r>
      <w:proofErr w:type="spellEnd"/>
      <w:r w:rsidRPr="003E0A63">
        <w:rPr>
          <w:rFonts w:cs="Arial"/>
          <w:color w:val="FF0000"/>
          <w:shd w:val="clear" w:color="auto" w:fill="FFFFFF"/>
        </w:rPr>
        <w:t>, H. and Martins, N., (2020). Exploratory study: Determine which dimensions enhance the levels of employee engagement to improve organisational effectiveness. </w:t>
      </w:r>
      <w:proofErr w:type="gramStart"/>
      <w:r w:rsidRPr="003E0A63">
        <w:rPr>
          <w:rFonts w:cs="Arial"/>
          <w:i/>
          <w:iCs/>
          <w:color w:val="FF0000"/>
          <w:shd w:val="clear" w:color="auto" w:fill="FFFFFF"/>
        </w:rPr>
        <w:t>The TQM Journal</w:t>
      </w:r>
      <w:r w:rsidRPr="003E0A63">
        <w:rPr>
          <w:rFonts w:cs="Arial"/>
          <w:color w:val="FF0000"/>
          <w:shd w:val="clear" w:color="auto" w:fill="FFFFFF"/>
        </w:rPr>
        <w:t>, </w:t>
      </w:r>
      <w:r w:rsidRPr="003E0A63">
        <w:rPr>
          <w:rFonts w:cs="Arial"/>
          <w:i/>
          <w:iCs/>
          <w:color w:val="FF0000"/>
          <w:shd w:val="clear" w:color="auto" w:fill="FFFFFF"/>
        </w:rPr>
        <w:t>32</w:t>
      </w:r>
      <w:r w:rsidRPr="003E0A63">
        <w:rPr>
          <w:rFonts w:cs="Arial"/>
          <w:color w:val="FF0000"/>
          <w:shd w:val="clear" w:color="auto" w:fill="FFFFFF"/>
        </w:rPr>
        <w:t>(3), pp.475-495.</w:t>
      </w:r>
      <w:proofErr w:type="gramEnd"/>
    </w:p>
    <w:p w:rsidR="003E0A63" w:rsidRPr="003E0A63" w:rsidRDefault="003E0A63" w:rsidP="007A3057">
      <w:pPr>
        <w:rPr>
          <w:rFonts w:cs="Arial"/>
          <w:color w:val="FF0000"/>
        </w:rPr>
      </w:pPr>
      <w:r w:rsidRPr="003E0A63">
        <w:rPr>
          <w:rFonts w:cs="Arial"/>
          <w:color w:val="FF0000"/>
        </w:rPr>
        <w:t xml:space="preserve">Pass, S. and Ridgway, M., (2022). </w:t>
      </w:r>
      <w:proofErr w:type="gramStart"/>
      <w:r w:rsidRPr="003E0A63">
        <w:rPr>
          <w:rFonts w:cs="Arial"/>
          <w:color w:val="FF0000"/>
        </w:rPr>
        <w:t>An informed discussion on the impact of COVID-19 and ‘</w:t>
      </w:r>
      <w:proofErr w:type="spellStart"/>
      <w:r w:rsidRPr="003E0A63">
        <w:rPr>
          <w:rFonts w:cs="Arial"/>
          <w:color w:val="FF0000"/>
        </w:rPr>
        <w:t>enforced’remote</w:t>
      </w:r>
      <w:proofErr w:type="spellEnd"/>
      <w:r w:rsidRPr="003E0A63">
        <w:rPr>
          <w:rFonts w:cs="Arial"/>
          <w:color w:val="FF0000"/>
        </w:rPr>
        <w:t xml:space="preserve"> working on employee engagement.</w:t>
      </w:r>
      <w:proofErr w:type="gramEnd"/>
      <w:r w:rsidRPr="003E0A63">
        <w:rPr>
          <w:rFonts w:cs="Arial"/>
          <w:color w:val="FF0000"/>
        </w:rPr>
        <w:t> </w:t>
      </w:r>
      <w:proofErr w:type="gramStart"/>
      <w:r w:rsidRPr="003E0A63">
        <w:rPr>
          <w:rFonts w:cs="Arial"/>
          <w:i/>
          <w:iCs/>
          <w:color w:val="FF0000"/>
        </w:rPr>
        <w:t>Human Resource Development International</w:t>
      </w:r>
      <w:r w:rsidRPr="003E0A63">
        <w:rPr>
          <w:rFonts w:cs="Arial"/>
          <w:color w:val="FF0000"/>
        </w:rPr>
        <w:t>, </w:t>
      </w:r>
      <w:r w:rsidRPr="003E0A63">
        <w:rPr>
          <w:rFonts w:cs="Arial"/>
          <w:i/>
          <w:iCs/>
          <w:color w:val="FF0000"/>
        </w:rPr>
        <w:t>25</w:t>
      </w:r>
      <w:r w:rsidRPr="003E0A63">
        <w:rPr>
          <w:rFonts w:cs="Arial"/>
          <w:color w:val="FF0000"/>
        </w:rPr>
        <w:t>(2), pp.254-270.</w:t>
      </w:r>
      <w:proofErr w:type="gramEnd"/>
    </w:p>
    <w:p w:rsidR="003E0A63" w:rsidRPr="003E0A63" w:rsidRDefault="003E0A63" w:rsidP="001932B4">
      <w:pPr>
        <w:rPr>
          <w:rFonts w:cs="Arial"/>
        </w:rPr>
      </w:pPr>
      <w:r w:rsidRPr="003E0A63">
        <w:rPr>
          <w:rFonts w:cs="Arial"/>
        </w:rPr>
        <w:t xml:space="preserve">People Matters (2017) </w:t>
      </w:r>
      <w:r w:rsidRPr="003E0A63">
        <w:rPr>
          <w:rFonts w:cs="Arial"/>
          <w:i/>
          <w:iCs/>
        </w:rPr>
        <w:t>Marriott International focusing on employee engagement</w:t>
      </w:r>
      <w:r w:rsidRPr="003E0A63">
        <w:rPr>
          <w:rFonts w:cs="Arial"/>
        </w:rPr>
        <w:t xml:space="preserve">, </w:t>
      </w:r>
      <w:r w:rsidRPr="003E0A63">
        <w:rPr>
          <w:rFonts w:cs="Arial"/>
          <w:i/>
          <w:iCs/>
        </w:rPr>
        <w:t>People Matters</w:t>
      </w:r>
      <w:r w:rsidRPr="003E0A63">
        <w:rPr>
          <w:rFonts w:cs="Arial"/>
        </w:rPr>
        <w:t>. Available at: https://www.peoplematters.in/article/c-suite/marriott-international-focusing-on-employee-engagement-15680 (Accessed: 3 October 2023).</w:t>
      </w:r>
    </w:p>
    <w:p w:rsidR="003E0A63" w:rsidRPr="003E0A63" w:rsidRDefault="003E0A63" w:rsidP="00D04E99">
      <w:pPr>
        <w:rPr>
          <w:rFonts w:cs="Arial"/>
          <w:color w:val="FF0000"/>
          <w:shd w:val="clear" w:color="auto" w:fill="FFFFFF"/>
        </w:rPr>
      </w:pPr>
      <w:r w:rsidRPr="003E0A63">
        <w:rPr>
          <w:rFonts w:cs="Arial"/>
          <w:color w:val="FF0000"/>
          <w:shd w:val="clear" w:color="auto" w:fill="FFFFFF"/>
        </w:rPr>
        <w:lastRenderedPageBreak/>
        <w:t xml:space="preserve">RP, M.V.S., (2023). Impact of Demographic Factors on </w:t>
      </w:r>
      <w:proofErr w:type="gramStart"/>
      <w:r w:rsidRPr="003E0A63">
        <w:rPr>
          <w:rFonts w:cs="Arial"/>
          <w:color w:val="FF0000"/>
          <w:shd w:val="clear" w:color="auto" w:fill="FFFFFF"/>
        </w:rPr>
        <w:t>The</w:t>
      </w:r>
      <w:proofErr w:type="gramEnd"/>
      <w:r w:rsidRPr="003E0A63">
        <w:rPr>
          <w:rFonts w:cs="Arial"/>
          <w:color w:val="FF0000"/>
          <w:shd w:val="clear" w:color="auto" w:fill="FFFFFF"/>
        </w:rPr>
        <w:t xml:space="preserve"> Employee Engagement of Employees In The IT Industry. </w:t>
      </w:r>
      <w:proofErr w:type="gramStart"/>
      <w:r w:rsidRPr="003E0A63">
        <w:rPr>
          <w:rFonts w:cs="Arial"/>
          <w:i/>
          <w:iCs/>
          <w:color w:val="FF0000"/>
          <w:shd w:val="clear" w:color="auto" w:fill="FFFFFF"/>
        </w:rPr>
        <w:t>EPRA International Journal of Multidisciplinary Research (IJMR)</w:t>
      </w:r>
      <w:r w:rsidRPr="003E0A63">
        <w:rPr>
          <w:rFonts w:cs="Arial"/>
          <w:color w:val="FF0000"/>
          <w:shd w:val="clear" w:color="auto" w:fill="FFFFFF"/>
        </w:rPr>
        <w:t>, </w:t>
      </w:r>
      <w:r w:rsidRPr="003E0A63">
        <w:rPr>
          <w:rFonts w:cs="Arial"/>
          <w:i/>
          <w:iCs/>
          <w:color w:val="FF0000"/>
          <w:shd w:val="clear" w:color="auto" w:fill="FFFFFF"/>
        </w:rPr>
        <w:t>9</w:t>
      </w:r>
      <w:r w:rsidRPr="003E0A63">
        <w:rPr>
          <w:rFonts w:cs="Arial"/>
          <w:color w:val="FF0000"/>
          <w:shd w:val="clear" w:color="auto" w:fill="FFFFFF"/>
        </w:rPr>
        <w:t>(9), pp.267-274.</w:t>
      </w:r>
      <w:proofErr w:type="gramEnd"/>
    </w:p>
    <w:p w:rsidR="003E0A63" w:rsidRPr="003E0A63" w:rsidRDefault="003E0A63" w:rsidP="00D04525">
      <w:pPr>
        <w:rPr>
          <w:rFonts w:cs="Arial"/>
          <w:color w:val="FF0000"/>
          <w:shd w:val="clear" w:color="auto" w:fill="FFFFFF"/>
        </w:rPr>
      </w:pPr>
      <w:proofErr w:type="spellStart"/>
      <w:r w:rsidRPr="003E0A63">
        <w:rPr>
          <w:rFonts w:cs="Arial"/>
          <w:color w:val="FF0000"/>
          <w:shd w:val="clear" w:color="auto" w:fill="FFFFFF"/>
        </w:rPr>
        <w:t>Saffar</w:t>
      </w:r>
      <w:proofErr w:type="spellEnd"/>
      <w:r w:rsidRPr="003E0A63">
        <w:rPr>
          <w:rFonts w:cs="Arial"/>
          <w:color w:val="FF0000"/>
          <w:shd w:val="clear" w:color="auto" w:fill="FFFFFF"/>
        </w:rPr>
        <w:t xml:space="preserve">, N. and </w:t>
      </w:r>
      <w:proofErr w:type="spellStart"/>
      <w:r w:rsidRPr="003E0A63">
        <w:rPr>
          <w:rFonts w:cs="Arial"/>
          <w:color w:val="FF0000"/>
          <w:shd w:val="clear" w:color="auto" w:fill="FFFFFF"/>
        </w:rPr>
        <w:t>Obeidat</w:t>
      </w:r>
      <w:proofErr w:type="spellEnd"/>
      <w:r w:rsidRPr="003E0A63">
        <w:rPr>
          <w:rFonts w:cs="Arial"/>
          <w:color w:val="FF0000"/>
          <w:shd w:val="clear" w:color="auto" w:fill="FFFFFF"/>
        </w:rPr>
        <w:t>, A., (2020). The effect of total quality management practices on employee performance: The moderating role of knowledge sharing. </w:t>
      </w:r>
      <w:proofErr w:type="gramStart"/>
      <w:r w:rsidRPr="003E0A63">
        <w:rPr>
          <w:rFonts w:cs="Arial"/>
          <w:i/>
          <w:iCs/>
          <w:color w:val="FF0000"/>
          <w:shd w:val="clear" w:color="auto" w:fill="FFFFFF"/>
        </w:rPr>
        <w:t>Management Science Letters</w:t>
      </w:r>
      <w:r w:rsidRPr="003E0A63">
        <w:rPr>
          <w:rFonts w:cs="Arial"/>
          <w:color w:val="FF0000"/>
          <w:shd w:val="clear" w:color="auto" w:fill="FFFFFF"/>
        </w:rPr>
        <w:t>, </w:t>
      </w:r>
      <w:r w:rsidRPr="003E0A63">
        <w:rPr>
          <w:rFonts w:cs="Arial"/>
          <w:i/>
          <w:iCs/>
          <w:color w:val="FF0000"/>
          <w:shd w:val="clear" w:color="auto" w:fill="FFFFFF"/>
        </w:rPr>
        <w:t>10</w:t>
      </w:r>
      <w:r w:rsidRPr="003E0A63">
        <w:rPr>
          <w:rFonts w:cs="Arial"/>
          <w:color w:val="FF0000"/>
          <w:shd w:val="clear" w:color="auto" w:fill="FFFFFF"/>
        </w:rPr>
        <w:t>(1), pp.77-90.</w:t>
      </w:r>
      <w:proofErr w:type="gramEnd"/>
    </w:p>
    <w:p w:rsidR="003E0A63" w:rsidRPr="003E0A63" w:rsidRDefault="003E0A63" w:rsidP="004E1259">
      <w:pPr>
        <w:rPr>
          <w:rFonts w:cs="Arial"/>
        </w:rPr>
      </w:pPr>
      <w:r w:rsidRPr="003E0A63">
        <w:rPr>
          <w:rFonts w:cs="Arial"/>
        </w:rPr>
        <w:t>Seibert, S.A., (2021). Problem-based learning: A strategy to foster generation Z's critical thinking and perseverance. </w:t>
      </w:r>
      <w:r w:rsidRPr="003E0A63">
        <w:rPr>
          <w:rFonts w:cs="Arial"/>
          <w:i/>
          <w:iCs/>
        </w:rPr>
        <w:t>Teaching and Learning in Nursing</w:t>
      </w:r>
      <w:r w:rsidRPr="003E0A63">
        <w:rPr>
          <w:rFonts w:cs="Arial"/>
        </w:rPr>
        <w:t>, </w:t>
      </w:r>
      <w:r w:rsidRPr="003E0A63">
        <w:rPr>
          <w:rFonts w:cs="Arial"/>
          <w:i/>
          <w:iCs/>
        </w:rPr>
        <w:t>16</w:t>
      </w:r>
      <w:r w:rsidRPr="003E0A63">
        <w:rPr>
          <w:rFonts w:cs="Arial"/>
        </w:rPr>
        <w:t>(1), pp.85-88.</w:t>
      </w:r>
    </w:p>
    <w:p w:rsidR="003E0A63" w:rsidRPr="003E0A63" w:rsidRDefault="003E0A63" w:rsidP="005E27C6">
      <w:pPr>
        <w:rPr>
          <w:rFonts w:cs="Arial"/>
          <w:color w:val="FF0000"/>
          <w:shd w:val="clear" w:color="auto" w:fill="FFFFFF"/>
        </w:rPr>
      </w:pPr>
      <w:r w:rsidRPr="003E0A63">
        <w:rPr>
          <w:rFonts w:cs="Arial"/>
          <w:color w:val="FF0000"/>
          <w:shd w:val="clear" w:color="auto" w:fill="FFFFFF"/>
        </w:rPr>
        <w:t xml:space="preserve">Singh, D., (2019). </w:t>
      </w:r>
      <w:proofErr w:type="gramStart"/>
      <w:r w:rsidRPr="003E0A63">
        <w:rPr>
          <w:rFonts w:cs="Arial"/>
          <w:color w:val="FF0000"/>
          <w:shd w:val="clear" w:color="auto" w:fill="FFFFFF"/>
        </w:rPr>
        <w:t>A literature review on employee retention with focus on recent trends.</w:t>
      </w:r>
      <w:proofErr w:type="gramEnd"/>
      <w:r w:rsidRPr="003E0A63">
        <w:rPr>
          <w:rFonts w:cs="Arial"/>
          <w:color w:val="FF0000"/>
          <w:shd w:val="clear" w:color="auto" w:fill="FFFFFF"/>
        </w:rPr>
        <w:t> </w:t>
      </w:r>
      <w:proofErr w:type="gramStart"/>
      <w:r w:rsidRPr="003E0A63">
        <w:rPr>
          <w:rFonts w:cs="Arial"/>
          <w:i/>
          <w:iCs/>
          <w:color w:val="FF0000"/>
          <w:shd w:val="clear" w:color="auto" w:fill="FFFFFF"/>
        </w:rPr>
        <w:t>International Journal of Scientific Research in Science and Technology</w:t>
      </w:r>
      <w:r w:rsidRPr="003E0A63">
        <w:rPr>
          <w:rFonts w:cs="Arial"/>
          <w:color w:val="FF0000"/>
          <w:shd w:val="clear" w:color="auto" w:fill="FFFFFF"/>
        </w:rPr>
        <w:t>, </w:t>
      </w:r>
      <w:r w:rsidRPr="003E0A63">
        <w:rPr>
          <w:rFonts w:cs="Arial"/>
          <w:i/>
          <w:iCs/>
          <w:color w:val="FF0000"/>
          <w:shd w:val="clear" w:color="auto" w:fill="FFFFFF"/>
        </w:rPr>
        <w:t>6</w:t>
      </w:r>
      <w:r w:rsidRPr="003E0A63">
        <w:rPr>
          <w:rFonts w:cs="Arial"/>
          <w:color w:val="FF0000"/>
          <w:shd w:val="clear" w:color="auto" w:fill="FFFFFF"/>
        </w:rPr>
        <w:t>(1), pp.425-431.</w:t>
      </w:r>
      <w:proofErr w:type="gramEnd"/>
    </w:p>
    <w:p w:rsidR="003E0A63" w:rsidRPr="003E0A63" w:rsidRDefault="003E0A63" w:rsidP="00BC73AE">
      <w:pPr>
        <w:rPr>
          <w:rFonts w:cs="Arial"/>
          <w:color w:val="FF0000"/>
          <w:shd w:val="clear" w:color="auto" w:fill="FFFFFF"/>
        </w:rPr>
      </w:pPr>
      <w:proofErr w:type="spellStart"/>
      <w:r w:rsidRPr="003E0A63">
        <w:rPr>
          <w:rFonts w:cs="Arial"/>
          <w:color w:val="FF0000"/>
          <w:shd w:val="clear" w:color="auto" w:fill="FFFFFF"/>
        </w:rPr>
        <w:t>Suomi</w:t>
      </w:r>
      <w:proofErr w:type="spellEnd"/>
      <w:r w:rsidRPr="003E0A63">
        <w:rPr>
          <w:rFonts w:cs="Arial"/>
          <w:color w:val="FF0000"/>
          <w:shd w:val="clear" w:color="auto" w:fill="FFFFFF"/>
        </w:rPr>
        <w:t xml:space="preserve">, K., </w:t>
      </w:r>
      <w:proofErr w:type="spellStart"/>
      <w:r w:rsidRPr="003E0A63">
        <w:rPr>
          <w:rFonts w:cs="Arial"/>
          <w:color w:val="FF0000"/>
          <w:shd w:val="clear" w:color="auto" w:fill="FFFFFF"/>
        </w:rPr>
        <w:t>Saraniemi</w:t>
      </w:r>
      <w:proofErr w:type="spellEnd"/>
      <w:r w:rsidRPr="003E0A63">
        <w:rPr>
          <w:rFonts w:cs="Arial"/>
          <w:color w:val="FF0000"/>
          <w:shd w:val="clear" w:color="auto" w:fill="FFFFFF"/>
        </w:rPr>
        <w:t xml:space="preserve">, S., </w:t>
      </w:r>
      <w:proofErr w:type="spellStart"/>
      <w:r w:rsidRPr="003E0A63">
        <w:rPr>
          <w:rFonts w:cs="Arial"/>
          <w:color w:val="FF0000"/>
          <w:shd w:val="clear" w:color="auto" w:fill="FFFFFF"/>
        </w:rPr>
        <w:t>Vähätalo</w:t>
      </w:r>
      <w:proofErr w:type="spellEnd"/>
      <w:r w:rsidRPr="003E0A63">
        <w:rPr>
          <w:rFonts w:cs="Arial"/>
          <w:color w:val="FF0000"/>
          <w:shd w:val="clear" w:color="auto" w:fill="FFFFFF"/>
        </w:rPr>
        <w:t xml:space="preserve">, M., </w:t>
      </w:r>
      <w:proofErr w:type="spellStart"/>
      <w:r w:rsidRPr="003E0A63">
        <w:rPr>
          <w:rFonts w:cs="Arial"/>
          <w:color w:val="FF0000"/>
          <w:shd w:val="clear" w:color="auto" w:fill="FFFFFF"/>
        </w:rPr>
        <w:t>Kallio</w:t>
      </w:r>
      <w:proofErr w:type="spellEnd"/>
      <w:r w:rsidRPr="003E0A63">
        <w:rPr>
          <w:rFonts w:cs="Arial"/>
          <w:color w:val="FF0000"/>
          <w:shd w:val="clear" w:color="auto" w:fill="FFFFFF"/>
        </w:rPr>
        <w:t xml:space="preserve">, T.J. and </w:t>
      </w:r>
      <w:proofErr w:type="spellStart"/>
      <w:r w:rsidRPr="003E0A63">
        <w:rPr>
          <w:rFonts w:cs="Arial"/>
          <w:color w:val="FF0000"/>
          <w:shd w:val="clear" w:color="auto" w:fill="FFFFFF"/>
        </w:rPr>
        <w:t>Tevameri</w:t>
      </w:r>
      <w:proofErr w:type="spellEnd"/>
      <w:r w:rsidRPr="003E0A63">
        <w:rPr>
          <w:rFonts w:cs="Arial"/>
          <w:color w:val="FF0000"/>
          <w:shd w:val="clear" w:color="auto" w:fill="FFFFFF"/>
        </w:rPr>
        <w:t>, T., (2021). Employee engagement and internal branding: two sides of the same coin</w:t>
      </w:r>
      <w:proofErr w:type="gramStart"/>
      <w:r w:rsidRPr="003E0A63">
        <w:rPr>
          <w:rFonts w:cs="Arial"/>
          <w:color w:val="FF0000"/>
          <w:shd w:val="clear" w:color="auto" w:fill="FFFFFF"/>
        </w:rPr>
        <w:t>?.</w:t>
      </w:r>
      <w:proofErr w:type="gramEnd"/>
      <w:r w:rsidRPr="003E0A63">
        <w:rPr>
          <w:rFonts w:cs="Arial"/>
          <w:color w:val="FF0000"/>
          <w:shd w:val="clear" w:color="auto" w:fill="FFFFFF"/>
        </w:rPr>
        <w:t> </w:t>
      </w:r>
      <w:proofErr w:type="gramStart"/>
      <w:r w:rsidRPr="003E0A63">
        <w:rPr>
          <w:rFonts w:cs="Arial"/>
          <w:i/>
          <w:iCs/>
          <w:color w:val="FF0000"/>
          <w:shd w:val="clear" w:color="auto" w:fill="FFFFFF"/>
        </w:rPr>
        <w:t>Corporate Reputation Review</w:t>
      </w:r>
      <w:r w:rsidRPr="003E0A63">
        <w:rPr>
          <w:rFonts w:cs="Arial"/>
          <w:color w:val="FF0000"/>
          <w:shd w:val="clear" w:color="auto" w:fill="FFFFFF"/>
        </w:rPr>
        <w:t>, </w:t>
      </w:r>
      <w:r w:rsidRPr="003E0A63">
        <w:rPr>
          <w:rFonts w:cs="Arial"/>
          <w:i/>
          <w:iCs/>
          <w:color w:val="FF0000"/>
          <w:shd w:val="clear" w:color="auto" w:fill="FFFFFF"/>
        </w:rPr>
        <w:t>24</w:t>
      </w:r>
      <w:r w:rsidRPr="003E0A63">
        <w:rPr>
          <w:rFonts w:cs="Arial"/>
          <w:color w:val="FF0000"/>
          <w:shd w:val="clear" w:color="auto" w:fill="FFFFFF"/>
        </w:rPr>
        <w:t>, pp.48-63.</w:t>
      </w:r>
      <w:proofErr w:type="gramEnd"/>
    </w:p>
    <w:p w:rsidR="003E0A63" w:rsidRPr="003E0A63" w:rsidRDefault="003E0A63" w:rsidP="007A3057">
      <w:pPr>
        <w:rPr>
          <w:rFonts w:cs="Arial"/>
        </w:rPr>
      </w:pPr>
      <w:proofErr w:type="spellStart"/>
      <w:proofErr w:type="gramStart"/>
      <w:r w:rsidRPr="003E0A63">
        <w:rPr>
          <w:rFonts w:cs="Arial"/>
        </w:rPr>
        <w:t>Szymkowiak</w:t>
      </w:r>
      <w:proofErr w:type="spellEnd"/>
      <w:r w:rsidRPr="003E0A63">
        <w:rPr>
          <w:rFonts w:cs="Arial"/>
        </w:rPr>
        <w:t xml:space="preserve">, A., </w:t>
      </w:r>
      <w:proofErr w:type="spellStart"/>
      <w:r w:rsidRPr="003E0A63">
        <w:rPr>
          <w:rFonts w:cs="Arial"/>
        </w:rPr>
        <w:t>Melović</w:t>
      </w:r>
      <w:proofErr w:type="spellEnd"/>
      <w:r w:rsidRPr="003E0A63">
        <w:rPr>
          <w:rFonts w:cs="Arial"/>
        </w:rPr>
        <w:t xml:space="preserve">, B., </w:t>
      </w:r>
      <w:proofErr w:type="spellStart"/>
      <w:r w:rsidRPr="003E0A63">
        <w:rPr>
          <w:rFonts w:cs="Arial"/>
        </w:rPr>
        <w:t>Dabić</w:t>
      </w:r>
      <w:proofErr w:type="spellEnd"/>
      <w:r w:rsidRPr="003E0A63">
        <w:rPr>
          <w:rFonts w:cs="Arial"/>
        </w:rPr>
        <w:t xml:space="preserve">, M., </w:t>
      </w:r>
      <w:proofErr w:type="spellStart"/>
      <w:r w:rsidRPr="003E0A63">
        <w:rPr>
          <w:rFonts w:cs="Arial"/>
        </w:rPr>
        <w:t>Jeganathan</w:t>
      </w:r>
      <w:proofErr w:type="spellEnd"/>
      <w:r w:rsidRPr="003E0A63">
        <w:rPr>
          <w:rFonts w:cs="Arial"/>
        </w:rPr>
        <w:t xml:space="preserve">, K. and </w:t>
      </w:r>
      <w:proofErr w:type="spellStart"/>
      <w:r w:rsidRPr="003E0A63">
        <w:rPr>
          <w:rFonts w:cs="Arial"/>
        </w:rPr>
        <w:t>Kundi</w:t>
      </w:r>
      <w:proofErr w:type="spellEnd"/>
      <w:r w:rsidRPr="003E0A63">
        <w:rPr>
          <w:rFonts w:cs="Arial"/>
        </w:rPr>
        <w:t>, G.S., (2021).</w:t>
      </w:r>
      <w:proofErr w:type="gramEnd"/>
      <w:r w:rsidRPr="003E0A63">
        <w:rPr>
          <w:rFonts w:cs="Arial"/>
        </w:rPr>
        <w:t xml:space="preserve"> Information technology and Gen Z: The role of teachers, the internet, and technology in the education of young people. </w:t>
      </w:r>
      <w:proofErr w:type="gramStart"/>
      <w:r w:rsidRPr="003E0A63">
        <w:rPr>
          <w:rFonts w:cs="Arial"/>
          <w:i/>
          <w:iCs/>
        </w:rPr>
        <w:t>Technology in Society</w:t>
      </w:r>
      <w:r w:rsidRPr="003E0A63">
        <w:rPr>
          <w:rFonts w:cs="Arial"/>
        </w:rPr>
        <w:t>, </w:t>
      </w:r>
      <w:r w:rsidRPr="003E0A63">
        <w:rPr>
          <w:rFonts w:cs="Arial"/>
          <w:i/>
          <w:iCs/>
        </w:rPr>
        <w:t>65</w:t>
      </w:r>
      <w:r w:rsidRPr="003E0A63">
        <w:rPr>
          <w:rFonts w:cs="Arial"/>
        </w:rPr>
        <w:t>, p.101565.</w:t>
      </w:r>
      <w:proofErr w:type="gramEnd"/>
    </w:p>
    <w:p w:rsidR="003E0A63" w:rsidRPr="003E0A63" w:rsidRDefault="003E0A63" w:rsidP="00412DEC">
      <w:pPr>
        <w:rPr>
          <w:rFonts w:cs="Arial"/>
          <w:color w:val="FF0000"/>
          <w:shd w:val="clear" w:color="auto" w:fill="FFFFFF"/>
        </w:rPr>
      </w:pPr>
      <w:proofErr w:type="spellStart"/>
      <w:proofErr w:type="gramStart"/>
      <w:r w:rsidRPr="003E0A63">
        <w:rPr>
          <w:rFonts w:cs="Arial"/>
          <w:color w:val="FF0000"/>
          <w:shd w:val="clear" w:color="auto" w:fill="FFFFFF"/>
        </w:rPr>
        <w:t>TkalacVerčič</w:t>
      </w:r>
      <w:proofErr w:type="spellEnd"/>
      <w:r w:rsidRPr="003E0A63">
        <w:rPr>
          <w:rFonts w:cs="Arial"/>
          <w:color w:val="FF0000"/>
          <w:shd w:val="clear" w:color="auto" w:fill="FFFFFF"/>
        </w:rPr>
        <w:t xml:space="preserve">, A., </w:t>
      </w:r>
      <w:proofErr w:type="spellStart"/>
      <w:r w:rsidRPr="003E0A63">
        <w:rPr>
          <w:rFonts w:cs="Arial"/>
          <w:color w:val="FF0000"/>
          <w:shd w:val="clear" w:color="auto" w:fill="FFFFFF"/>
        </w:rPr>
        <w:t>Galić</w:t>
      </w:r>
      <w:proofErr w:type="spellEnd"/>
      <w:r w:rsidRPr="003E0A63">
        <w:rPr>
          <w:rFonts w:cs="Arial"/>
          <w:color w:val="FF0000"/>
          <w:shd w:val="clear" w:color="auto" w:fill="FFFFFF"/>
        </w:rPr>
        <w:t xml:space="preserve">, Z. and </w:t>
      </w:r>
      <w:proofErr w:type="spellStart"/>
      <w:r w:rsidRPr="003E0A63">
        <w:rPr>
          <w:rFonts w:cs="Arial"/>
          <w:color w:val="FF0000"/>
          <w:shd w:val="clear" w:color="auto" w:fill="FFFFFF"/>
        </w:rPr>
        <w:t>Žnidar</w:t>
      </w:r>
      <w:proofErr w:type="spellEnd"/>
      <w:r w:rsidRPr="003E0A63">
        <w:rPr>
          <w:rFonts w:cs="Arial"/>
          <w:color w:val="FF0000"/>
          <w:shd w:val="clear" w:color="auto" w:fill="FFFFFF"/>
        </w:rPr>
        <w:t>, K., (2023).</w:t>
      </w:r>
      <w:proofErr w:type="gramEnd"/>
      <w:r w:rsidRPr="003E0A63">
        <w:rPr>
          <w:rFonts w:cs="Arial"/>
          <w:color w:val="FF0000"/>
          <w:shd w:val="clear" w:color="auto" w:fill="FFFFFF"/>
        </w:rPr>
        <w:t xml:space="preserve"> The relationship of internal communication satisfaction with employee engagement and employer attractiveness: testing the joint mediating effect of the social exchange quality indicators. </w:t>
      </w:r>
      <w:proofErr w:type="gramStart"/>
      <w:r w:rsidRPr="003E0A63">
        <w:rPr>
          <w:rFonts w:cs="Arial"/>
          <w:i/>
          <w:iCs/>
          <w:color w:val="FF0000"/>
          <w:shd w:val="clear" w:color="auto" w:fill="FFFFFF"/>
        </w:rPr>
        <w:t>International Journal of Business Communication</w:t>
      </w:r>
      <w:r w:rsidRPr="003E0A63">
        <w:rPr>
          <w:rFonts w:cs="Arial"/>
          <w:color w:val="FF0000"/>
          <w:shd w:val="clear" w:color="auto" w:fill="FFFFFF"/>
        </w:rPr>
        <w:t>, </w:t>
      </w:r>
      <w:r w:rsidRPr="003E0A63">
        <w:rPr>
          <w:rFonts w:cs="Arial"/>
          <w:i/>
          <w:iCs/>
          <w:color w:val="FF0000"/>
          <w:shd w:val="clear" w:color="auto" w:fill="FFFFFF"/>
        </w:rPr>
        <w:t>60</w:t>
      </w:r>
      <w:r w:rsidRPr="003E0A63">
        <w:rPr>
          <w:rFonts w:cs="Arial"/>
          <w:color w:val="FF0000"/>
          <w:shd w:val="clear" w:color="auto" w:fill="FFFFFF"/>
        </w:rPr>
        <w:t>(4), pp.1313-1340.</w:t>
      </w:r>
      <w:proofErr w:type="gramEnd"/>
    </w:p>
    <w:p w:rsidR="003E0A63" w:rsidRPr="003E0A63" w:rsidRDefault="003E0A63" w:rsidP="007A3057">
      <w:pPr>
        <w:rPr>
          <w:rFonts w:cs="Arial"/>
        </w:rPr>
      </w:pPr>
      <w:proofErr w:type="spellStart"/>
      <w:r w:rsidRPr="003E0A63">
        <w:rPr>
          <w:rFonts w:cs="Arial"/>
        </w:rPr>
        <w:t>Tovmasyan</w:t>
      </w:r>
      <w:proofErr w:type="spellEnd"/>
      <w:r w:rsidRPr="003E0A63">
        <w:rPr>
          <w:rFonts w:cs="Arial"/>
        </w:rPr>
        <w:t xml:space="preserve">, G. and </w:t>
      </w:r>
      <w:proofErr w:type="spellStart"/>
      <w:r w:rsidRPr="003E0A63">
        <w:rPr>
          <w:rFonts w:cs="Arial"/>
        </w:rPr>
        <w:t>Minasyan</w:t>
      </w:r>
      <w:proofErr w:type="spellEnd"/>
      <w:r w:rsidRPr="003E0A63">
        <w:rPr>
          <w:rFonts w:cs="Arial"/>
        </w:rPr>
        <w:t xml:space="preserve">, D., (2020). </w:t>
      </w:r>
      <w:proofErr w:type="gramStart"/>
      <w:r w:rsidRPr="003E0A63">
        <w:rPr>
          <w:rFonts w:cs="Arial"/>
        </w:rPr>
        <w:t>The Impact of Motivation on Work Efficiency for Both Employers.</w:t>
      </w:r>
      <w:proofErr w:type="gramEnd"/>
      <w:r w:rsidRPr="003E0A63">
        <w:rPr>
          <w:rFonts w:cs="Arial"/>
        </w:rPr>
        <w:t> </w:t>
      </w:r>
      <w:proofErr w:type="gramStart"/>
      <w:r w:rsidRPr="003E0A63">
        <w:rPr>
          <w:rFonts w:cs="Arial"/>
          <w:i/>
          <w:iCs/>
        </w:rPr>
        <w:t>Business Ethics and Leadership</w:t>
      </w:r>
      <w:r w:rsidRPr="003E0A63">
        <w:rPr>
          <w:rFonts w:cs="Arial"/>
        </w:rPr>
        <w:t>, </w:t>
      </w:r>
      <w:r w:rsidRPr="003E0A63">
        <w:rPr>
          <w:rFonts w:cs="Arial"/>
          <w:i/>
          <w:iCs/>
        </w:rPr>
        <w:t>4</w:t>
      </w:r>
      <w:r w:rsidRPr="003E0A63">
        <w:rPr>
          <w:rFonts w:cs="Arial"/>
        </w:rPr>
        <w:t>(3).</w:t>
      </w:r>
      <w:proofErr w:type="gramEnd"/>
    </w:p>
    <w:p w:rsidR="003E0A63" w:rsidRPr="003E0A63" w:rsidRDefault="003E0A63" w:rsidP="007A3057">
      <w:pPr>
        <w:rPr>
          <w:rFonts w:cs="Arial"/>
        </w:rPr>
      </w:pPr>
      <w:proofErr w:type="spellStart"/>
      <w:r w:rsidRPr="003E0A63">
        <w:rPr>
          <w:rFonts w:cs="Arial"/>
        </w:rPr>
        <w:t>Yadgarovna</w:t>
      </w:r>
      <w:proofErr w:type="spellEnd"/>
      <w:r w:rsidRPr="003E0A63">
        <w:rPr>
          <w:rFonts w:cs="Arial"/>
        </w:rPr>
        <w:t xml:space="preserve">, M.F. and </w:t>
      </w:r>
      <w:proofErr w:type="spellStart"/>
      <w:r w:rsidRPr="003E0A63">
        <w:rPr>
          <w:rFonts w:cs="Arial"/>
        </w:rPr>
        <w:t>Husenovich</w:t>
      </w:r>
      <w:proofErr w:type="spellEnd"/>
      <w:r w:rsidRPr="003E0A63">
        <w:rPr>
          <w:rFonts w:cs="Arial"/>
        </w:rPr>
        <w:t xml:space="preserve">, R.T., (2020). </w:t>
      </w:r>
      <w:proofErr w:type="gramStart"/>
      <w:r w:rsidRPr="003E0A63">
        <w:rPr>
          <w:rFonts w:cs="Arial"/>
        </w:rPr>
        <w:t>Advantages and disadvantages of the method of working in small groups in teaching higher mathematics.</w:t>
      </w:r>
      <w:proofErr w:type="gramEnd"/>
      <w:r w:rsidRPr="003E0A63">
        <w:rPr>
          <w:rFonts w:cs="Arial"/>
        </w:rPr>
        <w:t> </w:t>
      </w:r>
      <w:proofErr w:type="gramStart"/>
      <w:r w:rsidRPr="003E0A63">
        <w:rPr>
          <w:rFonts w:cs="Arial"/>
          <w:i/>
          <w:iCs/>
        </w:rPr>
        <w:t>Academy</w:t>
      </w:r>
      <w:r w:rsidRPr="003E0A63">
        <w:rPr>
          <w:rFonts w:cs="Arial"/>
        </w:rPr>
        <w:t>, (4 (55)), pp.65-68.</w:t>
      </w:r>
      <w:proofErr w:type="gramEnd"/>
    </w:p>
    <w:sectPr w:rsidR="003E0A63" w:rsidRPr="003E0A63" w:rsidSect="008D1F9D">
      <w:footerReference w:type="default" r:id="rId15"/>
      <w:pgSz w:w="12240" w:h="15840"/>
      <w:pgMar w:top="1440" w:right="1440" w:bottom="1440" w:left="1440" w:header="720" w:footer="720" w:gutter="0"/>
      <w:pgBorders w:offsetFrom="page">
        <w:top w:val="thickThinMediumGap" w:sz="24" w:space="24" w:color="auto" w:shadow="1"/>
        <w:left w:val="thickThinMediumGap" w:sz="24" w:space="24" w:color="auto" w:shadow="1"/>
        <w:bottom w:val="thickThinMediumGap" w:sz="24" w:space="24" w:color="auto" w:shadow="1"/>
        <w:right w:val="thickThinMediumGap" w:sz="24" w:space="24" w:color="auto"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26C" w:rsidRDefault="007F326C" w:rsidP="00240223">
      <w:pPr>
        <w:spacing w:after="0" w:line="240" w:lineRule="auto"/>
      </w:pPr>
      <w:r>
        <w:separator/>
      </w:r>
    </w:p>
  </w:endnote>
  <w:endnote w:type="continuationSeparator" w:id="0">
    <w:p w:rsidR="007F326C" w:rsidRDefault="007F326C" w:rsidP="00240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9705335"/>
      <w:docPartObj>
        <w:docPartGallery w:val="Page Numbers (Bottom of Page)"/>
        <w:docPartUnique/>
      </w:docPartObj>
    </w:sdtPr>
    <w:sdtEndPr/>
    <w:sdtContent>
      <w:p w:rsidR="001072E5" w:rsidRDefault="00FE0756">
        <w:pPr>
          <w:pStyle w:val="a7"/>
          <w:jc w:val="right"/>
        </w:pPr>
        <w:r>
          <w:fldChar w:fldCharType="begin"/>
        </w:r>
        <w:r w:rsidR="0012638A">
          <w:instrText>PAGE   \* MERGEFORMAT</w:instrText>
        </w:r>
        <w:r>
          <w:fldChar w:fldCharType="separate"/>
        </w:r>
        <w:r w:rsidR="00E457CA">
          <w:rPr>
            <w:noProof/>
          </w:rPr>
          <w:t>1</w:t>
        </w:r>
        <w:r>
          <w:rPr>
            <w:noProof/>
          </w:rPr>
          <w:fldChar w:fldCharType="end"/>
        </w:r>
      </w:p>
    </w:sdtContent>
  </w:sdt>
  <w:p w:rsidR="001072E5" w:rsidRDefault="001072E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26C" w:rsidRDefault="007F326C" w:rsidP="00240223">
      <w:pPr>
        <w:spacing w:after="0" w:line="240" w:lineRule="auto"/>
      </w:pPr>
      <w:r>
        <w:separator/>
      </w:r>
    </w:p>
  </w:footnote>
  <w:footnote w:type="continuationSeparator" w:id="0">
    <w:p w:rsidR="007F326C" w:rsidRDefault="007F326C" w:rsidP="002402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14D2A"/>
    <w:multiLevelType w:val="hybridMultilevel"/>
    <w:tmpl w:val="F37ED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8B9"/>
    <w:rsid w:val="0000233C"/>
    <w:rsid w:val="000023B3"/>
    <w:rsid w:val="00002BB6"/>
    <w:rsid w:val="00034338"/>
    <w:rsid w:val="00041190"/>
    <w:rsid w:val="00056D04"/>
    <w:rsid w:val="000733E6"/>
    <w:rsid w:val="00082B99"/>
    <w:rsid w:val="000861B8"/>
    <w:rsid w:val="000916C9"/>
    <w:rsid w:val="00095798"/>
    <w:rsid w:val="000C2789"/>
    <w:rsid w:val="000C3045"/>
    <w:rsid w:val="000C4B35"/>
    <w:rsid w:val="000D141B"/>
    <w:rsid w:val="000D1C47"/>
    <w:rsid w:val="000D4A83"/>
    <w:rsid w:val="000D4B78"/>
    <w:rsid w:val="000E192A"/>
    <w:rsid w:val="000E56EE"/>
    <w:rsid w:val="000E5D71"/>
    <w:rsid w:val="000E6F80"/>
    <w:rsid w:val="000F2270"/>
    <w:rsid w:val="000F2CBA"/>
    <w:rsid w:val="000F3B57"/>
    <w:rsid w:val="000F66DE"/>
    <w:rsid w:val="00100623"/>
    <w:rsid w:val="00102F06"/>
    <w:rsid w:val="00106B23"/>
    <w:rsid w:val="001072E5"/>
    <w:rsid w:val="00117182"/>
    <w:rsid w:val="0012638A"/>
    <w:rsid w:val="001331D2"/>
    <w:rsid w:val="00135B3C"/>
    <w:rsid w:val="00135CB8"/>
    <w:rsid w:val="001432FA"/>
    <w:rsid w:val="00150885"/>
    <w:rsid w:val="00153F54"/>
    <w:rsid w:val="00154F49"/>
    <w:rsid w:val="00160CF2"/>
    <w:rsid w:val="00163F85"/>
    <w:rsid w:val="00164C0E"/>
    <w:rsid w:val="00165D64"/>
    <w:rsid w:val="001660E1"/>
    <w:rsid w:val="00172F77"/>
    <w:rsid w:val="001932B4"/>
    <w:rsid w:val="001A6AB3"/>
    <w:rsid w:val="001C2546"/>
    <w:rsid w:val="001E5FE1"/>
    <w:rsid w:val="001E7637"/>
    <w:rsid w:val="001F5B3D"/>
    <w:rsid w:val="0020703D"/>
    <w:rsid w:val="002154A2"/>
    <w:rsid w:val="00230E42"/>
    <w:rsid w:val="00240223"/>
    <w:rsid w:val="002547DB"/>
    <w:rsid w:val="00254B21"/>
    <w:rsid w:val="00261CBF"/>
    <w:rsid w:val="002664A6"/>
    <w:rsid w:val="0027474E"/>
    <w:rsid w:val="0027632A"/>
    <w:rsid w:val="00285B76"/>
    <w:rsid w:val="00287CB2"/>
    <w:rsid w:val="00290C41"/>
    <w:rsid w:val="00291F60"/>
    <w:rsid w:val="00294AD8"/>
    <w:rsid w:val="00296AC5"/>
    <w:rsid w:val="002E11FA"/>
    <w:rsid w:val="002E3A0C"/>
    <w:rsid w:val="00303A2D"/>
    <w:rsid w:val="0030654E"/>
    <w:rsid w:val="003116FD"/>
    <w:rsid w:val="00316115"/>
    <w:rsid w:val="00334544"/>
    <w:rsid w:val="003356C6"/>
    <w:rsid w:val="00345F32"/>
    <w:rsid w:val="0034738D"/>
    <w:rsid w:val="0036695F"/>
    <w:rsid w:val="003706D2"/>
    <w:rsid w:val="00385F7E"/>
    <w:rsid w:val="00387F6B"/>
    <w:rsid w:val="0039234F"/>
    <w:rsid w:val="003978DB"/>
    <w:rsid w:val="003B5AB8"/>
    <w:rsid w:val="003E0A63"/>
    <w:rsid w:val="003F5EB5"/>
    <w:rsid w:val="003F6801"/>
    <w:rsid w:val="004012D1"/>
    <w:rsid w:val="004016EE"/>
    <w:rsid w:val="00412DEC"/>
    <w:rsid w:val="00414E6C"/>
    <w:rsid w:val="00423E62"/>
    <w:rsid w:val="00442F7B"/>
    <w:rsid w:val="0044546D"/>
    <w:rsid w:val="00451534"/>
    <w:rsid w:val="00456BF8"/>
    <w:rsid w:val="004618B9"/>
    <w:rsid w:val="0046272C"/>
    <w:rsid w:val="00476372"/>
    <w:rsid w:val="00483BF2"/>
    <w:rsid w:val="004876BE"/>
    <w:rsid w:val="00496089"/>
    <w:rsid w:val="004967B1"/>
    <w:rsid w:val="004B0EA0"/>
    <w:rsid w:val="004B6097"/>
    <w:rsid w:val="004C02B4"/>
    <w:rsid w:val="004C1822"/>
    <w:rsid w:val="004C50E8"/>
    <w:rsid w:val="004C6E80"/>
    <w:rsid w:val="004D665C"/>
    <w:rsid w:val="004D7C27"/>
    <w:rsid w:val="004E0A63"/>
    <w:rsid w:val="004E0E40"/>
    <w:rsid w:val="004E0EB0"/>
    <w:rsid w:val="004E1259"/>
    <w:rsid w:val="004E3DF1"/>
    <w:rsid w:val="004E61B9"/>
    <w:rsid w:val="004F0A68"/>
    <w:rsid w:val="00510909"/>
    <w:rsid w:val="00517746"/>
    <w:rsid w:val="00521CC3"/>
    <w:rsid w:val="00523907"/>
    <w:rsid w:val="00525FFF"/>
    <w:rsid w:val="005357B6"/>
    <w:rsid w:val="0054156C"/>
    <w:rsid w:val="00552064"/>
    <w:rsid w:val="00555FA4"/>
    <w:rsid w:val="005630E6"/>
    <w:rsid w:val="005655FF"/>
    <w:rsid w:val="00573716"/>
    <w:rsid w:val="0059080E"/>
    <w:rsid w:val="005A0227"/>
    <w:rsid w:val="005A053E"/>
    <w:rsid w:val="005A7621"/>
    <w:rsid w:val="005B2748"/>
    <w:rsid w:val="005C6F7B"/>
    <w:rsid w:val="005E27C6"/>
    <w:rsid w:val="005E2BCC"/>
    <w:rsid w:val="005F52A0"/>
    <w:rsid w:val="0060152E"/>
    <w:rsid w:val="0060622A"/>
    <w:rsid w:val="00607D7D"/>
    <w:rsid w:val="00607DA1"/>
    <w:rsid w:val="00611727"/>
    <w:rsid w:val="00612FFE"/>
    <w:rsid w:val="006429BC"/>
    <w:rsid w:val="00646CBB"/>
    <w:rsid w:val="006500AD"/>
    <w:rsid w:val="00651189"/>
    <w:rsid w:val="006548BD"/>
    <w:rsid w:val="006626A2"/>
    <w:rsid w:val="006703FF"/>
    <w:rsid w:val="0069713F"/>
    <w:rsid w:val="006A0FB3"/>
    <w:rsid w:val="006A7480"/>
    <w:rsid w:val="006C06D4"/>
    <w:rsid w:val="006C4DA0"/>
    <w:rsid w:val="006C607C"/>
    <w:rsid w:val="006C7F1B"/>
    <w:rsid w:val="006D184C"/>
    <w:rsid w:val="006E4971"/>
    <w:rsid w:val="006F3FD4"/>
    <w:rsid w:val="006F718B"/>
    <w:rsid w:val="00705C59"/>
    <w:rsid w:val="00714633"/>
    <w:rsid w:val="00717104"/>
    <w:rsid w:val="00724245"/>
    <w:rsid w:val="00735834"/>
    <w:rsid w:val="00743C93"/>
    <w:rsid w:val="007442E2"/>
    <w:rsid w:val="00763DBB"/>
    <w:rsid w:val="00765EE5"/>
    <w:rsid w:val="007678DD"/>
    <w:rsid w:val="00781FA5"/>
    <w:rsid w:val="00796B54"/>
    <w:rsid w:val="00796C70"/>
    <w:rsid w:val="007A274C"/>
    <w:rsid w:val="007A3057"/>
    <w:rsid w:val="007A5DA3"/>
    <w:rsid w:val="007B35D3"/>
    <w:rsid w:val="007C58C3"/>
    <w:rsid w:val="007D4C26"/>
    <w:rsid w:val="007E2E6D"/>
    <w:rsid w:val="007E3850"/>
    <w:rsid w:val="007E4C4C"/>
    <w:rsid w:val="007E7B74"/>
    <w:rsid w:val="007F23C7"/>
    <w:rsid w:val="007F326C"/>
    <w:rsid w:val="0081004F"/>
    <w:rsid w:val="00810B5B"/>
    <w:rsid w:val="00815DDB"/>
    <w:rsid w:val="0082001B"/>
    <w:rsid w:val="00826D8D"/>
    <w:rsid w:val="008337CE"/>
    <w:rsid w:val="00841656"/>
    <w:rsid w:val="008443F1"/>
    <w:rsid w:val="008522C8"/>
    <w:rsid w:val="008541CA"/>
    <w:rsid w:val="00856C20"/>
    <w:rsid w:val="00857357"/>
    <w:rsid w:val="00860557"/>
    <w:rsid w:val="00881B5E"/>
    <w:rsid w:val="00883D9F"/>
    <w:rsid w:val="0089196E"/>
    <w:rsid w:val="0089321F"/>
    <w:rsid w:val="008A6099"/>
    <w:rsid w:val="008C09CB"/>
    <w:rsid w:val="008C446E"/>
    <w:rsid w:val="008C48D5"/>
    <w:rsid w:val="008C7DBC"/>
    <w:rsid w:val="008D1F9D"/>
    <w:rsid w:val="008D2EBC"/>
    <w:rsid w:val="008D6C3F"/>
    <w:rsid w:val="008E2C53"/>
    <w:rsid w:val="008E33E4"/>
    <w:rsid w:val="008E3FB4"/>
    <w:rsid w:val="008F3B1D"/>
    <w:rsid w:val="008F4006"/>
    <w:rsid w:val="009033CC"/>
    <w:rsid w:val="00905388"/>
    <w:rsid w:val="00905934"/>
    <w:rsid w:val="009070C5"/>
    <w:rsid w:val="00911D5B"/>
    <w:rsid w:val="00913487"/>
    <w:rsid w:val="009168C7"/>
    <w:rsid w:val="0091721A"/>
    <w:rsid w:val="0093434C"/>
    <w:rsid w:val="00941509"/>
    <w:rsid w:val="009442DA"/>
    <w:rsid w:val="00945EF7"/>
    <w:rsid w:val="00957E03"/>
    <w:rsid w:val="009644C0"/>
    <w:rsid w:val="00966122"/>
    <w:rsid w:val="009666DB"/>
    <w:rsid w:val="009719BB"/>
    <w:rsid w:val="009732B6"/>
    <w:rsid w:val="0097464F"/>
    <w:rsid w:val="0097516D"/>
    <w:rsid w:val="00975FFA"/>
    <w:rsid w:val="00981A70"/>
    <w:rsid w:val="00990E74"/>
    <w:rsid w:val="00992B13"/>
    <w:rsid w:val="00997820"/>
    <w:rsid w:val="009A2B35"/>
    <w:rsid w:val="009A49A7"/>
    <w:rsid w:val="009B0B45"/>
    <w:rsid w:val="009F74E3"/>
    <w:rsid w:val="00A04243"/>
    <w:rsid w:val="00A06119"/>
    <w:rsid w:val="00A1412C"/>
    <w:rsid w:val="00A14F06"/>
    <w:rsid w:val="00A21D21"/>
    <w:rsid w:val="00A27870"/>
    <w:rsid w:val="00A3326D"/>
    <w:rsid w:val="00A34B88"/>
    <w:rsid w:val="00A358CD"/>
    <w:rsid w:val="00A42D03"/>
    <w:rsid w:val="00A50B38"/>
    <w:rsid w:val="00A74DCC"/>
    <w:rsid w:val="00A909A4"/>
    <w:rsid w:val="00A90C64"/>
    <w:rsid w:val="00A93884"/>
    <w:rsid w:val="00AB29D5"/>
    <w:rsid w:val="00AB2DD5"/>
    <w:rsid w:val="00AB5A5B"/>
    <w:rsid w:val="00AC34DB"/>
    <w:rsid w:val="00AC5913"/>
    <w:rsid w:val="00AD5BE3"/>
    <w:rsid w:val="00AE26A8"/>
    <w:rsid w:val="00AF0C33"/>
    <w:rsid w:val="00B05642"/>
    <w:rsid w:val="00B11841"/>
    <w:rsid w:val="00B11DA2"/>
    <w:rsid w:val="00B14621"/>
    <w:rsid w:val="00B17214"/>
    <w:rsid w:val="00B30B77"/>
    <w:rsid w:val="00B34930"/>
    <w:rsid w:val="00B650EF"/>
    <w:rsid w:val="00B65BB9"/>
    <w:rsid w:val="00B71774"/>
    <w:rsid w:val="00B75F06"/>
    <w:rsid w:val="00B84B9E"/>
    <w:rsid w:val="00BB1437"/>
    <w:rsid w:val="00BB1DC0"/>
    <w:rsid w:val="00BB379B"/>
    <w:rsid w:val="00BB720C"/>
    <w:rsid w:val="00BC410A"/>
    <w:rsid w:val="00BC70B0"/>
    <w:rsid w:val="00BC73AE"/>
    <w:rsid w:val="00BD305D"/>
    <w:rsid w:val="00BD48C0"/>
    <w:rsid w:val="00BD5BF5"/>
    <w:rsid w:val="00BE0F67"/>
    <w:rsid w:val="00BE6C75"/>
    <w:rsid w:val="00BE728E"/>
    <w:rsid w:val="00BE7942"/>
    <w:rsid w:val="00BF52E3"/>
    <w:rsid w:val="00BF6809"/>
    <w:rsid w:val="00C0714D"/>
    <w:rsid w:val="00C07923"/>
    <w:rsid w:val="00C10BBC"/>
    <w:rsid w:val="00C12459"/>
    <w:rsid w:val="00C13826"/>
    <w:rsid w:val="00C1415F"/>
    <w:rsid w:val="00C16FF2"/>
    <w:rsid w:val="00C206A4"/>
    <w:rsid w:val="00C2729F"/>
    <w:rsid w:val="00C31F89"/>
    <w:rsid w:val="00C415AD"/>
    <w:rsid w:val="00C4212D"/>
    <w:rsid w:val="00C43E30"/>
    <w:rsid w:val="00C63E42"/>
    <w:rsid w:val="00C70E64"/>
    <w:rsid w:val="00C739CA"/>
    <w:rsid w:val="00C8279E"/>
    <w:rsid w:val="00C83A07"/>
    <w:rsid w:val="00C846E8"/>
    <w:rsid w:val="00C90020"/>
    <w:rsid w:val="00C9200B"/>
    <w:rsid w:val="00CA2660"/>
    <w:rsid w:val="00CB1A7A"/>
    <w:rsid w:val="00CC0986"/>
    <w:rsid w:val="00CC49AA"/>
    <w:rsid w:val="00CD314F"/>
    <w:rsid w:val="00CD40AC"/>
    <w:rsid w:val="00CD42CD"/>
    <w:rsid w:val="00CE09F1"/>
    <w:rsid w:val="00CE7139"/>
    <w:rsid w:val="00CF2581"/>
    <w:rsid w:val="00D019E7"/>
    <w:rsid w:val="00D04525"/>
    <w:rsid w:val="00D04E99"/>
    <w:rsid w:val="00D07C6A"/>
    <w:rsid w:val="00D2641E"/>
    <w:rsid w:val="00D32989"/>
    <w:rsid w:val="00D36F66"/>
    <w:rsid w:val="00D452CD"/>
    <w:rsid w:val="00D52AA6"/>
    <w:rsid w:val="00D70524"/>
    <w:rsid w:val="00D705DA"/>
    <w:rsid w:val="00D71230"/>
    <w:rsid w:val="00D8203D"/>
    <w:rsid w:val="00D86579"/>
    <w:rsid w:val="00D93840"/>
    <w:rsid w:val="00DA4BC2"/>
    <w:rsid w:val="00DB107A"/>
    <w:rsid w:val="00DB3F5D"/>
    <w:rsid w:val="00DB5F44"/>
    <w:rsid w:val="00DC04C7"/>
    <w:rsid w:val="00DD422B"/>
    <w:rsid w:val="00DD797D"/>
    <w:rsid w:val="00DF27B3"/>
    <w:rsid w:val="00DF3BAB"/>
    <w:rsid w:val="00E02402"/>
    <w:rsid w:val="00E052C8"/>
    <w:rsid w:val="00E140A5"/>
    <w:rsid w:val="00E147E3"/>
    <w:rsid w:val="00E21AD9"/>
    <w:rsid w:val="00E457CA"/>
    <w:rsid w:val="00E46090"/>
    <w:rsid w:val="00E4683C"/>
    <w:rsid w:val="00E469AA"/>
    <w:rsid w:val="00E646D9"/>
    <w:rsid w:val="00E70217"/>
    <w:rsid w:val="00E75C06"/>
    <w:rsid w:val="00E75E46"/>
    <w:rsid w:val="00E850C9"/>
    <w:rsid w:val="00E911EB"/>
    <w:rsid w:val="00E92653"/>
    <w:rsid w:val="00EB1A4E"/>
    <w:rsid w:val="00EC6B8F"/>
    <w:rsid w:val="00EE53ED"/>
    <w:rsid w:val="00EE71B9"/>
    <w:rsid w:val="00EE7768"/>
    <w:rsid w:val="00EF25AC"/>
    <w:rsid w:val="00EF3F52"/>
    <w:rsid w:val="00EF6CBC"/>
    <w:rsid w:val="00F01856"/>
    <w:rsid w:val="00F12826"/>
    <w:rsid w:val="00F12C06"/>
    <w:rsid w:val="00F22C1C"/>
    <w:rsid w:val="00F41A9A"/>
    <w:rsid w:val="00F4370E"/>
    <w:rsid w:val="00F571E9"/>
    <w:rsid w:val="00F57C2A"/>
    <w:rsid w:val="00F61836"/>
    <w:rsid w:val="00F62219"/>
    <w:rsid w:val="00F65383"/>
    <w:rsid w:val="00F669EA"/>
    <w:rsid w:val="00F91F16"/>
    <w:rsid w:val="00F93885"/>
    <w:rsid w:val="00FA40B1"/>
    <w:rsid w:val="00FA73BA"/>
    <w:rsid w:val="00FB2E22"/>
    <w:rsid w:val="00FB5CF7"/>
    <w:rsid w:val="00FC3274"/>
    <w:rsid w:val="00FD518A"/>
    <w:rsid w:val="00FE0756"/>
    <w:rsid w:val="00FE3A32"/>
    <w:rsid w:val="00FF1A08"/>
    <w:rsid w:val="00FF68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9BC"/>
    <w:pPr>
      <w:spacing w:after="200" w:line="360" w:lineRule="auto"/>
      <w:jc w:val="both"/>
    </w:pPr>
    <w:rPr>
      <w:rFonts w:ascii="Arial" w:hAnsi="Arial"/>
      <w:sz w:val="24"/>
    </w:rPr>
  </w:style>
  <w:style w:type="paragraph" w:styleId="1">
    <w:name w:val="heading 1"/>
    <w:basedOn w:val="a"/>
    <w:next w:val="a"/>
    <w:link w:val="10"/>
    <w:autoRedefine/>
    <w:uiPriority w:val="9"/>
    <w:qFormat/>
    <w:rsid w:val="00E75E46"/>
    <w:pPr>
      <w:keepNext/>
      <w:keepLines/>
      <w:spacing w:before="240"/>
      <w:outlineLvl w:val="0"/>
    </w:pPr>
    <w:rPr>
      <w:rFonts w:eastAsia="Times New Roman"/>
      <w:b/>
      <w:szCs w:val="48"/>
    </w:rPr>
  </w:style>
  <w:style w:type="paragraph" w:styleId="2">
    <w:name w:val="heading 2"/>
    <w:basedOn w:val="a"/>
    <w:next w:val="a"/>
    <w:link w:val="20"/>
    <w:autoRedefine/>
    <w:uiPriority w:val="9"/>
    <w:unhideWhenUsed/>
    <w:qFormat/>
    <w:rsid w:val="00B14621"/>
    <w:pPr>
      <w:keepNext/>
      <w:keepLines/>
      <w:spacing w:before="200" w:after="0"/>
      <w:outlineLvl w:val="1"/>
    </w:pPr>
    <w:rPr>
      <w:rFonts w:eastAsia="Times New Roman"/>
      <w:b/>
      <w:bCs/>
      <w:szCs w:val="26"/>
    </w:rPr>
  </w:style>
  <w:style w:type="paragraph" w:styleId="3">
    <w:name w:val="heading 3"/>
    <w:basedOn w:val="a"/>
    <w:next w:val="a"/>
    <w:link w:val="30"/>
    <w:autoRedefine/>
    <w:uiPriority w:val="9"/>
    <w:unhideWhenUsed/>
    <w:qFormat/>
    <w:rsid w:val="00C63E42"/>
    <w:pPr>
      <w:keepNext/>
      <w:keepLines/>
      <w:spacing w:before="40"/>
      <w:outlineLvl w:val="2"/>
    </w:pPr>
    <w:rPr>
      <w:rFonts w:eastAsiaTheme="majorEastAsia" w:cstheme="majorBidi"/>
      <w:b/>
      <w:szCs w:val="24"/>
    </w:rPr>
  </w:style>
  <w:style w:type="paragraph" w:styleId="4">
    <w:name w:val="heading 4"/>
    <w:basedOn w:val="a"/>
    <w:next w:val="a"/>
    <w:link w:val="40"/>
    <w:autoRedefine/>
    <w:uiPriority w:val="9"/>
    <w:semiHidden/>
    <w:unhideWhenUsed/>
    <w:qFormat/>
    <w:rsid w:val="0097516D"/>
    <w:pPr>
      <w:keepNext/>
      <w:keepLines/>
      <w:spacing w:before="40"/>
      <w:outlineLvl w:val="3"/>
    </w:pPr>
    <w:rPr>
      <w:rFonts w:eastAsiaTheme="majorEastAsia" w:cstheme="majorBidi"/>
      <w:b/>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link w:val="1"/>
    <w:uiPriority w:val="9"/>
    <w:rsid w:val="00E75E46"/>
    <w:rPr>
      <w:rFonts w:ascii="Arial" w:eastAsia="Times New Roman" w:hAnsi="Arial"/>
      <w:b/>
      <w:sz w:val="24"/>
      <w:szCs w:val="48"/>
    </w:rPr>
  </w:style>
  <w:style w:type="character" w:customStyle="1" w:styleId="20">
    <w:name w:val="Заглавие 2 Знак"/>
    <w:link w:val="2"/>
    <w:uiPriority w:val="9"/>
    <w:rsid w:val="00B14621"/>
    <w:rPr>
      <w:rFonts w:ascii="Arial" w:eastAsia="Times New Roman" w:hAnsi="Arial"/>
      <w:b/>
      <w:bCs/>
      <w:sz w:val="24"/>
      <w:szCs w:val="26"/>
    </w:rPr>
  </w:style>
  <w:style w:type="character" w:customStyle="1" w:styleId="30">
    <w:name w:val="Заглавие 3 Знак"/>
    <w:basedOn w:val="a0"/>
    <w:link w:val="3"/>
    <w:uiPriority w:val="9"/>
    <w:rsid w:val="00C63E42"/>
    <w:rPr>
      <w:rFonts w:ascii="Times New Roman" w:eastAsiaTheme="majorEastAsia" w:hAnsi="Times New Roman" w:cstheme="majorBidi"/>
      <w:b/>
      <w:sz w:val="24"/>
      <w:szCs w:val="24"/>
    </w:rPr>
  </w:style>
  <w:style w:type="character" w:customStyle="1" w:styleId="40">
    <w:name w:val="Заглавие 4 Знак"/>
    <w:basedOn w:val="a0"/>
    <w:link w:val="4"/>
    <w:uiPriority w:val="9"/>
    <w:semiHidden/>
    <w:rsid w:val="0097516D"/>
    <w:rPr>
      <w:rFonts w:ascii="Times New Roman" w:eastAsiaTheme="majorEastAsia" w:hAnsi="Times New Roman" w:cstheme="majorBidi"/>
      <w:b/>
      <w:i/>
      <w:iCs/>
      <w:sz w:val="24"/>
    </w:rPr>
  </w:style>
  <w:style w:type="table" w:styleId="a3">
    <w:name w:val="Table Grid"/>
    <w:basedOn w:val="a1"/>
    <w:uiPriority w:val="59"/>
    <w:rsid w:val="00C31F89"/>
    <w:pPr>
      <w:spacing w:after="0" w:line="240" w:lineRule="auto"/>
    </w:pPr>
    <w:rPr>
      <w:rFonts w:ascii="Times New Roman" w:hAnsi="Times New Roman"/>
      <w:sz w:val="24"/>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763DBB"/>
    <w:pPr>
      <w:ind w:left="720"/>
      <w:contextualSpacing/>
    </w:pPr>
  </w:style>
  <w:style w:type="paragraph" w:styleId="a5">
    <w:name w:val="header"/>
    <w:basedOn w:val="a"/>
    <w:link w:val="a6"/>
    <w:uiPriority w:val="99"/>
    <w:unhideWhenUsed/>
    <w:rsid w:val="008D1F9D"/>
    <w:pPr>
      <w:tabs>
        <w:tab w:val="center" w:pos="4513"/>
        <w:tab w:val="right" w:pos="9026"/>
      </w:tabs>
      <w:spacing w:after="0" w:line="240" w:lineRule="auto"/>
    </w:pPr>
  </w:style>
  <w:style w:type="character" w:customStyle="1" w:styleId="a6">
    <w:name w:val="Горен колонтитул Знак"/>
    <w:basedOn w:val="a0"/>
    <w:link w:val="a5"/>
    <w:uiPriority w:val="99"/>
    <w:rsid w:val="008D1F9D"/>
    <w:rPr>
      <w:rFonts w:ascii="Arial" w:hAnsi="Arial"/>
      <w:sz w:val="24"/>
    </w:rPr>
  </w:style>
  <w:style w:type="paragraph" w:styleId="a7">
    <w:name w:val="footer"/>
    <w:basedOn w:val="a"/>
    <w:link w:val="a8"/>
    <w:uiPriority w:val="99"/>
    <w:unhideWhenUsed/>
    <w:rsid w:val="008D1F9D"/>
    <w:pPr>
      <w:tabs>
        <w:tab w:val="center" w:pos="4513"/>
        <w:tab w:val="right" w:pos="9026"/>
      </w:tabs>
      <w:spacing w:after="0" w:line="240" w:lineRule="auto"/>
    </w:pPr>
  </w:style>
  <w:style w:type="character" w:customStyle="1" w:styleId="a8">
    <w:name w:val="Долен колонтитул Знак"/>
    <w:basedOn w:val="a0"/>
    <w:link w:val="a7"/>
    <w:uiPriority w:val="99"/>
    <w:rsid w:val="008D1F9D"/>
    <w:rPr>
      <w:rFonts w:ascii="Arial" w:hAnsi="Arial"/>
      <w:sz w:val="24"/>
    </w:rPr>
  </w:style>
  <w:style w:type="paragraph" w:styleId="a9">
    <w:name w:val="Normal (Web)"/>
    <w:basedOn w:val="a"/>
    <w:uiPriority w:val="99"/>
    <w:semiHidden/>
    <w:unhideWhenUsed/>
    <w:rsid w:val="00BB1437"/>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aa">
    <w:name w:val="Balloon Text"/>
    <w:basedOn w:val="a"/>
    <w:link w:val="ab"/>
    <w:uiPriority w:val="99"/>
    <w:semiHidden/>
    <w:unhideWhenUsed/>
    <w:rsid w:val="00BE0F67"/>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BE0F67"/>
    <w:rPr>
      <w:rFonts w:ascii="Tahoma" w:hAnsi="Tahoma" w:cs="Tahoma"/>
      <w:sz w:val="16"/>
      <w:szCs w:val="16"/>
    </w:rPr>
  </w:style>
  <w:style w:type="paragraph" w:styleId="ac">
    <w:name w:val="TOC Heading"/>
    <w:basedOn w:val="1"/>
    <w:next w:val="a"/>
    <w:uiPriority w:val="39"/>
    <w:semiHidden/>
    <w:unhideWhenUsed/>
    <w:qFormat/>
    <w:rsid w:val="00E052C8"/>
    <w:pPr>
      <w:spacing w:before="480" w:after="0" w:line="276" w:lineRule="auto"/>
      <w:jc w:val="left"/>
      <w:outlineLvl w:val="9"/>
    </w:pPr>
    <w:rPr>
      <w:rFonts w:asciiTheme="majorHAnsi" w:eastAsiaTheme="majorEastAsia" w:hAnsiTheme="majorHAnsi" w:cstheme="majorBidi"/>
      <w:bCs/>
      <w:color w:val="2E74B5" w:themeColor="accent1" w:themeShade="BF"/>
      <w:sz w:val="28"/>
      <w:szCs w:val="28"/>
      <w:lang w:val="en-US"/>
    </w:rPr>
  </w:style>
  <w:style w:type="paragraph" w:styleId="11">
    <w:name w:val="toc 1"/>
    <w:basedOn w:val="a"/>
    <w:next w:val="a"/>
    <w:autoRedefine/>
    <w:uiPriority w:val="39"/>
    <w:unhideWhenUsed/>
    <w:rsid w:val="00E052C8"/>
    <w:pPr>
      <w:spacing w:after="100"/>
    </w:pPr>
  </w:style>
  <w:style w:type="character" w:styleId="ad">
    <w:name w:val="Hyperlink"/>
    <w:basedOn w:val="a0"/>
    <w:uiPriority w:val="99"/>
    <w:unhideWhenUsed/>
    <w:rsid w:val="00E052C8"/>
    <w:rPr>
      <w:color w:val="0563C1" w:themeColor="hyperlink"/>
      <w:u w:val="single"/>
    </w:rPr>
  </w:style>
  <w:style w:type="paragraph" w:styleId="ae">
    <w:name w:val="No Spacing"/>
    <w:uiPriority w:val="1"/>
    <w:qFormat/>
    <w:rsid w:val="004016EE"/>
    <w:pPr>
      <w:spacing w:after="0" w:line="240" w:lineRule="auto"/>
      <w:jc w:val="both"/>
    </w:pP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9BC"/>
    <w:pPr>
      <w:spacing w:after="200" w:line="360" w:lineRule="auto"/>
      <w:jc w:val="both"/>
    </w:pPr>
    <w:rPr>
      <w:rFonts w:ascii="Arial" w:hAnsi="Arial"/>
      <w:sz w:val="24"/>
    </w:rPr>
  </w:style>
  <w:style w:type="paragraph" w:styleId="1">
    <w:name w:val="heading 1"/>
    <w:basedOn w:val="a"/>
    <w:next w:val="a"/>
    <w:link w:val="10"/>
    <w:autoRedefine/>
    <w:uiPriority w:val="9"/>
    <w:qFormat/>
    <w:rsid w:val="00E75E46"/>
    <w:pPr>
      <w:keepNext/>
      <w:keepLines/>
      <w:spacing w:before="240"/>
      <w:outlineLvl w:val="0"/>
    </w:pPr>
    <w:rPr>
      <w:rFonts w:eastAsia="Times New Roman"/>
      <w:b/>
      <w:szCs w:val="48"/>
    </w:rPr>
  </w:style>
  <w:style w:type="paragraph" w:styleId="2">
    <w:name w:val="heading 2"/>
    <w:basedOn w:val="a"/>
    <w:next w:val="a"/>
    <w:link w:val="20"/>
    <w:autoRedefine/>
    <w:uiPriority w:val="9"/>
    <w:unhideWhenUsed/>
    <w:qFormat/>
    <w:rsid w:val="00B14621"/>
    <w:pPr>
      <w:keepNext/>
      <w:keepLines/>
      <w:spacing w:before="200" w:after="0"/>
      <w:outlineLvl w:val="1"/>
    </w:pPr>
    <w:rPr>
      <w:rFonts w:eastAsia="Times New Roman"/>
      <w:b/>
      <w:bCs/>
      <w:szCs w:val="26"/>
    </w:rPr>
  </w:style>
  <w:style w:type="paragraph" w:styleId="3">
    <w:name w:val="heading 3"/>
    <w:basedOn w:val="a"/>
    <w:next w:val="a"/>
    <w:link w:val="30"/>
    <w:autoRedefine/>
    <w:uiPriority w:val="9"/>
    <w:unhideWhenUsed/>
    <w:qFormat/>
    <w:rsid w:val="00C63E42"/>
    <w:pPr>
      <w:keepNext/>
      <w:keepLines/>
      <w:spacing w:before="40"/>
      <w:outlineLvl w:val="2"/>
    </w:pPr>
    <w:rPr>
      <w:rFonts w:eastAsiaTheme="majorEastAsia" w:cstheme="majorBidi"/>
      <w:b/>
      <w:szCs w:val="24"/>
    </w:rPr>
  </w:style>
  <w:style w:type="paragraph" w:styleId="4">
    <w:name w:val="heading 4"/>
    <w:basedOn w:val="a"/>
    <w:next w:val="a"/>
    <w:link w:val="40"/>
    <w:autoRedefine/>
    <w:uiPriority w:val="9"/>
    <w:semiHidden/>
    <w:unhideWhenUsed/>
    <w:qFormat/>
    <w:rsid w:val="0097516D"/>
    <w:pPr>
      <w:keepNext/>
      <w:keepLines/>
      <w:spacing w:before="40"/>
      <w:outlineLvl w:val="3"/>
    </w:pPr>
    <w:rPr>
      <w:rFonts w:eastAsiaTheme="majorEastAsia" w:cstheme="majorBidi"/>
      <w:b/>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link w:val="1"/>
    <w:uiPriority w:val="9"/>
    <w:rsid w:val="00E75E46"/>
    <w:rPr>
      <w:rFonts w:ascii="Arial" w:eastAsia="Times New Roman" w:hAnsi="Arial"/>
      <w:b/>
      <w:sz w:val="24"/>
      <w:szCs w:val="48"/>
    </w:rPr>
  </w:style>
  <w:style w:type="character" w:customStyle="1" w:styleId="20">
    <w:name w:val="Заглавие 2 Знак"/>
    <w:link w:val="2"/>
    <w:uiPriority w:val="9"/>
    <w:rsid w:val="00B14621"/>
    <w:rPr>
      <w:rFonts w:ascii="Arial" w:eastAsia="Times New Roman" w:hAnsi="Arial"/>
      <w:b/>
      <w:bCs/>
      <w:sz w:val="24"/>
      <w:szCs w:val="26"/>
    </w:rPr>
  </w:style>
  <w:style w:type="character" w:customStyle="1" w:styleId="30">
    <w:name w:val="Заглавие 3 Знак"/>
    <w:basedOn w:val="a0"/>
    <w:link w:val="3"/>
    <w:uiPriority w:val="9"/>
    <w:rsid w:val="00C63E42"/>
    <w:rPr>
      <w:rFonts w:ascii="Times New Roman" w:eastAsiaTheme="majorEastAsia" w:hAnsi="Times New Roman" w:cstheme="majorBidi"/>
      <w:b/>
      <w:sz w:val="24"/>
      <w:szCs w:val="24"/>
    </w:rPr>
  </w:style>
  <w:style w:type="character" w:customStyle="1" w:styleId="40">
    <w:name w:val="Заглавие 4 Знак"/>
    <w:basedOn w:val="a0"/>
    <w:link w:val="4"/>
    <w:uiPriority w:val="9"/>
    <w:semiHidden/>
    <w:rsid w:val="0097516D"/>
    <w:rPr>
      <w:rFonts w:ascii="Times New Roman" w:eastAsiaTheme="majorEastAsia" w:hAnsi="Times New Roman" w:cstheme="majorBidi"/>
      <w:b/>
      <w:i/>
      <w:iCs/>
      <w:sz w:val="24"/>
    </w:rPr>
  </w:style>
  <w:style w:type="table" w:styleId="a3">
    <w:name w:val="Table Grid"/>
    <w:basedOn w:val="a1"/>
    <w:uiPriority w:val="59"/>
    <w:rsid w:val="00C31F89"/>
    <w:pPr>
      <w:spacing w:after="0" w:line="240" w:lineRule="auto"/>
    </w:pPr>
    <w:rPr>
      <w:rFonts w:ascii="Times New Roman" w:hAnsi="Times New Roman"/>
      <w:sz w:val="24"/>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763DBB"/>
    <w:pPr>
      <w:ind w:left="720"/>
      <w:contextualSpacing/>
    </w:pPr>
  </w:style>
  <w:style w:type="paragraph" w:styleId="a5">
    <w:name w:val="header"/>
    <w:basedOn w:val="a"/>
    <w:link w:val="a6"/>
    <w:uiPriority w:val="99"/>
    <w:unhideWhenUsed/>
    <w:rsid w:val="008D1F9D"/>
    <w:pPr>
      <w:tabs>
        <w:tab w:val="center" w:pos="4513"/>
        <w:tab w:val="right" w:pos="9026"/>
      </w:tabs>
      <w:spacing w:after="0" w:line="240" w:lineRule="auto"/>
    </w:pPr>
  </w:style>
  <w:style w:type="character" w:customStyle="1" w:styleId="a6">
    <w:name w:val="Горен колонтитул Знак"/>
    <w:basedOn w:val="a0"/>
    <w:link w:val="a5"/>
    <w:uiPriority w:val="99"/>
    <w:rsid w:val="008D1F9D"/>
    <w:rPr>
      <w:rFonts w:ascii="Arial" w:hAnsi="Arial"/>
      <w:sz w:val="24"/>
    </w:rPr>
  </w:style>
  <w:style w:type="paragraph" w:styleId="a7">
    <w:name w:val="footer"/>
    <w:basedOn w:val="a"/>
    <w:link w:val="a8"/>
    <w:uiPriority w:val="99"/>
    <w:unhideWhenUsed/>
    <w:rsid w:val="008D1F9D"/>
    <w:pPr>
      <w:tabs>
        <w:tab w:val="center" w:pos="4513"/>
        <w:tab w:val="right" w:pos="9026"/>
      </w:tabs>
      <w:spacing w:after="0" w:line="240" w:lineRule="auto"/>
    </w:pPr>
  </w:style>
  <w:style w:type="character" w:customStyle="1" w:styleId="a8">
    <w:name w:val="Долен колонтитул Знак"/>
    <w:basedOn w:val="a0"/>
    <w:link w:val="a7"/>
    <w:uiPriority w:val="99"/>
    <w:rsid w:val="008D1F9D"/>
    <w:rPr>
      <w:rFonts w:ascii="Arial" w:hAnsi="Arial"/>
      <w:sz w:val="24"/>
    </w:rPr>
  </w:style>
  <w:style w:type="paragraph" w:styleId="a9">
    <w:name w:val="Normal (Web)"/>
    <w:basedOn w:val="a"/>
    <w:uiPriority w:val="99"/>
    <w:semiHidden/>
    <w:unhideWhenUsed/>
    <w:rsid w:val="00BB1437"/>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aa">
    <w:name w:val="Balloon Text"/>
    <w:basedOn w:val="a"/>
    <w:link w:val="ab"/>
    <w:uiPriority w:val="99"/>
    <w:semiHidden/>
    <w:unhideWhenUsed/>
    <w:rsid w:val="00BE0F67"/>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BE0F67"/>
    <w:rPr>
      <w:rFonts w:ascii="Tahoma" w:hAnsi="Tahoma" w:cs="Tahoma"/>
      <w:sz w:val="16"/>
      <w:szCs w:val="16"/>
    </w:rPr>
  </w:style>
  <w:style w:type="paragraph" w:styleId="ac">
    <w:name w:val="TOC Heading"/>
    <w:basedOn w:val="1"/>
    <w:next w:val="a"/>
    <w:uiPriority w:val="39"/>
    <w:semiHidden/>
    <w:unhideWhenUsed/>
    <w:qFormat/>
    <w:rsid w:val="00E052C8"/>
    <w:pPr>
      <w:spacing w:before="480" w:after="0" w:line="276" w:lineRule="auto"/>
      <w:jc w:val="left"/>
      <w:outlineLvl w:val="9"/>
    </w:pPr>
    <w:rPr>
      <w:rFonts w:asciiTheme="majorHAnsi" w:eastAsiaTheme="majorEastAsia" w:hAnsiTheme="majorHAnsi" w:cstheme="majorBidi"/>
      <w:bCs/>
      <w:color w:val="2E74B5" w:themeColor="accent1" w:themeShade="BF"/>
      <w:sz w:val="28"/>
      <w:szCs w:val="28"/>
      <w:lang w:val="en-US"/>
    </w:rPr>
  </w:style>
  <w:style w:type="paragraph" w:styleId="11">
    <w:name w:val="toc 1"/>
    <w:basedOn w:val="a"/>
    <w:next w:val="a"/>
    <w:autoRedefine/>
    <w:uiPriority w:val="39"/>
    <w:unhideWhenUsed/>
    <w:rsid w:val="00E052C8"/>
    <w:pPr>
      <w:spacing w:after="100"/>
    </w:pPr>
  </w:style>
  <w:style w:type="character" w:styleId="ad">
    <w:name w:val="Hyperlink"/>
    <w:basedOn w:val="a0"/>
    <w:uiPriority w:val="99"/>
    <w:unhideWhenUsed/>
    <w:rsid w:val="00E052C8"/>
    <w:rPr>
      <w:color w:val="0563C1" w:themeColor="hyperlink"/>
      <w:u w:val="single"/>
    </w:rPr>
  </w:style>
  <w:style w:type="paragraph" w:styleId="ae">
    <w:name w:val="No Spacing"/>
    <w:uiPriority w:val="1"/>
    <w:qFormat/>
    <w:rsid w:val="004016EE"/>
    <w:pPr>
      <w:spacing w:after="0" w:line="240" w:lineRule="auto"/>
      <w:jc w:val="both"/>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diagramData" Target="diagrams/data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126BF98-8E5C-4044-B2DF-3B3A6144CC6C}" type="doc">
      <dgm:prSet loTypeId="urn:microsoft.com/office/officeart/2005/8/layout/radial6#1" loCatId="cycle" qsTypeId="urn:microsoft.com/office/officeart/2005/8/quickstyle/simple4" qsCatId="simple" csTypeId="urn:microsoft.com/office/officeart/2005/8/colors/colorful4" csCatId="colorful" phldr="1"/>
      <dgm:spPr/>
      <dgm:t>
        <a:bodyPr/>
        <a:lstStyle/>
        <a:p>
          <a:endParaRPr lang="en-US"/>
        </a:p>
      </dgm:t>
    </dgm:pt>
    <dgm:pt modelId="{6D941BE1-3970-483C-B92D-259CCF002A4B}">
      <dgm:prSet phldrT="[Text]" custT="1"/>
      <dgm:spPr/>
      <dgm:t>
        <a:bodyPr/>
        <a:lstStyle/>
        <a:p>
          <a:r>
            <a:rPr lang="en-US" sz="1000" b="1">
              <a:latin typeface="Arial" pitchFamily="34" charset="0"/>
              <a:cs typeface="Arial" pitchFamily="34" charset="0"/>
            </a:rPr>
            <a:t>Connect </a:t>
          </a:r>
        </a:p>
        <a:p>
          <a:r>
            <a:rPr lang="en-US" sz="1000" b="1">
              <a:latin typeface="Arial" pitchFamily="34" charset="0"/>
              <a:cs typeface="Arial" pitchFamily="34" charset="0"/>
            </a:rPr>
            <a:t>Authentic </a:t>
          </a:r>
        </a:p>
        <a:p>
          <a:r>
            <a:rPr lang="en-US" sz="1000" b="1">
              <a:latin typeface="Arial" pitchFamily="34" charset="0"/>
              <a:cs typeface="Arial" pitchFamily="34" charset="0"/>
            </a:rPr>
            <a:t>Recognition </a:t>
          </a:r>
        </a:p>
        <a:p>
          <a:r>
            <a:rPr lang="en-US" sz="1000" b="1">
              <a:latin typeface="Arial" pitchFamily="34" charset="0"/>
              <a:cs typeface="Arial" pitchFamily="34" charset="0"/>
            </a:rPr>
            <a:t>Engage </a:t>
          </a:r>
        </a:p>
      </dgm:t>
    </dgm:pt>
    <dgm:pt modelId="{E5E027E5-2348-4EEC-AA9B-65CFFF5D2EE0}" type="parTrans" cxnId="{E34AE0F2-3DFB-4BBF-893A-EFAC877F5C2D}">
      <dgm:prSet/>
      <dgm:spPr/>
      <dgm:t>
        <a:bodyPr/>
        <a:lstStyle/>
        <a:p>
          <a:endParaRPr lang="en-US"/>
        </a:p>
      </dgm:t>
    </dgm:pt>
    <dgm:pt modelId="{8318DC17-2F16-483C-AE1F-8D9CD384AEC9}" type="sibTrans" cxnId="{E34AE0F2-3DFB-4BBF-893A-EFAC877F5C2D}">
      <dgm:prSet/>
      <dgm:spPr/>
      <dgm:t>
        <a:bodyPr/>
        <a:lstStyle/>
        <a:p>
          <a:endParaRPr lang="en-US"/>
        </a:p>
      </dgm:t>
    </dgm:pt>
    <dgm:pt modelId="{9C6CCBE4-E5B2-4843-9C81-B15DB6B5E7BF}">
      <dgm:prSet phldrT="[Text]" custT="1"/>
      <dgm:spPr/>
      <dgm:t>
        <a:bodyPr/>
        <a:lstStyle/>
        <a:p>
          <a:r>
            <a:rPr lang="en-US" sz="700" b="1">
              <a:latin typeface="Arial" pitchFamily="34" charset="0"/>
              <a:cs typeface="Arial" pitchFamily="34" charset="0"/>
            </a:rPr>
            <a:t>Foster Relationship and community </a:t>
          </a:r>
        </a:p>
      </dgm:t>
    </dgm:pt>
    <dgm:pt modelId="{5554C3BF-7C5F-4F2A-B534-99FF2FD0A997}" type="parTrans" cxnId="{500D9BF5-40BB-4031-A625-91ABC93D4690}">
      <dgm:prSet/>
      <dgm:spPr/>
      <dgm:t>
        <a:bodyPr/>
        <a:lstStyle/>
        <a:p>
          <a:endParaRPr lang="en-US"/>
        </a:p>
      </dgm:t>
    </dgm:pt>
    <dgm:pt modelId="{021B8B23-2FF3-4773-9F53-D83BDA47E68F}" type="sibTrans" cxnId="{500D9BF5-40BB-4031-A625-91ABC93D4690}">
      <dgm:prSet/>
      <dgm:spPr/>
      <dgm:t>
        <a:bodyPr/>
        <a:lstStyle/>
        <a:p>
          <a:endParaRPr lang="en-US"/>
        </a:p>
      </dgm:t>
    </dgm:pt>
    <dgm:pt modelId="{1F82BF2B-B649-47F4-AE4F-D81A85D273E9}">
      <dgm:prSet phldrT="[Text]" custT="1"/>
      <dgm:spPr/>
      <dgm:t>
        <a:bodyPr/>
        <a:lstStyle/>
        <a:p>
          <a:r>
            <a:rPr lang="en-US" sz="800">
              <a:latin typeface="Arial" pitchFamily="34" charset="0"/>
              <a:cs typeface="Arial" pitchFamily="34" charset="0"/>
            </a:rPr>
            <a:t>Leverage Energies </a:t>
          </a:r>
        </a:p>
      </dgm:t>
    </dgm:pt>
    <dgm:pt modelId="{85D11A00-39DF-4CDA-AEB1-CC1AE4E29245}" type="parTrans" cxnId="{5472BCAE-B299-48B3-94D7-CB30F08F78CC}">
      <dgm:prSet/>
      <dgm:spPr/>
      <dgm:t>
        <a:bodyPr/>
        <a:lstStyle/>
        <a:p>
          <a:endParaRPr lang="en-US"/>
        </a:p>
      </dgm:t>
    </dgm:pt>
    <dgm:pt modelId="{9BD73D32-15EE-4079-8ACB-9107FE967B9F}" type="sibTrans" cxnId="{5472BCAE-B299-48B3-94D7-CB30F08F78CC}">
      <dgm:prSet/>
      <dgm:spPr/>
      <dgm:t>
        <a:bodyPr/>
        <a:lstStyle/>
        <a:p>
          <a:endParaRPr lang="en-US"/>
        </a:p>
      </dgm:t>
    </dgm:pt>
    <dgm:pt modelId="{9423B53A-4961-45CB-9030-26471CFA6553}">
      <dgm:prSet phldrT="[Text]" custT="1"/>
      <dgm:spPr/>
      <dgm:t>
        <a:bodyPr/>
        <a:lstStyle/>
        <a:p>
          <a:r>
            <a:rPr lang="en-US" sz="700">
              <a:latin typeface="Arial" pitchFamily="34" charset="0"/>
              <a:cs typeface="Arial" pitchFamily="34" charset="0"/>
            </a:rPr>
            <a:t>Develop professionally and personally </a:t>
          </a:r>
        </a:p>
      </dgm:t>
    </dgm:pt>
    <dgm:pt modelId="{E8F1E0C7-A2A0-4420-ABD4-7F51F1AFBC10}" type="parTrans" cxnId="{676800AB-8E2A-43D9-B728-3BA4AEE12834}">
      <dgm:prSet/>
      <dgm:spPr/>
      <dgm:t>
        <a:bodyPr/>
        <a:lstStyle/>
        <a:p>
          <a:endParaRPr lang="en-US"/>
        </a:p>
      </dgm:t>
    </dgm:pt>
    <dgm:pt modelId="{131C4454-2AE3-4F24-8F24-18F0FF313020}" type="sibTrans" cxnId="{676800AB-8E2A-43D9-B728-3BA4AEE12834}">
      <dgm:prSet/>
      <dgm:spPr/>
      <dgm:t>
        <a:bodyPr/>
        <a:lstStyle/>
        <a:p>
          <a:endParaRPr lang="en-US"/>
        </a:p>
      </dgm:t>
    </dgm:pt>
    <dgm:pt modelId="{C86A7B11-9FFB-411A-8CB1-BB281D674652}">
      <dgm:prSet phldrT="[Text]" custT="1"/>
      <dgm:spPr/>
      <dgm:t>
        <a:bodyPr/>
        <a:lstStyle/>
        <a:p>
          <a:r>
            <a:rPr lang="en-US" sz="700" b="1">
              <a:latin typeface="Arial" pitchFamily="34" charset="0"/>
              <a:cs typeface="Arial" pitchFamily="34" charset="0"/>
            </a:rPr>
            <a:t>Identify with organisation </a:t>
          </a:r>
        </a:p>
      </dgm:t>
    </dgm:pt>
    <dgm:pt modelId="{794A754E-D2A8-4A9A-9224-BCEA0F7D4574}" type="parTrans" cxnId="{27F16E45-2138-46F3-A7CA-D0501BB078DD}">
      <dgm:prSet/>
      <dgm:spPr/>
      <dgm:t>
        <a:bodyPr/>
        <a:lstStyle/>
        <a:p>
          <a:endParaRPr lang="en-US"/>
        </a:p>
      </dgm:t>
    </dgm:pt>
    <dgm:pt modelId="{CF6E6AE1-76E5-4184-AA84-274E34FCDED8}" type="sibTrans" cxnId="{27F16E45-2138-46F3-A7CA-D0501BB078DD}">
      <dgm:prSet/>
      <dgm:spPr/>
      <dgm:t>
        <a:bodyPr/>
        <a:lstStyle/>
        <a:p>
          <a:endParaRPr lang="en-US"/>
        </a:p>
      </dgm:t>
    </dgm:pt>
    <dgm:pt modelId="{9DC31E7F-4DDF-4E4F-BB42-2090856F10F6}">
      <dgm:prSet custT="1"/>
      <dgm:spPr/>
      <dgm:t>
        <a:bodyPr/>
        <a:lstStyle/>
        <a:p>
          <a:r>
            <a:rPr lang="en-US" sz="700" b="1">
              <a:latin typeface="Arial" pitchFamily="34" charset="0"/>
              <a:cs typeface="Arial" pitchFamily="34" charset="0"/>
            </a:rPr>
            <a:t>Serve Customers </a:t>
          </a:r>
        </a:p>
      </dgm:t>
    </dgm:pt>
    <dgm:pt modelId="{CA15CDCD-1EFA-45E9-A9D8-4E96A791140C}" type="parTrans" cxnId="{F6D1C7B7-5474-466D-9628-D54C9B3C751F}">
      <dgm:prSet/>
      <dgm:spPr/>
      <dgm:t>
        <a:bodyPr/>
        <a:lstStyle/>
        <a:p>
          <a:endParaRPr lang="en-US"/>
        </a:p>
      </dgm:t>
    </dgm:pt>
    <dgm:pt modelId="{382A4E20-1043-43CC-9974-E092E4530B4C}" type="sibTrans" cxnId="{F6D1C7B7-5474-466D-9628-D54C9B3C751F}">
      <dgm:prSet/>
      <dgm:spPr/>
      <dgm:t>
        <a:bodyPr/>
        <a:lstStyle/>
        <a:p>
          <a:endParaRPr lang="en-US"/>
        </a:p>
      </dgm:t>
    </dgm:pt>
    <dgm:pt modelId="{ADFCF639-3B4C-4DCF-BD87-D9210C21B125}">
      <dgm:prSet custT="1"/>
      <dgm:spPr/>
      <dgm:t>
        <a:bodyPr/>
        <a:lstStyle/>
        <a:p>
          <a:r>
            <a:rPr lang="en-US" sz="800" b="1">
              <a:latin typeface="Arial" pitchFamily="34" charset="0"/>
              <a:cs typeface="Arial" pitchFamily="34" charset="0"/>
            </a:rPr>
            <a:t>Expeience Well-being </a:t>
          </a:r>
        </a:p>
      </dgm:t>
    </dgm:pt>
    <dgm:pt modelId="{3FAECBC1-2222-4002-9248-CD02EC22A9FE}" type="parTrans" cxnId="{9AEB6667-46C4-4544-9461-215009DAD387}">
      <dgm:prSet/>
      <dgm:spPr/>
      <dgm:t>
        <a:bodyPr/>
        <a:lstStyle/>
        <a:p>
          <a:endParaRPr lang="en-US"/>
        </a:p>
      </dgm:t>
    </dgm:pt>
    <dgm:pt modelId="{D1C3BDD5-C0DF-4F33-A383-0B391FD7C17D}" type="sibTrans" cxnId="{9AEB6667-46C4-4544-9461-215009DAD387}">
      <dgm:prSet/>
      <dgm:spPr/>
      <dgm:t>
        <a:bodyPr/>
        <a:lstStyle/>
        <a:p>
          <a:endParaRPr lang="en-US"/>
        </a:p>
      </dgm:t>
    </dgm:pt>
    <dgm:pt modelId="{99039DC7-C4ED-4BD7-BF1E-8A92E85A65EC}" type="pres">
      <dgm:prSet presAssocID="{4126BF98-8E5C-4044-B2DF-3B3A6144CC6C}" presName="Name0" presStyleCnt="0">
        <dgm:presLayoutVars>
          <dgm:chMax val="1"/>
          <dgm:dir/>
          <dgm:animLvl val="ctr"/>
          <dgm:resizeHandles val="exact"/>
        </dgm:presLayoutVars>
      </dgm:prSet>
      <dgm:spPr/>
      <dgm:t>
        <a:bodyPr/>
        <a:lstStyle/>
        <a:p>
          <a:endParaRPr lang="en-US"/>
        </a:p>
      </dgm:t>
    </dgm:pt>
    <dgm:pt modelId="{852DCD90-8307-4E12-A91C-5C86C154732E}" type="pres">
      <dgm:prSet presAssocID="{6D941BE1-3970-483C-B92D-259CCF002A4B}" presName="centerShape" presStyleLbl="node0" presStyleIdx="0" presStyleCnt="1"/>
      <dgm:spPr/>
      <dgm:t>
        <a:bodyPr/>
        <a:lstStyle/>
        <a:p>
          <a:endParaRPr lang="en-US"/>
        </a:p>
      </dgm:t>
    </dgm:pt>
    <dgm:pt modelId="{CEA7D0DE-A2AE-4E7C-A4E2-2D7E3DB6362D}" type="pres">
      <dgm:prSet presAssocID="{9C6CCBE4-E5B2-4843-9C81-B15DB6B5E7BF}" presName="node" presStyleLbl="node1" presStyleIdx="0" presStyleCnt="6">
        <dgm:presLayoutVars>
          <dgm:bulletEnabled val="1"/>
        </dgm:presLayoutVars>
      </dgm:prSet>
      <dgm:spPr/>
      <dgm:t>
        <a:bodyPr/>
        <a:lstStyle/>
        <a:p>
          <a:endParaRPr lang="en-US"/>
        </a:p>
      </dgm:t>
    </dgm:pt>
    <dgm:pt modelId="{91E9FEED-5307-4507-93EB-F68A6AB27E0D}" type="pres">
      <dgm:prSet presAssocID="{9C6CCBE4-E5B2-4843-9C81-B15DB6B5E7BF}" presName="dummy" presStyleCnt="0"/>
      <dgm:spPr/>
    </dgm:pt>
    <dgm:pt modelId="{7D28DC01-BD01-42D4-9919-C14C83E8BFD6}" type="pres">
      <dgm:prSet presAssocID="{021B8B23-2FF3-4773-9F53-D83BDA47E68F}" presName="sibTrans" presStyleLbl="sibTrans2D1" presStyleIdx="0" presStyleCnt="6"/>
      <dgm:spPr/>
      <dgm:t>
        <a:bodyPr/>
        <a:lstStyle/>
        <a:p>
          <a:endParaRPr lang="en-US"/>
        </a:p>
      </dgm:t>
    </dgm:pt>
    <dgm:pt modelId="{A792C338-F192-4F35-B93B-4C8C49C20108}" type="pres">
      <dgm:prSet presAssocID="{9DC31E7F-4DDF-4E4F-BB42-2090856F10F6}" presName="node" presStyleLbl="node1" presStyleIdx="1" presStyleCnt="6">
        <dgm:presLayoutVars>
          <dgm:bulletEnabled val="1"/>
        </dgm:presLayoutVars>
      </dgm:prSet>
      <dgm:spPr/>
      <dgm:t>
        <a:bodyPr/>
        <a:lstStyle/>
        <a:p>
          <a:endParaRPr lang="en-US"/>
        </a:p>
      </dgm:t>
    </dgm:pt>
    <dgm:pt modelId="{76DFE2FC-FD5C-45FA-AC10-BFA6911D92A8}" type="pres">
      <dgm:prSet presAssocID="{9DC31E7F-4DDF-4E4F-BB42-2090856F10F6}" presName="dummy" presStyleCnt="0"/>
      <dgm:spPr/>
    </dgm:pt>
    <dgm:pt modelId="{DF881CE4-AC19-4BF7-9982-57BEC95DEE96}" type="pres">
      <dgm:prSet presAssocID="{382A4E20-1043-43CC-9974-E092E4530B4C}" presName="sibTrans" presStyleLbl="sibTrans2D1" presStyleIdx="1" presStyleCnt="6"/>
      <dgm:spPr/>
      <dgm:t>
        <a:bodyPr/>
        <a:lstStyle/>
        <a:p>
          <a:endParaRPr lang="en-US"/>
        </a:p>
      </dgm:t>
    </dgm:pt>
    <dgm:pt modelId="{7046811B-F39F-43E0-8BA7-CF59EB58C81A}" type="pres">
      <dgm:prSet presAssocID="{ADFCF639-3B4C-4DCF-BD87-D9210C21B125}" presName="node" presStyleLbl="node1" presStyleIdx="2" presStyleCnt="6">
        <dgm:presLayoutVars>
          <dgm:bulletEnabled val="1"/>
        </dgm:presLayoutVars>
      </dgm:prSet>
      <dgm:spPr/>
      <dgm:t>
        <a:bodyPr/>
        <a:lstStyle/>
        <a:p>
          <a:endParaRPr lang="en-US"/>
        </a:p>
      </dgm:t>
    </dgm:pt>
    <dgm:pt modelId="{A24F34DC-D304-4FB0-BDE0-973F3A6606D4}" type="pres">
      <dgm:prSet presAssocID="{ADFCF639-3B4C-4DCF-BD87-D9210C21B125}" presName="dummy" presStyleCnt="0"/>
      <dgm:spPr/>
    </dgm:pt>
    <dgm:pt modelId="{085F71F9-628C-4FAE-B04C-A87DED13962D}" type="pres">
      <dgm:prSet presAssocID="{D1C3BDD5-C0DF-4F33-A383-0B391FD7C17D}" presName="sibTrans" presStyleLbl="sibTrans2D1" presStyleIdx="2" presStyleCnt="6"/>
      <dgm:spPr/>
      <dgm:t>
        <a:bodyPr/>
        <a:lstStyle/>
        <a:p>
          <a:endParaRPr lang="en-US"/>
        </a:p>
      </dgm:t>
    </dgm:pt>
    <dgm:pt modelId="{CBFE2C47-12B7-412E-9184-6838A6F39E68}" type="pres">
      <dgm:prSet presAssocID="{1F82BF2B-B649-47F4-AE4F-D81A85D273E9}" presName="node" presStyleLbl="node1" presStyleIdx="3" presStyleCnt="6">
        <dgm:presLayoutVars>
          <dgm:bulletEnabled val="1"/>
        </dgm:presLayoutVars>
      </dgm:prSet>
      <dgm:spPr/>
      <dgm:t>
        <a:bodyPr/>
        <a:lstStyle/>
        <a:p>
          <a:endParaRPr lang="en-US"/>
        </a:p>
      </dgm:t>
    </dgm:pt>
    <dgm:pt modelId="{51889AC7-D0F5-479E-B5BD-38F47D68951B}" type="pres">
      <dgm:prSet presAssocID="{1F82BF2B-B649-47F4-AE4F-D81A85D273E9}" presName="dummy" presStyleCnt="0"/>
      <dgm:spPr/>
    </dgm:pt>
    <dgm:pt modelId="{E5EA0ABD-D22F-46DC-8E59-CCBE7C7A7003}" type="pres">
      <dgm:prSet presAssocID="{9BD73D32-15EE-4079-8ACB-9107FE967B9F}" presName="sibTrans" presStyleLbl="sibTrans2D1" presStyleIdx="3" presStyleCnt="6"/>
      <dgm:spPr/>
      <dgm:t>
        <a:bodyPr/>
        <a:lstStyle/>
        <a:p>
          <a:endParaRPr lang="en-US"/>
        </a:p>
      </dgm:t>
    </dgm:pt>
    <dgm:pt modelId="{9C2B3421-8E90-4C8E-BE26-EAD00D8D1B41}" type="pres">
      <dgm:prSet presAssocID="{9423B53A-4961-45CB-9030-26471CFA6553}" presName="node" presStyleLbl="node1" presStyleIdx="4" presStyleCnt="6">
        <dgm:presLayoutVars>
          <dgm:bulletEnabled val="1"/>
        </dgm:presLayoutVars>
      </dgm:prSet>
      <dgm:spPr/>
      <dgm:t>
        <a:bodyPr/>
        <a:lstStyle/>
        <a:p>
          <a:endParaRPr lang="en-US"/>
        </a:p>
      </dgm:t>
    </dgm:pt>
    <dgm:pt modelId="{0C09C375-A969-4C23-AEB6-ACC944EEA642}" type="pres">
      <dgm:prSet presAssocID="{9423B53A-4961-45CB-9030-26471CFA6553}" presName="dummy" presStyleCnt="0"/>
      <dgm:spPr/>
    </dgm:pt>
    <dgm:pt modelId="{E43AD9C9-013F-4B53-AD20-2C816A77EC3B}" type="pres">
      <dgm:prSet presAssocID="{131C4454-2AE3-4F24-8F24-18F0FF313020}" presName="sibTrans" presStyleLbl="sibTrans2D1" presStyleIdx="4" presStyleCnt="6"/>
      <dgm:spPr/>
      <dgm:t>
        <a:bodyPr/>
        <a:lstStyle/>
        <a:p>
          <a:endParaRPr lang="en-US"/>
        </a:p>
      </dgm:t>
    </dgm:pt>
    <dgm:pt modelId="{DBBFA25E-B0D3-4A93-A273-53CF7AC6EFD9}" type="pres">
      <dgm:prSet presAssocID="{C86A7B11-9FFB-411A-8CB1-BB281D674652}" presName="node" presStyleLbl="node1" presStyleIdx="5" presStyleCnt="6">
        <dgm:presLayoutVars>
          <dgm:bulletEnabled val="1"/>
        </dgm:presLayoutVars>
      </dgm:prSet>
      <dgm:spPr/>
      <dgm:t>
        <a:bodyPr/>
        <a:lstStyle/>
        <a:p>
          <a:endParaRPr lang="en-US"/>
        </a:p>
      </dgm:t>
    </dgm:pt>
    <dgm:pt modelId="{8622460C-463B-4035-AA8E-49167F074759}" type="pres">
      <dgm:prSet presAssocID="{C86A7B11-9FFB-411A-8CB1-BB281D674652}" presName="dummy" presStyleCnt="0"/>
      <dgm:spPr/>
    </dgm:pt>
    <dgm:pt modelId="{12FA3B06-F771-4677-975A-915547759C8B}" type="pres">
      <dgm:prSet presAssocID="{CF6E6AE1-76E5-4184-AA84-274E34FCDED8}" presName="sibTrans" presStyleLbl="sibTrans2D1" presStyleIdx="5" presStyleCnt="6"/>
      <dgm:spPr/>
      <dgm:t>
        <a:bodyPr/>
        <a:lstStyle/>
        <a:p>
          <a:endParaRPr lang="en-US"/>
        </a:p>
      </dgm:t>
    </dgm:pt>
  </dgm:ptLst>
  <dgm:cxnLst>
    <dgm:cxn modelId="{1E998AA4-CC3D-4D62-884C-DB5D8E6976B4}" type="presOf" srcId="{4126BF98-8E5C-4044-B2DF-3B3A6144CC6C}" destId="{99039DC7-C4ED-4BD7-BF1E-8A92E85A65EC}" srcOrd="0" destOrd="0" presId="urn:microsoft.com/office/officeart/2005/8/layout/radial6#1"/>
    <dgm:cxn modelId="{C409949C-6D9B-4709-873B-A5611F2B3F80}" type="presOf" srcId="{9BD73D32-15EE-4079-8ACB-9107FE967B9F}" destId="{E5EA0ABD-D22F-46DC-8E59-CCBE7C7A7003}" srcOrd="0" destOrd="0" presId="urn:microsoft.com/office/officeart/2005/8/layout/radial6#1"/>
    <dgm:cxn modelId="{25BE6D3D-77CD-43DD-97F1-5D031B1E6CE2}" type="presOf" srcId="{1F82BF2B-B649-47F4-AE4F-D81A85D273E9}" destId="{CBFE2C47-12B7-412E-9184-6838A6F39E68}" srcOrd="0" destOrd="0" presId="urn:microsoft.com/office/officeart/2005/8/layout/radial6#1"/>
    <dgm:cxn modelId="{5472BCAE-B299-48B3-94D7-CB30F08F78CC}" srcId="{6D941BE1-3970-483C-B92D-259CCF002A4B}" destId="{1F82BF2B-B649-47F4-AE4F-D81A85D273E9}" srcOrd="3" destOrd="0" parTransId="{85D11A00-39DF-4CDA-AEB1-CC1AE4E29245}" sibTransId="{9BD73D32-15EE-4079-8ACB-9107FE967B9F}"/>
    <dgm:cxn modelId="{EDD61615-2F6F-4540-9139-42FE8C6F938F}" type="presOf" srcId="{9DC31E7F-4DDF-4E4F-BB42-2090856F10F6}" destId="{A792C338-F192-4F35-B93B-4C8C49C20108}" srcOrd="0" destOrd="0" presId="urn:microsoft.com/office/officeart/2005/8/layout/radial6#1"/>
    <dgm:cxn modelId="{226A33E1-3F85-4007-B7C1-72CB62CFA14A}" type="presOf" srcId="{382A4E20-1043-43CC-9974-E092E4530B4C}" destId="{DF881CE4-AC19-4BF7-9982-57BEC95DEE96}" srcOrd="0" destOrd="0" presId="urn:microsoft.com/office/officeart/2005/8/layout/radial6#1"/>
    <dgm:cxn modelId="{3C1DB9C0-C122-4F90-967A-DEB060783C4E}" type="presOf" srcId="{131C4454-2AE3-4F24-8F24-18F0FF313020}" destId="{E43AD9C9-013F-4B53-AD20-2C816A77EC3B}" srcOrd="0" destOrd="0" presId="urn:microsoft.com/office/officeart/2005/8/layout/radial6#1"/>
    <dgm:cxn modelId="{828291B6-9EBD-4845-9AEF-9E7488650789}" type="presOf" srcId="{9423B53A-4961-45CB-9030-26471CFA6553}" destId="{9C2B3421-8E90-4C8E-BE26-EAD00D8D1B41}" srcOrd="0" destOrd="0" presId="urn:microsoft.com/office/officeart/2005/8/layout/radial6#1"/>
    <dgm:cxn modelId="{8DC32C6D-6642-41DA-B03E-AB0053D4B907}" type="presOf" srcId="{D1C3BDD5-C0DF-4F33-A383-0B391FD7C17D}" destId="{085F71F9-628C-4FAE-B04C-A87DED13962D}" srcOrd="0" destOrd="0" presId="urn:microsoft.com/office/officeart/2005/8/layout/radial6#1"/>
    <dgm:cxn modelId="{676800AB-8E2A-43D9-B728-3BA4AEE12834}" srcId="{6D941BE1-3970-483C-B92D-259CCF002A4B}" destId="{9423B53A-4961-45CB-9030-26471CFA6553}" srcOrd="4" destOrd="0" parTransId="{E8F1E0C7-A2A0-4420-ABD4-7F51F1AFBC10}" sibTransId="{131C4454-2AE3-4F24-8F24-18F0FF313020}"/>
    <dgm:cxn modelId="{E4F5ED88-3279-420F-B76C-92BA0369DDD9}" type="presOf" srcId="{021B8B23-2FF3-4773-9F53-D83BDA47E68F}" destId="{7D28DC01-BD01-42D4-9919-C14C83E8BFD6}" srcOrd="0" destOrd="0" presId="urn:microsoft.com/office/officeart/2005/8/layout/radial6#1"/>
    <dgm:cxn modelId="{63DB126B-B878-4D69-B20C-8EF1115FF469}" type="presOf" srcId="{6D941BE1-3970-483C-B92D-259CCF002A4B}" destId="{852DCD90-8307-4E12-A91C-5C86C154732E}" srcOrd="0" destOrd="0" presId="urn:microsoft.com/office/officeart/2005/8/layout/radial6#1"/>
    <dgm:cxn modelId="{E2942647-AC7A-4DF0-AE1C-55560ADC5CF5}" type="presOf" srcId="{CF6E6AE1-76E5-4184-AA84-274E34FCDED8}" destId="{12FA3B06-F771-4677-975A-915547759C8B}" srcOrd="0" destOrd="0" presId="urn:microsoft.com/office/officeart/2005/8/layout/radial6#1"/>
    <dgm:cxn modelId="{27F16E45-2138-46F3-A7CA-D0501BB078DD}" srcId="{6D941BE1-3970-483C-B92D-259CCF002A4B}" destId="{C86A7B11-9FFB-411A-8CB1-BB281D674652}" srcOrd="5" destOrd="0" parTransId="{794A754E-D2A8-4A9A-9224-BCEA0F7D4574}" sibTransId="{CF6E6AE1-76E5-4184-AA84-274E34FCDED8}"/>
    <dgm:cxn modelId="{3E692DEE-3A6F-4A05-8C8E-E2D4965CB20B}" type="presOf" srcId="{9C6CCBE4-E5B2-4843-9C81-B15DB6B5E7BF}" destId="{CEA7D0DE-A2AE-4E7C-A4E2-2D7E3DB6362D}" srcOrd="0" destOrd="0" presId="urn:microsoft.com/office/officeart/2005/8/layout/radial6#1"/>
    <dgm:cxn modelId="{F6D1C7B7-5474-466D-9628-D54C9B3C751F}" srcId="{6D941BE1-3970-483C-B92D-259CCF002A4B}" destId="{9DC31E7F-4DDF-4E4F-BB42-2090856F10F6}" srcOrd="1" destOrd="0" parTransId="{CA15CDCD-1EFA-45E9-A9D8-4E96A791140C}" sibTransId="{382A4E20-1043-43CC-9974-E092E4530B4C}"/>
    <dgm:cxn modelId="{78FCAD9D-5710-4C6B-B7CF-C8D9F80FBE9D}" type="presOf" srcId="{C86A7B11-9FFB-411A-8CB1-BB281D674652}" destId="{DBBFA25E-B0D3-4A93-A273-53CF7AC6EFD9}" srcOrd="0" destOrd="0" presId="urn:microsoft.com/office/officeart/2005/8/layout/radial6#1"/>
    <dgm:cxn modelId="{319A53E9-D962-4332-9109-08AD20C770C7}" type="presOf" srcId="{ADFCF639-3B4C-4DCF-BD87-D9210C21B125}" destId="{7046811B-F39F-43E0-8BA7-CF59EB58C81A}" srcOrd="0" destOrd="0" presId="urn:microsoft.com/office/officeart/2005/8/layout/radial6#1"/>
    <dgm:cxn modelId="{500D9BF5-40BB-4031-A625-91ABC93D4690}" srcId="{6D941BE1-3970-483C-B92D-259CCF002A4B}" destId="{9C6CCBE4-E5B2-4843-9C81-B15DB6B5E7BF}" srcOrd="0" destOrd="0" parTransId="{5554C3BF-7C5F-4F2A-B534-99FF2FD0A997}" sibTransId="{021B8B23-2FF3-4773-9F53-D83BDA47E68F}"/>
    <dgm:cxn modelId="{E34AE0F2-3DFB-4BBF-893A-EFAC877F5C2D}" srcId="{4126BF98-8E5C-4044-B2DF-3B3A6144CC6C}" destId="{6D941BE1-3970-483C-B92D-259CCF002A4B}" srcOrd="0" destOrd="0" parTransId="{E5E027E5-2348-4EEC-AA9B-65CFFF5D2EE0}" sibTransId="{8318DC17-2F16-483C-AE1F-8D9CD384AEC9}"/>
    <dgm:cxn modelId="{9AEB6667-46C4-4544-9461-215009DAD387}" srcId="{6D941BE1-3970-483C-B92D-259CCF002A4B}" destId="{ADFCF639-3B4C-4DCF-BD87-D9210C21B125}" srcOrd="2" destOrd="0" parTransId="{3FAECBC1-2222-4002-9248-CD02EC22A9FE}" sibTransId="{D1C3BDD5-C0DF-4F33-A383-0B391FD7C17D}"/>
    <dgm:cxn modelId="{04EF6533-2F3D-4DEC-BDC5-D2F75507481C}" type="presParOf" srcId="{99039DC7-C4ED-4BD7-BF1E-8A92E85A65EC}" destId="{852DCD90-8307-4E12-A91C-5C86C154732E}" srcOrd="0" destOrd="0" presId="urn:microsoft.com/office/officeart/2005/8/layout/radial6#1"/>
    <dgm:cxn modelId="{2C331206-962F-40BA-B123-0C64F318E4B3}" type="presParOf" srcId="{99039DC7-C4ED-4BD7-BF1E-8A92E85A65EC}" destId="{CEA7D0DE-A2AE-4E7C-A4E2-2D7E3DB6362D}" srcOrd="1" destOrd="0" presId="urn:microsoft.com/office/officeart/2005/8/layout/radial6#1"/>
    <dgm:cxn modelId="{2CE971D4-9412-4C68-9910-4A2A897A49E4}" type="presParOf" srcId="{99039DC7-C4ED-4BD7-BF1E-8A92E85A65EC}" destId="{91E9FEED-5307-4507-93EB-F68A6AB27E0D}" srcOrd="2" destOrd="0" presId="urn:microsoft.com/office/officeart/2005/8/layout/radial6#1"/>
    <dgm:cxn modelId="{202E92C5-5CE2-4426-AD8E-AD147AD79F77}" type="presParOf" srcId="{99039DC7-C4ED-4BD7-BF1E-8A92E85A65EC}" destId="{7D28DC01-BD01-42D4-9919-C14C83E8BFD6}" srcOrd="3" destOrd="0" presId="urn:microsoft.com/office/officeart/2005/8/layout/radial6#1"/>
    <dgm:cxn modelId="{D62B02AE-DC59-48A0-9D71-B6011D308B97}" type="presParOf" srcId="{99039DC7-C4ED-4BD7-BF1E-8A92E85A65EC}" destId="{A792C338-F192-4F35-B93B-4C8C49C20108}" srcOrd="4" destOrd="0" presId="urn:microsoft.com/office/officeart/2005/8/layout/radial6#1"/>
    <dgm:cxn modelId="{9760A2AA-F72A-40C3-90E1-7681DC1A77CC}" type="presParOf" srcId="{99039DC7-C4ED-4BD7-BF1E-8A92E85A65EC}" destId="{76DFE2FC-FD5C-45FA-AC10-BFA6911D92A8}" srcOrd="5" destOrd="0" presId="urn:microsoft.com/office/officeart/2005/8/layout/radial6#1"/>
    <dgm:cxn modelId="{E3A94747-0906-41DD-8B34-684EF69AF658}" type="presParOf" srcId="{99039DC7-C4ED-4BD7-BF1E-8A92E85A65EC}" destId="{DF881CE4-AC19-4BF7-9982-57BEC95DEE96}" srcOrd="6" destOrd="0" presId="urn:microsoft.com/office/officeart/2005/8/layout/radial6#1"/>
    <dgm:cxn modelId="{074E8D49-8ABE-4942-A61D-4C1013CA4410}" type="presParOf" srcId="{99039DC7-C4ED-4BD7-BF1E-8A92E85A65EC}" destId="{7046811B-F39F-43E0-8BA7-CF59EB58C81A}" srcOrd="7" destOrd="0" presId="urn:microsoft.com/office/officeart/2005/8/layout/radial6#1"/>
    <dgm:cxn modelId="{843F7D6D-2150-4ECD-9BD7-DFC98CCD54A3}" type="presParOf" srcId="{99039DC7-C4ED-4BD7-BF1E-8A92E85A65EC}" destId="{A24F34DC-D304-4FB0-BDE0-973F3A6606D4}" srcOrd="8" destOrd="0" presId="urn:microsoft.com/office/officeart/2005/8/layout/radial6#1"/>
    <dgm:cxn modelId="{2C0E2479-62E3-4B71-9107-654BF69BD7B1}" type="presParOf" srcId="{99039DC7-C4ED-4BD7-BF1E-8A92E85A65EC}" destId="{085F71F9-628C-4FAE-B04C-A87DED13962D}" srcOrd="9" destOrd="0" presId="urn:microsoft.com/office/officeart/2005/8/layout/radial6#1"/>
    <dgm:cxn modelId="{F5D6951F-5051-420F-BF82-BC09A95F8D47}" type="presParOf" srcId="{99039DC7-C4ED-4BD7-BF1E-8A92E85A65EC}" destId="{CBFE2C47-12B7-412E-9184-6838A6F39E68}" srcOrd="10" destOrd="0" presId="urn:microsoft.com/office/officeart/2005/8/layout/radial6#1"/>
    <dgm:cxn modelId="{6C4354CC-3292-473F-8C0D-3FF4A5B68A2C}" type="presParOf" srcId="{99039DC7-C4ED-4BD7-BF1E-8A92E85A65EC}" destId="{51889AC7-D0F5-479E-B5BD-38F47D68951B}" srcOrd="11" destOrd="0" presId="urn:microsoft.com/office/officeart/2005/8/layout/radial6#1"/>
    <dgm:cxn modelId="{EF0A56AD-01EF-497F-988A-08854E12F7AE}" type="presParOf" srcId="{99039DC7-C4ED-4BD7-BF1E-8A92E85A65EC}" destId="{E5EA0ABD-D22F-46DC-8E59-CCBE7C7A7003}" srcOrd="12" destOrd="0" presId="urn:microsoft.com/office/officeart/2005/8/layout/radial6#1"/>
    <dgm:cxn modelId="{0488E3C6-6DC8-458C-A151-1B2498D903D2}" type="presParOf" srcId="{99039DC7-C4ED-4BD7-BF1E-8A92E85A65EC}" destId="{9C2B3421-8E90-4C8E-BE26-EAD00D8D1B41}" srcOrd="13" destOrd="0" presId="urn:microsoft.com/office/officeart/2005/8/layout/radial6#1"/>
    <dgm:cxn modelId="{ADEB61E4-EF3E-4B5F-B0AD-385AD1CF1300}" type="presParOf" srcId="{99039DC7-C4ED-4BD7-BF1E-8A92E85A65EC}" destId="{0C09C375-A969-4C23-AEB6-ACC944EEA642}" srcOrd="14" destOrd="0" presId="urn:microsoft.com/office/officeart/2005/8/layout/radial6#1"/>
    <dgm:cxn modelId="{30FE3518-EB82-45BC-9BEE-F2C27462855F}" type="presParOf" srcId="{99039DC7-C4ED-4BD7-BF1E-8A92E85A65EC}" destId="{E43AD9C9-013F-4B53-AD20-2C816A77EC3B}" srcOrd="15" destOrd="0" presId="urn:microsoft.com/office/officeart/2005/8/layout/radial6#1"/>
    <dgm:cxn modelId="{5DACA3F0-2779-4157-8F03-9F6EE4D31A86}" type="presParOf" srcId="{99039DC7-C4ED-4BD7-BF1E-8A92E85A65EC}" destId="{DBBFA25E-B0D3-4A93-A273-53CF7AC6EFD9}" srcOrd="16" destOrd="0" presId="urn:microsoft.com/office/officeart/2005/8/layout/radial6#1"/>
    <dgm:cxn modelId="{2345061D-FBE6-4FC4-82C8-0EA04E8D177F}" type="presParOf" srcId="{99039DC7-C4ED-4BD7-BF1E-8A92E85A65EC}" destId="{8622460C-463B-4035-AA8E-49167F074759}" srcOrd="17" destOrd="0" presId="urn:microsoft.com/office/officeart/2005/8/layout/radial6#1"/>
    <dgm:cxn modelId="{F3EC3E93-9BD0-4650-B28A-F6126C155A89}" type="presParOf" srcId="{99039DC7-C4ED-4BD7-BF1E-8A92E85A65EC}" destId="{12FA3B06-F771-4677-975A-915547759C8B}" srcOrd="18" destOrd="0" presId="urn:microsoft.com/office/officeart/2005/8/layout/radial6#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FA3B06-F771-4677-975A-915547759C8B}">
      <dsp:nvSpPr>
        <dsp:cNvPr id="0" name=""/>
        <dsp:cNvSpPr/>
      </dsp:nvSpPr>
      <dsp:spPr>
        <a:xfrm>
          <a:off x="1089880" y="360948"/>
          <a:ext cx="2478503" cy="2478503"/>
        </a:xfrm>
        <a:prstGeom prst="blockArc">
          <a:avLst>
            <a:gd name="adj1" fmla="val 12600000"/>
            <a:gd name="adj2" fmla="val 16200000"/>
            <a:gd name="adj3" fmla="val 4505"/>
          </a:avLst>
        </a:prstGeom>
        <a:gradFill rotWithShape="0">
          <a:gsLst>
            <a:gs pos="0">
              <a:schemeClr val="accent4">
                <a:hueOff val="10395693"/>
                <a:satOff val="-47968"/>
                <a:lumOff val="1765"/>
                <a:alphaOff val="0"/>
                <a:satMod val="103000"/>
                <a:lumMod val="102000"/>
                <a:tint val="94000"/>
              </a:schemeClr>
            </a:gs>
            <a:gs pos="50000">
              <a:schemeClr val="accent4">
                <a:hueOff val="10395693"/>
                <a:satOff val="-47968"/>
                <a:lumOff val="1765"/>
                <a:alphaOff val="0"/>
                <a:satMod val="110000"/>
                <a:lumMod val="100000"/>
                <a:shade val="100000"/>
              </a:schemeClr>
            </a:gs>
            <a:gs pos="100000">
              <a:schemeClr val="accent4">
                <a:hueOff val="10395693"/>
                <a:satOff val="-47968"/>
                <a:lumOff val="176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E43AD9C9-013F-4B53-AD20-2C816A77EC3B}">
      <dsp:nvSpPr>
        <dsp:cNvPr id="0" name=""/>
        <dsp:cNvSpPr/>
      </dsp:nvSpPr>
      <dsp:spPr>
        <a:xfrm>
          <a:off x="1089880" y="360948"/>
          <a:ext cx="2478503" cy="2478503"/>
        </a:xfrm>
        <a:prstGeom prst="blockArc">
          <a:avLst>
            <a:gd name="adj1" fmla="val 9000000"/>
            <a:gd name="adj2" fmla="val 12600000"/>
            <a:gd name="adj3" fmla="val 4505"/>
          </a:avLst>
        </a:prstGeom>
        <a:gradFill rotWithShape="0">
          <a:gsLst>
            <a:gs pos="0">
              <a:schemeClr val="accent4">
                <a:hueOff val="8316554"/>
                <a:satOff val="-38374"/>
                <a:lumOff val="1412"/>
                <a:alphaOff val="0"/>
                <a:satMod val="103000"/>
                <a:lumMod val="102000"/>
                <a:tint val="94000"/>
              </a:schemeClr>
            </a:gs>
            <a:gs pos="50000">
              <a:schemeClr val="accent4">
                <a:hueOff val="8316554"/>
                <a:satOff val="-38374"/>
                <a:lumOff val="1412"/>
                <a:alphaOff val="0"/>
                <a:satMod val="110000"/>
                <a:lumMod val="100000"/>
                <a:shade val="100000"/>
              </a:schemeClr>
            </a:gs>
            <a:gs pos="100000">
              <a:schemeClr val="accent4">
                <a:hueOff val="8316554"/>
                <a:satOff val="-38374"/>
                <a:lumOff val="141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E5EA0ABD-D22F-46DC-8E59-CCBE7C7A7003}">
      <dsp:nvSpPr>
        <dsp:cNvPr id="0" name=""/>
        <dsp:cNvSpPr/>
      </dsp:nvSpPr>
      <dsp:spPr>
        <a:xfrm>
          <a:off x="1089880" y="360948"/>
          <a:ext cx="2478503" cy="2478503"/>
        </a:xfrm>
        <a:prstGeom prst="blockArc">
          <a:avLst>
            <a:gd name="adj1" fmla="val 5400000"/>
            <a:gd name="adj2" fmla="val 9000000"/>
            <a:gd name="adj3" fmla="val 4505"/>
          </a:avLst>
        </a:prstGeom>
        <a:gradFill rotWithShape="0">
          <a:gsLst>
            <a:gs pos="0">
              <a:schemeClr val="accent4">
                <a:hueOff val="6237416"/>
                <a:satOff val="-28781"/>
                <a:lumOff val="1059"/>
                <a:alphaOff val="0"/>
                <a:satMod val="103000"/>
                <a:lumMod val="102000"/>
                <a:tint val="94000"/>
              </a:schemeClr>
            </a:gs>
            <a:gs pos="50000">
              <a:schemeClr val="accent4">
                <a:hueOff val="6237416"/>
                <a:satOff val="-28781"/>
                <a:lumOff val="1059"/>
                <a:alphaOff val="0"/>
                <a:satMod val="110000"/>
                <a:lumMod val="100000"/>
                <a:shade val="100000"/>
              </a:schemeClr>
            </a:gs>
            <a:gs pos="100000">
              <a:schemeClr val="accent4">
                <a:hueOff val="6237416"/>
                <a:satOff val="-28781"/>
                <a:lumOff val="1059"/>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085F71F9-628C-4FAE-B04C-A87DED13962D}">
      <dsp:nvSpPr>
        <dsp:cNvPr id="0" name=""/>
        <dsp:cNvSpPr/>
      </dsp:nvSpPr>
      <dsp:spPr>
        <a:xfrm>
          <a:off x="1089880" y="360948"/>
          <a:ext cx="2478503" cy="2478503"/>
        </a:xfrm>
        <a:prstGeom prst="blockArc">
          <a:avLst>
            <a:gd name="adj1" fmla="val 1800000"/>
            <a:gd name="adj2" fmla="val 5400000"/>
            <a:gd name="adj3" fmla="val 4505"/>
          </a:avLst>
        </a:prstGeom>
        <a:gradFill rotWithShape="0">
          <a:gsLst>
            <a:gs pos="0">
              <a:schemeClr val="accent4">
                <a:hueOff val="4158277"/>
                <a:satOff val="-19187"/>
                <a:lumOff val="706"/>
                <a:alphaOff val="0"/>
                <a:satMod val="103000"/>
                <a:lumMod val="102000"/>
                <a:tint val="94000"/>
              </a:schemeClr>
            </a:gs>
            <a:gs pos="50000">
              <a:schemeClr val="accent4">
                <a:hueOff val="4158277"/>
                <a:satOff val="-19187"/>
                <a:lumOff val="706"/>
                <a:alphaOff val="0"/>
                <a:satMod val="110000"/>
                <a:lumMod val="100000"/>
                <a:shade val="100000"/>
              </a:schemeClr>
            </a:gs>
            <a:gs pos="100000">
              <a:schemeClr val="accent4">
                <a:hueOff val="4158277"/>
                <a:satOff val="-19187"/>
                <a:lumOff val="70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F881CE4-AC19-4BF7-9982-57BEC95DEE96}">
      <dsp:nvSpPr>
        <dsp:cNvPr id="0" name=""/>
        <dsp:cNvSpPr/>
      </dsp:nvSpPr>
      <dsp:spPr>
        <a:xfrm>
          <a:off x="1089880" y="360948"/>
          <a:ext cx="2478503" cy="2478503"/>
        </a:xfrm>
        <a:prstGeom prst="blockArc">
          <a:avLst>
            <a:gd name="adj1" fmla="val 19800000"/>
            <a:gd name="adj2" fmla="val 1800000"/>
            <a:gd name="adj3" fmla="val 4505"/>
          </a:avLst>
        </a:prstGeom>
        <a:gradFill rotWithShape="0">
          <a:gsLst>
            <a:gs pos="0">
              <a:schemeClr val="accent4">
                <a:hueOff val="2079139"/>
                <a:satOff val="-9594"/>
                <a:lumOff val="353"/>
                <a:alphaOff val="0"/>
                <a:satMod val="103000"/>
                <a:lumMod val="102000"/>
                <a:tint val="94000"/>
              </a:schemeClr>
            </a:gs>
            <a:gs pos="50000">
              <a:schemeClr val="accent4">
                <a:hueOff val="2079139"/>
                <a:satOff val="-9594"/>
                <a:lumOff val="353"/>
                <a:alphaOff val="0"/>
                <a:satMod val="110000"/>
                <a:lumMod val="100000"/>
                <a:shade val="100000"/>
              </a:schemeClr>
            </a:gs>
            <a:gs pos="100000">
              <a:schemeClr val="accent4">
                <a:hueOff val="2079139"/>
                <a:satOff val="-9594"/>
                <a:lumOff val="35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7D28DC01-BD01-42D4-9919-C14C83E8BFD6}">
      <dsp:nvSpPr>
        <dsp:cNvPr id="0" name=""/>
        <dsp:cNvSpPr/>
      </dsp:nvSpPr>
      <dsp:spPr>
        <a:xfrm>
          <a:off x="1089880" y="360948"/>
          <a:ext cx="2478503" cy="2478503"/>
        </a:xfrm>
        <a:prstGeom prst="blockArc">
          <a:avLst>
            <a:gd name="adj1" fmla="val 16200000"/>
            <a:gd name="adj2" fmla="val 19800000"/>
            <a:gd name="adj3" fmla="val 4505"/>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852DCD90-8307-4E12-A91C-5C86C154732E}">
      <dsp:nvSpPr>
        <dsp:cNvPr id="0" name=""/>
        <dsp:cNvSpPr/>
      </dsp:nvSpPr>
      <dsp:spPr>
        <a:xfrm>
          <a:off x="1775280" y="1046348"/>
          <a:ext cx="1107702" cy="1107702"/>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latin typeface="Arial" pitchFamily="34" charset="0"/>
              <a:cs typeface="Arial" pitchFamily="34" charset="0"/>
            </a:rPr>
            <a:t>Connect </a:t>
          </a:r>
        </a:p>
        <a:p>
          <a:pPr lvl="0" algn="ctr" defTabSz="444500">
            <a:lnSpc>
              <a:spcPct val="90000"/>
            </a:lnSpc>
            <a:spcBef>
              <a:spcPct val="0"/>
            </a:spcBef>
            <a:spcAft>
              <a:spcPct val="35000"/>
            </a:spcAft>
          </a:pPr>
          <a:r>
            <a:rPr lang="en-US" sz="1000" b="1" kern="1200">
              <a:latin typeface="Arial" pitchFamily="34" charset="0"/>
              <a:cs typeface="Arial" pitchFamily="34" charset="0"/>
            </a:rPr>
            <a:t>Authentic </a:t>
          </a:r>
        </a:p>
        <a:p>
          <a:pPr lvl="0" algn="ctr" defTabSz="444500">
            <a:lnSpc>
              <a:spcPct val="90000"/>
            </a:lnSpc>
            <a:spcBef>
              <a:spcPct val="0"/>
            </a:spcBef>
            <a:spcAft>
              <a:spcPct val="35000"/>
            </a:spcAft>
          </a:pPr>
          <a:r>
            <a:rPr lang="en-US" sz="1000" b="1" kern="1200">
              <a:latin typeface="Arial" pitchFamily="34" charset="0"/>
              <a:cs typeface="Arial" pitchFamily="34" charset="0"/>
            </a:rPr>
            <a:t>Recognition </a:t>
          </a:r>
        </a:p>
        <a:p>
          <a:pPr lvl="0" algn="ctr" defTabSz="444500">
            <a:lnSpc>
              <a:spcPct val="90000"/>
            </a:lnSpc>
            <a:spcBef>
              <a:spcPct val="0"/>
            </a:spcBef>
            <a:spcAft>
              <a:spcPct val="35000"/>
            </a:spcAft>
          </a:pPr>
          <a:r>
            <a:rPr lang="en-US" sz="1000" b="1" kern="1200">
              <a:latin typeface="Arial" pitchFamily="34" charset="0"/>
              <a:cs typeface="Arial" pitchFamily="34" charset="0"/>
            </a:rPr>
            <a:t>Engage </a:t>
          </a:r>
        </a:p>
      </dsp:txBody>
      <dsp:txXfrm>
        <a:off x="1937499" y="1208567"/>
        <a:ext cx="783264" cy="783264"/>
      </dsp:txXfrm>
    </dsp:sp>
    <dsp:sp modelId="{CEA7D0DE-A2AE-4E7C-A4E2-2D7E3DB6362D}">
      <dsp:nvSpPr>
        <dsp:cNvPr id="0" name=""/>
        <dsp:cNvSpPr/>
      </dsp:nvSpPr>
      <dsp:spPr>
        <a:xfrm>
          <a:off x="1941436" y="1166"/>
          <a:ext cx="775391" cy="775391"/>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b="1" kern="1200">
              <a:latin typeface="Arial" pitchFamily="34" charset="0"/>
              <a:cs typeface="Arial" pitchFamily="34" charset="0"/>
            </a:rPr>
            <a:t>Foster Relationship and community </a:t>
          </a:r>
        </a:p>
      </dsp:txBody>
      <dsp:txXfrm>
        <a:off x="2054989" y="114719"/>
        <a:ext cx="548285" cy="548285"/>
      </dsp:txXfrm>
    </dsp:sp>
    <dsp:sp modelId="{A792C338-F192-4F35-B93B-4C8C49C20108}">
      <dsp:nvSpPr>
        <dsp:cNvPr id="0" name=""/>
        <dsp:cNvSpPr/>
      </dsp:nvSpPr>
      <dsp:spPr>
        <a:xfrm>
          <a:off x="2990485" y="606835"/>
          <a:ext cx="775391" cy="775391"/>
        </a:xfrm>
        <a:prstGeom prst="ellipse">
          <a:avLst/>
        </a:prstGeom>
        <a:gradFill rotWithShape="0">
          <a:gsLst>
            <a:gs pos="0">
              <a:schemeClr val="accent4">
                <a:hueOff val="2079139"/>
                <a:satOff val="-9594"/>
                <a:lumOff val="353"/>
                <a:alphaOff val="0"/>
                <a:satMod val="103000"/>
                <a:lumMod val="102000"/>
                <a:tint val="94000"/>
              </a:schemeClr>
            </a:gs>
            <a:gs pos="50000">
              <a:schemeClr val="accent4">
                <a:hueOff val="2079139"/>
                <a:satOff val="-9594"/>
                <a:lumOff val="353"/>
                <a:alphaOff val="0"/>
                <a:satMod val="110000"/>
                <a:lumMod val="100000"/>
                <a:shade val="100000"/>
              </a:schemeClr>
            </a:gs>
            <a:gs pos="100000">
              <a:schemeClr val="accent4">
                <a:hueOff val="2079139"/>
                <a:satOff val="-9594"/>
                <a:lumOff val="35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b="1" kern="1200">
              <a:latin typeface="Arial" pitchFamily="34" charset="0"/>
              <a:cs typeface="Arial" pitchFamily="34" charset="0"/>
            </a:rPr>
            <a:t>Serve Customers </a:t>
          </a:r>
        </a:p>
      </dsp:txBody>
      <dsp:txXfrm>
        <a:off x="3104038" y="720388"/>
        <a:ext cx="548285" cy="548285"/>
      </dsp:txXfrm>
    </dsp:sp>
    <dsp:sp modelId="{7046811B-F39F-43E0-8BA7-CF59EB58C81A}">
      <dsp:nvSpPr>
        <dsp:cNvPr id="0" name=""/>
        <dsp:cNvSpPr/>
      </dsp:nvSpPr>
      <dsp:spPr>
        <a:xfrm>
          <a:off x="2990485" y="1818173"/>
          <a:ext cx="775391" cy="775391"/>
        </a:xfrm>
        <a:prstGeom prst="ellipse">
          <a:avLst/>
        </a:prstGeom>
        <a:gradFill rotWithShape="0">
          <a:gsLst>
            <a:gs pos="0">
              <a:schemeClr val="accent4">
                <a:hueOff val="4158277"/>
                <a:satOff val="-19187"/>
                <a:lumOff val="706"/>
                <a:alphaOff val="0"/>
                <a:satMod val="103000"/>
                <a:lumMod val="102000"/>
                <a:tint val="94000"/>
              </a:schemeClr>
            </a:gs>
            <a:gs pos="50000">
              <a:schemeClr val="accent4">
                <a:hueOff val="4158277"/>
                <a:satOff val="-19187"/>
                <a:lumOff val="706"/>
                <a:alphaOff val="0"/>
                <a:satMod val="110000"/>
                <a:lumMod val="100000"/>
                <a:shade val="100000"/>
              </a:schemeClr>
            </a:gs>
            <a:gs pos="100000">
              <a:schemeClr val="accent4">
                <a:hueOff val="4158277"/>
                <a:satOff val="-19187"/>
                <a:lumOff val="70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latin typeface="Arial" pitchFamily="34" charset="0"/>
              <a:cs typeface="Arial" pitchFamily="34" charset="0"/>
            </a:rPr>
            <a:t>Expeience Well-being </a:t>
          </a:r>
        </a:p>
      </dsp:txBody>
      <dsp:txXfrm>
        <a:off x="3104038" y="1931726"/>
        <a:ext cx="548285" cy="548285"/>
      </dsp:txXfrm>
    </dsp:sp>
    <dsp:sp modelId="{CBFE2C47-12B7-412E-9184-6838A6F39E68}">
      <dsp:nvSpPr>
        <dsp:cNvPr id="0" name=""/>
        <dsp:cNvSpPr/>
      </dsp:nvSpPr>
      <dsp:spPr>
        <a:xfrm>
          <a:off x="1941436" y="2423841"/>
          <a:ext cx="775391" cy="775391"/>
        </a:xfrm>
        <a:prstGeom prst="ellipse">
          <a:avLst/>
        </a:prstGeom>
        <a:gradFill rotWithShape="0">
          <a:gsLst>
            <a:gs pos="0">
              <a:schemeClr val="accent4">
                <a:hueOff val="6237416"/>
                <a:satOff val="-28781"/>
                <a:lumOff val="1059"/>
                <a:alphaOff val="0"/>
                <a:satMod val="103000"/>
                <a:lumMod val="102000"/>
                <a:tint val="94000"/>
              </a:schemeClr>
            </a:gs>
            <a:gs pos="50000">
              <a:schemeClr val="accent4">
                <a:hueOff val="6237416"/>
                <a:satOff val="-28781"/>
                <a:lumOff val="1059"/>
                <a:alphaOff val="0"/>
                <a:satMod val="110000"/>
                <a:lumMod val="100000"/>
                <a:shade val="100000"/>
              </a:schemeClr>
            </a:gs>
            <a:gs pos="100000">
              <a:schemeClr val="accent4">
                <a:hueOff val="6237416"/>
                <a:satOff val="-28781"/>
                <a:lumOff val="1059"/>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Arial" pitchFamily="34" charset="0"/>
              <a:cs typeface="Arial" pitchFamily="34" charset="0"/>
            </a:rPr>
            <a:t>Leverage Energies </a:t>
          </a:r>
        </a:p>
      </dsp:txBody>
      <dsp:txXfrm>
        <a:off x="2054989" y="2537394"/>
        <a:ext cx="548285" cy="548285"/>
      </dsp:txXfrm>
    </dsp:sp>
    <dsp:sp modelId="{9C2B3421-8E90-4C8E-BE26-EAD00D8D1B41}">
      <dsp:nvSpPr>
        <dsp:cNvPr id="0" name=""/>
        <dsp:cNvSpPr/>
      </dsp:nvSpPr>
      <dsp:spPr>
        <a:xfrm>
          <a:off x="892386" y="1818173"/>
          <a:ext cx="775391" cy="775391"/>
        </a:xfrm>
        <a:prstGeom prst="ellipse">
          <a:avLst/>
        </a:prstGeom>
        <a:gradFill rotWithShape="0">
          <a:gsLst>
            <a:gs pos="0">
              <a:schemeClr val="accent4">
                <a:hueOff val="8316554"/>
                <a:satOff val="-38374"/>
                <a:lumOff val="1412"/>
                <a:alphaOff val="0"/>
                <a:satMod val="103000"/>
                <a:lumMod val="102000"/>
                <a:tint val="94000"/>
              </a:schemeClr>
            </a:gs>
            <a:gs pos="50000">
              <a:schemeClr val="accent4">
                <a:hueOff val="8316554"/>
                <a:satOff val="-38374"/>
                <a:lumOff val="1412"/>
                <a:alphaOff val="0"/>
                <a:satMod val="110000"/>
                <a:lumMod val="100000"/>
                <a:shade val="100000"/>
              </a:schemeClr>
            </a:gs>
            <a:gs pos="100000">
              <a:schemeClr val="accent4">
                <a:hueOff val="8316554"/>
                <a:satOff val="-38374"/>
                <a:lumOff val="141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latin typeface="Arial" pitchFamily="34" charset="0"/>
              <a:cs typeface="Arial" pitchFamily="34" charset="0"/>
            </a:rPr>
            <a:t>Develop professionally and personally </a:t>
          </a:r>
        </a:p>
      </dsp:txBody>
      <dsp:txXfrm>
        <a:off x="1005939" y="1931726"/>
        <a:ext cx="548285" cy="548285"/>
      </dsp:txXfrm>
    </dsp:sp>
    <dsp:sp modelId="{DBBFA25E-B0D3-4A93-A273-53CF7AC6EFD9}">
      <dsp:nvSpPr>
        <dsp:cNvPr id="0" name=""/>
        <dsp:cNvSpPr/>
      </dsp:nvSpPr>
      <dsp:spPr>
        <a:xfrm>
          <a:off x="892386" y="606835"/>
          <a:ext cx="775391" cy="775391"/>
        </a:xfrm>
        <a:prstGeom prst="ellipse">
          <a:avLst/>
        </a:prstGeom>
        <a:gradFill rotWithShape="0">
          <a:gsLst>
            <a:gs pos="0">
              <a:schemeClr val="accent4">
                <a:hueOff val="10395693"/>
                <a:satOff val="-47968"/>
                <a:lumOff val="1765"/>
                <a:alphaOff val="0"/>
                <a:satMod val="103000"/>
                <a:lumMod val="102000"/>
                <a:tint val="94000"/>
              </a:schemeClr>
            </a:gs>
            <a:gs pos="50000">
              <a:schemeClr val="accent4">
                <a:hueOff val="10395693"/>
                <a:satOff val="-47968"/>
                <a:lumOff val="1765"/>
                <a:alphaOff val="0"/>
                <a:satMod val="110000"/>
                <a:lumMod val="100000"/>
                <a:shade val="100000"/>
              </a:schemeClr>
            </a:gs>
            <a:gs pos="100000">
              <a:schemeClr val="accent4">
                <a:hueOff val="10395693"/>
                <a:satOff val="-47968"/>
                <a:lumOff val="176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b="1" kern="1200">
              <a:latin typeface="Arial" pitchFamily="34" charset="0"/>
              <a:cs typeface="Arial" pitchFamily="34" charset="0"/>
            </a:rPr>
            <a:t>Identify with organisation </a:t>
          </a:r>
        </a:p>
      </dsp:txBody>
      <dsp:txXfrm>
        <a:off x="1005939" y="720388"/>
        <a:ext cx="548285" cy="548285"/>
      </dsp:txXfrm>
    </dsp:sp>
  </dsp:spTree>
</dsp:drawing>
</file>

<file path=word/diagrams/layout1.xml><?xml version="1.0" encoding="utf-8"?>
<dgm:layoutDef xmlns:dgm="http://schemas.openxmlformats.org/drawingml/2006/diagram" xmlns:a="http://schemas.openxmlformats.org/drawingml/2006/main" uniqueId="urn:microsoft.com/office/officeart/2005/8/layout/radial6#1">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ctrShpMap" val="fNode"/>
              <dgm:param type="spanAng" val="360"/>
              <dgm:param type="stAng" val="90"/>
            </dgm:alg>
          </dgm:if>
          <dgm:else name="Name5">
            <dgm:alg type="cycle">
              <dgm:param type="ctrShpMap" val="fNode"/>
              <dgm:param type="spanAng" val="360"/>
              <dgm:param type="stAng" val="0"/>
            </dgm:alg>
          </dgm:else>
        </dgm:choose>
      </dgm:if>
      <dgm:else name="Name6">
        <dgm:choose name="Name7">
          <dgm:if name="Name8" axis="ch ch" ptType="node node" st="1 1" cnt="1 0" func="cnt" op="lte" val="1">
            <dgm:alg type="cycle">
              <dgm:param type="ctrShpMap" val="fNode"/>
              <dgm:param type="spanAng" val="360"/>
              <dgm:param type="stAng" val="-90"/>
            </dgm:alg>
          </dgm:if>
          <dgm:else name="Name9">
            <dgm:alg type="cycle">
              <dgm:param type="ctrShpMap" val="fNode"/>
              <dgm:param type="spanAng" val="-360"/>
              <dgm:param type="stAng" val="0"/>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begPts" val="ctr"/>
                    <dgm:param type="begSty" val="noArr"/>
                    <dgm:param type="connRout" val="curve"/>
                    <dgm:param type="dstNode" val="node"/>
                    <dgm:param type="endPts" val="ctr"/>
                    <dgm:param type="endSty" val="noArr"/>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begPts" val="bCtr"/>
                    <dgm:param type="begSty" val="noArr"/>
                    <dgm:param type="connRout" val="longCurve"/>
                    <dgm:param type="dstNode" val="dummyConnPt"/>
                    <dgm:param type="endPts" val="tCtr"/>
                    <dgm:param type="endSty" val="noArr"/>
                    <dgm:param type="src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DFA87-D315-4165-83E4-FDBCFFFF9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3261</Words>
  <Characters>18588</Characters>
  <Application>Microsoft Office Word</Application>
  <DocSecurity>0</DocSecurity>
  <Lines>154</Lines>
  <Paragraphs>43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2023-10-17T14:55:00Z</dcterms:created>
  <dcterms:modified xsi:type="dcterms:W3CDTF">2023-10-17T14:58:00Z</dcterms:modified>
</cp:coreProperties>
</file>