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cs="Arial"/>
          <w:b/>
          <w:bCs/>
          <w:sz w:val="22"/>
          <w:szCs w:val="22"/>
        </w:rPr>
      </w:pPr>
      <w:r>
        <w:rPr>
          <w:rFonts w:hint="default" w:ascii="Arial" w:hAnsi="Arial" w:cs="Arial"/>
          <w:b/>
          <w:bCs/>
          <w:sz w:val="22"/>
          <w:szCs w:val="22"/>
        </w:rPr>
        <w:t>Programe : Ba (HONS) Leadership and Management Skills for the Workplace Level 5</w:t>
      </w:r>
    </w:p>
    <w:p>
      <w:pPr>
        <w:jc w:val="center"/>
        <w:rPr>
          <w:rFonts w:hint="default" w:ascii="Arial" w:hAnsi="Arial" w:cs="Arial"/>
          <w:b/>
          <w:bCs/>
          <w:sz w:val="22"/>
          <w:szCs w:val="22"/>
        </w:rPr>
      </w:pPr>
    </w:p>
    <w:p>
      <w:pPr>
        <w:jc w:val="center"/>
        <w:rPr>
          <w:rFonts w:hint="default" w:ascii="Arial" w:hAnsi="Arial" w:cs="Arial"/>
          <w:b/>
          <w:bCs/>
          <w:sz w:val="22"/>
          <w:szCs w:val="22"/>
        </w:rPr>
      </w:pPr>
    </w:p>
    <w:p>
      <w:pPr>
        <w:jc w:val="both"/>
        <w:rPr>
          <w:rFonts w:ascii="Arial" w:hAnsi="Arial" w:cs="Arial"/>
          <w:b/>
          <w:bCs/>
          <w:i/>
          <w:iCs/>
          <w:sz w:val="22"/>
          <w:szCs w:val="22"/>
        </w:rPr>
      </w:pPr>
      <w:r>
        <w:rPr>
          <w:rFonts w:ascii="Arial" w:hAnsi="Arial" w:cs="Arial"/>
          <w:b/>
          <w:bCs/>
          <w:i/>
          <w:iCs/>
          <w:sz w:val="22"/>
          <w:szCs w:val="22"/>
        </w:rPr>
        <w:t>Module Title: Workplace Culture and its impact on Organisational Efficiency</w:t>
      </w:r>
    </w:p>
    <w:p>
      <w:pPr>
        <w:jc w:val="center"/>
        <w:rPr>
          <w:rFonts w:hint="default" w:ascii="Arial" w:hAnsi="Arial" w:cs="Arial"/>
          <w:b/>
          <w:bCs/>
          <w:i/>
          <w:iCs/>
          <w:sz w:val="22"/>
          <w:szCs w:val="22"/>
        </w:rPr>
      </w:pPr>
      <w:r>
        <w:rPr>
          <w:rFonts w:hint="default" w:ascii="Arial" w:hAnsi="Arial" w:cs="Arial"/>
          <w:b/>
          <w:bCs/>
          <w:i/>
          <w:iCs/>
          <w:sz w:val="22"/>
          <w:szCs w:val="22"/>
        </w:rPr>
        <w:t>Assigment Title : “How do broader external enviromental faxctors alonng Covid -19 and ethical dilemmas afect organizational culture and its performance ?”</w:t>
      </w:r>
    </w:p>
    <w:p>
      <w:pPr>
        <w:jc w:val="both"/>
        <w:rPr>
          <w:rFonts w:ascii="Arial" w:hAnsi="Arial" w:cs="Arial"/>
          <w:b/>
          <w:bCs/>
          <w:i/>
          <w:iCs/>
          <w:sz w:val="22"/>
          <w:szCs w:val="22"/>
        </w:rPr>
      </w:pPr>
      <w:r>
        <w:rPr>
          <w:rFonts w:ascii="Arial" w:hAnsi="Arial" w:cs="Arial"/>
          <w:b/>
          <w:bCs/>
          <w:i/>
          <w:iCs/>
          <w:sz w:val="22"/>
          <w:szCs w:val="22"/>
        </w:rPr>
        <w:t>Module Code: BMSW510</w:t>
      </w:r>
      <w:r>
        <w:rPr>
          <w:rFonts w:hint="default" w:ascii="Arial" w:hAnsi="Arial" w:cs="Arial"/>
          <w:b/>
          <w:bCs/>
          <w:i/>
          <w:iCs/>
          <w:sz w:val="22"/>
          <w:szCs w:val="22"/>
        </w:rPr>
        <w:t>5</w:t>
      </w:r>
    </w:p>
    <w:p>
      <w:pPr>
        <w:jc w:val="both"/>
        <w:rPr>
          <w:rFonts w:hint="default" w:ascii="Arial" w:hAnsi="Arial" w:cs="Arial"/>
          <w:b/>
          <w:bCs/>
          <w:i/>
          <w:iCs/>
          <w:sz w:val="22"/>
          <w:szCs w:val="22"/>
        </w:rPr>
      </w:pPr>
      <w:r>
        <w:rPr>
          <w:rFonts w:ascii="Arial" w:hAnsi="Arial" w:cs="Arial"/>
          <w:b/>
          <w:bCs/>
          <w:i/>
          <w:iCs/>
          <w:sz w:val="22"/>
          <w:szCs w:val="22"/>
        </w:rPr>
        <w:t xml:space="preserve">Lecturer Name: </w:t>
      </w:r>
      <w:r>
        <w:rPr>
          <w:rFonts w:hint="default" w:ascii="Arial" w:hAnsi="Arial" w:cs="Arial"/>
          <w:b/>
          <w:bCs/>
          <w:i/>
          <w:iCs/>
          <w:sz w:val="22"/>
          <w:szCs w:val="22"/>
        </w:rPr>
        <w:t>Olusoyi (Richard) Ashaye</w:t>
      </w:r>
    </w:p>
    <w:p>
      <w:pPr>
        <w:jc w:val="both"/>
        <w:rPr>
          <w:rFonts w:hint="default" w:ascii="Arial" w:hAnsi="Arial" w:cs="Arial"/>
          <w:b/>
          <w:bCs/>
          <w:i/>
          <w:iCs/>
          <w:sz w:val="22"/>
          <w:szCs w:val="22"/>
        </w:rPr>
      </w:pPr>
      <w:r>
        <w:rPr>
          <w:rFonts w:hint="default" w:ascii="Arial" w:hAnsi="Arial" w:cs="Arial"/>
          <w:b/>
          <w:bCs/>
          <w:i/>
          <w:iCs/>
          <w:sz w:val="22"/>
          <w:szCs w:val="22"/>
        </w:rPr>
        <w:t>Student Name : Iosif Tcaciu</w:t>
      </w:r>
    </w:p>
    <w:p>
      <w:pPr>
        <w:jc w:val="both"/>
        <w:rPr>
          <w:rFonts w:hint="default" w:ascii="Arial" w:hAnsi="Arial" w:cs="Arial"/>
          <w:b/>
          <w:bCs/>
          <w:i/>
          <w:iCs/>
          <w:sz w:val="22"/>
          <w:szCs w:val="22"/>
        </w:rPr>
      </w:pPr>
      <w:r>
        <w:rPr>
          <w:rFonts w:hint="default" w:ascii="Arial" w:hAnsi="Arial" w:cs="Arial"/>
          <w:b/>
          <w:bCs/>
          <w:i/>
          <w:iCs/>
          <w:sz w:val="22"/>
          <w:szCs w:val="22"/>
        </w:rPr>
        <w:t>Student id no :2022775</w:t>
      </w:r>
    </w:p>
    <w:p>
      <w:pPr>
        <w:jc w:val="both"/>
        <w:rPr>
          <w:rFonts w:hint="default" w:ascii="Arial" w:hAnsi="Arial" w:cs="Arial"/>
          <w:b/>
          <w:bCs/>
          <w:i/>
          <w:iCs/>
          <w:sz w:val="22"/>
          <w:szCs w:val="22"/>
        </w:rPr>
      </w:pPr>
      <w:r>
        <w:rPr>
          <w:rFonts w:hint="default" w:ascii="Arial" w:hAnsi="Arial" w:cs="Arial"/>
          <w:b/>
          <w:bCs/>
          <w:i/>
          <w:iCs/>
          <w:sz w:val="22"/>
          <w:szCs w:val="22"/>
        </w:rPr>
        <w:t>Task 1 and Task 2</w:t>
      </w:r>
    </w:p>
    <w:p>
      <w:pPr>
        <w:jc w:val="center"/>
        <w:rPr>
          <w:rFonts w:ascii="Arial" w:hAnsi="Arial" w:cs="Arial"/>
          <w:b/>
          <w:bCs/>
          <w:i/>
          <w:iCs/>
          <w:sz w:val="22"/>
          <w:szCs w:val="22"/>
        </w:rPr>
      </w:pPr>
      <w:r>
        <w:rPr>
          <w:rFonts w:ascii="Arial" w:hAnsi="Arial" w:cs="Arial"/>
          <w:b/>
          <w:bCs/>
          <w:i/>
          <w:iCs/>
          <w:sz w:val="22"/>
          <w:szCs w:val="22"/>
        </w:rPr>
        <w:t xml:space="preserve"> </w:t>
      </w:r>
    </w:p>
    <w:p>
      <w:pPr>
        <w:jc w:val="center"/>
        <w:rPr>
          <w:rFonts w:ascii="Arial" w:hAnsi="Arial" w:cs="Arial" w:eastAsiaTheme="majorEastAsia"/>
          <w:b/>
          <w:bCs/>
          <w:sz w:val="22"/>
          <w:szCs w:val="22"/>
        </w:rPr>
      </w:pPr>
      <w:r>
        <w:rPr>
          <w:rFonts w:ascii="Arial" w:hAnsi="Arial" w:cs="Arial"/>
          <w:b/>
          <w:bCs/>
          <w:sz w:val="22"/>
          <w:szCs w:val="22"/>
        </w:rPr>
        <w:br w:type="page"/>
      </w:r>
    </w:p>
    <w:sdt>
      <w:sdtPr>
        <w:rPr>
          <w:rFonts w:ascii="Arial" w:hAnsi="Arial" w:cs="Arial" w:eastAsiaTheme="minorHAnsi"/>
          <w:b/>
          <w:bCs/>
          <w:color w:val="auto"/>
          <w:sz w:val="24"/>
          <w:szCs w:val="28"/>
          <w:lang w:bidi="bn-BD"/>
        </w:rPr>
        <w:id w:val="-729158494"/>
        <w:docPartObj>
          <w:docPartGallery w:val="Table of Contents"/>
          <w:docPartUnique/>
        </w:docPartObj>
      </w:sdtPr>
      <w:sdtEndPr>
        <w:rPr>
          <w:rFonts w:ascii="Arial" w:hAnsi="Arial" w:cs="Arial" w:eastAsiaTheme="minorHAnsi"/>
          <w:b/>
          <w:bCs/>
          <w:color w:val="auto"/>
          <w:sz w:val="24"/>
          <w:szCs w:val="28"/>
          <w:lang w:bidi="bn-BD"/>
        </w:rPr>
      </w:sdtEndPr>
      <w:sdtContent>
        <w:p>
          <w:pPr>
            <w:pStyle w:val="18"/>
            <w:spacing w:line="360" w:lineRule="auto"/>
            <w:jc w:val="both"/>
            <w:rPr>
              <w:rFonts w:ascii="Arial" w:hAnsi="Arial" w:cs="Arial"/>
              <w:b/>
              <w:bCs/>
              <w:color w:val="auto"/>
            </w:rPr>
          </w:pPr>
          <w:r>
            <w:rPr>
              <w:rFonts w:ascii="Arial" w:hAnsi="Arial" w:cs="Arial"/>
              <w:b/>
              <w:bCs/>
              <w:color w:val="auto"/>
            </w:rPr>
            <w:t>Contents</w:t>
          </w:r>
        </w:p>
        <w:p>
          <w:pPr>
            <w:pStyle w:val="11"/>
            <w:tabs>
              <w:tab w:val="right" w:leader="dot" w:pos="9350"/>
            </w:tabs>
            <w:rPr>
              <w:rFonts w:ascii="Arial" w:hAnsi="Arial" w:cs="Arial" w:eastAsiaTheme="minorEastAsia"/>
              <w:sz w:val="22"/>
              <w:szCs w:val="22"/>
              <w:lang w:bidi="ar-SA"/>
            </w:rPr>
          </w:pPr>
          <w:r>
            <w:rPr>
              <w:rFonts w:ascii="Arial" w:hAnsi="Arial" w:cs="Arial"/>
              <w:b/>
              <w:bCs/>
              <w:sz w:val="22"/>
              <w:szCs w:val="22"/>
            </w:rPr>
            <w:fldChar w:fldCharType="begin"/>
          </w:r>
          <w:r>
            <w:rPr>
              <w:rFonts w:ascii="Arial" w:hAnsi="Arial" w:cs="Arial"/>
              <w:b/>
              <w:bCs/>
              <w:sz w:val="22"/>
              <w:szCs w:val="22"/>
            </w:rPr>
            <w:instrText xml:space="preserve"> TOC \o "1-3" \h \z \u </w:instrText>
          </w:r>
          <w:r>
            <w:rPr>
              <w:rFonts w:ascii="Arial" w:hAnsi="Arial" w:cs="Arial"/>
              <w:b/>
              <w:bCs/>
              <w:sz w:val="22"/>
              <w:szCs w:val="22"/>
            </w:rPr>
            <w:fldChar w:fldCharType="separate"/>
          </w:r>
          <w:r>
            <w:fldChar w:fldCharType="begin"/>
          </w:r>
          <w:r>
            <w:instrText xml:space="preserve"> HYPERLINK \l "_Toc108962709" </w:instrText>
          </w:r>
          <w:r>
            <w:fldChar w:fldCharType="separate"/>
          </w:r>
          <w:r>
            <w:rPr>
              <w:rStyle w:val="9"/>
              <w:rFonts w:ascii="Arial" w:hAnsi="Arial" w:cs="Arial"/>
            </w:rPr>
            <w:t>Task 1</w:t>
          </w:r>
          <w:r>
            <w:rPr>
              <w:rFonts w:ascii="Arial" w:hAnsi="Arial" w:cs="Arial"/>
            </w:rPr>
            <w:tab/>
          </w:r>
          <w:r>
            <w:rPr>
              <w:rFonts w:ascii="Arial" w:hAnsi="Arial" w:cs="Arial"/>
            </w:rPr>
            <w:fldChar w:fldCharType="begin"/>
          </w:r>
          <w:r>
            <w:rPr>
              <w:rFonts w:ascii="Arial" w:hAnsi="Arial" w:cs="Arial"/>
            </w:rPr>
            <w:instrText xml:space="preserve"> PAGEREF _Toc108962709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"_Toc108962710" </w:instrText>
          </w:r>
          <w:r>
            <w:fldChar w:fldCharType="separate"/>
          </w:r>
          <w:r>
            <w:rPr>
              <w:rStyle w:val="9"/>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_Toc108962710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"_Toc108962711" </w:instrText>
          </w:r>
          <w:r>
            <w:fldChar w:fldCharType="separate"/>
          </w:r>
          <w:r>
            <w:rPr>
              <w:rStyle w:val="9"/>
              <w:rFonts w:ascii="Arial" w:hAnsi="Arial" w:cs="Arial"/>
            </w:rPr>
            <w:t>Company Overview</w:t>
          </w:r>
          <w:r>
            <w:rPr>
              <w:rFonts w:ascii="Arial" w:hAnsi="Arial" w:cs="Arial"/>
            </w:rPr>
            <w:tab/>
          </w:r>
          <w:r>
            <w:rPr>
              <w:rFonts w:ascii="Arial" w:hAnsi="Arial" w:cs="Arial"/>
            </w:rPr>
            <w:fldChar w:fldCharType="begin"/>
          </w:r>
          <w:r>
            <w:rPr>
              <w:rFonts w:ascii="Arial" w:hAnsi="Arial" w:cs="Arial"/>
            </w:rPr>
            <w:instrText xml:space="preserve"> PAGEREF _Toc108962711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"_Toc108962712" </w:instrText>
          </w:r>
          <w:r>
            <w:fldChar w:fldCharType="separate"/>
          </w:r>
          <w:r>
            <w:rPr>
              <w:rStyle w:val="9"/>
              <w:rFonts w:ascii="Arial" w:hAnsi="Arial" w:cs="Arial"/>
            </w:rPr>
            <w:t>The Key Business Environmental Scanning</w:t>
          </w:r>
          <w:r>
            <w:rPr>
              <w:rFonts w:ascii="Arial" w:hAnsi="Arial" w:cs="Arial"/>
            </w:rPr>
            <w:tab/>
          </w:r>
          <w:r>
            <w:rPr>
              <w:rFonts w:ascii="Arial" w:hAnsi="Arial" w:cs="Arial"/>
            </w:rPr>
            <w:fldChar w:fldCharType="begin"/>
          </w:r>
          <w:r>
            <w:rPr>
              <w:rFonts w:ascii="Arial" w:hAnsi="Arial" w:cs="Arial"/>
            </w:rPr>
            <w:instrText xml:space="preserve"> PAGEREF _Toc108962712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"_Toc108962713" </w:instrText>
          </w:r>
          <w:r>
            <w:fldChar w:fldCharType="separate"/>
          </w:r>
          <w:r>
            <w:rPr>
              <w:rStyle w:val="9"/>
              <w:rFonts w:ascii="Arial" w:hAnsi="Arial" w:cs="Arial"/>
            </w:rPr>
            <w:t>PESTEL analysis of Farfetch</w:t>
          </w:r>
          <w:r>
            <w:rPr>
              <w:rFonts w:ascii="Arial" w:hAnsi="Arial" w:cs="Arial"/>
            </w:rPr>
            <w:tab/>
          </w:r>
          <w:r>
            <w:rPr>
              <w:rFonts w:ascii="Arial" w:hAnsi="Arial" w:cs="Arial"/>
            </w:rPr>
            <w:fldChar w:fldCharType="begin"/>
          </w:r>
          <w:r>
            <w:rPr>
              <w:rFonts w:ascii="Arial" w:hAnsi="Arial" w:cs="Arial"/>
            </w:rPr>
            <w:instrText xml:space="preserve"> PAGEREF _Toc108962713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"_Toc108962714" </w:instrText>
          </w:r>
          <w:r>
            <w:fldChar w:fldCharType="separate"/>
          </w:r>
          <w:r>
            <w:rPr>
              <w:rStyle w:val="9"/>
              <w:rFonts w:ascii="Arial" w:hAnsi="Arial" w:cs="Arial"/>
            </w:rPr>
            <w:t>Porter’s Five Forces Analysis of Farfetch</w:t>
          </w:r>
          <w:r>
            <w:rPr>
              <w:rFonts w:ascii="Arial" w:hAnsi="Arial" w:cs="Arial"/>
            </w:rPr>
            <w:tab/>
          </w:r>
          <w:r>
            <w:rPr>
              <w:rFonts w:ascii="Arial" w:hAnsi="Arial" w:cs="Arial"/>
            </w:rPr>
            <w:fldChar w:fldCharType="begin"/>
          </w:r>
          <w:r>
            <w:rPr>
              <w:rFonts w:ascii="Arial" w:hAnsi="Arial" w:cs="Arial"/>
            </w:rPr>
            <w:instrText xml:space="preserve"> PAGEREF _Toc108962714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"_Toc108962715" </w:instrText>
          </w:r>
          <w:r>
            <w:fldChar w:fldCharType="separate"/>
          </w:r>
          <w:r>
            <w:rPr>
              <w:rStyle w:val="9"/>
              <w:rFonts w:ascii="Arial" w:hAnsi="Arial" w:cs="Arial"/>
            </w:rPr>
            <w:t>Key Drivers for the Changes in the Business Environment</w:t>
          </w:r>
          <w:r>
            <w:rPr>
              <w:rFonts w:ascii="Arial" w:hAnsi="Arial" w:cs="Arial"/>
            </w:rPr>
            <w:tab/>
          </w:r>
          <w:r>
            <w:rPr>
              <w:rFonts w:ascii="Arial" w:hAnsi="Arial" w:cs="Arial"/>
            </w:rPr>
            <w:fldChar w:fldCharType="begin"/>
          </w:r>
          <w:r>
            <w:rPr>
              <w:rFonts w:ascii="Arial" w:hAnsi="Arial" w:cs="Arial"/>
            </w:rPr>
            <w:instrText xml:space="preserve"> PAGEREF _Toc108962715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"_Toc108962716" </w:instrText>
          </w:r>
          <w:r>
            <w:fldChar w:fldCharType="separate"/>
          </w:r>
          <w:r>
            <w:rPr>
              <w:rStyle w:val="9"/>
              <w:rFonts w:ascii="Arial" w:hAnsi="Arial" w:cs="Arial"/>
            </w:rPr>
            <w:t>Workplace Culture of Farfetch</w:t>
          </w:r>
          <w:r>
            <w:rPr>
              <w:rFonts w:ascii="Arial" w:hAnsi="Arial" w:cs="Arial"/>
            </w:rPr>
            <w:tab/>
          </w:r>
          <w:r>
            <w:rPr>
              <w:rFonts w:ascii="Arial" w:hAnsi="Arial" w:cs="Arial"/>
            </w:rPr>
            <w:fldChar w:fldCharType="begin"/>
          </w:r>
          <w:r>
            <w:rPr>
              <w:rFonts w:ascii="Arial" w:hAnsi="Arial" w:cs="Arial"/>
            </w:rPr>
            <w:instrText xml:space="preserve"> PAGEREF _Toc108962716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eastAsiaTheme="minorEastAsia"/>
              <w:sz w:val="22"/>
              <w:szCs w:val="22"/>
              <w:lang w:bidi="ar-SA"/>
            </w:rPr>
          </w:pPr>
          <w:r>
            <w:fldChar w:fldCharType="begin"/>
          </w:r>
          <w:r>
            <w:instrText xml:space="preserve"> HYPERLINK \l "_Toc108962717" </w:instrText>
          </w:r>
          <w:r>
            <w:fldChar w:fldCharType="separate"/>
          </w:r>
          <w:r>
            <w:rPr>
              <w:rStyle w:val="9"/>
              <w:rFonts w:ascii="Arial" w:hAnsi="Arial" w:cs="Arial"/>
            </w:rPr>
            <w:t>Cultural web</w:t>
          </w:r>
          <w:r>
            <w:rPr>
              <w:rFonts w:ascii="Arial" w:hAnsi="Arial" w:cs="Arial"/>
            </w:rPr>
            <w:tab/>
          </w:r>
          <w:r>
            <w:rPr>
              <w:rFonts w:ascii="Arial" w:hAnsi="Arial" w:cs="Arial"/>
            </w:rPr>
            <w:fldChar w:fldCharType="begin"/>
          </w:r>
          <w:r>
            <w:rPr>
              <w:rFonts w:ascii="Arial" w:hAnsi="Arial" w:cs="Arial"/>
            </w:rPr>
            <w:instrText xml:space="preserve"> PAGEREF _Toc108962717 \h </w:instrText>
          </w:r>
          <w:r>
            <w:rPr>
              <w:rFonts w:ascii="Arial" w:hAnsi="Arial" w:cs="Arial"/>
            </w:rPr>
            <w:fldChar w:fldCharType="separate"/>
          </w:r>
          <w:r>
            <w:rPr>
              <w:rFonts w:ascii="Arial" w:hAnsi="Arial" w:cs="Arial"/>
            </w:rPr>
            <w:t>11</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"_Toc108962718" </w:instrText>
          </w:r>
          <w:r>
            <w:fldChar w:fldCharType="separate"/>
          </w:r>
          <w:r>
            <w:rPr>
              <w:rStyle w:val="9"/>
              <w:rFonts w:ascii="Arial" w:hAnsi="Arial" w:cs="Arial"/>
            </w:rPr>
            <w:t>Culture for Achieving Financial and Non-Financial Performance</w:t>
          </w:r>
          <w:r>
            <w:rPr>
              <w:rFonts w:ascii="Arial" w:hAnsi="Arial" w:cs="Arial"/>
            </w:rPr>
            <w:tab/>
          </w:r>
          <w:r>
            <w:rPr>
              <w:rFonts w:ascii="Arial" w:hAnsi="Arial" w:cs="Arial"/>
            </w:rPr>
            <w:fldChar w:fldCharType="begin"/>
          </w:r>
          <w:r>
            <w:rPr>
              <w:rFonts w:ascii="Arial" w:hAnsi="Arial" w:cs="Arial"/>
            </w:rPr>
            <w:instrText xml:space="preserve"> PAGEREF _Toc108962718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"_Toc108962719" </w:instrText>
          </w:r>
          <w:r>
            <w:fldChar w:fldCharType="separate"/>
          </w:r>
          <w:r>
            <w:rPr>
              <w:rStyle w:val="9"/>
              <w:rFonts w:ascii="Arial" w:hAnsi="Arial" w:cs="Arial"/>
            </w:rPr>
            <w:t>The Ethical Dilemma That Can Affect the Performance of Farfetch</w:t>
          </w:r>
          <w:r>
            <w:rPr>
              <w:rFonts w:ascii="Arial" w:hAnsi="Arial" w:cs="Arial"/>
            </w:rPr>
            <w:tab/>
          </w:r>
          <w:r>
            <w:rPr>
              <w:rFonts w:ascii="Arial" w:hAnsi="Arial" w:cs="Arial"/>
            </w:rPr>
            <w:fldChar w:fldCharType="begin"/>
          </w:r>
          <w:r>
            <w:rPr>
              <w:rFonts w:ascii="Arial" w:hAnsi="Arial" w:cs="Arial"/>
            </w:rPr>
            <w:instrText xml:space="preserve"> PAGEREF _Toc108962719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eastAsiaTheme="minorEastAsia"/>
              <w:sz w:val="22"/>
              <w:szCs w:val="22"/>
              <w:lang w:bidi="ar-SA"/>
            </w:rPr>
          </w:pPr>
          <w:r>
            <w:fldChar w:fldCharType="begin"/>
          </w:r>
          <w:r>
            <w:instrText xml:space="preserve"> HYPERLINK \l "_Toc108962720" </w:instrText>
          </w:r>
          <w:r>
            <w:fldChar w:fldCharType="separate"/>
          </w:r>
          <w:r>
            <w:rPr>
              <w:rStyle w:val="9"/>
              <w:rFonts w:ascii="Arial" w:hAnsi="Arial" w:cs="Arial"/>
            </w:rPr>
            <w:t>Performance Appraisal</w:t>
          </w:r>
          <w:r>
            <w:rPr>
              <w:rFonts w:ascii="Arial" w:hAnsi="Arial" w:cs="Arial"/>
            </w:rPr>
            <w:tab/>
          </w:r>
          <w:r>
            <w:rPr>
              <w:rFonts w:ascii="Arial" w:hAnsi="Arial" w:cs="Arial"/>
            </w:rPr>
            <w:fldChar w:fldCharType="begin"/>
          </w:r>
          <w:r>
            <w:rPr>
              <w:rFonts w:ascii="Arial" w:hAnsi="Arial" w:cs="Arial"/>
            </w:rPr>
            <w:instrText xml:space="preserve"> PAGEREF _Toc108962720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eastAsiaTheme="minorEastAsia"/>
              <w:sz w:val="22"/>
              <w:szCs w:val="22"/>
              <w:lang w:bidi="ar-SA"/>
            </w:rPr>
          </w:pPr>
          <w:r>
            <w:fldChar w:fldCharType="begin"/>
          </w:r>
          <w:r>
            <w:instrText xml:space="preserve"> HYPERLINK \l "_Toc108962721" </w:instrText>
          </w:r>
          <w:r>
            <w:fldChar w:fldCharType="separate"/>
          </w:r>
          <w:r>
            <w:rPr>
              <w:rStyle w:val="9"/>
              <w:rFonts w:ascii="Arial" w:hAnsi="Arial" w:cs="Arial"/>
            </w:rPr>
            <w:t>Value Conflict</w:t>
          </w:r>
          <w:r>
            <w:rPr>
              <w:rFonts w:ascii="Arial" w:hAnsi="Arial" w:cs="Arial"/>
            </w:rPr>
            <w:tab/>
          </w:r>
          <w:r>
            <w:rPr>
              <w:rFonts w:ascii="Arial" w:hAnsi="Arial" w:cs="Arial"/>
            </w:rPr>
            <w:fldChar w:fldCharType="begin"/>
          </w:r>
          <w:r>
            <w:rPr>
              <w:rFonts w:ascii="Arial" w:hAnsi="Arial" w:cs="Arial"/>
            </w:rPr>
            <w:instrText xml:space="preserve"> PAGEREF _Toc108962721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"_Toc108962722" </w:instrText>
          </w:r>
          <w:r>
            <w:fldChar w:fldCharType="separate"/>
          </w:r>
          <w:r>
            <w:rPr>
              <w:rStyle w:val="9"/>
              <w:rFonts w:ascii="Arial" w:hAnsi="Arial" w:cs="Arial"/>
            </w:rPr>
            <w:t>Conclusion</w:t>
          </w:r>
          <w:r>
            <w:rPr>
              <w:rFonts w:ascii="Arial" w:hAnsi="Arial" w:cs="Arial"/>
            </w:rPr>
            <w:tab/>
          </w:r>
          <w:r>
            <w:rPr>
              <w:rFonts w:ascii="Arial" w:hAnsi="Arial" w:cs="Arial"/>
            </w:rPr>
            <w:fldChar w:fldCharType="begin"/>
          </w:r>
          <w:r>
            <w:rPr>
              <w:rFonts w:ascii="Arial" w:hAnsi="Arial" w:cs="Arial"/>
            </w:rPr>
            <w:instrText xml:space="preserve"> PAGEREF _Toc108962722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"_Toc108962723" </w:instrText>
          </w:r>
          <w:r>
            <w:fldChar w:fldCharType="separate"/>
          </w:r>
          <w:r>
            <w:rPr>
              <w:rStyle w:val="9"/>
              <w:rFonts w:ascii="Arial" w:hAnsi="Arial" w:cs="Arial"/>
            </w:rPr>
            <w:t>Task 2</w:t>
          </w:r>
          <w:r>
            <w:rPr>
              <w:rFonts w:ascii="Arial" w:hAnsi="Arial" w:cs="Arial"/>
            </w:rPr>
            <w:tab/>
          </w:r>
          <w:r>
            <w:rPr>
              <w:rFonts w:ascii="Arial" w:hAnsi="Arial" w:cs="Arial"/>
            </w:rPr>
            <w:fldChar w:fldCharType="begin"/>
          </w:r>
          <w:r>
            <w:rPr>
              <w:rFonts w:ascii="Arial" w:hAnsi="Arial" w:cs="Arial"/>
            </w:rPr>
            <w:instrText xml:space="preserve"> PAGEREF _Toc108962723 \h </w:instrText>
          </w:r>
          <w:r>
            <w:rPr>
              <w:rFonts w:ascii="Arial" w:hAnsi="Arial" w:cs="Arial"/>
            </w:rPr>
            <w:fldChar w:fldCharType="separate"/>
          </w:r>
          <w:r>
            <w:rPr>
              <w:rFonts w:ascii="Arial" w:hAnsi="Arial" w:cs="Arial"/>
            </w:rPr>
            <w:t>16</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"_Toc108962724" </w:instrText>
          </w:r>
          <w:r>
            <w:fldChar w:fldCharType="separate"/>
          </w:r>
          <w:r>
            <w:rPr>
              <w:rStyle w:val="9"/>
              <w:rFonts w:ascii="Arial" w:hAnsi="Arial" w:cs="Arial"/>
            </w:rPr>
            <w:t>Reference</w:t>
          </w:r>
          <w:r>
            <w:rPr>
              <w:rFonts w:ascii="Arial" w:hAnsi="Arial" w:cs="Arial"/>
            </w:rPr>
            <w:tab/>
          </w:r>
          <w:r>
            <w:rPr>
              <w:rFonts w:ascii="Arial" w:hAnsi="Arial" w:cs="Arial"/>
            </w:rPr>
            <w:fldChar w:fldCharType="begin"/>
          </w:r>
          <w:r>
            <w:rPr>
              <w:rFonts w:ascii="Arial" w:hAnsi="Arial" w:cs="Arial"/>
            </w:rPr>
            <w:instrText xml:space="preserve"> PAGEREF _Toc108962724 \h </w:instrText>
          </w:r>
          <w:r>
            <w:rPr>
              <w:rFonts w:ascii="Arial" w:hAnsi="Arial" w:cs="Arial"/>
            </w:rPr>
            <w:fldChar w:fldCharType="separate"/>
          </w:r>
          <w:r>
            <w:rPr>
              <w:rFonts w:ascii="Arial" w:hAnsi="Arial" w:cs="Arial"/>
            </w:rPr>
            <w:t>19</w:t>
          </w:r>
          <w:r>
            <w:rPr>
              <w:rFonts w:ascii="Arial" w:hAnsi="Arial" w:cs="Arial"/>
            </w:rPr>
            <w:fldChar w:fldCharType="end"/>
          </w:r>
          <w:r>
            <w:rPr>
              <w:rFonts w:ascii="Arial" w:hAnsi="Arial" w:cs="Arial"/>
            </w:rPr>
            <w:fldChar w:fldCharType="end"/>
          </w:r>
        </w:p>
        <w:p>
          <w:pPr>
            <w:rPr>
              <w:rFonts w:ascii="Arial" w:hAnsi="Arial" w:cs="Arial"/>
              <w:b/>
              <w:bCs/>
              <w:sz w:val="32"/>
              <w:szCs w:val="32"/>
            </w:rPr>
          </w:pPr>
          <w:r>
            <w:rPr>
              <w:rFonts w:ascii="Arial" w:hAnsi="Arial" w:cs="Arial"/>
              <w:b/>
              <w:bCs/>
              <w:sz w:val="22"/>
              <w:szCs w:val="22"/>
            </w:rPr>
            <w:fldChar w:fldCharType="end"/>
          </w:r>
          <w:r>
            <w:rPr>
              <w:rFonts w:ascii="Arial" w:hAnsi="Arial" w:cs="Arial"/>
              <w:b/>
              <w:bCs/>
              <w:sz w:val="32"/>
              <w:szCs w:val="32"/>
            </w:rPr>
            <w:t>List of Figures</w:t>
          </w:r>
        </w:p>
        <w:p>
          <w:pPr>
            <w:pStyle w:val="10"/>
            <w:tabs>
              <w:tab w:val="right" w:leader="dot" w:pos="9350"/>
            </w:tabs>
            <w:rPr>
              <w:rFonts w:ascii="Arial" w:hAnsi="Arial" w:cs="Arial" w:eastAsiaTheme="minorEastAsia"/>
              <w:sz w:val="22"/>
              <w:szCs w:val="22"/>
              <w:lang w:bidi="ar-SA"/>
            </w:rPr>
          </w:pPr>
          <w:r>
            <w:rPr>
              <w:rFonts w:ascii="Arial" w:hAnsi="Arial" w:cs="Arial"/>
              <w:sz w:val="32"/>
              <w:szCs w:val="32"/>
            </w:rPr>
            <w:fldChar w:fldCharType="begin"/>
          </w:r>
          <w:r>
            <w:rPr>
              <w:rFonts w:ascii="Arial" w:hAnsi="Arial" w:cs="Arial"/>
              <w:sz w:val="32"/>
              <w:szCs w:val="32"/>
            </w:rPr>
            <w:instrText xml:space="preserve"> TOC \h \z \c "Figure" </w:instrText>
          </w:r>
          <w:r>
            <w:rPr>
              <w:rFonts w:ascii="Arial" w:hAnsi="Arial" w:cs="Arial"/>
              <w:sz w:val="32"/>
              <w:szCs w:val="32"/>
            </w:rPr>
            <w:fldChar w:fldCharType="separate"/>
          </w:r>
          <w:r>
            <w:fldChar w:fldCharType="begin"/>
          </w:r>
          <w:r>
            <w:instrText xml:space="preserve"> HYPERLINK \l "_Toc108173223" </w:instrText>
          </w:r>
          <w:r>
            <w:fldChar w:fldCharType="separate"/>
          </w:r>
          <w:r>
            <w:rPr>
              <w:rStyle w:val="9"/>
              <w:rFonts w:ascii="Arial" w:hAnsi="Arial" w:cs="Arial"/>
            </w:rPr>
            <w:t>Figure 1: PESTLE Analysis (Suarniati, 2022)</w:t>
          </w:r>
          <w:r>
            <w:rPr>
              <w:rFonts w:ascii="Arial" w:hAnsi="Arial" w:cs="Arial"/>
            </w:rPr>
            <w:tab/>
          </w:r>
          <w:r>
            <w:rPr>
              <w:rFonts w:ascii="Arial" w:hAnsi="Arial" w:cs="Arial"/>
            </w:rPr>
            <w:fldChar w:fldCharType="begin"/>
          </w:r>
          <w:r>
            <w:rPr>
              <w:rFonts w:ascii="Arial" w:hAnsi="Arial" w:cs="Arial"/>
            </w:rPr>
            <w:instrText xml:space="preserve"> PAGEREF _Toc108173223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0"/>
            <w:tabs>
              <w:tab w:val="right" w:leader="dot" w:pos="9350"/>
            </w:tabs>
            <w:rPr>
              <w:rFonts w:ascii="Arial" w:hAnsi="Arial" w:cs="Arial" w:eastAsiaTheme="minorEastAsia"/>
              <w:sz w:val="22"/>
              <w:szCs w:val="22"/>
              <w:lang w:bidi="ar-SA"/>
            </w:rPr>
          </w:pPr>
          <w:r>
            <w:fldChar w:fldCharType="begin"/>
          </w:r>
          <w:r>
            <w:instrText xml:space="preserve"> HYPERLINK \l "_Toc108173224" </w:instrText>
          </w:r>
          <w:r>
            <w:fldChar w:fldCharType="separate"/>
          </w:r>
          <w:r>
            <w:rPr>
              <w:rStyle w:val="9"/>
              <w:rFonts w:ascii="Arial" w:hAnsi="Arial" w:cs="Arial"/>
            </w:rPr>
            <w:t>Figure 2: Porter's Five Forces Model (Schein, 2011)</w:t>
          </w:r>
          <w:r>
            <w:rPr>
              <w:rFonts w:ascii="Arial" w:hAnsi="Arial" w:cs="Arial"/>
            </w:rPr>
            <w:tab/>
          </w:r>
          <w:r>
            <w:rPr>
              <w:rFonts w:ascii="Arial" w:hAnsi="Arial" w:cs="Arial"/>
            </w:rPr>
            <w:fldChar w:fldCharType="begin"/>
          </w:r>
          <w:r>
            <w:rPr>
              <w:rFonts w:ascii="Arial" w:hAnsi="Arial" w:cs="Arial"/>
            </w:rPr>
            <w:instrText xml:space="preserve"> PAGEREF _Toc108173224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rPr>
              <w:rFonts w:ascii="Arial" w:hAnsi="Arial" w:cs="Arial"/>
              <w:sz w:val="32"/>
              <w:szCs w:val="32"/>
            </w:rPr>
          </w:pPr>
          <w:r>
            <w:rPr>
              <w:rFonts w:ascii="Arial" w:hAnsi="Arial" w:cs="Arial"/>
              <w:sz w:val="32"/>
              <w:szCs w:val="32"/>
            </w:rPr>
            <w:fldChar w:fldCharType="end"/>
          </w:r>
        </w:p>
      </w:sdtContent>
    </w:sdt>
    <w:p>
      <w:pPr>
        <w:jc w:val="left"/>
        <w:rPr>
          <w:rFonts w:ascii="Arial" w:hAnsi="Arial" w:cs="Arial" w:eastAsiaTheme="majorEastAsia"/>
          <w:b/>
          <w:sz w:val="22"/>
          <w:szCs w:val="22"/>
        </w:rPr>
      </w:pPr>
      <w:r>
        <w:rPr>
          <w:rFonts w:ascii="Arial" w:hAnsi="Arial" w:cs="Arial"/>
          <w:sz w:val="22"/>
          <w:szCs w:val="22"/>
        </w:rPr>
        <w:br w:type="page"/>
      </w:r>
    </w:p>
    <w:p>
      <w:pPr>
        <w:pStyle w:val="2"/>
        <w:rPr>
          <w:rFonts w:cs="Arial"/>
        </w:rPr>
      </w:pPr>
      <w:bookmarkStart w:id="0" w:name="_Toc108962709"/>
      <w:r>
        <w:rPr>
          <w:rFonts w:cs="Arial"/>
        </w:rPr>
        <w:t>Task 1</w:t>
      </w:r>
      <w:bookmarkEnd w:id="0"/>
    </w:p>
    <w:p>
      <w:pPr>
        <w:pStyle w:val="2"/>
        <w:rPr>
          <w:rFonts w:cs="Arial"/>
        </w:rPr>
      </w:pPr>
      <w:bookmarkStart w:id="1" w:name="_Toc108962710"/>
      <w:r>
        <w:rPr>
          <w:rFonts w:cs="Arial"/>
        </w:rPr>
        <w:t>Introduction</w:t>
      </w:r>
      <w:bookmarkEnd w:id="1"/>
    </w:p>
    <w:p>
      <w:pPr>
        <w:rPr>
          <w:rFonts w:ascii="Arial" w:hAnsi="Arial" w:cs="Arial"/>
          <w:szCs w:val="24"/>
        </w:rPr>
      </w:pPr>
      <w:r>
        <w:rPr>
          <w:rFonts w:ascii="Arial" w:hAnsi="Arial" w:cs="Arial"/>
          <w:szCs w:val="24"/>
        </w:rPr>
        <w:t>This study focuses on the business environment at Farfetch, the workplace at the organization, and the ethical challenge faced by the company. Both the continued existence of a business and its ability to be profitable are dependent on the enterprise's innate capabilities, which include its physical, financial, human, and other resources, as well as its ability to adjust to a dynamic environment during a pandemic like Covid-19. Businesses need to have a solid understanding of their surroundings and the changes that are taking place within them. In contrast, Farfetch can provide stability and direction, lead decisions and actions, inspire the workforce, and aid individuals in attaining their greatest potential by fostering a vibrant culture.</w:t>
      </w:r>
    </w:p>
    <w:p>
      <w:pPr>
        <w:jc w:val="left"/>
        <w:rPr>
          <w:rFonts w:ascii="Arial" w:hAnsi="Arial" w:cs="Arial"/>
          <w:sz w:val="22"/>
          <w:szCs w:val="22"/>
        </w:rPr>
      </w:pPr>
      <w:r>
        <w:rPr>
          <w:rFonts w:ascii="Arial" w:hAnsi="Arial" w:cs="Arial"/>
          <w:sz w:val="22"/>
          <w:szCs w:val="22"/>
        </w:rPr>
        <w:br w:type="page"/>
      </w:r>
    </w:p>
    <w:p>
      <w:pPr>
        <w:pStyle w:val="2"/>
        <w:rPr>
          <w:rFonts w:cs="Arial"/>
        </w:rPr>
      </w:pPr>
      <w:bookmarkStart w:id="2" w:name="_Toc108962711"/>
      <w:r>
        <w:rPr>
          <w:rFonts w:cs="Arial"/>
        </w:rPr>
        <w:t>Company Overview</w:t>
      </w:r>
      <w:bookmarkEnd w:id="2"/>
    </w:p>
    <w:p>
      <w:pPr>
        <w:rPr>
          <w:rFonts w:ascii="Arial" w:hAnsi="Arial" w:cs="Arial"/>
          <w:szCs w:val="24"/>
        </w:rPr>
      </w:pPr>
      <w:r>
        <w:rPr>
          <w:rFonts w:ascii="Arial" w:hAnsi="Arial" w:cs="Arial"/>
          <w:szCs w:val="24"/>
        </w:rPr>
        <w:t>Farfetch is a British and Portuguese online luxury clothes shopping network with over 700 vendors. José Neves, a Portuguese entrepreneur, founded the firm in 2007 in London. Its major branches are in Lisbon and Porto. Guimares, Braga, New York, Los Angeles, Tokyo, Shanghai, Hong Kong, So Paulo, Dubai, New Delhi, and Moscow have offices in other cities (Alonazi, 2021).</w:t>
      </w:r>
    </w:p>
    <w:p>
      <w:pPr>
        <w:rPr>
          <w:rFonts w:ascii="Arial" w:hAnsi="Arial" w:cs="Arial"/>
          <w:szCs w:val="24"/>
        </w:rPr>
      </w:pPr>
      <w:r>
        <w:rPr>
          <w:rFonts w:ascii="Arial" w:hAnsi="Arial" w:cs="Arial"/>
          <w:szCs w:val="24"/>
        </w:rPr>
        <w:t>Farfetch purchased Browns in May 2015. Holli Rogers, who became CEO of Farfetch in July 2015, runs it autonomously. Rogers was Net-A-fashion Porter's director. When it comes to international markets, the e-commerce company offers websites and mobile apps in a slew of different languages and dialects. Over 4,500 people work at Farfetch in 14 locations throughout the globe.</w:t>
      </w:r>
    </w:p>
    <w:p>
      <w:pPr>
        <w:pStyle w:val="2"/>
        <w:rPr>
          <w:rFonts w:cs="Arial"/>
        </w:rPr>
      </w:pPr>
      <w:bookmarkStart w:id="3" w:name="_Toc108962712"/>
      <w:r>
        <w:rPr>
          <w:rFonts w:cs="Arial"/>
        </w:rPr>
        <w:t>The Key Business Environmental Scanning</w:t>
      </w:r>
      <w:bookmarkEnd w:id="3"/>
    </w:p>
    <w:p>
      <w:pPr>
        <w:rPr>
          <w:rFonts w:ascii="Arial" w:hAnsi="Arial" w:cs="Arial"/>
          <w:szCs w:val="24"/>
        </w:rPr>
      </w:pPr>
      <w:r>
        <w:rPr>
          <w:rFonts w:ascii="Arial" w:hAnsi="Arial" w:cs="Arial"/>
          <w:szCs w:val="24"/>
        </w:rPr>
        <w:t>Environmental scanning examines external sources for company-affecting components. The goal is to find external sources. Despite being out of control, these sources must be considered in decision-making. Environmental scanning uses SWOT analysis (Dileo, 2013). Strengths, Weaknesses, Opportunities, and Threats. The company's internal strengths and opportunities outweigh its exterior weaknesses and risks. Environmental scanning is important because:</w:t>
      </w:r>
    </w:p>
    <w:p>
      <w:pPr>
        <w:rPr>
          <w:rFonts w:ascii="Arial" w:hAnsi="Arial" w:cs="Arial"/>
          <w:b/>
          <w:bCs/>
          <w:szCs w:val="24"/>
        </w:rPr>
      </w:pPr>
      <w:r>
        <w:rPr>
          <w:rFonts w:ascii="Arial" w:hAnsi="Arial" w:cs="Arial"/>
          <w:b/>
          <w:bCs/>
          <w:szCs w:val="24"/>
        </w:rPr>
        <w:t>Strengths</w:t>
      </w:r>
    </w:p>
    <w:p>
      <w:pPr>
        <w:rPr>
          <w:rFonts w:ascii="Arial" w:hAnsi="Arial" w:cs="Arial"/>
          <w:szCs w:val="24"/>
        </w:rPr>
      </w:pPr>
      <w:r>
        <w:rPr>
          <w:rFonts w:ascii="Arial" w:hAnsi="Arial" w:cs="Arial"/>
          <w:szCs w:val="24"/>
        </w:rPr>
        <w:t>The company's strength is its competitive advantage. An internal business environment study identifies corporate strengths. The firm must consolidate or optimize its strengths by improving its strategies, policies, and resources.</w:t>
      </w:r>
    </w:p>
    <w:p>
      <w:pPr>
        <w:rPr>
          <w:rFonts w:ascii="Arial" w:hAnsi="Arial" w:cs="Arial"/>
          <w:b/>
          <w:bCs/>
          <w:szCs w:val="24"/>
        </w:rPr>
      </w:pPr>
      <w:r>
        <w:rPr>
          <w:rFonts w:ascii="Arial" w:hAnsi="Arial" w:cs="Arial"/>
          <w:b/>
          <w:bCs/>
          <w:szCs w:val="24"/>
        </w:rPr>
        <w:t>Weaknesses</w:t>
      </w:r>
    </w:p>
    <w:p>
      <w:pPr>
        <w:rPr>
          <w:rFonts w:ascii="Arial" w:hAnsi="Arial" w:cs="Arial"/>
          <w:szCs w:val="24"/>
        </w:rPr>
      </w:pPr>
      <w:r>
        <w:rPr>
          <w:rFonts w:ascii="Arial" w:hAnsi="Arial" w:cs="Arial"/>
          <w:szCs w:val="24"/>
        </w:rPr>
        <w:t>The limitations of the firm are its Achilles' heel. Monitoring the company's internal environment helps uncover both the company's strengths and weaknesses. A company can be successful overall yet struggle in some markets (Suarniati, 2022). Determine and address any weaknesses to facilitate development and expansion.</w:t>
      </w:r>
    </w:p>
    <w:p>
      <w:pPr>
        <w:rPr>
          <w:rFonts w:ascii="Arial" w:hAnsi="Arial" w:cs="Arial"/>
          <w:b/>
          <w:bCs/>
          <w:szCs w:val="24"/>
        </w:rPr>
      </w:pPr>
      <w:r>
        <w:rPr>
          <w:rFonts w:ascii="Arial" w:hAnsi="Arial" w:cs="Arial"/>
          <w:b/>
          <w:bCs/>
          <w:szCs w:val="24"/>
        </w:rPr>
        <w:t>Opportunities</w:t>
      </w:r>
    </w:p>
    <w:p>
      <w:pPr>
        <w:rPr>
          <w:rFonts w:ascii="Arial" w:hAnsi="Arial" w:cs="Arial"/>
          <w:szCs w:val="24"/>
        </w:rPr>
      </w:pPr>
      <w:r>
        <w:rPr>
          <w:rFonts w:ascii="Arial" w:hAnsi="Arial" w:cs="Arial"/>
          <w:szCs w:val="24"/>
        </w:rPr>
        <w:t>Conducting environmental analyses is one method for determining the existence of potential commercial opportunities. As soon as a chance presents itself, the firm needs to make every effort to grasp it in optimize its potential.</w:t>
      </w:r>
    </w:p>
    <w:p>
      <w:pPr>
        <w:rPr>
          <w:rFonts w:ascii="Arial" w:hAnsi="Arial" w:cs="Arial"/>
          <w:b/>
          <w:bCs/>
          <w:szCs w:val="24"/>
        </w:rPr>
      </w:pPr>
      <w:r>
        <w:rPr>
          <w:rFonts w:ascii="Arial" w:hAnsi="Arial" w:cs="Arial"/>
          <w:b/>
          <w:bCs/>
          <w:szCs w:val="24"/>
        </w:rPr>
        <w:t>Threats</w:t>
      </w:r>
    </w:p>
    <w:p>
      <w:pPr>
        <w:rPr>
          <w:rFonts w:ascii="Arial" w:hAnsi="Arial" w:cs="Arial"/>
          <w:szCs w:val="24"/>
        </w:rPr>
      </w:pPr>
      <w:r>
        <w:rPr>
          <w:rFonts w:ascii="Arial" w:hAnsi="Arial" w:cs="Arial"/>
          <w:szCs w:val="24"/>
        </w:rPr>
        <w:t>The business might suffer for a variety of reasons, including competitors. Environmental assessments identify dangers. The early identification of risks is helpful in mitigating dangers. The business might suffer for a variety of reasons, including Covid-19 (Fachriansyah, 2021). Environmental assessments identify dangers. The early identification of risks is helpful in mitigating dangers.</w:t>
      </w:r>
    </w:p>
    <w:p>
      <w:pPr>
        <w:rPr>
          <w:rFonts w:ascii="Arial" w:hAnsi="Arial" w:cs="Arial"/>
          <w:b/>
          <w:bCs/>
          <w:szCs w:val="24"/>
        </w:rPr>
      </w:pPr>
      <w:r>
        <w:rPr>
          <w:rFonts w:ascii="Arial" w:hAnsi="Arial" w:cs="Arial"/>
          <w:b/>
          <w:bCs/>
          <w:szCs w:val="24"/>
        </w:rPr>
        <w:t>Optimum use of resources:</w:t>
      </w:r>
    </w:p>
    <w:p>
      <w:pPr>
        <w:rPr>
          <w:rFonts w:ascii="Arial" w:hAnsi="Arial" w:cs="Arial"/>
          <w:szCs w:val="24"/>
        </w:rPr>
      </w:pPr>
      <w:r>
        <w:rPr>
          <w:rFonts w:ascii="Arial" w:hAnsi="Arial" w:cs="Arial"/>
          <w:szCs w:val="24"/>
        </w:rPr>
        <w:t>An accurate assessment of the environment may help maximize the efficiency with which finite financial, natural, and human resources are used. It is impossible to make the most efficient use of one's resources without having a comprehensive understanding of both the internal and external business environments.</w:t>
      </w:r>
    </w:p>
    <w:p>
      <w:pPr>
        <w:rPr>
          <w:rFonts w:ascii="Arial" w:hAnsi="Arial" w:cs="Arial"/>
          <w:b/>
          <w:bCs/>
          <w:szCs w:val="24"/>
        </w:rPr>
      </w:pPr>
      <w:r>
        <w:rPr>
          <w:rFonts w:ascii="Arial" w:hAnsi="Arial" w:cs="Arial"/>
          <w:b/>
          <w:bCs/>
          <w:szCs w:val="24"/>
        </w:rPr>
        <w:t>Survival and growth:</w:t>
      </w:r>
    </w:p>
    <w:p>
      <w:pPr>
        <w:rPr>
          <w:rFonts w:ascii="Arial" w:hAnsi="Arial" w:cs="Arial"/>
          <w:szCs w:val="24"/>
        </w:rPr>
      </w:pPr>
      <w:r>
        <w:rPr>
          <w:rFonts w:ascii="Arial" w:hAnsi="Arial" w:cs="Arial"/>
          <w:szCs w:val="24"/>
        </w:rPr>
        <w:t>Systematic assessments of the business environment help firms maximize their strengths, minimize their weaknesses, seize opportunities, and mitigate dangers (Zakaria, 2014). This enables the organization to thrive and grow in a highly competitive commercial climate.</w:t>
      </w:r>
    </w:p>
    <w:p>
      <w:pPr>
        <w:rPr>
          <w:rFonts w:ascii="Arial" w:hAnsi="Arial" w:cs="Arial"/>
          <w:b/>
          <w:bCs/>
          <w:szCs w:val="24"/>
        </w:rPr>
      </w:pPr>
      <w:r>
        <w:rPr>
          <w:rFonts w:ascii="Arial" w:hAnsi="Arial" w:cs="Arial"/>
          <w:b/>
          <w:bCs/>
          <w:szCs w:val="24"/>
        </w:rPr>
        <w:t>To plan long-term business strategy:</w:t>
      </w:r>
    </w:p>
    <w:p>
      <w:pPr>
        <w:rPr>
          <w:rFonts w:ascii="Arial" w:hAnsi="Arial" w:cs="Arial"/>
          <w:szCs w:val="24"/>
        </w:rPr>
      </w:pPr>
      <w:r>
        <w:rPr>
          <w:rFonts w:ascii="Arial" w:hAnsi="Arial" w:cs="Arial"/>
          <w:szCs w:val="24"/>
        </w:rPr>
        <w:t>Corporate objectives are short- and long-term. Environmental assessments help businesses build strategies and policies that help them accomplish their objectives. Environmental scanning is required for a successful business strategy.</w:t>
      </w:r>
    </w:p>
    <w:p>
      <w:pPr>
        <w:rPr>
          <w:rFonts w:ascii="Arial" w:hAnsi="Arial" w:cs="Arial"/>
          <w:b/>
          <w:bCs/>
          <w:szCs w:val="24"/>
        </w:rPr>
      </w:pPr>
      <w:r>
        <w:rPr>
          <w:rFonts w:ascii="Arial" w:hAnsi="Arial" w:cs="Arial"/>
          <w:b/>
          <w:bCs/>
          <w:szCs w:val="24"/>
        </w:rPr>
        <w:t>Environmental scanning aids decision-making:</w:t>
      </w:r>
    </w:p>
    <w:p>
      <w:pPr>
        <w:rPr>
          <w:rFonts w:ascii="Arial" w:hAnsi="Arial" w:cs="Arial"/>
          <w:szCs w:val="24"/>
        </w:rPr>
      </w:pPr>
      <w:r>
        <w:rPr>
          <w:rFonts w:ascii="Arial" w:hAnsi="Arial" w:cs="Arial"/>
          <w:szCs w:val="24"/>
        </w:rPr>
        <w:t>Part of being able to make decisions is being able to choose amongst available possibilities. The results of environmental research may help firms better understand their options. The performance of an organization is dependent on the accuracy of its decision-making. Environmental studies guide enterprises onto the path that will provide the most opportunity for expansion and profit.</w:t>
      </w:r>
    </w:p>
    <w:p>
      <w:pPr>
        <w:pStyle w:val="2"/>
        <w:rPr>
          <w:rFonts w:cs="Arial"/>
        </w:rPr>
      </w:pPr>
      <w:bookmarkStart w:id="4" w:name="_Toc108962713"/>
      <w:r>
        <w:rPr>
          <w:rFonts w:cs="Arial"/>
        </w:rPr>
        <w:t>PESTEL analysis of Farfetch</w:t>
      </w:r>
      <w:bookmarkEnd w:id="4"/>
      <w:r>
        <w:rPr>
          <w:rFonts w:cs="Arial"/>
        </w:rPr>
        <w:t xml:space="preserve"> </w:t>
      </w:r>
    </w:p>
    <w:p>
      <w:pPr>
        <w:rPr>
          <w:rFonts w:ascii="Arial" w:hAnsi="Arial" w:cs="Arial"/>
          <w:szCs w:val="24"/>
        </w:rPr>
      </w:pPr>
      <w:r>
        <w:rPr>
          <w:rFonts w:ascii="Arial" w:hAnsi="Arial" w:cs="Arial"/>
          <w:szCs w:val="24"/>
        </w:rPr>
        <w:t xml:space="preserve">Harvard professor Francis Aguilar established PESTEL to assess a firm's market environment. This is a key phase in designing a plan to outmanoeuvre the competition and enhance a company's long-term profitability. Political, Economic, Social, Technological, Environmental, and Legal (PESTEL) affects the industry and subindustries (Bloor, 2015). The PESTEL analysis reveals operational challenges every business in the industry, and hence the company in question will face. Understanding the competitive landscape as a whole can safeguard investors and company owners from risky ventures, such as an uncertain political system or a severe economic catastrophe or pandemics like Covid-19. </w:t>
      </w:r>
    </w:p>
    <w:p>
      <w:pPr>
        <w:rPr>
          <w:rFonts w:ascii="Arial" w:hAnsi="Arial" w:cs="Arial"/>
          <w:b/>
          <w:bCs/>
          <w:szCs w:val="24"/>
        </w:rPr>
      </w:pPr>
      <w:r>
        <w:rPr>
          <w:rFonts w:ascii="Arial" w:hAnsi="Arial" w:cs="Arial"/>
          <w:b/>
          <w:bCs/>
          <w:szCs w:val="24"/>
        </w:rPr>
        <w:t xml:space="preserve">Political factors </w:t>
      </w:r>
    </w:p>
    <w:p>
      <w:pPr>
        <w:rPr>
          <w:rFonts w:ascii="Arial" w:hAnsi="Arial" w:cs="Arial"/>
          <w:szCs w:val="24"/>
        </w:rPr>
      </w:pPr>
      <w:r>
        <w:rPr>
          <w:rFonts w:ascii="Arial" w:hAnsi="Arial" w:cs="Arial"/>
          <w:szCs w:val="24"/>
        </w:rPr>
        <w:t>Politics may have a significant impact on a company's bottom line and even its very survival. Changes in administration, civil unrest, and policy choices are all examples of political risks (Suarniati, 2022). The host country and other nations with commercial activity or with whom one may do business may also be examined in cases involving potential multinationals as political considerations.</w:t>
      </w:r>
    </w:p>
    <w:p>
      <w:pPr>
        <w:jc w:val="center"/>
        <w:rPr>
          <w:rFonts w:ascii="Arial" w:hAnsi="Arial" w:cs="Arial"/>
          <w:szCs w:val="24"/>
        </w:rPr>
      </w:pPr>
      <w:r>
        <w:rPr>
          <w:rFonts w:ascii="Arial" w:hAnsi="Arial" w:cs="Arial"/>
          <w:szCs w:val="24"/>
        </w:rPr>
        <w:drawing>
          <wp:inline distT="0" distB="0" distL="0" distR="0">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a:noFill/>
                    <a:ln>
                      <a:noFill/>
                    </a:ln>
                  </pic:spPr>
                </pic:pic>
              </a:graphicData>
            </a:graphic>
          </wp:inline>
        </w:drawing>
      </w:r>
    </w:p>
    <w:p>
      <w:pPr>
        <w:pStyle w:val="6"/>
        <w:jc w:val="center"/>
        <w:rPr>
          <w:rFonts w:ascii="Arial" w:hAnsi="Arial" w:cs="Arial"/>
          <w:b/>
          <w:bCs/>
          <w:color w:val="auto"/>
          <w:sz w:val="28"/>
          <w:szCs w:val="28"/>
        </w:rPr>
      </w:pPr>
      <w:bookmarkStart w:id="5" w:name="_Toc108173223"/>
      <w:r>
        <w:rPr>
          <w:rFonts w:ascii="Arial" w:hAnsi="Arial" w:cs="Arial"/>
          <w:b/>
          <w:bCs/>
          <w:color w:val="auto"/>
          <w:sz w:val="22"/>
          <w:szCs w:val="28"/>
        </w:rPr>
        <w:t xml:space="preserve">Figure </w:t>
      </w:r>
      <w:r>
        <w:rPr>
          <w:rFonts w:ascii="Arial" w:hAnsi="Arial" w:cs="Arial"/>
          <w:b/>
          <w:bCs/>
          <w:color w:val="auto"/>
          <w:sz w:val="22"/>
          <w:szCs w:val="28"/>
        </w:rPr>
        <w:fldChar w:fldCharType="begin"/>
      </w:r>
      <w:r>
        <w:rPr>
          <w:rFonts w:ascii="Arial" w:hAnsi="Arial" w:cs="Arial"/>
          <w:b/>
          <w:bCs/>
          <w:color w:val="auto"/>
          <w:sz w:val="22"/>
          <w:szCs w:val="28"/>
        </w:rPr>
        <w:instrText xml:space="preserve"> SEQ Figure \* ARABIC </w:instrText>
      </w:r>
      <w:r>
        <w:rPr>
          <w:rFonts w:ascii="Arial" w:hAnsi="Arial" w:cs="Arial"/>
          <w:b/>
          <w:bCs/>
          <w:color w:val="auto"/>
          <w:sz w:val="22"/>
          <w:szCs w:val="28"/>
        </w:rPr>
        <w:fldChar w:fldCharType="separate"/>
      </w:r>
      <w:r>
        <w:rPr>
          <w:rFonts w:ascii="Arial" w:hAnsi="Arial" w:cs="Arial"/>
          <w:b/>
          <w:bCs/>
          <w:color w:val="auto"/>
          <w:sz w:val="22"/>
          <w:szCs w:val="28"/>
        </w:rPr>
        <w:t>1</w:t>
      </w:r>
      <w:r>
        <w:rPr>
          <w:rFonts w:ascii="Arial" w:hAnsi="Arial" w:cs="Arial"/>
          <w:b/>
          <w:bCs/>
          <w:color w:val="auto"/>
          <w:sz w:val="22"/>
          <w:szCs w:val="28"/>
        </w:rPr>
        <w:fldChar w:fldCharType="end"/>
      </w:r>
      <w:r>
        <w:rPr>
          <w:rFonts w:ascii="Arial" w:hAnsi="Arial" w:cs="Arial"/>
          <w:b/>
          <w:bCs/>
          <w:color w:val="auto"/>
          <w:sz w:val="22"/>
          <w:szCs w:val="28"/>
        </w:rPr>
        <w:t>: PESTLE Analysis (Suarniati, 2022)</w:t>
      </w:r>
      <w:bookmarkEnd w:id="5"/>
    </w:p>
    <w:p>
      <w:pPr>
        <w:rPr>
          <w:rFonts w:ascii="Arial" w:hAnsi="Arial" w:cs="Arial"/>
          <w:b/>
          <w:bCs/>
          <w:szCs w:val="24"/>
        </w:rPr>
      </w:pPr>
      <w:r>
        <w:rPr>
          <w:rFonts w:ascii="Arial" w:hAnsi="Arial" w:cs="Arial"/>
          <w:b/>
          <w:bCs/>
          <w:szCs w:val="24"/>
        </w:rPr>
        <w:t>Economic factors</w:t>
      </w:r>
    </w:p>
    <w:p>
      <w:pPr>
        <w:rPr>
          <w:rFonts w:ascii="Arial" w:hAnsi="Arial" w:cs="Arial"/>
          <w:szCs w:val="24"/>
        </w:rPr>
      </w:pPr>
      <w:r>
        <w:rPr>
          <w:rFonts w:ascii="Arial" w:hAnsi="Arial" w:cs="Arial"/>
          <w:szCs w:val="24"/>
        </w:rPr>
        <w:t>Inflation, currency exchange rates, interest rates, GDP, and the stage of the economic cycle are all variables to consider. An organization may be exceptionally successful or extremely likely to lose money depending on how these variables affect collective demand, aggregate investment, and the broader economic environment. Economic components of PESTEL.</w:t>
      </w:r>
    </w:p>
    <w:p>
      <w:pPr>
        <w:rPr>
          <w:rFonts w:ascii="Arial" w:hAnsi="Arial" w:cs="Arial"/>
          <w:b/>
          <w:bCs/>
          <w:szCs w:val="24"/>
        </w:rPr>
      </w:pPr>
      <w:r>
        <w:rPr>
          <w:rFonts w:ascii="Arial" w:hAnsi="Arial" w:cs="Arial"/>
          <w:b/>
          <w:bCs/>
          <w:szCs w:val="24"/>
        </w:rPr>
        <w:t>Social factors</w:t>
      </w:r>
    </w:p>
    <w:p>
      <w:pPr>
        <w:rPr>
          <w:rFonts w:ascii="Arial" w:hAnsi="Arial" w:cs="Arial"/>
          <w:szCs w:val="24"/>
        </w:rPr>
      </w:pPr>
      <w:r>
        <w:rPr>
          <w:rFonts w:ascii="Arial" w:hAnsi="Arial" w:cs="Arial"/>
          <w:szCs w:val="24"/>
        </w:rPr>
        <w:t>Social components that have an influence represent the majority of the community's culture, beliefs, attitudes, and values. The operations and marketing of a firm are influenced by social variables (Gavardashvili, 2022). Creating effective products and marketing messages requires an understanding of clients' lifestyles, educational levels, and attitudes toward society or a particular portion of society.</w:t>
      </w:r>
    </w:p>
    <w:p>
      <w:pPr>
        <w:rPr>
          <w:rFonts w:ascii="Arial" w:hAnsi="Arial" w:cs="Arial"/>
          <w:b/>
          <w:bCs/>
          <w:szCs w:val="24"/>
        </w:rPr>
      </w:pPr>
      <w:r>
        <w:rPr>
          <w:rFonts w:ascii="Arial" w:hAnsi="Arial" w:cs="Arial"/>
          <w:b/>
          <w:bCs/>
          <w:szCs w:val="24"/>
        </w:rPr>
        <w:t>Technological factors</w:t>
      </w:r>
    </w:p>
    <w:p>
      <w:pPr>
        <w:rPr>
          <w:rFonts w:ascii="Arial" w:hAnsi="Arial" w:cs="Arial"/>
          <w:szCs w:val="24"/>
        </w:rPr>
      </w:pPr>
      <w:r>
        <w:rPr>
          <w:rFonts w:ascii="Arial" w:hAnsi="Arial" w:cs="Arial"/>
          <w:szCs w:val="24"/>
        </w:rPr>
        <w:t>Technology may quickly destroy a company's price structure and competitive environment. To prevent impending obsolescence, innovate routinely and continuously to maximize potential revenues and become a market leader. Uber and Lyft dominate the taxicab business; smartphones made most other phones useless, etc.</w:t>
      </w:r>
    </w:p>
    <w:p>
      <w:pPr>
        <w:rPr>
          <w:rFonts w:ascii="Arial" w:hAnsi="Arial" w:cs="Arial"/>
          <w:b/>
          <w:bCs/>
          <w:szCs w:val="24"/>
        </w:rPr>
      </w:pPr>
      <w:r>
        <w:rPr>
          <w:rFonts w:ascii="Arial" w:hAnsi="Arial" w:cs="Arial"/>
          <w:b/>
          <w:bCs/>
          <w:szCs w:val="24"/>
        </w:rPr>
        <w:t>Environmental factors</w:t>
      </w:r>
    </w:p>
    <w:p>
      <w:pPr>
        <w:rPr>
          <w:rFonts w:ascii="Arial" w:hAnsi="Arial" w:cs="Arial"/>
          <w:szCs w:val="24"/>
        </w:rPr>
      </w:pPr>
      <w:r>
        <w:rPr>
          <w:rFonts w:ascii="Arial" w:hAnsi="Arial" w:cs="Arial"/>
          <w:szCs w:val="24"/>
        </w:rPr>
        <w:t>Environmental standards vary by industry. Environmental pressure groups and boycotts may be avoided by following this guideline, which lays forth the very minimum that any company should strive towards (Nelson, 2012). Unlike the oil sector, the textile industry isn't projected to produce as much pollution. The modern client, curious and informed, wants to conduct business with ethics, particularly following global warming. Pandemics like Covid-19 also can harm the business.</w:t>
      </w:r>
    </w:p>
    <w:p>
      <w:pPr>
        <w:rPr>
          <w:rFonts w:ascii="Arial" w:hAnsi="Arial" w:cs="Arial"/>
          <w:b/>
          <w:bCs/>
          <w:szCs w:val="24"/>
        </w:rPr>
      </w:pPr>
      <w:r>
        <w:rPr>
          <w:rFonts w:ascii="Arial" w:hAnsi="Arial" w:cs="Arial"/>
          <w:b/>
          <w:bCs/>
          <w:szCs w:val="24"/>
        </w:rPr>
        <w:t>Legal factors</w:t>
      </w:r>
    </w:p>
    <w:p>
      <w:pPr>
        <w:rPr>
          <w:rFonts w:ascii="Arial" w:hAnsi="Arial" w:cs="Arial"/>
          <w:szCs w:val="24"/>
        </w:rPr>
      </w:pPr>
      <w:r>
        <w:rPr>
          <w:rFonts w:ascii="Arial" w:hAnsi="Arial" w:cs="Arial"/>
          <w:szCs w:val="24"/>
        </w:rPr>
        <w:t>To begin, a PESTEL study should include the legal aspects of government structures and frameworks in a country, in addition to the political ones. Often, restrictions are inadequate to protect a company's workers, producing an unappealing work atmosphere that may repel intelligent people.</w:t>
      </w:r>
    </w:p>
    <w:p>
      <w:pPr>
        <w:pStyle w:val="2"/>
        <w:rPr>
          <w:rFonts w:cs="Arial"/>
        </w:rPr>
      </w:pPr>
      <w:bookmarkStart w:id="6" w:name="_Toc108962714"/>
      <w:r>
        <w:rPr>
          <w:rFonts w:cs="Arial"/>
        </w:rPr>
        <w:t>Porter’s Five Forces Analysis of Farfetch</w:t>
      </w:r>
      <w:bookmarkEnd w:id="6"/>
    </w:p>
    <w:p>
      <w:pPr>
        <w:rPr>
          <w:rFonts w:ascii="Arial" w:hAnsi="Arial" w:cs="Arial"/>
          <w:szCs w:val="24"/>
        </w:rPr>
      </w:pPr>
      <w:r>
        <w:rPr>
          <w:rFonts w:ascii="Arial" w:hAnsi="Arial" w:cs="Arial"/>
          <w:szCs w:val="24"/>
        </w:rPr>
        <w:t>In a 1979 HBR article, Michael E. Porter provided a model. The competitive environment may be determined using Porter's Five Forces Model. The five forces model helps strategic planners understand an industry's underlying profit potential. Each industry faces different challenges, thus its profitability and appeal vary (Spicer, 2020). Even a robust industry may change over time. Porter's five forces:</w:t>
      </w:r>
    </w:p>
    <w:p>
      <w:pPr>
        <w:pStyle w:val="17"/>
        <w:numPr>
          <w:ilvl w:val="0"/>
          <w:numId w:val="1"/>
        </w:numPr>
        <w:rPr>
          <w:rFonts w:ascii="Arial" w:hAnsi="Arial" w:cs="Arial"/>
          <w:szCs w:val="24"/>
        </w:rPr>
      </w:pPr>
      <w:r>
        <w:rPr>
          <w:rFonts w:ascii="Arial" w:hAnsi="Arial" w:cs="Arial"/>
          <w:szCs w:val="24"/>
        </w:rPr>
        <w:t>The threat of new entrants</w:t>
      </w:r>
    </w:p>
    <w:p>
      <w:pPr>
        <w:pStyle w:val="17"/>
        <w:numPr>
          <w:ilvl w:val="0"/>
          <w:numId w:val="1"/>
        </w:numPr>
        <w:rPr>
          <w:rFonts w:ascii="Arial" w:hAnsi="Arial" w:cs="Arial"/>
          <w:szCs w:val="24"/>
        </w:rPr>
      </w:pPr>
      <w:r>
        <w:rPr>
          <w:rFonts w:ascii="Arial" w:hAnsi="Arial" w:cs="Arial"/>
          <w:szCs w:val="24"/>
        </w:rPr>
        <w:t>Bargaining power of suppliers</w:t>
      </w:r>
    </w:p>
    <w:p>
      <w:pPr>
        <w:pStyle w:val="17"/>
        <w:numPr>
          <w:ilvl w:val="0"/>
          <w:numId w:val="1"/>
        </w:numPr>
        <w:rPr>
          <w:rFonts w:ascii="Arial" w:hAnsi="Arial" w:cs="Arial"/>
          <w:szCs w:val="24"/>
        </w:rPr>
      </w:pPr>
      <w:r>
        <w:rPr>
          <w:rFonts w:ascii="Arial" w:hAnsi="Arial" w:cs="Arial"/>
          <w:szCs w:val="24"/>
        </w:rPr>
        <w:t>Bargaining power of buyers</w:t>
      </w:r>
    </w:p>
    <w:p>
      <w:pPr>
        <w:pStyle w:val="17"/>
        <w:numPr>
          <w:ilvl w:val="0"/>
          <w:numId w:val="1"/>
        </w:numPr>
        <w:rPr>
          <w:rFonts w:ascii="Arial" w:hAnsi="Arial" w:cs="Arial"/>
          <w:szCs w:val="24"/>
        </w:rPr>
      </w:pPr>
      <w:r>
        <w:rPr>
          <w:rFonts w:ascii="Arial" w:hAnsi="Arial" w:cs="Arial"/>
          <w:szCs w:val="24"/>
        </w:rPr>
        <w:t>The threat of substitute products or services</w:t>
      </w:r>
    </w:p>
    <w:p>
      <w:pPr>
        <w:pStyle w:val="17"/>
        <w:numPr>
          <w:ilvl w:val="0"/>
          <w:numId w:val="1"/>
        </w:numPr>
        <w:rPr>
          <w:rFonts w:ascii="Arial" w:hAnsi="Arial" w:cs="Arial"/>
          <w:szCs w:val="24"/>
        </w:rPr>
      </w:pPr>
      <w:r>
        <w:rPr>
          <w:rFonts w:ascii="Arial" w:hAnsi="Arial" w:cs="Arial"/>
          <w:szCs w:val="24"/>
        </w:rPr>
        <w:t>Rivalry among existing firms</w:t>
      </w:r>
    </w:p>
    <w:p>
      <w:pPr>
        <w:rPr>
          <w:rFonts w:ascii="Arial" w:hAnsi="Arial" w:cs="Arial"/>
          <w:szCs w:val="24"/>
        </w:rPr>
      </w:pPr>
      <w:r>
        <w:rPr>
          <w:rFonts w:ascii="Arial" w:hAnsi="Arial" w:cs="Arial"/>
          <w:szCs w:val="24"/>
        </w:rPr>
        <w:t>A Porter's Five Forces model may be used to assess the industry in which Farfetch Limited operates in terms of attractiveness through intrinsic profit potential. The model's conclusions may be used by Farfetch Limited's strategic planners to make strategic decisions.</w:t>
      </w:r>
    </w:p>
    <w:p>
      <w:pPr>
        <w:rPr>
          <w:rFonts w:ascii="Arial" w:hAnsi="Arial" w:cs="Arial"/>
          <w:b/>
          <w:bCs/>
          <w:szCs w:val="24"/>
        </w:rPr>
      </w:pPr>
      <w:r>
        <w:rPr>
          <w:rFonts w:ascii="Arial" w:hAnsi="Arial" w:cs="Arial"/>
          <w:b/>
          <w:bCs/>
          <w:szCs w:val="24"/>
        </w:rPr>
        <w:t>The threat of New Entrants</w:t>
      </w:r>
    </w:p>
    <w:p>
      <w:pPr>
        <w:rPr>
          <w:rFonts w:ascii="Arial" w:hAnsi="Arial" w:cs="Arial"/>
          <w:szCs w:val="24"/>
        </w:rPr>
      </w:pPr>
      <w:r>
        <w:rPr>
          <w:rFonts w:ascii="Arial" w:hAnsi="Arial" w:cs="Arial"/>
          <w:szCs w:val="24"/>
        </w:rPr>
        <w:t>Farfetch Limited's sector lacks scale economies. This helps large-capacity producers gain a cost advantage. New entrants' manufacturing costs rise (Bloor, 2015). This reduces the newcomer threat. Farfetch Limited may leverage economies of scale to fight off possible rivals. Farfetch Limited may also focus on innovation to differentiate its products. It may spend on marketing to build brand recognition. This will help it keep customers from new competition.</w:t>
      </w:r>
    </w:p>
    <w:p>
      <w:pPr>
        <w:jc w:val="center"/>
        <w:rPr>
          <w:rFonts w:ascii="Arial" w:hAnsi="Arial" w:cs="Arial"/>
          <w:sz w:val="22"/>
          <w:szCs w:val="22"/>
        </w:rPr>
      </w:pPr>
      <w:r>
        <w:rPr>
          <w:rFonts w:ascii="Arial" w:hAnsi="Arial" w:cs="Arial"/>
        </w:rPr>
        <w:drawing>
          <wp:inline distT="0" distB="0" distL="0" distR="0">
            <wp:extent cx="2133600" cy="2143125"/>
            <wp:effectExtent l="0" t="0" r="0" b="9525"/>
            <wp:docPr id="2" name="Picture 2" descr="Five Forces Model Automobile Industry - Sample Disser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ive Forces Model Automobile Industry - Sample Dissertation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a:xfrm>
                      <a:off x="0" y="0"/>
                      <a:ext cx="2133600" cy="2143125"/>
                    </a:xfrm>
                    <a:prstGeom prst="rect">
                      <a:avLst/>
                    </a:prstGeom>
                    <a:noFill/>
                    <a:ln>
                      <a:noFill/>
                    </a:ln>
                  </pic:spPr>
                </pic:pic>
              </a:graphicData>
            </a:graphic>
          </wp:inline>
        </w:drawing>
      </w:r>
    </w:p>
    <w:p>
      <w:pPr>
        <w:pStyle w:val="6"/>
        <w:jc w:val="center"/>
        <w:rPr>
          <w:rFonts w:ascii="Arial" w:hAnsi="Arial" w:cs="Arial"/>
          <w:b/>
          <w:bCs/>
          <w:color w:val="auto"/>
          <w:sz w:val="28"/>
          <w:szCs w:val="28"/>
        </w:rPr>
      </w:pPr>
      <w:bookmarkStart w:id="7" w:name="_Toc108173224"/>
      <w:r>
        <w:rPr>
          <w:rFonts w:ascii="Arial" w:hAnsi="Arial" w:cs="Arial"/>
          <w:b/>
          <w:bCs/>
          <w:color w:val="auto"/>
          <w:sz w:val="22"/>
          <w:szCs w:val="28"/>
        </w:rPr>
        <w:t xml:space="preserve">Figure </w:t>
      </w:r>
      <w:r>
        <w:rPr>
          <w:rFonts w:ascii="Arial" w:hAnsi="Arial" w:cs="Arial"/>
          <w:b/>
          <w:bCs/>
          <w:color w:val="auto"/>
          <w:sz w:val="22"/>
          <w:szCs w:val="28"/>
        </w:rPr>
        <w:fldChar w:fldCharType="begin"/>
      </w:r>
      <w:r>
        <w:rPr>
          <w:rFonts w:ascii="Arial" w:hAnsi="Arial" w:cs="Arial"/>
          <w:b/>
          <w:bCs/>
          <w:color w:val="auto"/>
          <w:sz w:val="22"/>
          <w:szCs w:val="28"/>
        </w:rPr>
        <w:instrText xml:space="preserve"> SEQ Figure \* ARABIC </w:instrText>
      </w:r>
      <w:r>
        <w:rPr>
          <w:rFonts w:ascii="Arial" w:hAnsi="Arial" w:cs="Arial"/>
          <w:b/>
          <w:bCs/>
          <w:color w:val="auto"/>
          <w:sz w:val="22"/>
          <w:szCs w:val="28"/>
        </w:rPr>
        <w:fldChar w:fldCharType="separate"/>
      </w:r>
      <w:r>
        <w:rPr>
          <w:rFonts w:ascii="Arial" w:hAnsi="Arial" w:cs="Arial"/>
          <w:b/>
          <w:bCs/>
          <w:color w:val="auto"/>
          <w:sz w:val="22"/>
          <w:szCs w:val="28"/>
        </w:rPr>
        <w:t>2</w:t>
      </w:r>
      <w:r>
        <w:rPr>
          <w:rFonts w:ascii="Arial" w:hAnsi="Arial" w:cs="Arial"/>
          <w:b/>
          <w:bCs/>
          <w:color w:val="auto"/>
          <w:sz w:val="22"/>
          <w:szCs w:val="28"/>
        </w:rPr>
        <w:fldChar w:fldCharType="end"/>
      </w:r>
      <w:r>
        <w:rPr>
          <w:rFonts w:ascii="Arial" w:hAnsi="Arial" w:cs="Arial"/>
          <w:b/>
          <w:bCs/>
          <w:color w:val="auto"/>
          <w:sz w:val="22"/>
          <w:szCs w:val="28"/>
        </w:rPr>
        <w:t>: Porter's Five Forces Model (Schein, 2011)</w:t>
      </w:r>
      <w:bookmarkEnd w:id="7"/>
    </w:p>
    <w:p>
      <w:pPr>
        <w:rPr>
          <w:rFonts w:ascii="Arial" w:hAnsi="Arial" w:cs="Arial"/>
          <w:b/>
          <w:bCs/>
          <w:szCs w:val="24"/>
        </w:rPr>
      </w:pPr>
      <w:r>
        <w:rPr>
          <w:rFonts w:ascii="Arial" w:hAnsi="Arial" w:cs="Arial"/>
          <w:b/>
          <w:bCs/>
          <w:szCs w:val="24"/>
        </w:rPr>
        <w:t>Bargaining Power of Suppliers</w:t>
      </w:r>
    </w:p>
    <w:p>
      <w:pPr>
        <w:rPr>
          <w:rFonts w:ascii="Arial" w:hAnsi="Arial" w:cs="Arial"/>
          <w:szCs w:val="24"/>
        </w:rPr>
      </w:pPr>
      <w:r>
        <w:rPr>
          <w:rFonts w:ascii="Arial" w:hAnsi="Arial" w:cs="Arial"/>
          <w:szCs w:val="24"/>
        </w:rPr>
        <w:t>In Farfetch's sector, there are more suppliers than buyers. This means suppliers have less price control, making their negotiation power weak. Farfetch Limited may acquire raw materials at a discount. If the pricing or items are unsatisfactory for Farfetch Limited, the firm may transfer suppliers. Several suppliers may be in its supply chain. Farfetch Limited may have different suppliers in different locations. This ensures supply chain efficiency.</w:t>
      </w:r>
    </w:p>
    <w:p>
      <w:pPr>
        <w:rPr>
          <w:rFonts w:ascii="Arial" w:hAnsi="Arial" w:cs="Arial"/>
          <w:b/>
          <w:bCs/>
          <w:szCs w:val="24"/>
        </w:rPr>
      </w:pPr>
      <w:r>
        <w:rPr>
          <w:rFonts w:ascii="Arial" w:hAnsi="Arial" w:cs="Arial"/>
          <w:b/>
          <w:bCs/>
          <w:szCs w:val="24"/>
        </w:rPr>
        <w:t>Bargaining Power of Buyers</w:t>
      </w:r>
    </w:p>
    <w:p>
      <w:pPr>
        <w:rPr>
          <w:rFonts w:ascii="Arial" w:hAnsi="Arial" w:cs="Arial"/>
          <w:szCs w:val="24"/>
        </w:rPr>
      </w:pPr>
      <w:r>
        <w:rPr>
          <w:rFonts w:ascii="Arial" w:hAnsi="Arial" w:cs="Arial"/>
          <w:szCs w:val="24"/>
        </w:rPr>
        <w:t>Farfetch Limited's industry has more suppliers than product-producing enterprises. This means buyers have fewer vendors to choose from and less price control. This hurts buyers in the industry. To attract more clients, Farfetch Limited may focus on innovation and difference. Farfetch Limited may attract many customers by promoting product uniqueness and excellence (Schein, 2011). Farfetch Limited needs a large customer base since buying power is minimal. This may be done using brand-loyalty marketing.</w:t>
      </w:r>
    </w:p>
    <w:p>
      <w:pPr>
        <w:rPr>
          <w:rFonts w:ascii="Arial" w:hAnsi="Arial" w:cs="Arial"/>
          <w:szCs w:val="24"/>
        </w:rPr>
      </w:pPr>
    </w:p>
    <w:p>
      <w:pPr>
        <w:rPr>
          <w:rFonts w:ascii="Arial" w:hAnsi="Arial" w:cs="Arial"/>
          <w:b/>
          <w:bCs/>
          <w:szCs w:val="24"/>
        </w:rPr>
      </w:pPr>
      <w:r>
        <w:rPr>
          <w:rFonts w:ascii="Arial" w:hAnsi="Arial" w:cs="Arial"/>
          <w:b/>
          <w:bCs/>
          <w:szCs w:val="24"/>
        </w:rPr>
        <w:t>The Threat of Substitute Products or Services</w:t>
      </w:r>
    </w:p>
    <w:p>
      <w:pPr>
        <w:rPr>
          <w:rFonts w:ascii="Arial" w:hAnsi="Arial" w:cs="Arial"/>
          <w:szCs w:val="24"/>
        </w:rPr>
      </w:pPr>
      <w:r>
        <w:rPr>
          <w:rFonts w:ascii="Arial" w:hAnsi="Arial" w:cs="Arial"/>
          <w:szCs w:val="24"/>
        </w:rPr>
        <w:t>There are few alternatives to Farfetch's items. The few available alternatives are also from low-profit industries. This means there is no limit on Farfetch Limited's biggest profit. These factors reduce the risk of alternative products in the industry. Farfetch Limited has unique stuff. This ensures that buyers regard the company's goods as unique and don't move to other products without these benefits. It may help its clients by doing market research to better understand their demands.</w:t>
      </w:r>
    </w:p>
    <w:p>
      <w:pPr>
        <w:rPr>
          <w:rFonts w:ascii="Arial" w:hAnsi="Arial" w:cs="Arial"/>
          <w:b/>
          <w:bCs/>
          <w:szCs w:val="24"/>
        </w:rPr>
      </w:pPr>
      <w:r>
        <w:rPr>
          <w:rFonts w:ascii="Arial" w:hAnsi="Arial" w:cs="Arial"/>
          <w:b/>
          <w:bCs/>
          <w:szCs w:val="24"/>
        </w:rPr>
        <w:t>Rivalry among Existing Firms</w:t>
      </w:r>
    </w:p>
    <w:p>
      <w:pPr>
        <w:rPr>
          <w:rFonts w:ascii="Arial" w:hAnsi="Arial" w:cs="Arial"/>
          <w:szCs w:val="24"/>
        </w:rPr>
      </w:pPr>
      <w:r>
        <w:rPr>
          <w:rFonts w:ascii="Arial" w:hAnsi="Arial" w:cs="Arial"/>
          <w:szCs w:val="24"/>
        </w:rPr>
        <w:t>In Farfetch's industry, there are few competitors. They're mostly huge. Companies in the industry won't be able to move without being watched. This reduces competitiveness in the industry. Farfetch Limited must distinguish its products so rivals' activities have less of an impact on customers who seek its unique offerings (Driskill, 2019). As the sector expands, Farfetch Limited may concentrate on new consumers over existing ones.</w:t>
      </w:r>
    </w:p>
    <w:p>
      <w:pPr>
        <w:pStyle w:val="2"/>
        <w:rPr>
          <w:rFonts w:cs="Arial"/>
        </w:rPr>
      </w:pPr>
      <w:bookmarkStart w:id="8" w:name="_Toc108962715"/>
      <w:r>
        <w:rPr>
          <w:rFonts w:cs="Arial"/>
        </w:rPr>
        <w:t>Key Drivers for the Changes in the Business Environment</w:t>
      </w:r>
      <w:bookmarkEnd w:id="8"/>
    </w:p>
    <w:p>
      <w:pPr>
        <w:rPr>
          <w:rFonts w:ascii="Arial" w:hAnsi="Arial" w:cs="Arial"/>
          <w:szCs w:val="24"/>
        </w:rPr>
      </w:pPr>
      <w:r>
        <w:rPr>
          <w:rFonts w:ascii="Arial" w:hAnsi="Arial" w:cs="Arial"/>
          <w:szCs w:val="24"/>
        </w:rPr>
        <w:t>Change is both ongoing and unavoidable. Every business encounters change, and every business must adapt to that change to maintain its market position. A variety of factors contribute to organizational change. Understanding the organizational change-causing components is required for effective firm management (David, 2016). Knowing what factors influence change allows a manager to make better decisions, which supports organizational development and reduces the chance of loss. The next part provides a quick overview of the business environment's change drivers.</w:t>
      </w:r>
    </w:p>
    <w:p>
      <w:pPr>
        <w:rPr>
          <w:rFonts w:ascii="Arial" w:hAnsi="Arial" w:cs="Arial"/>
          <w:b/>
          <w:bCs/>
          <w:szCs w:val="24"/>
        </w:rPr>
      </w:pPr>
      <w:r>
        <w:rPr>
          <w:rFonts w:ascii="Arial" w:hAnsi="Arial" w:cs="Arial"/>
          <w:b/>
          <w:bCs/>
          <w:szCs w:val="24"/>
        </w:rPr>
        <w:t>Changes in governmental policies</w:t>
      </w:r>
    </w:p>
    <w:p>
      <w:pPr>
        <w:rPr>
          <w:rFonts w:ascii="Arial" w:hAnsi="Arial" w:cs="Arial"/>
          <w:szCs w:val="24"/>
        </w:rPr>
      </w:pPr>
      <w:r>
        <w:rPr>
          <w:rFonts w:ascii="Arial" w:hAnsi="Arial" w:cs="Arial"/>
          <w:szCs w:val="24"/>
        </w:rPr>
        <w:t>The policies of the government dictate how an organization operates and what it can and cannot produce. As an example, the Indian government recently prohibited the use of some types of plastic, and as a consequence of this rule. Farfetch's methods were modified due to plastic alterations. Similarly, the organization regulates staff recruiting, compensation, and worker rights, and firms must agree to these regulations to function freely.</w:t>
      </w:r>
    </w:p>
    <w:p>
      <w:pPr>
        <w:rPr>
          <w:rFonts w:ascii="Arial" w:hAnsi="Arial" w:cs="Arial"/>
          <w:b/>
          <w:bCs/>
          <w:szCs w:val="24"/>
        </w:rPr>
      </w:pPr>
      <w:r>
        <w:rPr>
          <w:rFonts w:ascii="Arial" w:hAnsi="Arial" w:cs="Arial"/>
          <w:b/>
          <w:bCs/>
          <w:szCs w:val="24"/>
        </w:rPr>
        <w:t>Social changes</w:t>
      </w:r>
    </w:p>
    <w:p>
      <w:pPr>
        <w:rPr>
          <w:rFonts w:ascii="Arial" w:hAnsi="Arial" w:cs="Arial"/>
          <w:szCs w:val="24"/>
        </w:rPr>
      </w:pPr>
      <w:r>
        <w:rPr>
          <w:rFonts w:ascii="Arial" w:hAnsi="Arial" w:cs="Arial"/>
          <w:szCs w:val="24"/>
        </w:rPr>
        <w:t>Social transformation is important to an organization's growth. Companies must adjust their production methods to customer needs. Education level, a global impact like Covid-19, and urbanization modify societal demands.</w:t>
      </w:r>
    </w:p>
    <w:p>
      <w:pPr>
        <w:rPr>
          <w:rFonts w:ascii="Arial" w:hAnsi="Arial" w:cs="Arial"/>
          <w:b/>
          <w:bCs/>
          <w:szCs w:val="24"/>
        </w:rPr>
      </w:pPr>
      <w:r>
        <w:rPr>
          <w:rFonts w:ascii="Arial" w:hAnsi="Arial" w:cs="Arial"/>
          <w:b/>
          <w:bCs/>
          <w:szCs w:val="24"/>
        </w:rPr>
        <w:t xml:space="preserve">Competitive innovation </w:t>
      </w:r>
    </w:p>
    <w:p>
      <w:pPr>
        <w:rPr>
          <w:rFonts w:ascii="Arial" w:hAnsi="Arial" w:cs="Arial"/>
          <w:szCs w:val="24"/>
        </w:rPr>
      </w:pPr>
      <w:r>
        <w:rPr>
          <w:rFonts w:ascii="Arial" w:hAnsi="Arial" w:cs="Arial"/>
          <w:szCs w:val="24"/>
        </w:rPr>
        <w:t>Businesses develop because of innovative competition. When a competing business releases a new invention or does anything that threatens their product like Covid-19, they must alter their strategy and create a similar product or something fresh that will attract customers (Fachriansyah, 2021).</w:t>
      </w:r>
    </w:p>
    <w:p>
      <w:pPr>
        <w:rPr>
          <w:rFonts w:ascii="Arial" w:hAnsi="Arial" w:cs="Arial"/>
          <w:b/>
          <w:bCs/>
          <w:szCs w:val="24"/>
        </w:rPr>
      </w:pPr>
      <w:r>
        <w:rPr>
          <w:rFonts w:ascii="Arial" w:hAnsi="Arial" w:cs="Arial"/>
          <w:b/>
          <w:bCs/>
          <w:szCs w:val="24"/>
        </w:rPr>
        <w:t>Business reorganization</w:t>
      </w:r>
    </w:p>
    <w:p>
      <w:pPr>
        <w:rPr>
          <w:rFonts w:ascii="Arial" w:hAnsi="Arial" w:cs="Arial"/>
          <w:szCs w:val="24"/>
        </w:rPr>
      </w:pPr>
      <w:r>
        <w:rPr>
          <w:rFonts w:ascii="Arial" w:hAnsi="Arial" w:cs="Arial"/>
          <w:szCs w:val="24"/>
        </w:rPr>
        <w:t>Altering the company structure aids in organizational change. Change is inevitable, as indicated in the introduction. Management must change the corporate structure to adapt to new technology or boost efficiency during pandemics like Covid-19.</w:t>
      </w:r>
    </w:p>
    <w:p>
      <w:pPr>
        <w:pStyle w:val="2"/>
        <w:rPr>
          <w:rFonts w:cs="Arial"/>
        </w:rPr>
      </w:pPr>
      <w:bookmarkStart w:id="9" w:name="_Toc108962716"/>
      <w:r>
        <w:rPr>
          <w:rFonts w:cs="Arial"/>
        </w:rPr>
        <w:t>Workplace Culture of Farfetch</w:t>
      </w:r>
      <w:bookmarkEnd w:id="9"/>
    </w:p>
    <w:p>
      <w:pPr>
        <w:rPr>
          <w:rFonts w:ascii="Arial" w:hAnsi="Arial" w:cs="Arial"/>
          <w:szCs w:val="24"/>
        </w:rPr>
      </w:pPr>
      <w:r>
        <w:rPr>
          <w:rFonts w:ascii="Arial" w:hAnsi="Arial" w:cs="Arial"/>
          <w:szCs w:val="24"/>
        </w:rPr>
        <w:t>A company's culture is defined by a set of rules that employees are expected to follow. It's a system of shared beliefs, values, and assumptions that affects business practices. Farfetch's mission statement is quite clear. There were no lengthy exchanges of words or discussions between the corporation and its customers and important players. One of the most important aspects of a company's vision statement is its conciseness and comprehensiveness (Daum, 2021). There are three levels to organizational culture. Fundamental assumptions are the deepest, followed by artefacts and values and beliefs. Farfetch's company culture is its biggest asset.</w:t>
      </w:r>
    </w:p>
    <w:p>
      <w:pPr>
        <w:rPr>
          <w:rFonts w:ascii="Arial" w:hAnsi="Arial" w:cs="Arial"/>
          <w:b/>
          <w:bCs/>
          <w:szCs w:val="24"/>
        </w:rPr>
      </w:pPr>
      <w:r>
        <w:rPr>
          <w:rFonts w:ascii="Arial" w:hAnsi="Arial" w:cs="Arial"/>
          <w:b/>
          <w:bCs/>
          <w:szCs w:val="24"/>
        </w:rPr>
        <w:t>Artefacts of Farfetch Limited’s organizational culture</w:t>
      </w:r>
    </w:p>
    <w:p>
      <w:pPr>
        <w:rPr>
          <w:rFonts w:ascii="Arial" w:hAnsi="Arial" w:cs="Arial"/>
          <w:szCs w:val="24"/>
        </w:rPr>
      </w:pPr>
      <w:r>
        <w:rPr>
          <w:rFonts w:ascii="Arial" w:hAnsi="Arial" w:cs="Arial"/>
          <w:szCs w:val="24"/>
        </w:rPr>
        <w:t>Artefacts make up the outermost rim of the cultural concentric circle. The artefacts are tangible reflections of Farfetch Limited's business culture. Employees have a dress code, an open-door policy, and an office layout. Farfetch Limited's cultural artefacts are readily obvious to the general public, but describing them is a challenge.</w:t>
      </w:r>
    </w:p>
    <w:p>
      <w:pPr>
        <w:rPr>
          <w:rFonts w:ascii="Arial" w:hAnsi="Arial" w:cs="Arial"/>
          <w:b/>
          <w:bCs/>
          <w:szCs w:val="24"/>
        </w:rPr>
      </w:pPr>
      <w:r>
        <w:rPr>
          <w:rFonts w:ascii="Arial" w:hAnsi="Arial" w:cs="Arial"/>
          <w:b/>
          <w:bCs/>
          <w:szCs w:val="24"/>
        </w:rPr>
        <w:t>Values identified in Farfetch Limited's company culture</w:t>
      </w:r>
    </w:p>
    <w:p>
      <w:pPr>
        <w:rPr>
          <w:rFonts w:ascii="Arial" w:hAnsi="Arial" w:cs="Arial"/>
          <w:szCs w:val="24"/>
        </w:rPr>
      </w:pPr>
      <w:r>
        <w:rPr>
          <w:rFonts w:ascii="Arial" w:hAnsi="Arial" w:cs="Arial"/>
          <w:szCs w:val="24"/>
        </w:rPr>
        <w:t>The main values are not readily discernible. The core values of Farfetch Limited consist of agreed-upon goals, beliefs, and standards. Responsibility, diversity, quality, collaboration, enthusiasm, honesty, and leadership are among these fundamental concepts (Foscarini, 2012). The management of Farfetch Limited acknowledges the significance of articulating core ideas so that each individual may accept and change their actions accordingly.</w:t>
      </w:r>
    </w:p>
    <w:p>
      <w:pPr>
        <w:rPr>
          <w:rFonts w:ascii="Arial" w:hAnsi="Arial" w:cs="Arial"/>
          <w:b/>
          <w:bCs/>
          <w:szCs w:val="24"/>
        </w:rPr>
      </w:pPr>
      <w:r>
        <w:rPr>
          <w:rFonts w:ascii="Arial" w:hAnsi="Arial" w:cs="Arial"/>
          <w:b/>
          <w:bCs/>
          <w:szCs w:val="24"/>
        </w:rPr>
        <w:t>Assumptions within the corporate culture of Farfetch Limited</w:t>
      </w:r>
    </w:p>
    <w:p>
      <w:pPr>
        <w:rPr>
          <w:rFonts w:ascii="Arial" w:hAnsi="Arial" w:cs="Arial"/>
          <w:szCs w:val="24"/>
        </w:rPr>
      </w:pPr>
      <w:r>
        <w:rPr>
          <w:rFonts w:ascii="Arial" w:hAnsi="Arial" w:cs="Arial"/>
          <w:szCs w:val="24"/>
        </w:rPr>
        <w:t>Farfetch Limited's culture is based on assumptions that are firmly ingrained in the minds of its employees. Despite the importance of these underlying assumptions in the establishment of core values and observable behaviours, most employees are ignorant of them.</w:t>
      </w:r>
    </w:p>
    <w:p>
      <w:pPr>
        <w:pStyle w:val="3"/>
      </w:pPr>
      <w:bookmarkStart w:id="10" w:name="_Toc108962717"/>
      <w:r>
        <w:t>Cultural web</w:t>
      </w:r>
      <w:bookmarkEnd w:id="10"/>
    </w:p>
    <w:p>
      <w:pPr>
        <w:rPr>
          <w:rFonts w:ascii="Arial" w:hAnsi="Arial" w:cs="Arial"/>
          <w:szCs w:val="24"/>
        </w:rPr>
      </w:pPr>
      <w:r>
        <w:rPr>
          <w:rFonts w:ascii="Arial" w:hAnsi="Arial" w:cs="Arial"/>
          <w:szCs w:val="24"/>
        </w:rPr>
        <w:t>The Cultural Web is a method for identifying and analyzing the many facets of a company's culture. To answer the question, "What does the culture need to look like for this transition to happen?" it may be used to map both existing and future cultures (Alonazi, 2021). It is possible to compare the two maps and see where, when, and how changes might be implemented. Six components make up the cultural web model:</w:t>
      </w:r>
    </w:p>
    <w:p>
      <w:pPr>
        <w:pStyle w:val="17"/>
        <w:numPr>
          <w:ilvl w:val="0"/>
          <w:numId w:val="2"/>
        </w:numPr>
        <w:rPr>
          <w:rFonts w:ascii="Arial" w:hAnsi="Arial" w:cs="Arial"/>
          <w:szCs w:val="24"/>
        </w:rPr>
      </w:pPr>
      <w:r>
        <w:rPr>
          <w:rFonts w:ascii="Arial" w:hAnsi="Arial" w:cs="Arial"/>
          <w:szCs w:val="24"/>
        </w:rPr>
        <w:t xml:space="preserve">Power structure </w:t>
      </w:r>
    </w:p>
    <w:p>
      <w:pPr>
        <w:pStyle w:val="17"/>
        <w:numPr>
          <w:ilvl w:val="0"/>
          <w:numId w:val="2"/>
        </w:numPr>
        <w:rPr>
          <w:rFonts w:ascii="Arial" w:hAnsi="Arial" w:cs="Arial"/>
          <w:szCs w:val="24"/>
        </w:rPr>
      </w:pPr>
      <w:r>
        <w:rPr>
          <w:rFonts w:ascii="Arial" w:hAnsi="Arial" w:cs="Arial"/>
          <w:szCs w:val="24"/>
        </w:rPr>
        <w:t>Stories</w:t>
      </w:r>
    </w:p>
    <w:p>
      <w:pPr>
        <w:pStyle w:val="17"/>
        <w:numPr>
          <w:ilvl w:val="0"/>
          <w:numId w:val="2"/>
        </w:numPr>
        <w:rPr>
          <w:rFonts w:ascii="Arial" w:hAnsi="Arial" w:cs="Arial"/>
          <w:szCs w:val="24"/>
        </w:rPr>
      </w:pPr>
      <w:r>
        <w:rPr>
          <w:rFonts w:ascii="Arial" w:hAnsi="Arial" w:cs="Arial"/>
          <w:szCs w:val="24"/>
        </w:rPr>
        <w:t>Ritual and routines</w:t>
      </w:r>
    </w:p>
    <w:p>
      <w:pPr>
        <w:pStyle w:val="17"/>
        <w:numPr>
          <w:ilvl w:val="0"/>
          <w:numId w:val="2"/>
        </w:numPr>
        <w:rPr>
          <w:rFonts w:ascii="Arial" w:hAnsi="Arial" w:cs="Arial"/>
          <w:szCs w:val="24"/>
        </w:rPr>
      </w:pPr>
      <w:r>
        <w:rPr>
          <w:rFonts w:ascii="Arial" w:hAnsi="Arial" w:cs="Arial"/>
          <w:szCs w:val="24"/>
        </w:rPr>
        <w:t>Organization structure</w:t>
      </w:r>
    </w:p>
    <w:p>
      <w:pPr>
        <w:pStyle w:val="17"/>
        <w:numPr>
          <w:ilvl w:val="0"/>
          <w:numId w:val="2"/>
        </w:numPr>
        <w:rPr>
          <w:rFonts w:ascii="Arial" w:hAnsi="Arial" w:cs="Arial"/>
          <w:szCs w:val="24"/>
        </w:rPr>
      </w:pPr>
      <w:r>
        <w:rPr>
          <w:rFonts w:ascii="Arial" w:hAnsi="Arial" w:cs="Arial"/>
          <w:szCs w:val="24"/>
        </w:rPr>
        <w:t>Symbols</w:t>
      </w:r>
    </w:p>
    <w:p>
      <w:pPr>
        <w:pStyle w:val="17"/>
        <w:numPr>
          <w:ilvl w:val="0"/>
          <w:numId w:val="2"/>
        </w:numPr>
        <w:rPr>
          <w:rFonts w:ascii="Arial" w:hAnsi="Arial" w:cs="Arial"/>
          <w:szCs w:val="24"/>
        </w:rPr>
      </w:pPr>
      <w:r>
        <w:rPr>
          <w:rFonts w:ascii="Arial" w:hAnsi="Arial" w:cs="Arial"/>
          <w:szCs w:val="24"/>
        </w:rPr>
        <w:t>Control system</w:t>
      </w:r>
    </w:p>
    <w:p>
      <w:pPr>
        <w:rPr>
          <w:rFonts w:ascii="Arial" w:hAnsi="Arial" w:cs="Arial"/>
          <w:szCs w:val="24"/>
        </w:rPr>
      </w:pPr>
      <w:r>
        <w:rPr>
          <w:rFonts w:ascii="Arial" w:hAnsi="Arial" w:cs="Arial"/>
          <w:szCs w:val="24"/>
        </w:rPr>
        <w:t>In addition, it is a method for analyzing the many components of a company and how these aspects may affect employees' experiences (Cartwright, 2019). In addition, it is an investigative tool:</w:t>
      </w:r>
    </w:p>
    <w:p>
      <w:pPr>
        <w:pStyle w:val="17"/>
        <w:numPr>
          <w:ilvl w:val="0"/>
          <w:numId w:val="3"/>
        </w:numPr>
        <w:rPr>
          <w:rFonts w:ascii="Arial" w:hAnsi="Arial" w:cs="Arial"/>
          <w:szCs w:val="24"/>
        </w:rPr>
      </w:pPr>
      <w:r>
        <w:rPr>
          <w:rFonts w:ascii="Arial" w:hAnsi="Arial" w:cs="Arial"/>
          <w:szCs w:val="24"/>
        </w:rPr>
        <w:t>What are the company's power structures are</w:t>
      </w:r>
    </w:p>
    <w:p>
      <w:pPr>
        <w:pStyle w:val="17"/>
        <w:numPr>
          <w:ilvl w:val="0"/>
          <w:numId w:val="3"/>
        </w:numPr>
        <w:rPr>
          <w:rFonts w:ascii="Arial" w:hAnsi="Arial" w:cs="Arial"/>
          <w:szCs w:val="24"/>
        </w:rPr>
      </w:pPr>
      <w:r>
        <w:rPr>
          <w:rFonts w:ascii="Arial" w:hAnsi="Arial" w:cs="Arial"/>
          <w:szCs w:val="24"/>
        </w:rPr>
        <w:t>A corporation's collective 'history'</w:t>
      </w:r>
    </w:p>
    <w:p>
      <w:pPr>
        <w:pStyle w:val="17"/>
        <w:numPr>
          <w:ilvl w:val="0"/>
          <w:numId w:val="3"/>
        </w:numPr>
        <w:rPr>
          <w:rFonts w:ascii="Arial" w:hAnsi="Arial" w:cs="Arial"/>
          <w:szCs w:val="24"/>
        </w:rPr>
      </w:pPr>
      <w:r>
        <w:rPr>
          <w:rFonts w:ascii="Arial" w:hAnsi="Arial" w:cs="Arial"/>
          <w:szCs w:val="24"/>
        </w:rPr>
        <w:t>The emergence of habits or 'rituals'</w:t>
      </w:r>
    </w:p>
    <w:p>
      <w:pPr>
        <w:rPr>
          <w:rFonts w:ascii="Arial" w:hAnsi="Arial" w:cs="Arial"/>
          <w:szCs w:val="24"/>
        </w:rPr>
      </w:pPr>
      <w:r>
        <w:rPr>
          <w:rFonts w:ascii="Arial" w:hAnsi="Arial" w:cs="Arial"/>
          <w:szCs w:val="24"/>
        </w:rPr>
        <w:t>The cultural web model gives a tool for understanding a company's existing culture and the future variables that may define it. It is easiest to comprehend as a succession of steps:</w:t>
      </w:r>
    </w:p>
    <w:p>
      <w:pPr>
        <w:pStyle w:val="17"/>
        <w:numPr>
          <w:ilvl w:val="0"/>
          <w:numId w:val="4"/>
        </w:numPr>
        <w:rPr>
          <w:rFonts w:ascii="Arial" w:hAnsi="Arial" w:cs="Arial"/>
          <w:szCs w:val="24"/>
        </w:rPr>
      </w:pPr>
      <w:r>
        <w:rPr>
          <w:rFonts w:ascii="Arial" w:hAnsi="Arial" w:cs="Arial"/>
          <w:szCs w:val="24"/>
        </w:rPr>
        <w:t>Where a company has been</w:t>
      </w:r>
    </w:p>
    <w:p>
      <w:pPr>
        <w:pStyle w:val="17"/>
        <w:numPr>
          <w:ilvl w:val="0"/>
          <w:numId w:val="4"/>
        </w:numPr>
        <w:rPr>
          <w:rFonts w:ascii="Arial" w:hAnsi="Arial" w:cs="Arial"/>
          <w:szCs w:val="24"/>
        </w:rPr>
      </w:pPr>
      <w:r>
        <w:rPr>
          <w:rFonts w:ascii="Arial" w:hAnsi="Arial" w:cs="Arial"/>
          <w:szCs w:val="24"/>
        </w:rPr>
        <w:t>Where it wants to journey</w:t>
      </w:r>
    </w:p>
    <w:p>
      <w:pPr>
        <w:pStyle w:val="17"/>
        <w:numPr>
          <w:ilvl w:val="0"/>
          <w:numId w:val="4"/>
        </w:numPr>
        <w:rPr>
          <w:rFonts w:ascii="Arial" w:hAnsi="Arial" w:cs="Arial"/>
          <w:szCs w:val="24"/>
        </w:rPr>
      </w:pPr>
      <w:r>
        <w:rPr>
          <w:rFonts w:ascii="Arial" w:hAnsi="Arial" w:cs="Arial"/>
          <w:szCs w:val="24"/>
        </w:rPr>
        <w:t>How far does it need to go to arrive?</w:t>
      </w:r>
    </w:p>
    <w:p>
      <w:pPr>
        <w:rPr>
          <w:rFonts w:ascii="Arial" w:hAnsi="Arial" w:cs="Arial"/>
          <w:szCs w:val="24"/>
        </w:rPr>
      </w:pPr>
      <w:r>
        <w:rPr>
          <w:rFonts w:ascii="Arial" w:hAnsi="Arial" w:cs="Arial"/>
          <w:szCs w:val="24"/>
        </w:rPr>
        <w:t>After Farfetch knows where it is, where it wants to go, and the space between the two, it can create a plan to get there. This may include working on their corporate principles or establishing the best ways to encourage future behaviour in their organization. Collectively, the cultural web may help build a vision and road plan for changing the Farfetch company culture.</w:t>
      </w:r>
    </w:p>
    <w:p>
      <w:pPr>
        <w:pStyle w:val="2"/>
        <w:rPr>
          <w:rFonts w:cs="Arial"/>
        </w:rPr>
      </w:pPr>
      <w:bookmarkStart w:id="11" w:name="_Toc108962718"/>
      <w:r>
        <w:rPr>
          <w:rFonts w:cs="Arial"/>
        </w:rPr>
        <w:t>Culture for Achieving Financial and Non-Financial Performance</w:t>
      </w:r>
      <w:bookmarkEnd w:id="11"/>
    </w:p>
    <w:p>
      <w:pPr>
        <w:rPr>
          <w:rFonts w:ascii="Arial" w:hAnsi="Arial" w:cs="Arial"/>
          <w:szCs w:val="24"/>
        </w:rPr>
      </w:pPr>
      <w:r>
        <w:rPr>
          <w:rFonts w:ascii="Arial" w:hAnsi="Arial" w:cs="Arial"/>
          <w:szCs w:val="24"/>
        </w:rPr>
        <w:t>When a company has an open culture, clear expectations, constant feedback, and appropriate recognition, employees may easily understand what's expected of them. Employees that are open, truthful, and self-sufficient improve the effectiveness and collaboration of their teams (Dileo, 2013). Employee engagement initiatives and a well-defined business culture may boost employees' performance. According to surveys, most organizations miss or are ignorant of corporate culture's competitive edge. When used effectively, this may help to retain top talent, boost performance and productivity, and produce self-reliant, responsible employees.</w:t>
      </w:r>
    </w:p>
    <w:p>
      <w:pPr>
        <w:rPr>
          <w:rFonts w:ascii="Arial" w:hAnsi="Arial" w:cs="Arial"/>
          <w:b/>
          <w:bCs/>
          <w:szCs w:val="24"/>
        </w:rPr>
      </w:pPr>
      <w:r>
        <w:rPr>
          <w:rFonts w:ascii="Arial" w:hAnsi="Arial" w:cs="Arial"/>
          <w:b/>
          <w:bCs/>
          <w:szCs w:val="24"/>
        </w:rPr>
        <w:t>Increased Performance</w:t>
      </w:r>
    </w:p>
    <w:p>
      <w:pPr>
        <w:rPr>
          <w:rFonts w:ascii="Arial" w:hAnsi="Arial" w:cs="Arial"/>
          <w:szCs w:val="24"/>
        </w:rPr>
      </w:pPr>
      <w:r>
        <w:rPr>
          <w:rFonts w:ascii="Arial" w:hAnsi="Arial" w:cs="Arial"/>
          <w:szCs w:val="24"/>
        </w:rPr>
        <w:t>Farfetch's performance will rise if its staff are pleased. Flexibility, professional growth, and the knowledge that one is making a difference in the world are some of the factors that contribute to better performance.</w:t>
      </w:r>
    </w:p>
    <w:p>
      <w:pPr>
        <w:rPr>
          <w:rFonts w:ascii="Arial" w:hAnsi="Arial" w:cs="Arial"/>
          <w:b/>
          <w:bCs/>
          <w:szCs w:val="24"/>
        </w:rPr>
      </w:pPr>
      <w:r>
        <w:rPr>
          <w:rFonts w:ascii="Arial" w:hAnsi="Arial" w:cs="Arial"/>
          <w:b/>
          <w:bCs/>
          <w:szCs w:val="24"/>
        </w:rPr>
        <w:t>Increased Productivity</w:t>
      </w:r>
    </w:p>
    <w:p>
      <w:pPr>
        <w:rPr>
          <w:rFonts w:ascii="Arial" w:hAnsi="Arial" w:cs="Arial"/>
          <w:szCs w:val="24"/>
        </w:rPr>
      </w:pPr>
      <w:r>
        <w:rPr>
          <w:rFonts w:ascii="Arial" w:hAnsi="Arial" w:cs="Arial"/>
          <w:szCs w:val="24"/>
        </w:rPr>
        <w:t>Positive company culture will enhance Farfetch's productivity. Consider how Google works. Ping pong tables, sleep pods, and other amusements encourage workers to have fun. Entrepreneurs and executives typically feel that working 8-12 hours a day will lead to success (Alonazi, 2021). Employees can't relax, however. Stress causes lower productivity and staff morale.</w:t>
      </w:r>
    </w:p>
    <w:p>
      <w:pPr>
        <w:rPr>
          <w:rFonts w:ascii="Arial" w:hAnsi="Arial" w:cs="Arial"/>
          <w:b/>
          <w:bCs/>
          <w:szCs w:val="24"/>
        </w:rPr>
      </w:pPr>
      <w:r>
        <w:rPr>
          <w:rFonts w:ascii="Arial" w:hAnsi="Arial" w:cs="Arial"/>
          <w:b/>
          <w:bCs/>
          <w:szCs w:val="24"/>
        </w:rPr>
        <w:t>Increased Retention</w:t>
      </w:r>
    </w:p>
    <w:p>
      <w:pPr>
        <w:rPr>
          <w:rFonts w:ascii="Arial" w:hAnsi="Arial" w:cs="Arial"/>
          <w:szCs w:val="24"/>
        </w:rPr>
      </w:pPr>
      <w:r>
        <w:rPr>
          <w:rFonts w:ascii="Arial" w:hAnsi="Arial" w:cs="Arial"/>
          <w:szCs w:val="24"/>
        </w:rPr>
        <w:t>Recruiting, employing, and acquiring new employees is both time-consuming and expensive. This employee will be a significant expense on the financial records after they've taken into account the time it takes to go through resumes and conduct interviews before deciding to hire. Talented employees will stay at a firm with a positive work environment.</w:t>
      </w:r>
    </w:p>
    <w:p>
      <w:pPr>
        <w:pStyle w:val="2"/>
        <w:rPr>
          <w:rFonts w:cs="Arial"/>
        </w:rPr>
      </w:pPr>
      <w:bookmarkStart w:id="12" w:name="_Toc108962719"/>
      <w:r>
        <w:rPr>
          <w:rFonts w:cs="Arial"/>
        </w:rPr>
        <w:t>The Ethical Dilemma That Can Affect the Performance of Farfetch</w:t>
      </w:r>
      <w:bookmarkEnd w:id="12"/>
    </w:p>
    <w:p>
      <w:pPr>
        <w:rPr>
          <w:rFonts w:ascii="Arial" w:hAnsi="Arial" w:cs="Arial"/>
          <w:szCs w:val="24"/>
        </w:rPr>
      </w:pPr>
      <w:r>
        <w:rPr>
          <w:rFonts w:ascii="Arial" w:hAnsi="Arial" w:cs="Arial"/>
          <w:szCs w:val="24"/>
        </w:rPr>
        <w:t>In today's highly competitive market, the moral conduct of a corporation is a necessary need for doing business. This approach to behaviour makes a major contribution, overall, to the accomplishments of the company.</w:t>
      </w:r>
    </w:p>
    <w:p>
      <w:pPr>
        <w:pStyle w:val="3"/>
      </w:pPr>
      <w:bookmarkStart w:id="13" w:name="_Toc108962720"/>
      <w:r>
        <w:t>Performance Appraisal</w:t>
      </w:r>
      <w:bookmarkEnd w:id="13"/>
    </w:p>
    <w:p>
      <w:pPr>
        <w:rPr>
          <w:rFonts w:ascii="Arial" w:hAnsi="Arial" w:cs="Arial"/>
          <w:szCs w:val="24"/>
        </w:rPr>
      </w:pPr>
      <w:r>
        <w:rPr>
          <w:rFonts w:ascii="Arial" w:hAnsi="Arial" w:cs="Arial"/>
          <w:szCs w:val="24"/>
        </w:rPr>
        <w:t>Performance assessment poses ethical difficulties since it is based on observations and judgment, and HR managers must see the performance to establish its effectiveness. Managers prefer employees they see as loyal, inflating their performance ratings and paying them for the performance they have never shown or could never deliver. In such situations, unethical leadership conduct and behaviours have a detrimental effect on the remainder of the employees, including performers (Foscarini, 2012). Managers at Farfetch may quickly improve their performance evaluation system by implementing the following suggestions.</w:t>
      </w:r>
    </w:p>
    <w:p>
      <w:pPr>
        <w:pStyle w:val="17"/>
        <w:numPr>
          <w:ilvl w:val="0"/>
          <w:numId w:val="5"/>
        </w:numPr>
        <w:rPr>
          <w:rFonts w:ascii="Arial" w:hAnsi="Arial" w:cs="Arial"/>
          <w:szCs w:val="24"/>
        </w:rPr>
      </w:pPr>
      <w:r>
        <w:rPr>
          <w:rFonts w:ascii="Arial" w:hAnsi="Arial" w:cs="Arial"/>
          <w:szCs w:val="24"/>
        </w:rPr>
        <w:t>Make use of the evaluation paper as a jumping-off point for the conversation.</w:t>
      </w:r>
    </w:p>
    <w:p>
      <w:pPr>
        <w:pStyle w:val="17"/>
        <w:numPr>
          <w:ilvl w:val="0"/>
          <w:numId w:val="5"/>
        </w:numPr>
        <w:rPr>
          <w:rFonts w:ascii="Arial" w:hAnsi="Arial" w:cs="Arial"/>
          <w:szCs w:val="24"/>
        </w:rPr>
      </w:pPr>
      <w:r>
        <w:rPr>
          <w:rFonts w:ascii="Arial" w:hAnsi="Arial" w:cs="Arial"/>
          <w:szCs w:val="24"/>
        </w:rPr>
        <w:t>Participate actively in the conversation.</w:t>
      </w:r>
    </w:p>
    <w:p>
      <w:pPr>
        <w:pStyle w:val="17"/>
        <w:numPr>
          <w:ilvl w:val="0"/>
          <w:numId w:val="5"/>
        </w:numPr>
        <w:rPr>
          <w:rFonts w:ascii="Arial" w:hAnsi="Arial" w:cs="Arial"/>
          <w:szCs w:val="24"/>
        </w:rPr>
      </w:pPr>
      <w:r>
        <w:rPr>
          <w:rFonts w:ascii="Arial" w:hAnsi="Arial" w:cs="Arial"/>
          <w:szCs w:val="24"/>
        </w:rPr>
        <w:t>Provide frequent employee feedback.</w:t>
      </w:r>
    </w:p>
    <w:p>
      <w:pPr>
        <w:pStyle w:val="17"/>
        <w:numPr>
          <w:ilvl w:val="0"/>
          <w:numId w:val="5"/>
        </w:numPr>
        <w:rPr>
          <w:rFonts w:ascii="Arial" w:hAnsi="Arial" w:cs="Arial"/>
          <w:szCs w:val="24"/>
        </w:rPr>
      </w:pPr>
      <w:r>
        <w:rPr>
          <w:rFonts w:ascii="Arial" w:hAnsi="Arial" w:cs="Arial"/>
          <w:szCs w:val="24"/>
        </w:rPr>
        <w:t>Set the tone for the meeting using employee self-evaluations.</w:t>
      </w:r>
    </w:p>
    <w:p>
      <w:pPr>
        <w:pStyle w:val="3"/>
      </w:pPr>
      <w:bookmarkStart w:id="14" w:name="_Toc108962721"/>
      <w:r>
        <w:t>Value Conflict</w:t>
      </w:r>
      <w:bookmarkEnd w:id="14"/>
    </w:p>
    <w:p>
      <w:pPr>
        <w:rPr>
          <w:rFonts w:ascii="Arial" w:hAnsi="Arial" w:cs="Arial"/>
          <w:szCs w:val="24"/>
        </w:rPr>
      </w:pPr>
      <w:r>
        <w:rPr>
          <w:rFonts w:ascii="Arial" w:hAnsi="Arial" w:cs="Arial"/>
          <w:szCs w:val="24"/>
        </w:rPr>
        <w:t>For any organization, there are some concepts or core values, it wants its personnel to follow. On the other hand, employees are free to pursue their ideals, even though doing so may influence their level of productivity since they have their aims and aspirations.</w:t>
      </w:r>
    </w:p>
    <w:p>
      <w:pPr>
        <w:rPr>
          <w:rFonts w:ascii="Arial" w:hAnsi="Arial" w:cs="Arial"/>
          <w:szCs w:val="24"/>
        </w:rPr>
      </w:pPr>
      <w:r>
        <w:rPr>
          <w:rFonts w:ascii="Arial" w:hAnsi="Arial" w:cs="Arial"/>
          <w:szCs w:val="24"/>
        </w:rPr>
        <w:t>To resolve a disagreement involving values, Farfetch must first collect both sides of his thinking and then merge them into a single coherent concept (Nelson, 2012). Both halves of the mind need to return to their holistic state for the conflict to be resolved. After that, workers are in a position to take the necessary actions to achieve the goals that are most important to them in life.</w:t>
      </w:r>
      <w:r>
        <w:rPr>
          <w:rFonts w:ascii="Arial" w:hAnsi="Arial" w:cs="Arial"/>
          <w:szCs w:val="24"/>
        </w:rPr>
        <w:br w:type="page"/>
      </w:r>
    </w:p>
    <w:p>
      <w:pPr>
        <w:pStyle w:val="2"/>
        <w:rPr>
          <w:rFonts w:cs="Arial"/>
        </w:rPr>
      </w:pPr>
      <w:bookmarkStart w:id="15" w:name="_Toc108962722"/>
      <w:r>
        <w:rPr>
          <w:rFonts w:cs="Arial"/>
        </w:rPr>
        <w:t>Conclusion</w:t>
      </w:r>
      <w:bookmarkEnd w:id="15"/>
    </w:p>
    <w:p>
      <w:pPr>
        <w:rPr>
          <w:rFonts w:ascii="Arial" w:hAnsi="Arial" w:cs="Arial"/>
          <w:szCs w:val="24"/>
        </w:rPr>
      </w:pPr>
      <w:r>
        <w:rPr>
          <w:rFonts w:ascii="Arial" w:hAnsi="Arial" w:cs="Arial"/>
          <w:szCs w:val="24"/>
        </w:rPr>
        <w:t>The norms of conduct that are tolerated inside a corporation are determined by its culture. This culture is characterized by leaders developing shared perspectives and values, which are then conveyed to employees and reinforced via several channels, with the ultimate goal of affecting workers' perceptions, behaviours, and levels of understanding. The success of an organization is directly linked to both its culture and its level of change. They are helpful to those who are considering careers as managers in the public sector for a variety of reasons. They encourage creative thinking, help employees perform better, and improve an organization's overall effectiveness. Employees value the business culture because it increases the likelihood that they will like their employment when their requirements and values are met by their employers in the same manner.</w:t>
      </w:r>
    </w:p>
    <w:p>
      <w:pPr>
        <w:spacing w:line="259" w:lineRule="auto"/>
        <w:jc w:val="left"/>
        <w:rPr>
          <w:rFonts w:ascii="Arial" w:hAnsi="Arial" w:cs="Arial"/>
          <w:szCs w:val="24"/>
        </w:rPr>
      </w:pPr>
      <w:r>
        <w:rPr>
          <w:rFonts w:ascii="Arial" w:hAnsi="Arial" w:cs="Arial"/>
          <w:szCs w:val="24"/>
        </w:rPr>
        <w:br w:type="page"/>
      </w:r>
    </w:p>
    <w:p>
      <w:pPr>
        <w:pStyle w:val="2"/>
        <w:rPr>
          <w:rFonts w:cs="Arial"/>
        </w:rPr>
      </w:pPr>
      <w:bookmarkStart w:id="16" w:name="_Toc108962723"/>
      <w:r>
        <w:rPr>
          <w:rFonts w:cs="Arial"/>
        </w:rPr>
        <w:t>Task 2</w:t>
      </w:r>
      <w:bookmarkEnd w:id="16"/>
    </w:p>
    <w:p/>
    <w:p>
      <w:pPr>
        <w:rPr>
          <w:rFonts w:ascii="Arial" w:hAnsi="Arial" w:cs="Arial"/>
          <w:szCs w:val="24"/>
        </w:rPr>
      </w:pPr>
      <w:r>
        <w:rPr>
          <w:rFonts w:ascii="Arial" w:hAnsi="Arial" w:cs="Arial"/>
          <w:szCs w:val="24"/>
        </w:rPr>
        <w:t>For my learning reflection, I have been using the Gibbs reflective cycle model. A reflective essay is a kind of writing in which the author shares their thoughts on a piece of literature or recounts an experience from their own life. My thoughts, feelings, and opinions on the event, as well as how it influenced me, should be addressed throughout the experience. In 1988, Graham Gibbs developed the Gibbs Reflective Cycle intending to organize and facilitate learning via experience</w:t>
      </w:r>
      <w:r>
        <w:rPr>
          <w:rFonts w:ascii="Arial" w:hAnsi="Arial" w:cs="Arial"/>
          <w:sz w:val="28"/>
          <w:szCs w:val="32"/>
        </w:rPr>
        <w:t xml:space="preserve"> </w:t>
      </w:r>
      <w:r>
        <w:rPr>
          <w:rFonts w:ascii="Arial" w:hAnsi="Arial" w:cs="Arial"/>
          <w:szCs w:val="24"/>
        </w:rPr>
        <w:t xml:space="preserve">(Brockbank, 2012). It gives a framework for assessing events and, because of its cyclical nature, lends itself particularly well to recurrent encounters. As a result, it enables me to learn and prepare based on things that went well or badly, depending on the circumstances. </w:t>
      </w:r>
    </w:p>
    <w:p>
      <w:pPr>
        <w:rPr>
          <w:rFonts w:ascii="Arial" w:hAnsi="Arial" w:cs="Arial"/>
          <w:szCs w:val="24"/>
        </w:rPr>
      </w:pPr>
      <w:r>
        <w:rPr>
          <w:rFonts w:ascii="Arial" w:hAnsi="Arial" w:cs="Arial"/>
          <w:szCs w:val="24"/>
        </w:rPr>
        <w:t>This paper focuses on what I have learnt from the module and how it affects organizational success. The acceptable behaviour norms within a company are determined by its culture. Leaders develop a set of shared concepts and values, which are then conveyed to employees and reinforced via several channels, with the ultimate goal of influencing employees' perceptions, actions, and levels of understanding</w:t>
      </w:r>
      <w:r>
        <w:rPr>
          <w:rFonts w:ascii="Arial" w:hAnsi="Arial" w:cs="Arial"/>
          <w:sz w:val="28"/>
          <w:szCs w:val="32"/>
        </w:rPr>
        <w:t xml:space="preserve"> </w:t>
      </w:r>
      <w:r>
        <w:rPr>
          <w:rFonts w:ascii="Arial" w:hAnsi="Arial" w:cs="Arial"/>
          <w:szCs w:val="24"/>
        </w:rPr>
        <w:t>(Alvesson, 2016). The corporate culture has an impact on many aspects of a company, including punctuality, tone, contract terms, and employee remuneration. To bear personal responsibility for the business's internal structure and decision-making, I must be knowledgeable of the organization's organizational culture.</w:t>
      </w:r>
    </w:p>
    <w:p>
      <w:pPr>
        <w:rPr>
          <w:rFonts w:ascii="Arial" w:hAnsi="Arial" w:cs="Arial"/>
          <w:szCs w:val="24"/>
        </w:rPr>
      </w:pPr>
      <w:r>
        <w:rPr>
          <w:rFonts w:ascii="Arial" w:hAnsi="Arial" w:cs="Arial"/>
          <w:szCs w:val="24"/>
        </w:rPr>
        <w:t>My feelings from the learning are that every company have unique qualities that distinguish it different from its rivals and make it stand out in the marketplace. When the employees work together with management to achieve a common goal and are rewarded for doing so, they will internalize the cultural values of the organization. A company cannot accomplish its goals and ambitions without the unwavering support of its workforce</w:t>
      </w:r>
      <w:r>
        <w:rPr>
          <w:rFonts w:ascii="Arial" w:hAnsi="Arial" w:cs="Arial"/>
          <w:sz w:val="28"/>
          <w:szCs w:val="32"/>
        </w:rPr>
        <w:t xml:space="preserve"> </w:t>
      </w:r>
      <w:r>
        <w:rPr>
          <w:rFonts w:ascii="Arial" w:hAnsi="Arial" w:cs="Arial"/>
          <w:szCs w:val="24"/>
        </w:rPr>
        <w:t>(Zakaria, 2014). This is due to the culture of the organization, which may have a psychological impact on the performance of its staff members. An employee may feel obliged to adopt a culture that is not their own if a certain culture is ingrained in them and becomes part of their identity.</w:t>
      </w:r>
    </w:p>
    <w:p>
      <w:pPr>
        <w:rPr>
          <w:rFonts w:ascii="Arial" w:hAnsi="Arial" w:cs="Arial"/>
          <w:szCs w:val="24"/>
        </w:rPr>
      </w:pPr>
      <w:r>
        <w:rPr>
          <w:rFonts w:ascii="Arial" w:hAnsi="Arial" w:cs="Arial"/>
          <w:szCs w:val="24"/>
        </w:rPr>
        <w:t>Evaluation from the experience taught me that company cultures may have a wide range of consequences on employee performance and motivation. Employees who sense they are a part of the corporate environment are more likely to work harder to achieve organizational goals</w:t>
      </w:r>
      <w:r>
        <w:rPr>
          <w:rFonts w:ascii="Arial" w:hAnsi="Arial" w:cs="Arial"/>
          <w:sz w:val="28"/>
          <w:szCs w:val="32"/>
        </w:rPr>
        <w:t xml:space="preserve"> </w:t>
      </w:r>
      <w:r>
        <w:rPr>
          <w:rFonts w:ascii="Arial" w:hAnsi="Arial" w:cs="Arial"/>
          <w:szCs w:val="24"/>
        </w:rPr>
        <w:t>(Walker, 2018). I've also learned that the existence of many cultures inside a single firm might have a negative impact on employee performance. A positive workplace culture attracts talent, stimulates engagement, affects happiness and job satisfaction, and has an impact on performance. Everything influences the personality of my firm. Leadership, management, workplace practices, norms, and other factors all have a significant impact on culture.</w:t>
      </w:r>
    </w:p>
    <w:p>
      <w:pPr>
        <w:rPr>
          <w:rFonts w:ascii="Arial" w:hAnsi="Arial" w:cs="Arial"/>
          <w:szCs w:val="24"/>
        </w:rPr>
      </w:pPr>
      <w:r>
        <w:rPr>
          <w:rFonts w:ascii="Arial" w:hAnsi="Arial" w:cs="Arial"/>
          <w:szCs w:val="24"/>
        </w:rPr>
        <w:t>After analyzing the module learning the fact has come forward that organizational culture that fosters a socio-moral and employee-supportive environment develops, enhances, and deepens the workers' potential, work motivation, and job satisfaction, which are the most critical components for increasing the employees' job performance</w:t>
      </w:r>
      <w:r>
        <w:rPr>
          <w:rFonts w:ascii="Arial" w:hAnsi="Arial" w:cs="Arial"/>
          <w:sz w:val="28"/>
          <w:szCs w:val="32"/>
        </w:rPr>
        <w:t xml:space="preserve"> </w:t>
      </w:r>
      <w:r>
        <w:rPr>
          <w:rFonts w:ascii="Arial" w:hAnsi="Arial" w:cs="Arial"/>
          <w:szCs w:val="24"/>
        </w:rPr>
        <w:t>(Nelson, 2012). There is a possibility that the impact of corporate culture on employee performance and motivation will differ. When employees feel that they are a part of the corporate environment, they are more likely to put in extra effort to achieve the goals of the firm</w:t>
      </w:r>
      <w:r>
        <w:rPr>
          <w:rFonts w:ascii="Arial" w:hAnsi="Arial" w:cs="Arial"/>
          <w:sz w:val="28"/>
          <w:szCs w:val="32"/>
        </w:rPr>
        <w:t xml:space="preserve"> </w:t>
      </w:r>
      <w:r>
        <w:rPr>
          <w:rFonts w:ascii="Arial" w:hAnsi="Arial" w:cs="Arial"/>
          <w:szCs w:val="24"/>
        </w:rPr>
        <w:t>(Bloor, 2015). It's possible that different cultures within the same company might affect employee performance.</w:t>
      </w:r>
    </w:p>
    <w:p>
      <w:pPr>
        <w:rPr>
          <w:rFonts w:ascii="Arial" w:hAnsi="Arial" w:cs="Arial"/>
          <w:szCs w:val="24"/>
        </w:rPr>
      </w:pPr>
      <w:r>
        <w:rPr>
          <w:rFonts w:ascii="Arial" w:hAnsi="Arial" w:cs="Arial"/>
          <w:szCs w:val="24"/>
        </w:rPr>
        <w:t>The reflective learning in this curriculum has improved both my academic and practical knowledge of business culture (Foscarini, 2012). This experience has taught me that if the culture of the business is consistent with its principles, my workers are more likely to feel supported, appreciated, and at ease at work. If I create a strong culture, I will be able to give stability and direction, lead decisions and activities, encourage personnel, and assist them in reaching their full potential. Even while organizational culture is an important component of a company, it may not always be visible to long-term workers</w:t>
      </w:r>
      <w:r>
        <w:rPr>
          <w:rFonts w:ascii="Arial" w:hAnsi="Arial" w:cs="Arial"/>
          <w:sz w:val="28"/>
          <w:szCs w:val="32"/>
        </w:rPr>
        <w:t xml:space="preserve"> </w:t>
      </w:r>
      <w:r>
        <w:rPr>
          <w:rFonts w:ascii="Arial" w:hAnsi="Arial" w:cs="Arial"/>
          <w:szCs w:val="24"/>
        </w:rPr>
        <w:t>(Fachriansyah, 2021). My expectations for how my employees should behave and interact, as well as how well they will perform as a team, are more likely to be satisfied if they grasp our company's culture. In this approach, culture may help to break down barriers across teams, improve decision-making, and boost overall productivity.</w:t>
      </w:r>
    </w:p>
    <w:p>
      <w:pPr>
        <w:rPr>
          <w:rFonts w:ascii="Arial" w:hAnsi="Arial" w:cs="Arial"/>
          <w:szCs w:val="24"/>
        </w:rPr>
      </w:pPr>
      <w:r>
        <w:rPr>
          <w:rFonts w:ascii="Arial" w:hAnsi="Arial" w:cs="Arial"/>
          <w:szCs w:val="24"/>
        </w:rPr>
        <w:t>In future, at the workplace, I can face the same situation. There if I am motivated and have the time to study, if I am not accustomed to self-directed learning, I will know where to begin or how to arrange my progress. When part of building a learning culture, I will need to find a way to aid employees as they enter the area of self-development. When I am unclear about what I need to learn, self-directed learning may be extremely challenging</w:t>
      </w:r>
      <w:r>
        <w:rPr>
          <w:rFonts w:ascii="Arial" w:hAnsi="Arial" w:cs="Arial"/>
          <w:sz w:val="28"/>
          <w:szCs w:val="32"/>
        </w:rPr>
        <w:t xml:space="preserve"> </w:t>
      </w:r>
      <w:r>
        <w:rPr>
          <w:rFonts w:ascii="Arial" w:hAnsi="Arial" w:cs="Arial"/>
          <w:szCs w:val="24"/>
        </w:rPr>
        <w:t>(David, 2016). Again, part of building a learning culture includes assisting learners in understanding their development needs in terms of work performance, preparing for career advancement, and fulfilling the organization's future objectives.</w:t>
      </w:r>
    </w:p>
    <w:p>
      <w:pPr>
        <w:rPr>
          <w:rFonts w:ascii="Arial" w:hAnsi="Arial" w:cs="Arial"/>
          <w:szCs w:val="24"/>
        </w:rPr>
      </w:pPr>
      <w:r>
        <w:rPr>
          <w:rFonts w:ascii="Arial" w:hAnsi="Arial" w:cs="Arial"/>
          <w:szCs w:val="24"/>
        </w:rPr>
        <w:t>In the end, this experience has taught me that the majority of people working in an organization are preoccupied with things like appointments, piled-up email inboxes, recurring events on their calendars, and extensive to-do lists</w:t>
      </w:r>
      <w:r>
        <w:rPr>
          <w:rFonts w:ascii="Arial" w:hAnsi="Arial" w:cs="Arial"/>
          <w:sz w:val="28"/>
          <w:szCs w:val="32"/>
        </w:rPr>
        <w:t xml:space="preserve"> </w:t>
      </w:r>
      <w:r>
        <w:rPr>
          <w:rFonts w:ascii="Arial" w:hAnsi="Arial" w:cs="Arial"/>
          <w:szCs w:val="24"/>
        </w:rPr>
        <w:t xml:space="preserve">(Dileo, 2013). We have very little time for learning and development, and certainly none for reflecting on our experiences. To establish a culture of learning, it is necessary to assist individuals in making time for learning; but, in a chaotic workplace in which people are always running late for something else, it may be challenging for learning to become a priority. </w:t>
      </w:r>
    </w:p>
    <w:p>
      <w:pPr>
        <w:rPr>
          <w:rFonts w:ascii="Arial" w:hAnsi="Arial" w:cs="Arial"/>
          <w:szCs w:val="24"/>
        </w:rPr>
      </w:pPr>
    </w:p>
    <w:p>
      <w:pPr>
        <w:spacing w:line="259" w:lineRule="auto"/>
        <w:jc w:val="left"/>
        <w:rPr>
          <w:rFonts w:ascii="Arial" w:hAnsi="Arial" w:cs="Arial"/>
          <w:szCs w:val="24"/>
        </w:rPr>
      </w:pPr>
      <w:r>
        <w:rPr>
          <w:rFonts w:ascii="Arial" w:hAnsi="Arial" w:cs="Arial"/>
          <w:szCs w:val="24"/>
        </w:rPr>
        <w:br w:type="page"/>
      </w:r>
    </w:p>
    <w:p>
      <w:pPr>
        <w:pStyle w:val="2"/>
        <w:rPr>
          <w:rFonts w:hint="default" w:cs="Arial"/>
        </w:rPr>
      </w:pPr>
      <w:bookmarkStart w:id="17" w:name="_Toc108962724"/>
      <w:r>
        <w:rPr>
          <w:rFonts w:cs="Arial"/>
        </w:rPr>
        <w:t>Reference</w:t>
      </w:r>
      <w:bookmarkEnd w:id="17"/>
      <w:r>
        <w:rPr>
          <w:rFonts w:cs="Arial"/>
        </w:rPr>
        <w:t xml:space="preserve"> </w:t>
      </w:r>
      <w:r>
        <w:rPr>
          <w:rFonts w:hint="default" w:cs="Arial"/>
        </w:rPr>
        <w:t>Task 1</w:t>
      </w:r>
    </w:p>
    <w:p>
      <w:pPr>
        <w:rPr>
          <w:rFonts w:ascii="Arial" w:hAnsi="Arial" w:cs="Arial"/>
          <w:szCs w:val="24"/>
        </w:rPr>
      </w:pPr>
      <w:r>
        <w:rPr>
          <w:rFonts w:ascii="Arial" w:hAnsi="Arial" w:cs="Arial"/>
          <w:szCs w:val="24"/>
        </w:rPr>
        <w:t xml:space="preserve">Alonazi, W.B. (2021). Building Learning Organizational Culture during COVID-19 Outbreak: A National Study. </w:t>
      </w:r>
      <w:r>
        <w:rPr>
          <w:rFonts w:ascii="Arial" w:hAnsi="Arial" w:cs="Arial"/>
          <w:i/>
          <w:iCs/>
          <w:szCs w:val="24"/>
        </w:rPr>
        <w:t>BMC Health Services Research</w:t>
      </w:r>
      <w:r>
        <w:rPr>
          <w:rFonts w:ascii="Arial" w:hAnsi="Arial" w:cs="Arial"/>
          <w:szCs w:val="24"/>
        </w:rPr>
        <w:t>, 21(1), pp.35-45. doi:10.1186/s12913-021-06454-9.</w:t>
      </w:r>
    </w:p>
    <w:p>
      <w:pPr>
        <w:rPr>
          <w:rFonts w:ascii="Arial" w:hAnsi="Arial" w:cs="Arial"/>
          <w:szCs w:val="24"/>
        </w:rPr>
      </w:pPr>
      <w:r>
        <w:rPr>
          <w:rFonts w:ascii="Arial" w:hAnsi="Arial" w:cs="Arial"/>
          <w:szCs w:val="24"/>
        </w:rPr>
        <w:t xml:space="preserve">Alvesson, M. (2016). Understanding Organizational Culture. </w:t>
      </w:r>
      <w:r>
        <w:rPr>
          <w:rFonts w:ascii="Arial" w:hAnsi="Arial" w:cs="Arial"/>
          <w:i/>
          <w:iCs/>
          <w:szCs w:val="24"/>
        </w:rPr>
        <w:t>Administrative Science Quarterly</w:t>
      </w:r>
      <w:r>
        <w:rPr>
          <w:rFonts w:ascii="Arial" w:hAnsi="Arial" w:cs="Arial"/>
          <w:szCs w:val="24"/>
        </w:rPr>
        <w:t>, 48(1), p.133. doi:10.2307/3556624.</w:t>
      </w:r>
    </w:p>
    <w:p>
      <w:pPr>
        <w:rPr>
          <w:rFonts w:ascii="Arial" w:hAnsi="Arial" w:cs="Arial"/>
          <w:szCs w:val="24"/>
        </w:rPr>
      </w:pPr>
      <w:r>
        <w:rPr>
          <w:rFonts w:ascii="Arial" w:hAnsi="Arial" w:cs="Arial"/>
          <w:szCs w:val="24"/>
        </w:rPr>
        <w:t xml:space="preserve">Bloor, G. (2015). Understanding Professional Culture in Organizational Context. </w:t>
      </w:r>
      <w:r>
        <w:rPr>
          <w:rFonts w:ascii="Arial" w:hAnsi="Arial" w:cs="Arial"/>
          <w:i/>
          <w:iCs/>
          <w:szCs w:val="24"/>
        </w:rPr>
        <w:t>Organization Studies</w:t>
      </w:r>
      <w:r>
        <w:rPr>
          <w:rFonts w:ascii="Arial" w:hAnsi="Arial" w:cs="Arial"/>
          <w:szCs w:val="24"/>
        </w:rPr>
        <w:t>, 15(2), pp.275–295. doi:10.1177/017084069401500205.</w:t>
      </w:r>
    </w:p>
    <w:p>
      <w:pPr>
        <w:rPr>
          <w:rFonts w:ascii="Arial" w:hAnsi="Arial" w:cs="Arial"/>
          <w:szCs w:val="24"/>
        </w:rPr>
      </w:pPr>
      <w:r>
        <w:rPr>
          <w:rFonts w:ascii="Arial" w:hAnsi="Arial" w:cs="Arial"/>
          <w:szCs w:val="24"/>
        </w:rPr>
        <w:t xml:space="preserve">Brockbank, A. (2012). </w:t>
      </w:r>
      <w:r>
        <w:rPr>
          <w:rFonts w:ascii="Arial" w:hAnsi="Arial" w:cs="Arial"/>
          <w:i/>
          <w:iCs/>
          <w:szCs w:val="24"/>
        </w:rPr>
        <w:t>Reflective Learning in Practice</w:t>
      </w:r>
      <w:r>
        <w:rPr>
          <w:rFonts w:ascii="Arial" w:hAnsi="Arial" w:cs="Arial"/>
          <w:szCs w:val="24"/>
        </w:rPr>
        <w:t>. Aldershot: Gower.</w:t>
      </w:r>
    </w:p>
    <w:p>
      <w:pPr>
        <w:rPr>
          <w:rFonts w:ascii="Arial" w:hAnsi="Arial" w:cs="Arial"/>
          <w:szCs w:val="24"/>
        </w:rPr>
      </w:pPr>
      <w:r>
        <w:rPr>
          <w:rFonts w:ascii="Arial" w:hAnsi="Arial" w:cs="Arial"/>
          <w:szCs w:val="24"/>
        </w:rPr>
        <w:t xml:space="preserve">Cartwright, S. (2019). </w:t>
      </w:r>
      <w:r>
        <w:rPr>
          <w:rFonts w:ascii="Arial" w:hAnsi="Arial" w:cs="Arial"/>
          <w:i/>
          <w:iCs/>
          <w:szCs w:val="24"/>
        </w:rPr>
        <w:t>The International Handbook of Organizational Culture and Climate</w:t>
      </w:r>
      <w:r>
        <w:rPr>
          <w:rFonts w:ascii="Arial" w:hAnsi="Arial" w:cs="Arial"/>
          <w:szCs w:val="24"/>
        </w:rPr>
        <w:t>. Chichester: Wiley.</w:t>
      </w:r>
    </w:p>
    <w:p>
      <w:pPr>
        <w:rPr>
          <w:rFonts w:ascii="Arial" w:hAnsi="Arial" w:cs="Arial"/>
          <w:szCs w:val="24"/>
        </w:rPr>
      </w:pPr>
      <w:r>
        <w:rPr>
          <w:rFonts w:ascii="Arial" w:hAnsi="Arial" w:cs="Arial"/>
          <w:szCs w:val="24"/>
        </w:rPr>
        <w:t xml:space="preserve">Daum, D.L. (2021). The Importance of Culture in the Era of COVID-19. </w:t>
      </w:r>
      <w:r>
        <w:rPr>
          <w:rFonts w:ascii="Arial" w:hAnsi="Arial" w:cs="Arial"/>
          <w:i/>
          <w:iCs/>
          <w:szCs w:val="24"/>
        </w:rPr>
        <w:t>Industrial and Organizational Psychology</w:t>
      </w:r>
      <w:r>
        <w:rPr>
          <w:rFonts w:ascii="Arial" w:hAnsi="Arial" w:cs="Arial"/>
          <w:szCs w:val="24"/>
        </w:rPr>
        <w:t>, 14(1-2), pp.160–162. doi:10.1017/iop.2021.40.</w:t>
      </w:r>
    </w:p>
    <w:p>
      <w:pPr>
        <w:rPr>
          <w:rFonts w:ascii="Arial" w:hAnsi="Arial" w:cs="Arial"/>
          <w:szCs w:val="24"/>
        </w:rPr>
      </w:pPr>
      <w:r>
        <w:rPr>
          <w:rFonts w:ascii="Arial" w:hAnsi="Arial" w:cs="Arial"/>
          <w:szCs w:val="24"/>
        </w:rPr>
        <w:t xml:space="preserve">David, M. (2016). </w:t>
      </w:r>
      <w:r>
        <w:rPr>
          <w:rFonts w:ascii="Arial" w:hAnsi="Arial" w:cs="Arial"/>
          <w:i/>
          <w:iCs/>
          <w:szCs w:val="24"/>
        </w:rPr>
        <w:t>Organizational Culture</w:t>
      </w:r>
      <w:r>
        <w:rPr>
          <w:rFonts w:ascii="Arial" w:hAnsi="Arial" w:cs="Arial"/>
          <w:szCs w:val="24"/>
        </w:rPr>
        <w:t>. Los Angeles: Sage.</w:t>
      </w:r>
    </w:p>
    <w:p>
      <w:pPr>
        <w:rPr>
          <w:rFonts w:ascii="Arial" w:hAnsi="Arial" w:cs="Arial"/>
          <w:szCs w:val="24"/>
        </w:rPr>
      </w:pPr>
      <w:r>
        <w:rPr>
          <w:rFonts w:ascii="Arial" w:hAnsi="Arial" w:cs="Arial"/>
          <w:szCs w:val="24"/>
        </w:rPr>
        <w:t xml:space="preserve">Dileo, D. (2013). </w:t>
      </w:r>
      <w:r>
        <w:rPr>
          <w:rFonts w:ascii="Arial" w:hAnsi="Arial" w:cs="Arial"/>
          <w:i/>
          <w:iCs/>
          <w:szCs w:val="24"/>
        </w:rPr>
        <w:t>Working Together: Workplace Culture, Supported Employment, and Persons With Disabilities</w:t>
      </w:r>
      <w:r>
        <w:rPr>
          <w:rFonts w:ascii="Arial" w:hAnsi="Arial" w:cs="Arial"/>
          <w:szCs w:val="24"/>
        </w:rPr>
        <w:t>. Cambridge: Brookline Books.</w:t>
      </w:r>
    </w:p>
    <w:p>
      <w:pPr>
        <w:rPr>
          <w:rFonts w:ascii="Arial" w:hAnsi="Arial" w:cs="Arial"/>
          <w:szCs w:val="24"/>
        </w:rPr>
      </w:pPr>
      <w:r>
        <w:rPr>
          <w:rFonts w:ascii="Arial" w:hAnsi="Arial" w:cs="Arial"/>
          <w:szCs w:val="24"/>
        </w:rPr>
        <w:t xml:space="preserve">Driskill, G.W. (2019). </w:t>
      </w:r>
      <w:r>
        <w:rPr>
          <w:rFonts w:ascii="Arial" w:hAnsi="Arial" w:cs="Arial"/>
          <w:i/>
          <w:iCs/>
          <w:szCs w:val="24"/>
        </w:rPr>
        <w:t>Organizational Culture in Action: A Cultural Analysis Workbook</w:t>
      </w:r>
      <w:r>
        <w:rPr>
          <w:rFonts w:ascii="Arial" w:hAnsi="Arial" w:cs="Arial"/>
          <w:szCs w:val="24"/>
        </w:rPr>
        <w:t>. New York: Routledge.</w:t>
      </w:r>
    </w:p>
    <w:p>
      <w:pPr>
        <w:rPr>
          <w:rFonts w:ascii="Arial" w:hAnsi="Arial" w:cs="Arial"/>
          <w:szCs w:val="24"/>
        </w:rPr>
      </w:pPr>
      <w:r>
        <w:rPr>
          <w:rFonts w:ascii="Arial" w:hAnsi="Arial" w:cs="Arial"/>
          <w:szCs w:val="24"/>
        </w:rPr>
        <w:t xml:space="preserve">Fachriansyah, R. (2021). The Effect of Organizational Support Perception, Organizational Change, and Organizational Culture on Employee Performance of PT. </w:t>
      </w:r>
      <w:r>
        <w:rPr>
          <w:rFonts w:ascii="Arial" w:hAnsi="Arial" w:cs="Arial"/>
          <w:i/>
          <w:iCs/>
          <w:szCs w:val="24"/>
        </w:rPr>
        <w:t>Journal of Organisational Process,</w:t>
      </w:r>
      <w:r>
        <w:rPr>
          <w:rFonts w:ascii="Arial" w:hAnsi="Arial" w:cs="Arial"/>
          <w:szCs w:val="24"/>
        </w:rPr>
        <w:t xml:space="preserve"> 1(3), pp.188–198. doi:10.22219/jamanika.v1i3.18214.</w:t>
      </w:r>
    </w:p>
    <w:p>
      <w:pPr>
        <w:rPr>
          <w:rFonts w:ascii="Arial" w:hAnsi="Arial" w:cs="Arial"/>
          <w:szCs w:val="24"/>
        </w:rPr>
      </w:pPr>
      <w:r>
        <w:rPr>
          <w:rFonts w:ascii="Arial" w:hAnsi="Arial" w:cs="Arial"/>
          <w:szCs w:val="24"/>
        </w:rPr>
        <w:t xml:space="preserve">Foscarini, F. (2012). Understanding Functions: An Organizational Culture Perspective. </w:t>
      </w:r>
      <w:r>
        <w:rPr>
          <w:rFonts w:ascii="Arial" w:hAnsi="Arial" w:cs="Arial"/>
          <w:i/>
          <w:iCs/>
          <w:szCs w:val="24"/>
        </w:rPr>
        <w:t>Records Management Journal</w:t>
      </w:r>
      <w:r>
        <w:rPr>
          <w:rFonts w:ascii="Arial" w:hAnsi="Arial" w:cs="Arial"/>
          <w:szCs w:val="24"/>
        </w:rPr>
        <w:t>, 22(1), pp.20–36. doi:10.1108/09565691211222072.</w:t>
      </w:r>
    </w:p>
    <w:p>
      <w:pPr>
        <w:rPr>
          <w:rFonts w:ascii="Arial" w:hAnsi="Arial" w:cs="Arial"/>
          <w:szCs w:val="24"/>
        </w:rPr>
      </w:pPr>
      <w:r>
        <w:rPr>
          <w:rFonts w:ascii="Arial" w:hAnsi="Arial" w:cs="Arial"/>
          <w:szCs w:val="24"/>
        </w:rPr>
        <w:t xml:space="preserve">Gavardashvili, D. (2022). The Covid-19 Pandemic and the Challenges of Organizational Change. </w:t>
      </w:r>
      <w:r>
        <w:rPr>
          <w:rFonts w:ascii="Arial" w:hAnsi="Arial" w:cs="Arial"/>
          <w:i/>
          <w:iCs/>
          <w:szCs w:val="24"/>
        </w:rPr>
        <w:t>New Economist</w:t>
      </w:r>
      <w:r>
        <w:rPr>
          <w:rFonts w:ascii="Arial" w:hAnsi="Arial" w:cs="Arial"/>
          <w:szCs w:val="24"/>
        </w:rPr>
        <w:t>, 17(3). doi:10.52340/tne.2022.17.1.07.</w:t>
      </w:r>
    </w:p>
    <w:p>
      <w:pPr>
        <w:rPr>
          <w:rFonts w:ascii="Arial" w:hAnsi="Arial" w:cs="Arial"/>
          <w:szCs w:val="24"/>
        </w:rPr>
      </w:pPr>
      <w:r>
        <w:rPr>
          <w:rFonts w:ascii="Arial" w:hAnsi="Arial" w:cs="Arial"/>
          <w:szCs w:val="24"/>
        </w:rPr>
        <w:t xml:space="preserve">Nelson, D.L. (2012). </w:t>
      </w:r>
      <w:r>
        <w:rPr>
          <w:rFonts w:ascii="Arial" w:hAnsi="Arial" w:cs="Arial"/>
          <w:i/>
          <w:iCs/>
          <w:szCs w:val="24"/>
        </w:rPr>
        <w:t>Understanding Organizational Behavior</w:t>
      </w:r>
      <w:r>
        <w:rPr>
          <w:rFonts w:ascii="Arial" w:hAnsi="Arial" w:cs="Arial"/>
          <w:szCs w:val="24"/>
        </w:rPr>
        <w:t>. South-Western: Thomson.</w:t>
      </w:r>
    </w:p>
    <w:p>
      <w:pPr>
        <w:rPr>
          <w:rFonts w:ascii="Arial" w:hAnsi="Arial" w:cs="Arial"/>
          <w:szCs w:val="24"/>
        </w:rPr>
      </w:pPr>
      <w:r>
        <w:rPr>
          <w:rFonts w:ascii="Arial" w:hAnsi="Arial" w:cs="Arial"/>
          <w:szCs w:val="24"/>
        </w:rPr>
        <w:t xml:space="preserve">Schein, E.H. (2011). </w:t>
      </w:r>
      <w:r>
        <w:rPr>
          <w:rFonts w:ascii="Arial" w:hAnsi="Arial" w:cs="Arial"/>
          <w:i/>
          <w:iCs/>
          <w:szCs w:val="24"/>
        </w:rPr>
        <w:t>Organizational Culture and Leadership</w:t>
      </w:r>
      <w:r>
        <w:rPr>
          <w:rFonts w:ascii="Arial" w:hAnsi="Arial" w:cs="Arial"/>
          <w:szCs w:val="24"/>
        </w:rPr>
        <w:t>. 5th ed. New Jersey: Hoboken.</w:t>
      </w:r>
    </w:p>
    <w:p>
      <w:pPr>
        <w:rPr>
          <w:rFonts w:ascii="Arial" w:hAnsi="Arial" w:cs="Arial"/>
          <w:szCs w:val="24"/>
        </w:rPr>
      </w:pPr>
      <w:r>
        <w:rPr>
          <w:rFonts w:ascii="Arial" w:hAnsi="Arial" w:cs="Arial"/>
          <w:szCs w:val="24"/>
        </w:rPr>
        <w:t>Spicer, A. (2020). Organizational Culture and COVID</w:t>
      </w:r>
      <w:r>
        <w:rPr>
          <w:rFonts w:ascii="Cambria Math" w:hAnsi="Cambria Math" w:cs="Cambria Math"/>
          <w:szCs w:val="24"/>
        </w:rPr>
        <w:t>‐</w:t>
      </w:r>
      <w:r>
        <w:rPr>
          <w:rFonts w:ascii="Arial" w:hAnsi="Arial" w:cs="Arial"/>
          <w:szCs w:val="24"/>
        </w:rPr>
        <w:t xml:space="preserve">19. </w:t>
      </w:r>
      <w:r>
        <w:rPr>
          <w:rFonts w:ascii="Arial" w:hAnsi="Arial" w:cs="Arial"/>
          <w:i/>
          <w:iCs/>
          <w:szCs w:val="24"/>
        </w:rPr>
        <w:t>Journal of Management Studies</w:t>
      </w:r>
      <w:r>
        <w:rPr>
          <w:rFonts w:ascii="Arial" w:hAnsi="Arial" w:cs="Arial"/>
          <w:szCs w:val="24"/>
        </w:rPr>
        <w:t>, [online] 57(8). doi:10.1111/joms.12625.</w:t>
      </w:r>
    </w:p>
    <w:p>
      <w:pPr>
        <w:rPr>
          <w:rFonts w:ascii="Arial" w:hAnsi="Arial" w:cs="Arial"/>
          <w:szCs w:val="24"/>
        </w:rPr>
      </w:pPr>
      <w:r>
        <w:rPr>
          <w:rFonts w:ascii="Arial" w:hAnsi="Arial" w:cs="Arial"/>
          <w:szCs w:val="24"/>
        </w:rPr>
        <w:t xml:space="preserve">Suarniati, N.W. (2022). The Strength of Organizational Culture and Education in Motivating Entrepreneurs during the Covid-19 Pandemic. </w:t>
      </w:r>
      <w:r>
        <w:rPr>
          <w:rFonts w:ascii="Arial" w:hAnsi="Arial" w:cs="Arial"/>
          <w:i/>
          <w:iCs/>
          <w:szCs w:val="24"/>
        </w:rPr>
        <w:t>Jambura Science of Management</w:t>
      </w:r>
      <w:r>
        <w:rPr>
          <w:rFonts w:ascii="Arial" w:hAnsi="Arial" w:cs="Arial"/>
          <w:szCs w:val="24"/>
        </w:rPr>
        <w:t>, 4(2), pp.68–80. doi:10.37479/jsm.v4i2.13556.</w:t>
      </w:r>
    </w:p>
    <w:p>
      <w:pPr>
        <w:rPr>
          <w:rFonts w:ascii="Arial" w:hAnsi="Arial" w:cs="Arial"/>
          <w:szCs w:val="24"/>
        </w:rPr>
      </w:pPr>
      <w:r>
        <w:rPr>
          <w:rFonts w:ascii="Arial" w:hAnsi="Arial" w:cs="Arial"/>
          <w:szCs w:val="24"/>
        </w:rPr>
        <w:t xml:space="preserve">Walker, D. (2018). </w:t>
      </w:r>
      <w:r>
        <w:rPr>
          <w:rFonts w:ascii="Arial" w:hAnsi="Arial" w:cs="Arial"/>
          <w:i/>
          <w:iCs/>
          <w:szCs w:val="24"/>
        </w:rPr>
        <w:t>Reflection: Turning Experience into Learning</w:t>
      </w:r>
      <w:r>
        <w:rPr>
          <w:rFonts w:ascii="Arial" w:hAnsi="Arial" w:cs="Arial"/>
          <w:szCs w:val="24"/>
        </w:rPr>
        <w:t>. New York: Kogan Page.</w:t>
      </w:r>
    </w:p>
    <w:p>
      <w:pPr>
        <w:rPr>
          <w:rFonts w:ascii="Arial" w:hAnsi="Arial" w:cs="Arial"/>
          <w:szCs w:val="24"/>
        </w:rPr>
      </w:pPr>
      <w:r>
        <w:rPr>
          <w:rFonts w:ascii="Arial" w:hAnsi="Arial" w:cs="Arial"/>
          <w:szCs w:val="24"/>
        </w:rPr>
        <w:t xml:space="preserve">Zakaria, N. (2014). Understanding Organizational Culture for Effective Knowledge Sharing Behaviors in the Workplace. </w:t>
      </w:r>
      <w:r>
        <w:rPr>
          <w:rFonts w:ascii="Arial" w:hAnsi="Arial" w:cs="Arial"/>
          <w:i/>
          <w:iCs/>
          <w:szCs w:val="24"/>
        </w:rPr>
        <w:t>Organizational Cultures: An International Journal</w:t>
      </w:r>
      <w:r>
        <w:rPr>
          <w:rFonts w:ascii="Arial" w:hAnsi="Arial" w:cs="Arial"/>
          <w:szCs w:val="24"/>
        </w:rPr>
        <w:t>, 13(3), pp.33–52. doi:10.18848/2327-8013/cgp/v13i03/59257.</w:t>
      </w:r>
    </w:p>
    <w:p>
      <w:pPr>
        <w:rPr>
          <w:rFonts w:ascii="Arial" w:hAnsi="Arial" w:cs="Arial"/>
          <w:szCs w:val="24"/>
        </w:rPr>
      </w:pPr>
      <w:bookmarkStart w:id="18" w:name="_GoBack"/>
      <w:bookmarkEnd w:id="18"/>
    </w:p>
    <w:p>
      <w:pPr>
        <w:rPr>
          <w:rFonts w:ascii="Arial" w:hAnsi="Arial" w:cs="Arial"/>
          <w:szCs w:val="24"/>
        </w:rPr>
      </w:pPr>
      <w:r>
        <w:rPr>
          <w:rFonts w:ascii="Arial" w:hAnsi="Arial" w:cs="Arial"/>
          <w:szCs w:val="24"/>
        </w:rPr>
        <w:t>‌</w:t>
      </w:r>
    </w:p>
    <w:p>
      <w:pPr>
        <w:rPr>
          <w:rFonts w:hint="default" w:ascii="Arial" w:hAnsi="Arial" w:cs="Arial"/>
          <w:b/>
          <w:bCs/>
          <w:szCs w:val="24"/>
        </w:rPr>
      </w:pPr>
    </w:p>
    <w:p>
      <w:pPr>
        <w:rPr>
          <w:rFonts w:hint="default" w:ascii="Arial" w:hAnsi="Arial" w:cs="Arial"/>
          <w:b/>
          <w:bCs/>
          <w:sz w:val="32"/>
          <w:szCs w:val="32"/>
        </w:rPr>
      </w:pPr>
      <w:r>
        <w:rPr>
          <w:rFonts w:hint="default" w:ascii="Arial" w:hAnsi="Arial" w:cs="Arial"/>
          <w:b/>
          <w:bCs/>
          <w:sz w:val="32"/>
          <w:szCs w:val="32"/>
        </w:rPr>
        <w:t>Reference Task</w:t>
      </w:r>
      <w:r>
        <w:rPr>
          <w:rFonts w:hint="default" w:ascii="Arial" w:hAnsi="Arial" w:cs="Arial"/>
          <w:b/>
          <w:bCs/>
          <w:szCs w:val="24"/>
        </w:rPr>
        <w:t xml:space="preserve"> </w:t>
      </w:r>
      <w:r>
        <w:rPr>
          <w:rFonts w:hint="default" w:ascii="Arial" w:hAnsi="Arial" w:cs="Arial"/>
          <w:b/>
          <w:bCs/>
          <w:sz w:val="32"/>
          <w:szCs w:val="32"/>
        </w:rPr>
        <w:t>2</w:t>
      </w:r>
    </w:p>
    <w:p>
      <w:pPr>
        <w:rPr>
          <w:rFonts w:hint="default" w:ascii="Arial" w:hAnsi="Arial" w:cs="Arial"/>
          <w:b w:val="0"/>
          <w:bCs w:val="0"/>
          <w:szCs w:val="24"/>
        </w:rPr>
      </w:pPr>
      <w:r>
        <w:rPr>
          <w:rFonts w:hint="default" w:ascii="Arial" w:hAnsi="Arial" w:cs="Arial"/>
          <w:b w:val="0"/>
          <w:bCs w:val="0"/>
          <w:szCs w:val="24"/>
        </w:rPr>
        <w:t>Alvesson , M. (2016).Organizational Culture .Los Angeles:Sage.</w:t>
      </w:r>
    </w:p>
    <w:p>
      <w:pPr>
        <w:ind w:left="120" w:hanging="120" w:hangingChars="50"/>
        <w:rPr>
          <w:rFonts w:hint="default" w:ascii="Arial" w:hAnsi="Arial" w:cs="Arial"/>
          <w:b w:val="0"/>
          <w:bCs w:val="0"/>
          <w:szCs w:val="24"/>
        </w:rPr>
      </w:pPr>
      <w:r>
        <w:rPr>
          <w:rFonts w:hint="default" w:ascii="Arial" w:hAnsi="Arial" w:cs="Arial"/>
          <w:b w:val="0"/>
          <w:bCs w:val="0"/>
          <w:szCs w:val="24"/>
        </w:rPr>
        <w:t>Bloor,G .(2015). Understanding Profesional culture in Organizational Context. Organization Studies ,15(2),pp275-295 doi:10.1177/017084069401500205.</w:t>
      </w:r>
    </w:p>
    <w:p>
      <w:pPr>
        <w:ind w:left="120" w:hanging="120" w:hangingChars="50"/>
        <w:rPr>
          <w:rFonts w:hint="default" w:ascii="Arial" w:hAnsi="Arial" w:cs="Arial"/>
          <w:b w:val="0"/>
          <w:bCs w:val="0"/>
          <w:szCs w:val="24"/>
        </w:rPr>
      </w:pPr>
      <w:r>
        <w:rPr>
          <w:rFonts w:hint="default" w:ascii="Arial" w:hAnsi="Arial" w:cs="Arial"/>
          <w:b w:val="0"/>
          <w:bCs w:val="0"/>
          <w:szCs w:val="24"/>
        </w:rPr>
        <w:t>Brockbank, A. (2012). Reflective  Learning in Practice . Aldershot: Gower.</w:t>
      </w:r>
    </w:p>
    <w:p>
      <w:pPr>
        <w:ind w:left="120" w:hanging="120" w:hangingChars="50"/>
        <w:rPr>
          <w:rFonts w:hint="default" w:ascii="Arial" w:hAnsi="Arial" w:cs="Arial"/>
          <w:b w:val="0"/>
          <w:bCs w:val="0"/>
          <w:szCs w:val="24"/>
        </w:rPr>
      </w:pPr>
      <w:r>
        <w:rPr>
          <w:rFonts w:hint="default" w:ascii="Arial" w:hAnsi="Arial" w:cs="Arial"/>
          <w:b w:val="0"/>
          <w:bCs w:val="0"/>
          <w:szCs w:val="24"/>
        </w:rPr>
        <w:t>David, M. (2016). Understanding Organizational Culture . Administrative Science Quartely,  48(1),  p.133. doi:10.2307/3556624.</w:t>
      </w:r>
    </w:p>
    <w:p>
      <w:pPr>
        <w:ind w:left="120" w:hanging="120" w:hangingChars="50"/>
        <w:rPr>
          <w:rFonts w:hint="default" w:ascii="Arial" w:hAnsi="Arial" w:cs="Arial"/>
          <w:b w:val="0"/>
          <w:bCs w:val="0"/>
          <w:szCs w:val="24"/>
        </w:rPr>
      </w:pPr>
      <w:r>
        <w:rPr>
          <w:rFonts w:hint="default" w:ascii="Arial" w:hAnsi="Arial" w:cs="Arial"/>
          <w:b w:val="0"/>
          <w:bCs w:val="0"/>
          <w:szCs w:val="24"/>
        </w:rPr>
        <w:t>Dileo, D.  (2013). Working Together: Workplace Culture , Supported Employment , and Persons With  Disabilities . Cambridge : Brookline Books.</w:t>
      </w:r>
    </w:p>
    <w:p>
      <w:pPr>
        <w:ind w:left="120" w:hanging="120" w:hangingChars="50"/>
        <w:rPr>
          <w:rFonts w:hint="default" w:ascii="Arial" w:hAnsi="Arial" w:cs="Arial"/>
          <w:b w:val="0"/>
          <w:bCs w:val="0"/>
          <w:szCs w:val="24"/>
        </w:rPr>
      </w:pPr>
      <w:r>
        <w:rPr>
          <w:rFonts w:hint="default" w:ascii="Arial" w:hAnsi="Arial" w:cs="Arial"/>
          <w:b w:val="0"/>
          <w:bCs w:val="0"/>
          <w:szCs w:val="24"/>
        </w:rPr>
        <w:t>Fachriansyah, R. (2021). The Efect of  Organizational Support  Perception, Organizational Change, and Organizational Culture on Employee Performance of PT. Pegadaian Malang During Covid-19. Jamanika (Jurnal Manajemen Bisnis dan Kewirausahaan) 1(3), pp.188-198.doi:10.22219/jamanika.v1i3. 18214.</w:t>
      </w:r>
    </w:p>
    <w:p>
      <w:pPr>
        <w:ind w:left="240" w:hanging="240" w:hangingChars="100"/>
        <w:rPr>
          <w:rFonts w:hint="default" w:ascii="Arial" w:hAnsi="Arial" w:cs="Arial"/>
          <w:b w:val="0"/>
          <w:bCs w:val="0"/>
          <w:szCs w:val="24"/>
        </w:rPr>
      </w:pPr>
      <w:r>
        <w:rPr>
          <w:rFonts w:hint="default" w:ascii="Arial" w:hAnsi="Arial" w:cs="Arial"/>
          <w:b w:val="0"/>
          <w:bCs w:val="0"/>
          <w:szCs w:val="24"/>
        </w:rPr>
        <w:t>Foscarini, F.  (2012).  Understanding functions:  An Organizational Culture Perspective. Records Management Journal ,                     22(1),                   pp.20-36. doi:10.1108/09565691211222072.</w:t>
      </w:r>
    </w:p>
    <w:p>
      <w:pPr>
        <w:ind w:left="120" w:hanging="120" w:hangingChars="50"/>
        <w:rPr>
          <w:rFonts w:hint="default" w:ascii="Arial" w:hAnsi="Arial" w:cs="Arial"/>
          <w:b w:val="0"/>
          <w:bCs w:val="0"/>
          <w:szCs w:val="24"/>
        </w:rPr>
      </w:pPr>
      <w:r>
        <w:rPr>
          <w:rFonts w:hint="default" w:ascii="Arial" w:hAnsi="Arial" w:cs="Arial"/>
          <w:b w:val="0"/>
          <w:bCs w:val="0"/>
          <w:szCs w:val="24"/>
        </w:rPr>
        <w:t>Nelson,  D.L.   (2012).   Understanding   Organizational Behavior . South-Western: Thomson.</w:t>
      </w:r>
    </w:p>
    <w:p>
      <w:pPr>
        <w:ind w:left="120" w:hanging="120" w:hangingChars="50"/>
        <w:rPr>
          <w:rFonts w:hint="default" w:ascii="Arial" w:hAnsi="Arial" w:cs="Arial"/>
          <w:b w:val="0"/>
          <w:bCs w:val="0"/>
          <w:szCs w:val="24"/>
        </w:rPr>
      </w:pPr>
      <w:r>
        <w:rPr>
          <w:rFonts w:hint="default" w:ascii="Arial" w:hAnsi="Arial" w:cs="Arial"/>
          <w:b w:val="0"/>
          <w:bCs w:val="0"/>
          <w:szCs w:val="24"/>
        </w:rPr>
        <w:t>Walker, D.  (2018).  Reflection:  Turning Experience into Learning . New York: Kogan Page.</w:t>
      </w:r>
    </w:p>
    <w:p>
      <w:pPr>
        <w:ind w:left="120" w:hanging="120" w:hangingChars="50"/>
        <w:rPr>
          <w:rFonts w:hint="default" w:ascii="Arial" w:hAnsi="Arial" w:cs="Arial"/>
          <w:b w:val="0"/>
          <w:bCs w:val="0"/>
          <w:szCs w:val="24"/>
        </w:rPr>
      </w:pPr>
      <w:r>
        <w:rPr>
          <w:rFonts w:hint="default" w:ascii="Arial" w:hAnsi="Arial" w:cs="Arial"/>
          <w:b w:val="0"/>
          <w:bCs w:val="0"/>
          <w:szCs w:val="24"/>
        </w:rPr>
        <w:t xml:space="preserve">Zakaria,N.(2014). Understanding    Organizational Culture for Effective Knowledge Sharing Behaviors in the Workplace .Organizational Cultures: An International Journal ,  13(3),   pp.33-52.   doi:10.18848/2327-8013/cgp/v13i03/5927. </w:t>
      </w:r>
      <w:r>
        <w:rPr>
          <w:rFonts w:hint="default" w:ascii="Arial" w:hAnsi="Arial" w:cs="Arial"/>
          <w:b w:val="0"/>
          <w:bCs w:val="0"/>
          <w:szCs w:val="24"/>
        </w:rPr>
        <w:br w:type="textWrapping"/>
      </w:r>
    </w:p>
    <w:p>
      <w:pPr>
        <w:ind w:left="120" w:hanging="120" w:hangingChars="50"/>
        <w:rPr>
          <w:rFonts w:hint="default" w:ascii="Arial" w:hAnsi="Arial" w:cs="Arial"/>
          <w:b w:val="0"/>
          <w:bCs w:val="0"/>
          <w:szCs w:val="24"/>
        </w:rPr>
      </w:pPr>
    </w:p>
    <w:sectPr>
      <w:footerReference r:id="rId5" w:type="default"/>
      <w:pgSz w:w="12240" w:h="15840"/>
      <w:pgMar w:top="1440" w:right="1440" w:bottom="1440" w:left="1440" w:header="720" w:footer="720" w:gutter="0"/>
      <w:pgNumType w:start="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Vrinda">
    <w:altName w:val="苹方-简"/>
    <w:panose1 w:val="00000400000000000000"/>
    <w:charset w:val="00"/>
    <w:family w:val="swiss"/>
    <w:pitch w:val="default"/>
    <w:sig w:usb0="00000000" w:usb1="00000000" w:usb2="00000000" w:usb3="00000000" w:csb0="00000001" w:csb1="00000000"/>
  </w:font>
  <w:font w:name="苹方-简">
    <w:panose1 w:val="020B0400000000000000"/>
    <w:charset w:val="86"/>
    <w:family w:val="auto"/>
    <w:pitch w:val="default"/>
    <w:sig w:usb0="00000000" w:usb1="00000000" w:usb2="00000000" w:usb3="00000000" w:csb0="00160000"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0" w:usb3="00000000" w:csb0="0000019F"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38053063"/>
      <w:docPartObj>
        <w:docPartGallery w:val="AutoText"/>
      </w:docPartObj>
    </w:sdtPr>
    <w:sdtContent>
      <w:p>
        <w:pPr>
          <w:pStyle w:val="7"/>
          <w:jc w:val="right"/>
        </w:pPr>
        <w:r>
          <w:fldChar w:fldCharType="begin"/>
        </w:r>
        <w:r>
          <w:instrText xml:space="preserve"> PAGE   \* MERGEFORMAT </w:instrText>
        </w:r>
        <w:r>
          <w:fldChar w:fldCharType="separate"/>
        </w:r>
        <w:r>
          <w:t>2</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EE4A7F"/>
    <w:multiLevelType w:val="multilevel"/>
    <w:tmpl w:val="0FEE4A7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14A64A0F"/>
    <w:multiLevelType w:val="multilevel"/>
    <w:tmpl w:val="14A64A0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8FC4E60"/>
    <w:multiLevelType w:val="multilevel"/>
    <w:tmpl w:val="38FC4E6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E2314CE"/>
    <w:multiLevelType w:val="multilevel"/>
    <w:tmpl w:val="6E2314C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6F527723"/>
    <w:multiLevelType w:val="multilevel"/>
    <w:tmpl w:val="6F52772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35AA"/>
    <w:rsid w:val="0000272C"/>
    <w:rsid w:val="0000466F"/>
    <w:rsid w:val="00015CCD"/>
    <w:rsid w:val="00015F4F"/>
    <w:rsid w:val="00033A1F"/>
    <w:rsid w:val="0007188E"/>
    <w:rsid w:val="00086BCF"/>
    <w:rsid w:val="000A3A30"/>
    <w:rsid w:val="000A520B"/>
    <w:rsid w:val="00101540"/>
    <w:rsid w:val="001355B3"/>
    <w:rsid w:val="00150571"/>
    <w:rsid w:val="0015265E"/>
    <w:rsid w:val="0016307F"/>
    <w:rsid w:val="001771F7"/>
    <w:rsid w:val="001773C7"/>
    <w:rsid w:val="001834FE"/>
    <w:rsid w:val="0019606A"/>
    <w:rsid w:val="001A4344"/>
    <w:rsid w:val="001A4619"/>
    <w:rsid w:val="001C14B6"/>
    <w:rsid w:val="001C226E"/>
    <w:rsid w:val="001D06B6"/>
    <w:rsid w:val="001D405D"/>
    <w:rsid w:val="001D6325"/>
    <w:rsid w:val="00203947"/>
    <w:rsid w:val="00230DAE"/>
    <w:rsid w:val="00231DA2"/>
    <w:rsid w:val="0029100E"/>
    <w:rsid w:val="0029485E"/>
    <w:rsid w:val="002A713F"/>
    <w:rsid w:val="002B4F83"/>
    <w:rsid w:val="002B525F"/>
    <w:rsid w:val="002B700C"/>
    <w:rsid w:val="002D0128"/>
    <w:rsid w:val="002D6049"/>
    <w:rsid w:val="002E4C03"/>
    <w:rsid w:val="002F13E9"/>
    <w:rsid w:val="002F14C4"/>
    <w:rsid w:val="00301223"/>
    <w:rsid w:val="00301FF6"/>
    <w:rsid w:val="00306295"/>
    <w:rsid w:val="00345973"/>
    <w:rsid w:val="00355019"/>
    <w:rsid w:val="003568BF"/>
    <w:rsid w:val="003769A3"/>
    <w:rsid w:val="0038013D"/>
    <w:rsid w:val="003844DB"/>
    <w:rsid w:val="00385AFE"/>
    <w:rsid w:val="003A56DA"/>
    <w:rsid w:val="003C00E1"/>
    <w:rsid w:val="003C0BB7"/>
    <w:rsid w:val="003C767B"/>
    <w:rsid w:val="003D23B4"/>
    <w:rsid w:val="003D5939"/>
    <w:rsid w:val="003D5DED"/>
    <w:rsid w:val="003F6B7E"/>
    <w:rsid w:val="00402C72"/>
    <w:rsid w:val="004432A5"/>
    <w:rsid w:val="004625A8"/>
    <w:rsid w:val="00497E32"/>
    <w:rsid w:val="004A197D"/>
    <w:rsid w:val="005001FF"/>
    <w:rsid w:val="00520B60"/>
    <w:rsid w:val="005273B9"/>
    <w:rsid w:val="00542381"/>
    <w:rsid w:val="00550D87"/>
    <w:rsid w:val="00551D8E"/>
    <w:rsid w:val="00564127"/>
    <w:rsid w:val="0058195F"/>
    <w:rsid w:val="00587902"/>
    <w:rsid w:val="00597F40"/>
    <w:rsid w:val="005E271E"/>
    <w:rsid w:val="005F5757"/>
    <w:rsid w:val="00600E93"/>
    <w:rsid w:val="00604E30"/>
    <w:rsid w:val="0062200E"/>
    <w:rsid w:val="00637BAB"/>
    <w:rsid w:val="00640279"/>
    <w:rsid w:val="00677331"/>
    <w:rsid w:val="006D6651"/>
    <w:rsid w:val="006E5108"/>
    <w:rsid w:val="006F224F"/>
    <w:rsid w:val="00711091"/>
    <w:rsid w:val="00737225"/>
    <w:rsid w:val="0074222D"/>
    <w:rsid w:val="007458A4"/>
    <w:rsid w:val="00752588"/>
    <w:rsid w:val="00752C61"/>
    <w:rsid w:val="007B0468"/>
    <w:rsid w:val="007C2585"/>
    <w:rsid w:val="00802915"/>
    <w:rsid w:val="00811A36"/>
    <w:rsid w:val="00816658"/>
    <w:rsid w:val="008269F0"/>
    <w:rsid w:val="00827782"/>
    <w:rsid w:val="00830A55"/>
    <w:rsid w:val="008631B9"/>
    <w:rsid w:val="00883CDB"/>
    <w:rsid w:val="008901B2"/>
    <w:rsid w:val="008D4CE2"/>
    <w:rsid w:val="008E0EC6"/>
    <w:rsid w:val="008E12A4"/>
    <w:rsid w:val="008E7933"/>
    <w:rsid w:val="0090195C"/>
    <w:rsid w:val="00913C0A"/>
    <w:rsid w:val="00921123"/>
    <w:rsid w:val="00932A6C"/>
    <w:rsid w:val="00935968"/>
    <w:rsid w:val="009366AF"/>
    <w:rsid w:val="0094104C"/>
    <w:rsid w:val="00992836"/>
    <w:rsid w:val="009B1541"/>
    <w:rsid w:val="009B295F"/>
    <w:rsid w:val="009D31EA"/>
    <w:rsid w:val="009E4F6A"/>
    <w:rsid w:val="00A138C9"/>
    <w:rsid w:val="00A369A6"/>
    <w:rsid w:val="00A54E5C"/>
    <w:rsid w:val="00A56D98"/>
    <w:rsid w:val="00A643B4"/>
    <w:rsid w:val="00A67681"/>
    <w:rsid w:val="00A805F0"/>
    <w:rsid w:val="00A8391B"/>
    <w:rsid w:val="00AA1871"/>
    <w:rsid w:val="00AB2ED1"/>
    <w:rsid w:val="00AB7BBC"/>
    <w:rsid w:val="00AE2BAA"/>
    <w:rsid w:val="00AF1EF4"/>
    <w:rsid w:val="00AF4455"/>
    <w:rsid w:val="00B26979"/>
    <w:rsid w:val="00B26C9B"/>
    <w:rsid w:val="00B544ED"/>
    <w:rsid w:val="00B63740"/>
    <w:rsid w:val="00B77454"/>
    <w:rsid w:val="00B86660"/>
    <w:rsid w:val="00B87026"/>
    <w:rsid w:val="00BE506D"/>
    <w:rsid w:val="00BE6081"/>
    <w:rsid w:val="00C4753D"/>
    <w:rsid w:val="00CC6046"/>
    <w:rsid w:val="00CD35AA"/>
    <w:rsid w:val="00CE7127"/>
    <w:rsid w:val="00CF2768"/>
    <w:rsid w:val="00D1179A"/>
    <w:rsid w:val="00D118C1"/>
    <w:rsid w:val="00D14181"/>
    <w:rsid w:val="00D37225"/>
    <w:rsid w:val="00D50B62"/>
    <w:rsid w:val="00D759DF"/>
    <w:rsid w:val="00D85E47"/>
    <w:rsid w:val="00D94EA4"/>
    <w:rsid w:val="00DA5527"/>
    <w:rsid w:val="00DA624B"/>
    <w:rsid w:val="00DA65F7"/>
    <w:rsid w:val="00DA798D"/>
    <w:rsid w:val="00DE5A0F"/>
    <w:rsid w:val="00E0761E"/>
    <w:rsid w:val="00E31626"/>
    <w:rsid w:val="00E329E2"/>
    <w:rsid w:val="00E65E0C"/>
    <w:rsid w:val="00E9082F"/>
    <w:rsid w:val="00EA4485"/>
    <w:rsid w:val="00EB652F"/>
    <w:rsid w:val="00EB7113"/>
    <w:rsid w:val="00EC1F1D"/>
    <w:rsid w:val="00EC626B"/>
    <w:rsid w:val="00EE30C9"/>
    <w:rsid w:val="00EE7FAC"/>
    <w:rsid w:val="00F14FB8"/>
    <w:rsid w:val="00F5437A"/>
    <w:rsid w:val="00F66734"/>
    <w:rsid w:val="00F675AB"/>
    <w:rsid w:val="00F716B6"/>
    <w:rsid w:val="00FA0AB5"/>
    <w:rsid w:val="00FC0169"/>
    <w:rsid w:val="00FC02A8"/>
    <w:rsid w:val="00FC459D"/>
    <w:rsid w:val="00FE7F12"/>
    <w:rsid w:val="3EBDE0EA"/>
    <w:rsid w:val="3F6B4FD9"/>
    <w:rsid w:val="79ABDBEF"/>
    <w:rsid w:val="FDFD278C"/>
    <w:rsid w:val="FFDF939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8"/>
      <w:lang w:val="en-US" w:eastAsia="en-US" w:bidi="bn-BD"/>
    </w:rPr>
  </w:style>
  <w:style w:type="paragraph" w:styleId="2">
    <w:name w:val="heading 1"/>
    <w:basedOn w:val="1"/>
    <w:next w:val="1"/>
    <w:link w:val="13"/>
    <w:qFormat/>
    <w:uiPriority w:val="9"/>
    <w:pPr>
      <w:keepNext/>
      <w:keepLines/>
      <w:spacing w:before="240" w:after="0"/>
      <w:outlineLvl w:val="0"/>
    </w:pPr>
    <w:rPr>
      <w:rFonts w:ascii="Arial" w:hAnsi="Arial" w:eastAsiaTheme="majorEastAsia" w:cstheme="majorBidi"/>
      <w:b/>
      <w:sz w:val="32"/>
      <w:szCs w:val="40"/>
    </w:rPr>
  </w:style>
  <w:style w:type="paragraph" w:styleId="3">
    <w:name w:val="heading 2"/>
    <w:basedOn w:val="1"/>
    <w:next w:val="1"/>
    <w:link w:val="14"/>
    <w:unhideWhenUsed/>
    <w:qFormat/>
    <w:uiPriority w:val="9"/>
    <w:pPr>
      <w:keepNext/>
      <w:keepLines/>
      <w:spacing w:before="40" w:after="0"/>
      <w:outlineLvl w:val="1"/>
    </w:pPr>
    <w:rPr>
      <w:rFonts w:ascii="Arial" w:hAnsi="Arial" w:cs="Arial" w:eastAsiaTheme="majorEastAsia"/>
      <w:b/>
      <w:sz w:val="28"/>
      <w:szCs w:val="22"/>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22"/>
      <w14:textFill>
        <w14:solidFill>
          <w14:schemeClr w14:val="tx2"/>
        </w14:solidFill>
      </w14:textFill>
    </w:rPr>
  </w:style>
  <w:style w:type="paragraph" w:styleId="7">
    <w:name w:val="footer"/>
    <w:basedOn w:val="1"/>
    <w:link w:val="16"/>
    <w:unhideWhenUsed/>
    <w:qFormat/>
    <w:uiPriority w:val="99"/>
    <w:pPr>
      <w:tabs>
        <w:tab w:val="center" w:pos="4680"/>
        <w:tab w:val="right" w:pos="9360"/>
      </w:tabs>
      <w:spacing w:after="0" w:line="240" w:lineRule="auto"/>
    </w:pPr>
  </w:style>
  <w:style w:type="paragraph" w:styleId="8">
    <w:name w:val="header"/>
    <w:basedOn w:val="1"/>
    <w:link w:val="15"/>
    <w:unhideWhenUsed/>
    <w:qFormat/>
    <w:uiPriority w:val="99"/>
    <w:pPr>
      <w:tabs>
        <w:tab w:val="center" w:pos="4680"/>
        <w:tab w:val="right" w:pos="9360"/>
      </w:tabs>
      <w:spacing w:after="0" w:line="240" w:lineRule="auto"/>
    </w:pPr>
  </w:style>
  <w:style w:type="character" w:styleId="9">
    <w:name w:val="Hyperlink"/>
    <w:basedOn w:val="4"/>
    <w:unhideWhenUsed/>
    <w:qFormat/>
    <w:uiPriority w:val="99"/>
    <w:rPr>
      <w:color w:val="0563C1" w:themeColor="hyperlink"/>
      <w:u w:val="single"/>
      <w14:textFill>
        <w14:solidFill>
          <w14:schemeClr w14:val="hlink"/>
        </w14:solidFill>
      </w14:textFill>
    </w:rPr>
  </w:style>
  <w:style w:type="paragraph" w:styleId="10">
    <w:name w:val="table of figures"/>
    <w:basedOn w:val="1"/>
    <w:next w:val="1"/>
    <w:unhideWhenUsed/>
    <w:qFormat/>
    <w:uiPriority w:val="99"/>
    <w:pPr>
      <w:spacing w:after="0"/>
    </w:p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40"/>
    </w:pPr>
  </w:style>
  <w:style w:type="character" w:customStyle="1" w:styleId="13">
    <w:name w:val="Heading 1 Char"/>
    <w:basedOn w:val="4"/>
    <w:link w:val="2"/>
    <w:qFormat/>
    <w:uiPriority w:val="9"/>
    <w:rPr>
      <w:rFonts w:ascii="Arial" w:hAnsi="Arial" w:eastAsiaTheme="majorEastAsia" w:cstheme="majorBidi"/>
      <w:b/>
      <w:sz w:val="32"/>
      <w:szCs w:val="40"/>
    </w:rPr>
  </w:style>
  <w:style w:type="character" w:customStyle="1" w:styleId="14">
    <w:name w:val="Heading 2 Char"/>
    <w:basedOn w:val="4"/>
    <w:link w:val="3"/>
    <w:qFormat/>
    <w:uiPriority w:val="9"/>
    <w:rPr>
      <w:rFonts w:ascii="Arial" w:hAnsi="Arial" w:cs="Arial" w:eastAsiaTheme="majorEastAsia"/>
      <w:b/>
      <w:sz w:val="28"/>
      <w:szCs w:val="22"/>
    </w:rPr>
  </w:style>
  <w:style w:type="character" w:customStyle="1" w:styleId="15">
    <w:name w:val="Header Char"/>
    <w:basedOn w:val="4"/>
    <w:link w:val="8"/>
    <w:qFormat/>
    <w:uiPriority w:val="99"/>
    <w:rPr>
      <w:rFonts w:ascii="Times New Roman" w:hAnsi="Times New Roman"/>
      <w:sz w:val="24"/>
    </w:rPr>
  </w:style>
  <w:style w:type="character" w:customStyle="1" w:styleId="16">
    <w:name w:val="Footer Char"/>
    <w:basedOn w:val="4"/>
    <w:link w:val="7"/>
    <w:qFormat/>
    <w:uiPriority w:val="99"/>
    <w:rPr>
      <w:rFonts w:ascii="Times New Roman" w:hAnsi="Times New Roman"/>
      <w:sz w:val="24"/>
    </w:rPr>
  </w:style>
  <w:style w:type="paragraph" w:styleId="17">
    <w:name w:val="List Paragraph"/>
    <w:basedOn w:val="1"/>
    <w:qFormat/>
    <w:uiPriority w:val="34"/>
    <w:pPr>
      <w:ind w:left="720"/>
      <w:contextualSpacing/>
    </w:pPr>
  </w:style>
  <w:style w:type="paragraph" w:customStyle="1" w:styleId="18">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Cs w:val="32"/>
      <w:lang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21</Pages>
  <Words>4660</Words>
  <Characters>26564</Characters>
  <Lines>221</Lines>
  <Paragraphs>62</Paragraphs>
  <TotalTime>69</TotalTime>
  <ScaleCrop>false</ScaleCrop>
  <LinksUpToDate>false</LinksUpToDate>
  <CharactersWithSpaces>31162</CharactersWithSpaces>
  <Application>WPS Office_4.2.0.7541_F1E327BC-269C-435d-A152-05C5408002CA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2022-07-08T06:31:00Z</dcterms:created>
  <dcterms:modified xsi:type="dcterms:W3CDTF">2022-07-17T20:11:48Z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1033-4.2.0.7541</vt:lpwstr>
  </property>
</Properties>
</file>