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spacing w:line="480" w:lineRule="auto"/>
        <w:jc w:val="center"/>
        <w:rPr>
          <w:rFonts w:ascii="Times New Roman" w:hAnsi="Times New Roman" w:eastAsia="Times New Roman" w:cs="Times New Roman"/>
          <w:b/>
          <w:sz w:val="32"/>
          <w:szCs w:val="32"/>
          <w:lang w:val="en-GB"/>
        </w:rPr>
      </w:pPr>
      <w:bookmarkStart w:id="15" w:name="_GoBack"/>
      <w:bookmarkEnd w:id="15"/>
    </w:p>
    <w:p>
      <w:pPr>
        <w:pStyle w:val="3"/>
        <w:spacing w:line="480" w:lineRule="auto"/>
        <w:jc w:val="center"/>
        <w:rPr>
          <w:rFonts w:ascii="Times New Roman" w:hAnsi="Times New Roman" w:eastAsia="Times New Roman" w:cs="Times New Roman"/>
          <w:b/>
          <w:sz w:val="32"/>
          <w:szCs w:val="32"/>
          <w:lang w:val="en-GB"/>
        </w:rPr>
      </w:pPr>
    </w:p>
    <w:p>
      <w:pPr>
        <w:pStyle w:val="3"/>
        <w:spacing w:line="480" w:lineRule="auto"/>
        <w:jc w:val="center"/>
        <w:rPr>
          <w:rFonts w:ascii="Times New Roman" w:hAnsi="Times New Roman" w:eastAsia="Times New Roman" w:cs="Times New Roman"/>
          <w:b/>
          <w:sz w:val="32"/>
          <w:szCs w:val="32"/>
          <w:lang w:val="en-GB"/>
        </w:rPr>
      </w:pPr>
    </w:p>
    <w:p>
      <w:pPr>
        <w:pStyle w:val="3"/>
        <w:spacing w:line="480" w:lineRule="auto"/>
        <w:jc w:val="center"/>
        <w:rPr>
          <w:rFonts w:ascii="Times New Roman" w:hAnsi="Times New Roman" w:eastAsia="Times New Roman" w:cs="Times New Roman"/>
          <w:b/>
          <w:sz w:val="32"/>
          <w:szCs w:val="32"/>
          <w:lang w:val="en-GB"/>
        </w:rPr>
      </w:pPr>
    </w:p>
    <w:p>
      <w:pPr>
        <w:pStyle w:val="3"/>
        <w:spacing w:line="480" w:lineRule="auto"/>
        <w:jc w:val="center"/>
        <w:rPr>
          <w:rFonts w:ascii="Times New Roman" w:hAnsi="Times New Roman" w:eastAsia="Times New Roman" w:cs="Times New Roman"/>
          <w:b/>
          <w:sz w:val="32"/>
          <w:szCs w:val="32"/>
          <w:lang w:val="en-GB"/>
        </w:rPr>
      </w:pPr>
    </w:p>
    <w:p>
      <w:pPr>
        <w:pStyle w:val="3"/>
        <w:spacing w:line="480" w:lineRule="auto"/>
        <w:jc w:val="center"/>
        <w:rPr>
          <w:rFonts w:ascii="Times New Roman" w:hAnsi="Times New Roman" w:eastAsia="Times New Roman" w:cs="Times New Roman"/>
          <w:b/>
          <w:sz w:val="32"/>
          <w:szCs w:val="32"/>
          <w:lang w:val="en-GB"/>
        </w:rPr>
      </w:pPr>
    </w:p>
    <w:p>
      <w:pPr>
        <w:pStyle w:val="3"/>
        <w:spacing w:line="480" w:lineRule="auto"/>
        <w:jc w:val="center"/>
        <w:rPr>
          <w:rFonts w:ascii="Times New Roman" w:hAnsi="Times New Roman" w:eastAsia="Times New Roman" w:cs="Times New Roman"/>
          <w:b/>
          <w:sz w:val="32"/>
          <w:szCs w:val="32"/>
          <w:lang w:val="en-GB"/>
        </w:rPr>
      </w:pPr>
      <w:r>
        <w:rPr>
          <w:rFonts w:ascii="Times New Roman" w:hAnsi="Times New Roman" w:eastAsia="Times New Roman" w:cs="Times New Roman"/>
          <w:b/>
          <w:sz w:val="32"/>
          <w:szCs w:val="32"/>
          <w:lang w:val="en-GB"/>
        </w:rPr>
        <w:t>CHANGE &amp; STABILITY MANAGEMENT</w:t>
      </w:r>
    </w:p>
    <w:p>
      <w:pPr>
        <w:pStyle w:val="3"/>
        <w:spacing w:line="480" w:lineRule="auto"/>
        <w:jc w:val="center"/>
        <w:rPr>
          <w:rFonts w:ascii="Times New Roman" w:hAnsi="Times New Roman" w:eastAsia="Times New Roman" w:cs="Times New Roman"/>
          <w:b/>
          <w:sz w:val="32"/>
          <w:szCs w:val="32"/>
          <w:lang w:val="en-GB"/>
        </w:rPr>
      </w:pPr>
      <w:r>
        <w:rPr>
          <w:rFonts w:ascii="Times New Roman" w:hAnsi="Times New Roman" w:eastAsia="Times New Roman" w:cs="Times New Roman"/>
          <w:b/>
          <w:sz w:val="32"/>
          <w:szCs w:val="32"/>
          <w:lang w:val="en-GB"/>
        </w:rPr>
        <w:t>ORGANISATIONAL CHANGE CASE STUDY: NETFLIX</w:t>
      </w:r>
    </w:p>
    <w:p>
      <w:pPr>
        <w:rPr>
          <w:rFonts w:ascii="Times New Roman" w:hAnsi="Times New Roman" w:eastAsia="Times New Roman" w:cs="Times New Roman"/>
          <w:b/>
          <w:sz w:val="32"/>
          <w:szCs w:val="32"/>
          <w:lang w:val="en-GB"/>
        </w:rPr>
      </w:pPr>
    </w:p>
    <w:p>
      <w:pPr>
        <w:rPr>
          <w:rFonts w:hint="eastAsia" w:ascii="Times New Roman" w:hAnsi="Times New Roman" w:eastAsia="宋体" w:cs="Times New Roman"/>
          <w:b/>
          <w:sz w:val="32"/>
          <w:szCs w:val="32"/>
          <w:lang w:val="en-US" w:eastAsia="zh-CN"/>
        </w:rPr>
      </w:pPr>
      <w:r>
        <w:rPr>
          <w:rFonts w:hint="eastAsia" w:ascii="Times New Roman" w:hAnsi="Times New Roman" w:eastAsia="宋体" w:cs="Times New Roman"/>
          <w:b/>
          <w:sz w:val="32"/>
          <w:szCs w:val="32"/>
          <w:lang w:val="en-US" w:eastAsia="zh-CN"/>
        </w:rPr>
        <w:t xml:space="preserve">                                                       By</w:t>
      </w:r>
    </w:p>
    <w:p>
      <w:pPr>
        <w:rPr>
          <w:rFonts w:hint="eastAsia" w:ascii="Times New Roman" w:hAnsi="Times New Roman" w:eastAsia="宋体" w:cs="Times New Roman"/>
          <w:b/>
          <w:sz w:val="32"/>
          <w:szCs w:val="32"/>
          <w:lang w:val="en-US" w:eastAsia="zh-CN"/>
        </w:rPr>
      </w:pPr>
    </w:p>
    <w:p>
      <w:pPr>
        <w:rPr>
          <w:rFonts w:ascii="Times New Roman" w:hAnsi="Times New Roman" w:eastAsia="Times New Roman" w:cs="Times New Roman"/>
          <w:b/>
          <w:sz w:val="32"/>
          <w:szCs w:val="32"/>
          <w:lang w:val="en-GB"/>
        </w:rPr>
      </w:pPr>
      <w:r>
        <w:rPr>
          <w:rFonts w:hint="eastAsia" w:ascii="Times New Roman" w:hAnsi="Times New Roman" w:eastAsia="宋体" w:cs="Times New Roman"/>
          <w:b/>
          <w:sz w:val="32"/>
          <w:szCs w:val="32"/>
          <w:lang w:val="en-US" w:eastAsia="zh-CN"/>
        </w:rPr>
        <w:t xml:space="preserve">                                              GUO Haotian</w:t>
      </w:r>
      <w:r>
        <w:rPr>
          <w:rFonts w:ascii="Times New Roman" w:hAnsi="Times New Roman" w:eastAsia="Times New Roman" w:cs="Times New Roman"/>
          <w:b/>
          <w:sz w:val="32"/>
          <w:szCs w:val="32"/>
          <w:lang w:val="en-GB"/>
        </w:rPr>
        <w:br w:type="page"/>
      </w:r>
    </w:p>
    <w:p>
      <w:pPr>
        <w:pStyle w:val="3"/>
        <w:spacing w:line="480" w:lineRule="auto"/>
        <w:jc w:val="center"/>
        <w:rPr>
          <w:rFonts w:ascii="Times New Roman" w:hAnsi="Times New Roman" w:eastAsia="Times New Roman" w:cs="Times New Roman"/>
          <w:b/>
          <w:sz w:val="28"/>
          <w:szCs w:val="28"/>
          <w:lang w:val="en-GB"/>
        </w:rPr>
      </w:pPr>
      <w:r>
        <w:rPr>
          <w:rFonts w:ascii="Times New Roman" w:hAnsi="Times New Roman" w:eastAsia="Times New Roman" w:cs="Times New Roman"/>
          <w:b/>
          <w:sz w:val="28"/>
          <w:szCs w:val="28"/>
          <w:lang w:val="en-GB"/>
        </w:rPr>
        <w:t>Executive Summary</w:t>
      </w:r>
    </w:p>
    <w:p>
      <w:pPr>
        <w:pStyle w:val="3"/>
        <w:spacing w:line="48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 xml:space="preserve">This study has been evaluated the change management strategy of Netflix Inc highlighting the reason of change and the major driving factors behind change. Resistance to change can be considered as a common issue within all organisations including Netflix. This report has addressed issues related to resistance to change factor such as lack of understanding about the need of change and others. It has been identified the strategy which can help Netflix to fight with those challenges related to resistance is to form a style of transparent and clear communication which can help them to improve their performance and successfully implement changes. The theoretical underpinning to evaluate the change has become effective to provide useful knowledge on change and stability management of any organisation. </w:t>
      </w:r>
    </w:p>
    <w:p>
      <w:pPr>
        <w:pStyle w:val="3"/>
        <w:spacing w:line="480" w:lineRule="auto"/>
        <w:jc w:val="both"/>
        <w:rPr>
          <w:rFonts w:ascii="Times New Roman" w:hAnsi="Times New Roman" w:eastAsia="Times New Roman" w:cs="Times New Roman"/>
          <w:sz w:val="24"/>
          <w:szCs w:val="24"/>
          <w:lang w:val="en-GB"/>
        </w:rPr>
      </w:pPr>
    </w:p>
    <w:p>
      <w:pPr>
        <w:pStyle w:val="3"/>
        <w:spacing w:line="480" w:lineRule="auto"/>
        <w:jc w:val="center"/>
        <w:rPr>
          <w:rFonts w:ascii="Times New Roman" w:hAnsi="Times New Roman" w:eastAsia="Times New Roman" w:cs="Times New Roman"/>
          <w:b/>
          <w:sz w:val="32"/>
          <w:szCs w:val="32"/>
          <w:lang w:val="en-GB"/>
        </w:rPr>
      </w:pPr>
    </w:p>
    <w:p>
      <w:pPr>
        <w:rPr>
          <w:rFonts w:ascii="Times New Roman" w:hAnsi="Times New Roman" w:eastAsia="Times New Roman" w:cs="Times New Roman"/>
          <w:b/>
          <w:sz w:val="32"/>
          <w:szCs w:val="32"/>
          <w:lang w:val="en-GB"/>
        </w:rPr>
      </w:pPr>
      <w:r>
        <w:rPr>
          <w:rFonts w:ascii="Times New Roman" w:hAnsi="Times New Roman" w:eastAsia="Times New Roman" w:cs="Times New Roman"/>
          <w:b/>
          <w:sz w:val="32"/>
          <w:szCs w:val="32"/>
          <w:lang w:val="en-GB"/>
        </w:rPr>
        <w:br w:type="page"/>
      </w:r>
    </w:p>
    <w:sdt>
      <w:sdtPr>
        <w:rPr>
          <w:rFonts w:ascii="Arial" w:hAnsi="Arial" w:eastAsia="Arial" w:cs="Arial"/>
          <w:b w:val="0"/>
          <w:bCs w:val="0"/>
          <w:color w:val="auto"/>
          <w:sz w:val="22"/>
          <w:szCs w:val="22"/>
          <w:lang w:val="en-GB"/>
        </w:rPr>
        <w:id w:val="22195137"/>
        <w:docPartObj>
          <w:docPartGallery w:val="Table of Contents"/>
          <w:docPartUnique/>
        </w:docPartObj>
      </w:sdtPr>
      <w:sdtEndPr>
        <w:rPr>
          <w:rFonts w:ascii="Arial" w:hAnsi="Arial" w:eastAsia="Arial" w:cs="Arial"/>
          <w:b w:val="0"/>
          <w:bCs w:val="0"/>
          <w:color w:val="auto"/>
          <w:sz w:val="22"/>
          <w:szCs w:val="22"/>
          <w:lang w:val="en-GB"/>
        </w:rPr>
      </w:sdtEndPr>
      <w:sdtContent>
        <w:p>
          <w:pPr>
            <w:pStyle w:val="23"/>
            <w:spacing w:line="480" w:lineRule="auto"/>
            <w:jc w:val="center"/>
            <w:rPr>
              <w:rFonts w:ascii="Times New Roman" w:hAnsi="Times New Roman" w:cs="Times New Roman"/>
              <w:color w:val="000000" w:themeColor="text1"/>
              <w:szCs w:val="24"/>
              <w:lang w:val="en-GB"/>
            </w:rPr>
          </w:pPr>
          <w:r>
            <w:rPr>
              <w:rFonts w:ascii="Times New Roman" w:hAnsi="Times New Roman" w:cs="Times New Roman"/>
              <w:color w:val="000000" w:themeColor="text1"/>
              <w:szCs w:val="24"/>
              <w:lang w:val="en-GB"/>
            </w:rPr>
            <w:t>Table of Contents</w:t>
          </w:r>
        </w:p>
        <w:p>
          <w:pPr>
            <w:pStyle w:val="12"/>
            <w:tabs>
              <w:tab w:val="right" w:leader="dot" w:pos="9350"/>
            </w:tabs>
            <w:spacing w:line="480" w:lineRule="auto"/>
            <w:jc w:val="both"/>
            <w:rPr>
              <w:rFonts w:ascii="Times New Roman" w:hAnsi="Times New Roman" w:cs="Times New Roman" w:eastAsiaTheme="minorEastAsia"/>
              <w:color w:val="000000" w:themeColor="text1"/>
              <w:sz w:val="24"/>
              <w:szCs w:val="24"/>
            </w:rPr>
          </w:pPr>
          <w:r>
            <w:rPr>
              <w:rFonts w:ascii="Times New Roman" w:hAnsi="Times New Roman" w:cs="Times New Roman"/>
              <w:color w:val="000000" w:themeColor="text1"/>
              <w:sz w:val="24"/>
              <w:szCs w:val="24"/>
              <w:lang w:val="en-GB"/>
            </w:rPr>
            <w:fldChar w:fldCharType="begin"/>
          </w:r>
          <w:r>
            <w:rPr>
              <w:rFonts w:ascii="Times New Roman" w:hAnsi="Times New Roman" w:cs="Times New Roman"/>
              <w:color w:val="000000" w:themeColor="text1"/>
              <w:sz w:val="24"/>
              <w:szCs w:val="24"/>
              <w:lang w:val="en-GB"/>
            </w:rPr>
            <w:instrText xml:space="preserve"> TOC \o "1-3" \h \z \u </w:instrText>
          </w:r>
          <w:r>
            <w:rPr>
              <w:rFonts w:ascii="Times New Roman" w:hAnsi="Times New Roman" w:cs="Times New Roman"/>
              <w:color w:val="000000" w:themeColor="text1"/>
              <w:sz w:val="24"/>
              <w:szCs w:val="24"/>
              <w:lang w:val="en-GB"/>
            </w:rPr>
            <w:fldChar w:fldCharType="separate"/>
          </w:r>
          <w:r>
            <w:fldChar w:fldCharType="begin"/>
          </w:r>
          <w:r>
            <w:instrText xml:space="preserve"> HYPERLINK \l "_Toc127550529" </w:instrText>
          </w:r>
          <w:r>
            <w:fldChar w:fldCharType="separate"/>
          </w:r>
          <w:r>
            <w:rPr>
              <w:rStyle w:val="19"/>
              <w:rFonts w:ascii="Times New Roman" w:hAnsi="Times New Roman" w:cs="Times New Roman"/>
              <w:color w:val="000000" w:themeColor="text1"/>
              <w:sz w:val="24"/>
              <w:szCs w:val="24"/>
            </w:rPr>
            <w:t>Introduction and background</w:t>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fldChar w:fldCharType="begin"/>
          </w:r>
          <w:r>
            <w:rPr>
              <w:rFonts w:ascii="Times New Roman" w:hAnsi="Times New Roman" w:cs="Times New Roman"/>
              <w:color w:val="000000" w:themeColor="text1"/>
              <w:sz w:val="24"/>
              <w:szCs w:val="24"/>
            </w:rPr>
            <w:instrText xml:space="preserve"> PAGEREF _Toc127550529 \h </w:instrText>
          </w:r>
          <w:r>
            <w:rPr>
              <w:rFonts w:ascii="Times New Roman" w:hAnsi="Times New Roman" w:cs="Times New Roman"/>
              <w:color w:val="000000" w:themeColor="text1"/>
              <w:sz w:val="24"/>
              <w:szCs w:val="24"/>
            </w:rPr>
            <w:fldChar w:fldCharType="separate"/>
          </w:r>
          <w:r>
            <w:rPr>
              <w:rFonts w:ascii="Times New Roman" w:hAnsi="Times New Roman" w:cs="Times New Roman"/>
              <w:color w:val="000000" w:themeColor="text1"/>
              <w:sz w:val="24"/>
              <w:szCs w:val="24"/>
            </w:rPr>
            <w:t>4</w:t>
          </w:r>
          <w:r>
            <w:rPr>
              <w:rFonts w:ascii="Times New Roman" w:hAnsi="Times New Roman" w:cs="Times New Roman"/>
              <w:color w:val="000000" w:themeColor="text1"/>
              <w:sz w:val="24"/>
              <w:szCs w:val="24"/>
            </w:rPr>
            <w:fldChar w:fldCharType="end"/>
          </w:r>
          <w:r>
            <w:rPr>
              <w:rFonts w:ascii="Times New Roman" w:hAnsi="Times New Roman" w:cs="Times New Roman"/>
              <w:color w:val="000000" w:themeColor="text1"/>
              <w:sz w:val="24"/>
              <w:szCs w:val="24"/>
            </w:rPr>
            <w:fldChar w:fldCharType="end"/>
          </w:r>
        </w:p>
        <w:p>
          <w:pPr>
            <w:pStyle w:val="14"/>
            <w:tabs>
              <w:tab w:val="right" w:leader="dot" w:pos="9350"/>
            </w:tabs>
            <w:spacing w:line="480" w:lineRule="auto"/>
            <w:jc w:val="both"/>
            <w:rPr>
              <w:rFonts w:ascii="Times New Roman" w:hAnsi="Times New Roman" w:cs="Times New Roman" w:eastAsiaTheme="minorEastAsia"/>
              <w:color w:val="000000" w:themeColor="text1"/>
              <w:sz w:val="24"/>
              <w:szCs w:val="24"/>
            </w:rPr>
          </w:pPr>
          <w:r>
            <w:fldChar w:fldCharType="begin"/>
          </w:r>
          <w:r>
            <w:instrText xml:space="preserve"> HYPERLINK \l "_Toc127550530" </w:instrText>
          </w:r>
          <w:r>
            <w:fldChar w:fldCharType="separate"/>
          </w:r>
          <w:r>
            <w:rPr>
              <w:rStyle w:val="19"/>
              <w:rFonts w:ascii="Times New Roman" w:hAnsi="Times New Roman" w:cs="Times New Roman"/>
              <w:color w:val="000000" w:themeColor="text1"/>
              <w:sz w:val="24"/>
              <w:szCs w:val="24"/>
            </w:rPr>
            <w:t>Introduction</w:t>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fldChar w:fldCharType="begin"/>
          </w:r>
          <w:r>
            <w:rPr>
              <w:rFonts w:ascii="Times New Roman" w:hAnsi="Times New Roman" w:cs="Times New Roman"/>
              <w:color w:val="000000" w:themeColor="text1"/>
              <w:sz w:val="24"/>
              <w:szCs w:val="24"/>
            </w:rPr>
            <w:instrText xml:space="preserve"> PAGEREF _Toc127550530 \h </w:instrText>
          </w:r>
          <w:r>
            <w:rPr>
              <w:rFonts w:ascii="Times New Roman" w:hAnsi="Times New Roman" w:cs="Times New Roman"/>
              <w:color w:val="000000" w:themeColor="text1"/>
              <w:sz w:val="24"/>
              <w:szCs w:val="24"/>
            </w:rPr>
            <w:fldChar w:fldCharType="separate"/>
          </w:r>
          <w:r>
            <w:rPr>
              <w:rFonts w:ascii="Times New Roman" w:hAnsi="Times New Roman" w:cs="Times New Roman"/>
              <w:color w:val="000000" w:themeColor="text1"/>
              <w:sz w:val="24"/>
              <w:szCs w:val="24"/>
            </w:rPr>
            <w:t>4</w:t>
          </w:r>
          <w:r>
            <w:rPr>
              <w:rFonts w:ascii="Times New Roman" w:hAnsi="Times New Roman" w:cs="Times New Roman"/>
              <w:color w:val="000000" w:themeColor="text1"/>
              <w:sz w:val="24"/>
              <w:szCs w:val="24"/>
            </w:rPr>
            <w:fldChar w:fldCharType="end"/>
          </w:r>
          <w:r>
            <w:rPr>
              <w:rFonts w:ascii="Times New Roman" w:hAnsi="Times New Roman" w:cs="Times New Roman"/>
              <w:color w:val="000000" w:themeColor="text1"/>
              <w:sz w:val="24"/>
              <w:szCs w:val="24"/>
            </w:rPr>
            <w:fldChar w:fldCharType="end"/>
          </w:r>
        </w:p>
        <w:p>
          <w:pPr>
            <w:pStyle w:val="14"/>
            <w:tabs>
              <w:tab w:val="right" w:leader="dot" w:pos="9350"/>
            </w:tabs>
            <w:spacing w:line="480" w:lineRule="auto"/>
            <w:jc w:val="both"/>
            <w:rPr>
              <w:rFonts w:ascii="Times New Roman" w:hAnsi="Times New Roman" w:cs="Times New Roman" w:eastAsiaTheme="minorEastAsia"/>
              <w:color w:val="000000" w:themeColor="text1"/>
              <w:sz w:val="24"/>
              <w:szCs w:val="24"/>
            </w:rPr>
          </w:pPr>
          <w:r>
            <w:fldChar w:fldCharType="begin"/>
          </w:r>
          <w:r>
            <w:instrText xml:space="preserve"> HYPERLINK \l "_Toc127550531" </w:instrText>
          </w:r>
          <w:r>
            <w:fldChar w:fldCharType="separate"/>
          </w:r>
          <w:r>
            <w:rPr>
              <w:rStyle w:val="19"/>
              <w:rFonts w:ascii="Times New Roman" w:hAnsi="Times New Roman" w:cs="Times New Roman"/>
              <w:color w:val="000000" w:themeColor="text1"/>
              <w:sz w:val="24"/>
              <w:szCs w:val="24"/>
            </w:rPr>
            <w:t>Background</w:t>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fldChar w:fldCharType="begin"/>
          </w:r>
          <w:r>
            <w:rPr>
              <w:rFonts w:ascii="Times New Roman" w:hAnsi="Times New Roman" w:cs="Times New Roman"/>
              <w:color w:val="000000" w:themeColor="text1"/>
              <w:sz w:val="24"/>
              <w:szCs w:val="24"/>
            </w:rPr>
            <w:instrText xml:space="preserve"> PAGEREF _Toc127550531 \h </w:instrText>
          </w:r>
          <w:r>
            <w:rPr>
              <w:rFonts w:ascii="Times New Roman" w:hAnsi="Times New Roman" w:cs="Times New Roman"/>
              <w:color w:val="000000" w:themeColor="text1"/>
              <w:sz w:val="24"/>
              <w:szCs w:val="24"/>
            </w:rPr>
            <w:fldChar w:fldCharType="separate"/>
          </w:r>
          <w:r>
            <w:rPr>
              <w:rFonts w:ascii="Times New Roman" w:hAnsi="Times New Roman" w:cs="Times New Roman"/>
              <w:color w:val="000000" w:themeColor="text1"/>
              <w:sz w:val="24"/>
              <w:szCs w:val="24"/>
            </w:rPr>
            <w:t>4</w:t>
          </w:r>
          <w:r>
            <w:rPr>
              <w:rFonts w:ascii="Times New Roman" w:hAnsi="Times New Roman" w:cs="Times New Roman"/>
              <w:color w:val="000000" w:themeColor="text1"/>
              <w:sz w:val="24"/>
              <w:szCs w:val="24"/>
            </w:rPr>
            <w:fldChar w:fldCharType="end"/>
          </w:r>
          <w:r>
            <w:rPr>
              <w:rFonts w:ascii="Times New Roman" w:hAnsi="Times New Roman" w:cs="Times New Roman"/>
              <w:color w:val="000000" w:themeColor="text1"/>
              <w:sz w:val="24"/>
              <w:szCs w:val="24"/>
            </w:rPr>
            <w:fldChar w:fldCharType="end"/>
          </w:r>
        </w:p>
        <w:p>
          <w:pPr>
            <w:pStyle w:val="12"/>
            <w:tabs>
              <w:tab w:val="right" w:leader="dot" w:pos="9350"/>
            </w:tabs>
            <w:spacing w:line="480" w:lineRule="auto"/>
            <w:jc w:val="both"/>
            <w:rPr>
              <w:rFonts w:ascii="Times New Roman" w:hAnsi="Times New Roman" w:cs="Times New Roman" w:eastAsiaTheme="minorEastAsia"/>
              <w:color w:val="000000" w:themeColor="text1"/>
              <w:sz w:val="24"/>
              <w:szCs w:val="24"/>
            </w:rPr>
          </w:pPr>
          <w:r>
            <w:fldChar w:fldCharType="begin"/>
          </w:r>
          <w:r>
            <w:instrText xml:space="preserve"> HYPERLINK \l "_Toc127550532" </w:instrText>
          </w:r>
          <w:r>
            <w:fldChar w:fldCharType="separate"/>
          </w:r>
          <w:r>
            <w:rPr>
              <w:rStyle w:val="19"/>
              <w:rFonts w:ascii="Times New Roman" w:hAnsi="Times New Roman" w:cs="Times New Roman"/>
              <w:color w:val="000000" w:themeColor="text1"/>
              <w:sz w:val="24"/>
              <w:szCs w:val="24"/>
            </w:rPr>
            <w:t>Specific change by Netflix and reason for change</w:t>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fldChar w:fldCharType="begin"/>
          </w:r>
          <w:r>
            <w:rPr>
              <w:rFonts w:ascii="Times New Roman" w:hAnsi="Times New Roman" w:cs="Times New Roman"/>
              <w:color w:val="000000" w:themeColor="text1"/>
              <w:sz w:val="24"/>
              <w:szCs w:val="24"/>
            </w:rPr>
            <w:instrText xml:space="preserve"> PAGEREF _Toc127550532 \h </w:instrText>
          </w:r>
          <w:r>
            <w:rPr>
              <w:rFonts w:ascii="Times New Roman" w:hAnsi="Times New Roman" w:cs="Times New Roman"/>
              <w:color w:val="000000" w:themeColor="text1"/>
              <w:sz w:val="24"/>
              <w:szCs w:val="24"/>
            </w:rPr>
            <w:fldChar w:fldCharType="separate"/>
          </w:r>
          <w:r>
            <w:rPr>
              <w:rFonts w:ascii="Times New Roman" w:hAnsi="Times New Roman" w:cs="Times New Roman"/>
              <w:color w:val="000000" w:themeColor="text1"/>
              <w:sz w:val="24"/>
              <w:szCs w:val="24"/>
            </w:rPr>
            <w:t>5</w:t>
          </w:r>
          <w:r>
            <w:rPr>
              <w:rFonts w:ascii="Times New Roman" w:hAnsi="Times New Roman" w:cs="Times New Roman"/>
              <w:color w:val="000000" w:themeColor="text1"/>
              <w:sz w:val="24"/>
              <w:szCs w:val="24"/>
            </w:rPr>
            <w:fldChar w:fldCharType="end"/>
          </w:r>
          <w:r>
            <w:rPr>
              <w:rFonts w:ascii="Times New Roman" w:hAnsi="Times New Roman" w:cs="Times New Roman"/>
              <w:color w:val="000000" w:themeColor="text1"/>
              <w:sz w:val="24"/>
              <w:szCs w:val="24"/>
            </w:rPr>
            <w:fldChar w:fldCharType="end"/>
          </w:r>
        </w:p>
        <w:p>
          <w:pPr>
            <w:pStyle w:val="12"/>
            <w:tabs>
              <w:tab w:val="right" w:leader="dot" w:pos="9350"/>
            </w:tabs>
            <w:spacing w:line="480" w:lineRule="auto"/>
            <w:jc w:val="both"/>
            <w:rPr>
              <w:rFonts w:ascii="Times New Roman" w:hAnsi="Times New Roman" w:cs="Times New Roman" w:eastAsiaTheme="minorEastAsia"/>
              <w:color w:val="000000" w:themeColor="text1"/>
              <w:sz w:val="24"/>
              <w:szCs w:val="24"/>
            </w:rPr>
          </w:pPr>
          <w:r>
            <w:fldChar w:fldCharType="begin"/>
          </w:r>
          <w:r>
            <w:instrText xml:space="preserve"> HYPERLINK \l "_Toc127550533" </w:instrText>
          </w:r>
          <w:r>
            <w:fldChar w:fldCharType="separate"/>
          </w:r>
          <w:r>
            <w:rPr>
              <w:rStyle w:val="19"/>
              <w:rFonts w:ascii="Times New Roman" w:hAnsi="Times New Roman" w:cs="Times New Roman"/>
              <w:color w:val="000000" w:themeColor="text1"/>
              <w:sz w:val="24"/>
              <w:szCs w:val="24"/>
            </w:rPr>
            <w:t>Key change management models and Application of change models considering incremental or large scale change programme</w:t>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fldChar w:fldCharType="begin"/>
          </w:r>
          <w:r>
            <w:rPr>
              <w:rFonts w:ascii="Times New Roman" w:hAnsi="Times New Roman" w:cs="Times New Roman"/>
              <w:color w:val="000000" w:themeColor="text1"/>
              <w:sz w:val="24"/>
              <w:szCs w:val="24"/>
            </w:rPr>
            <w:instrText xml:space="preserve"> PAGEREF _Toc127550533 \h </w:instrText>
          </w:r>
          <w:r>
            <w:rPr>
              <w:rFonts w:ascii="Times New Roman" w:hAnsi="Times New Roman" w:cs="Times New Roman"/>
              <w:color w:val="000000" w:themeColor="text1"/>
              <w:sz w:val="24"/>
              <w:szCs w:val="24"/>
            </w:rPr>
            <w:fldChar w:fldCharType="separate"/>
          </w:r>
          <w:r>
            <w:rPr>
              <w:rFonts w:ascii="Times New Roman" w:hAnsi="Times New Roman" w:cs="Times New Roman"/>
              <w:color w:val="000000" w:themeColor="text1"/>
              <w:sz w:val="24"/>
              <w:szCs w:val="24"/>
            </w:rPr>
            <w:t>7</w:t>
          </w:r>
          <w:r>
            <w:rPr>
              <w:rFonts w:ascii="Times New Roman" w:hAnsi="Times New Roman" w:cs="Times New Roman"/>
              <w:color w:val="000000" w:themeColor="text1"/>
              <w:sz w:val="24"/>
              <w:szCs w:val="24"/>
            </w:rPr>
            <w:fldChar w:fldCharType="end"/>
          </w:r>
          <w:r>
            <w:rPr>
              <w:rFonts w:ascii="Times New Roman" w:hAnsi="Times New Roman" w:cs="Times New Roman"/>
              <w:color w:val="000000" w:themeColor="text1"/>
              <w:sz w:val="24"/>
              <w:szCs w:val="24"/>
            </w:rPr>
            <w:fldChar w:fldCharType="end"/>
          </w:r>
        </w:p>
        <w:p>
          <w:pPr>
            <w:pStyle w:val="14"/>
            <w:tabs>
              <w:tab w:val="right" w:leader="dot" w:pos="9350"/>
            </w:tabs>
            <w:spacing w:line="480" w:lineRule="auto"/>
            <w:jc w:val="both"/>
            <w:rPr>
              <w:rFonts w:ascii="Times New Roman" w:hAnsi="Times New Roman" w:cs="Times New Roman" w:eastAsiaTheme="minorEastAsia"/>
              <w:color w:val="000000" w:themeColor="text1"/>
              <w:sz w:val="24"/>
              <w:szCs w:val="24"/>
            </w:rPr>
          </w:pPr>
          <w:r>
            <w:fldChar w:fldCharType="begin"/>
          </w:r>
          <w:r>
            <w:instrText xml:space="preserve"> HYPERLINK \l "_Toc127550534" </w:instrText>
          </w:r>
          <w:r>
            <w:fldChar w:fldCharType="separate"/>
          </w:r>
          <w:r>
            <w:rPr>
              <w:rStyle w:val="19"/>
              <w:rFonts w:ascii="Times New Roman" w:hAnsi="Times New Roman" w:cs="Times New Roman"/>
              <w:color w:val="000000" w:themeColor="text1"/>
              <w:sz w:val="24"/>
              <w:szCs w:val="24"/>
            </w:rPr>
            <w:t>Lewin’s change Model</w:t>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fldChar w:fldCharType="begin"/>
          </w:r>
          <w:r>
            <w:rPr>
              <w:rFonts w:ascii="Times New Roman" w:hAnsi="Times New Roman" w:cs="Times New Roman"/>
              <w:color w:val="000000" w:themeColor="text1"/>
              <w:sz w:val="24"/>
              <w:szCs w:val="24"/>
            </w:rPr>
            <w:instrText xml:space="preserve"> PAGEREF _Toc127550534 \h </w:instrText>
          </w:r>
          <w:r>
            <w:rPr>
              <w:rFonts w:ascii="Times New Roman" w:hAnsi="Times New Roman" w:cs="Times New Roman"/>
              <w:color w:val="000000" w:themeColor="text1"/>
              <w:sz w:val="24"/>
              <w:szCs w:val="24"/>
            </w:rPr>
            <w:fldChar w:fldCharType="separate"/>
          </w:r>
          <w:r>
            <w:rPr>
              <w:rFonts w:ascii="Times New Roman" w:hAnsi="Times New Roman" w:cs="Times New Roman"/>
              <w:color w:val="000000" w:themeColor="text1"/>
              <w:sz w:val="24"/>
              <w:szCs w:val="24"/>
            </w:rPr>
            <w:t>7</w:t>
          </w:r>
          <w:r>
            <w:rPr>
              <w:rFonts w:ascii="Times New Roman" w:hAnsi="Times New Roman" w:cs="Times New Roman"/>
              <w:color w:val="000000" w:themeColor="text1"/>
              <w:sz w:val="24"/>
              <w:szCs w:val="24"/>
            </w:rPr>
            <w:fldChar w:fldCharType="end"/>
          </w:r>
          <w:r>
            <w:rPr>
              <w:rFonts w:ascii="Times New Roman" w:hAnsi="Times New Roman" w:cs="Times New Roman"/>
              <w:color w:val="000000" w:themeColor="text1"/>
              <w:sz w:val="24"/>
              <w:szCs w:val="24"/>
            </w:rPr>
            <w:fldChar w:fldCharType="end"/>
          </w:r>
        </w:p>
        <w:p>
          <w:pPr>
            <w:pStyle w:val="14"/>
            <w:tabs>
              <w:tab w:val="right" w:leader="dot" w:pos="9350"/>
            </w:tabs>
            <w:spacing w:line="480" w:lineRule="auto"/>
            <w:jc w:val="both"/>
            <w:rPr>
              <w:rFonts w:ascii="Times New Roman" w:hAnsi="Times New Roman" w:cs="Times New Roman" w:eastAsiaTheme="minorEastAsia"/>
              <w:color w:val="000000" w:themeColor="text1"/>
              <w:sz w:val="24"/>
              <w:szCs w:val="24"/>
            </w:rPr>
          </w:pPr>
          <w:r>
            <w:fldChar w:fldCharType="begin"/>
          </w:r>
          <w:r>
            <w:instrText xml:space="preserve"> HYPERLINK \l "_Toc127550535" </w:instrText>
          </w:r>
          <w:r>
            <w:fldChar w:fldCharType="separate"/>
          </w:r>
          <w:r>
            <w:rPr>
              <w:rStyle w:val="19"/>
              <w:rFonts w:ascii="Times New Roman" w:hAnsi="Times New Roman" w:cs="Times New Roman"/>
              <w:color w:val="000000" w:themeColor="text1"/>
              <w:sz w:val="24"/>
              <w:szCs w:val="24"/>
            </w:rPr>
            <w:t>7s framework of change management</w:t>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fldChar w:fldCharType="begin"/>
          </w:r>
          <w:r>
            <w:rPr>
              <w:rFonts w:ascii="Times New Roman" w:hAnsi="Times New Roman" w:cs="Times New Roman"/>
              <w:color w:val="000000" w:themeColor="text1"/>
              <w:sz w:val="24"/>
              <w:szCs w:val="24"/>
            </w:rPr>
            <w:instrText xml:space="preserve"> PAGEREF _Toc127550535 \h </w:instrText>
          </w:r>
          <w:r>
            <w:rPr>
              <w:rFonts w:ascii="Times New Roman" w:hAnsi="Times New Roman" w:cs="Times New Roman"/>
              <w:color w:val="000000" w:themeColor="text1"/>
              <w:sz w:val="24"/>
              <w:szCs w:val="24"/>
            </w:rPr>
            <w:fldChar w:fldCharType="separate"/>
          </w:r>
          <w:r>
            <w:rPr>
              <w:rFonts w:ascii="Times New Roman" w:hAnsi="Times New Roman" w:cs="Times New Roman"/>
              <w:color w:val="000000" w:themeColor="text1"/>
              <w:sz w:val="24"/>
              <w:szCs w:val="24"/>
            </w:rPr>
            <w:t>8</w:t>
          </w:r>
          <w:r>
            <w:rPr>
              <w:rFonts w:ascii="Times New Roman" w:hAnsi="Times New Roman" w:cs="Times New Roman"/>
              <w:color w:val="000000" w:themeColor="text1"/>
              <w:sz w:val="24"/>
              <w:szCs w:val="24"/>
            </w:rPr>
            <w:fldChar w:fldCharType="end"/>
          </w:r>
          <w:r>
            <w:rPr>
              <w:rFonts w:ascii="Times New Roman" w:hAnsi="Times New Roman" w:cs="Times New Roman"/>
              <w:color w:val="000000" w:themeColor="text1"/>
              <w:sz w:val="24"/>
              <w:szCs w:val="24"/>
            </w:rPr>
            <w:fldChar w:fldCharType="end"/>
          </w:r>
        </w:p>
        <w:p>
          <w:pPr>
            <w:pStyle w:val="14"/>
            <w:tabs>
              <w:tab w:val="right" w:leader="dot" w:pos="9350"/>
            </w:tabs>
            <w:spacing w:line="480" w:lineRule="auto"/>
            <w:jc w:val="both"/>
            <w:rPr>
              <w:rFonts w:ascii="Times New Roman" w:hAnsi="Times New Roman" w:cs="Times New Roman" w:eastAsiaTheme="minorEastAsia"/>
              <w:color w:val="000000" w:themeColor="text1"/>
              <w:sz w:val="24"/>
              <w:szCs w:val="24"/>
            </w:rPr>
          </w:pPr>
          <w:r>
            <w:fldChar w:fldCharType="begin"/>
          </w:r>
          <w:r>
            <w:instrText xml:space="preserve"> HYPERLINK \l "_Toc127550536" </w:instrText>
          </w:r>
          <w:r>
            <w:fldChar w:fldCharType="separate"/>
          </w:r>
          <w:r>
            <w:rPr>
              <w:rStyle w:val="19"/>
              <w:rFonts w:ascii="Times New Roman" w:hAnsi="Times New Roman" w:cs="Times New Roman"/>
              <w:color w:val="000000" w:themeColor="text1"/>
              <w:sz w:val="24"/>
              <w:szCs w:val="24"/>
            </w:rPr>
            <w:t>Adkar’s Model of Change Management</w:t>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fldChar w:fldCharType="begin"/>
          </w:r>
          <w:r>
            <w:rPr>
              <w:rFonts w:ascii="Times New Roman" w:hAnsi="Times New Roman" w:cs="Times New Roman"/>
              <w:color w:val="000000" w:themeColor="text1"/>
              <w:sz w:val="24"/>
              <w:szCs w:val="24"/>
            </w:rPr>
            <w:instrText xml:space="preserve"> PAGEREF _Toc127550536 \h </w:instrText>
          </w:r>
          <w:r>
            <w:rPr>
              <w:rFonts w:ascii="Times New Roman" w:hAnsi="Times New Roman" w:cs="Times New Roman"/>
              <w:color w:val="000000" w:themeColor="text1"/>
              <w:sz w:val="24"/>
              <w:szCs w:val="24"/>
            </w:rPr>
            <w:fldChar w:fldCharType="separate"/>
          </w:r>
          <w:r>
            <w:rPr>
              <w:rFonts w:ascii="Times New Roman" w:hAnsi="Times New Roman" w:cs="Times New Roman"/>
              <w:color w:val="000000" w:themeColor="text1"/>
              <w:sz w:val="24"/>
              <w:szCs w:val="24"/>
            </w:rPr>
            <w:t>9</w:t>
          </w:r>
          <w:r>
            <w:rPr>
              <w:rFonts w:ascii="Times New Roman" w:hAnsi="Times New Roman" w:cs="Times New Roman"/>
              <w:color w:val="000000" w:themeColor="text1"/>
              <w:sz w:val="24"/>
              <w:szCs w:val="24"/>
            </w:rPr>
            <w:fldChar w:fldCharType="end"/>
          </w:r>
          <w:r>
            <w:rPr>
              <w:rFonts w:ascii="Times New Roman" w:hAnsi="Times New Roman" w:cs="Times New Roman"/>
              <w:color w:val="000000" w:themeColor="text1"/>
              <w:sz w:val="24"/>
              <w:szCs w:val="24"/>
            </w:rPr>
            <w:fldChar w:fldCharType="end"/>
          </w:r>
        </w:p>
        <w:p>
          <w:pPr>
            <w:pStyle w:val="12"/>
            <w:tabs>
              <w:tab w:val="right" w:leader="dot" w:pos="9350"/>
            </w:tabs>
            <w:spacing w:line="480" w:lineRule="auto"/>
            <w:jc w:val="both"/>
            <w:rPr>
              <w:rFonts w:ascii="Times New Roman" w:hAnsi="Times New Roman" w:cs="Times New Roman" w:eastAsiaTheme="minorEastAsia"/>
              <w:color w:val="000000" w:themeColor="text1"/>
              <w:sz w:val="24"/>
              <w:szCs w:val="24"/>
            </w:rPr>
          </w:pPr>
          <w:r>
            <w:fldChar w:fldCharType="begin"/>
          </w:r>
          <w:r>
            <w:instrText xml:space="preserve"> HYPERLINK \l "_Toc127550537" </w:instrText>
          </w:r>
          <w:r>
            <w:fldChar w:fldCharType="separate"/>
          </w:r>
          <w:r>
            <w:rPr>
              <w:rStyle w:val="19"/>
              <w:rFonts w:ascii="Times New Roman" w:hAnsi="Times New Roman" w:cs="Times New Roman"/>
              <w:color w:val="000000" w:themeColor="text1"/>
              <w:sz w:val="24"/>
              <w:szCs w:val="24"/>
            </w:rPr>
            <w:t>Driving factors of change</w:t>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fldChar w:fldCharType="begin"/>
          </w:r>
          <w:r>
            <w:rPr>
              <w:rFonts w:ascii="Times New Roman" w:hAnsi="Times New Roman" w:cs="Times New Roman"/>
              <w:color w:val="000000" w:themeColor="text1"/>
              <w:sz w:val="24"/>
              <w:szCs w:val="24"/>
            </w:rPr>
            <w:instrText xml:space="preserve"> PAGEREF _Toc127550537 \h </w:instrText>
          </w:r>
          <w:r>
            <w:rPr>
              <w:rFonts w:ascii="Times New Roman" w:hAnsi="Times New Roman" w:cs="Times New Roman"/>
              <w:color w:val="000000" w:themeColor="text1"/>
              <w:sz w:val="24"/>
              <w:szCs w:val="24"/>
            </w:rPr>
            <w:fldChar w:fldCharType="separate"/>
          </w:r>
          <w:r>
            <w:rPr>
              <w:rFonts w:ascii="Times New Roman" w:hAnsi="Times New Roman" w:cs="Times New Roman"/>
              <w:color w:val="000000" w:themeColor="text1"/>
              <w:sz w:val="24"/>
              <w:szCs w:val="24"/>
            </w:rPr>
            <w:t>10</w:t>
          </w:r>
          <w:r>
            <w:rPr>
              <w:rFonts w:ascii="Times New Roman" w:hAnsi="Times New Roman" w:cs="Times New Roman"/>
              <w:color w:val="000000" w:themeColor="text1"/>
              <w:sz w:val="24"/>
              <w:szCs w:val="24"/>
            </w:rPr>
            <w:fldChar w:fldCharType="end"/>
          </w:r>
          <w:r>
            <w:rPr>
              <w:rFonts w:ascii="Times New Roman" w:hAnsi="Times New Roman" w:cs="Times New Roman"/>
              <w:color w:val="000000" w:themeColor="text1"/>
              <w:sz w:val="24"/>
              <w:szCs w:val="24"/>
            </w:rPr>
            <w:fldChar w:fldCharType="end"/>
          </w:r>
        </w:p>
        <w:p>
          <w:pPr>
            <w:pStyle w:val="12"/>
            <w:tabs>
              <w:tab w:val="right" w:leader="dot" w:pos="9350"/>
            </w:tabs>
            <w:spacing w:line="480" w:lineRule="auto"/>
            <w:jc w:val="both"/>
            <w:rPr>
              <w:rFonts w:ascii="Times New Roman" w:hAnsi="Times New Roman" w:cs="Times New Roman" w:eastAsiaTheme="minorEastAsia"/>
              <w:color w:val="000000" w:themeColor="text1"/>
              <w:sz w:val="24"/>
              <w:szCs w:val="24"/>
            </w:rPr>
          </w:pPr>
          <w:r>
            <w:fldChar w:fldCharType="begin"/>
          </w:r>
          <w:r>
            <w:instrText xml:space="preserve"> HYPERLINK \l "_Toc127550538" </w:instrText>
          </w:r>
          <w:r>
            <w:fldChar w:fldCharType="separate"/>
          </w:r>
          <w:r>
            <w:rPr>
              <w:rStyle w:val="19"/>
              <w:rFonts w:ascii="Times New Roman" w:hAnsi="Times New Roman" w:cs="Times New Roman"/>
              <w:color w:val="000000" w:themeColor="text1"/>
              <w:sz w:val="24"/>
              <w:szCs w:val="24"/>
            </w:rPr>
            <w:t>Strategies for dealing with resistance factors to the change</w:t>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fldChar w:fldCharType="begin"/>
          </w:r>
          <w:r>
            <w:rPr>
              <w:rFonts w:ascii="Times New Roman" w:hAnsi="Times New Roman" w:cs="Times New Roman"/>
              <w:color w:val="000000" w:themeColor="text1"/>
              <w:sz w:val="24"/>
              <w:szCs w:val="24"/>
            </w:rPr>
            <w:instrText xml:space="preserve"> PAGEREF _Toc127550538 \h </w:instrText>
          </w:r>
          <w:r>
            <w:rPr>
              <w:rFonts w:ascii="Times New Roman" w:hAnsi="Times New Roman" w:cs="Times New Roman"/>
              <w:color w:val="000000" w:themeColor="text1"/>
              <w:sz w:val="24"/>
              <w:szCs w:val="24"/>
            </w:rPr>
            <w:fldChar w:fldCharType="separate"/>
          </w:r>
          <w:r>
            <w:rPr>
              <w:rFonts w:ascii="Times New Roman" w:hAnsi="Times New Roman" w:cs="Times New Roman"/>
              <w:color w:val="000000" w:themeColor="text1"/>
              <w:sz w:val="24"/>
              <w:szCs w:val="24"/>
            </w:rPr>
            <w:t>13</w:t>
          </w:r>
          <w:r>
            <w:rPr>
              <w:rFonts w:ascii="Times New Roman" w:hAnsi="Times New Roman" w:cs="Times New Roman"/>
              <w:color w:val="000000" w:themeColor="text1"/>
              <w:sz w:val="24"/>
              <w:szCs w:val="24"/>
            </w:rPr>
            <w:fldChar w:fldCharType="end"/>
          </w:r>
          <w:r>
            <w:rPr>
              <w:rFonts w:ascii="Times New Roman" w:hAnsi="Times New Roman" w:cs="Times New Roman"/>
              <w:color w:val="000000" w:themeColor="text1"/>
              <w:sz w:val="24"/>
              <w:szCs w:val="24"/>
            </w:rPr>
            <w:fldChar w:fldCharType="end"/>
          </w:r>
        </w:p>
        <w:p>
          <w:pPr>
            <w:pStyle w:val="12"/>
            <w:tabs>
              <w:tab w:val="right" w:leader="dot" w:pos="9350"/>
            </w:tabs>
            <w:spacing w:line="480" w:lineRule="auto"/>
            <w:jc w:val="both"/>
            <w:rPr>
              <w:rFonts w:ascii="Times New Roman" w:hAnsi="Times New Roman" w:cs="Times New Roman" w:eastAsiaTheme="minorEastAsia"/>
              <w:color w:val="000000" w:themeColor="text1"/>
              <w:sz w:val="24"/>
              <w:szCs w:val="24"/>
            </w:rPr>
          </w:pPr>
          <w:r>
            <w:fldChar w:fldCharType="begin"/>
          </w:r>
          <w:r>
            <w:instrText xml:space="preserve"> HYPERLINK \l "_Toc127550539" </w:instrText>
          </w:r>
          <w:r>
            <w:fldChar w:fldCharType="separate"/>
          </w:r>
          <w:r>
            <w:rPr>
              <w:rStyle w:val="19"/>
              <w:rFonts w:ascii="Times New Roman" w:hAnsi="Times New Roman" w:cs="Times New Roman"/>
              <w:color w:val="000000" w:themeColor="text1"/>
              <w:sz w:val="24"/>
              <w:szCs w:val="24"/>
            </w:rPr>
            <w:t>Implementation and effectiveness of change strategies</w:t>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fldChar w:fldCharType="begin"/>
          </w:r>
          <w:r>
            <w:rPr>
              <w:rFonts w:ascii="Times New Roman" w:hAnsi="Times New Roman" w:cs="Times New Roman"/>
              <w:color w:val="000000" w:themeColor="text1"/>
              <w:sz w:val="24"/>
              <w:szCs w:val="24"/>
            </w:rPr>
            <w:instrText xml:space="preserve"> PAGEREF _Toc127550539 \h </w:instrText>
          </w:r>
          <w:r>
            <w:rPr>
              <w:rFonts w:ascii="Times New Roman" w:hAnsi="Times New Roman" w:cs="Times New Roman"/>
              <w:color w:val="000000" w:themeColor="text1"/>
              <w:sz w:val="24"/>
              <w:szCs w:val="24"/>
            </w:rPr>
            <w:fldChar w:fldCharType="separate"/>
          </w:r>
          <w:r>
            <w:rPr>
              <w:rFonts w:ascii="Times New Roman" w:hAnsi="Times New Roman" w:cs="Times New Roman"/>
              <w:color w:val="000000" w:themeColor="text1"/>
              <w:sz w:val="24"/>
              <w:szCs w:val="24"/>
            </w:rPr>
            <w:t>16</w:t>
          </w:r>
          <w:r>
            <w:rPr>
              <w:rFonts w:ascii="Times New Roman" w:hAnsi="Times New Roman" w:cs="Times New Roman"/>
              <w:color w:val="000000" w:themeColor="text1"/>
              <w:sz w:val="24"/>
              <w:szCs w:val="24"/>
            </w:rPr>
            <w:fldChar w:fldCharType="end"/>
          </w:r>
          <w:r>
            <w:rPr>
              <w:rFonts w:ascii="Times New Roman" w:hAnsi="Times New Roman" w:cs="Times New Roman"/>
              <w:color w:val="000000" w:themeColor="text1"/>
              <w:sz w:val="24"/>
              <w:szCs w:val="24"/>
            </w:rPr>
            <w:fldChar w:fldCharType="end"/>
          </w:r>
        </w:p>
        <w:p>
          <w:pPr>
            <w:pStyle w:val="12"/>
            <w:tabs>
              <w:tab w:val="right" w:leader="dot" w:pos="9350"/>
            </w:tabs>
            <w:spacing w:line="480" w:lineRule="auto"/>
            <w:jc w:val="both"/>
            <w:rPr>
              <w:rFonts w:ascii="Times New Roman" w:hAnsi="Times New Roman" w:cs="Times New Roman" w:eastAsiaTheme="minorEastAsia"/>
              <w:color w:val="000000" w:themeColor="text1"/>
              <w:sz w:val="24"/>
              <w:szCs w:val="24"/>
            </w:rPr>
          </w:pPr>
          <w:r>
            <w:fldChar w:fldCharType="begin"/>
          </w:r>
          <w:r>
            <w:instrText xml:space="preserve"> HYPERLINK \l "_Toc127550540" </w:instrText>
          </w:r>
          <w:r>
            <w:fldChar w:fldCharType="separate"/>
          </w:r>
          <w:r>
            <w:rPr>
              <w:rStyle w:val="19"/>
              <w:rFonts w:ascii="Times New Roman" w:hAnsi="Times New Roman" w:cs="Times New Roman"/>
              <w:color w:val="000000" w:themeColor="text1"/>
              <w:sz w:val="24"/>
              <w:szCs w:val="24"/>
            </w:rPr>
            <w:t>Conclusion</w:t>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fldChar w:fldCharType="begin"/>
          </w:r>
          <w:r>
            <w:rPr>
              <w:rFonts w:ascii="Times New Roman" w:hAnsi="Times New Roman" w:cs="Times New Roman"/>
              <w:color w:val="000000" w:themeColor="text1"/>
              <w:sz w:val="24"/>
              <w:szCs w:val="24"/>
            </w:rPr>
            <w:instrText xml:space="preserve"> PAGEREF _Toc127550540 \h </w:instrText>
          </w:r>
          <w:r>
            <w:rPr>
              <w:rFonts w:ascii="Times New Roman" w:hAnsi="Times New Roman" w:cs="Times New Roman"/>
              <w:color w:val="000000" w:themeColor="text1"/>
              <w:sz w:val="24"/>
              <w:szCs w:val="24"/>
            </w:rPr>
            <w:fldChar w:fldCharType="separate"/>
          </w:r>
          <w:r>
            <w:rPr>
              <w:rFonts w:ascii="Times New Roman" w:hAnsi="Times New Roman" w:cs="Times New Roman"/>
              <w:color w:val="000000" w:themeColor="text1"/>
              <w:sz w:val="24"/>
              <w:szCs w:val="24"/>
            </w:rPr>
            <w:t>18</w:t>
          </w:r>
          <w:r>
            <w:rPr>
              <w:rFonts w:ascii="Times New Roman" w:hAnsi="Times New Roman" w:cs="Times New Roman"/>
              <w:color w:val="000000" w:themeColor="text1"/>
              <w:sz w:val="24"/>
              <w:szCs w:val="24"/>
            </w:rPr>
            <w:fldChar w:fldCharType="end"/>
          </w:r>
          <w:r>
            <w:rPr>
              <w:rFonts w:ascii="Times New Roman" w:hAnsi="Times New Roman" w:cs="Times New Roman"/>
              <w:color w:val="000000" w:themeColor="text1"/>
              <w:sz w:val="24"/>
              <w:szCs w:val="24"/>
            </w:rPr>
            <w:fldChar w:fldCharType="end"/>
          </w:r>
        </w:p>
        <w:p>
          <w:pPr>
            <w:pStyle w:val="12"/>
            <w:tabs>
              <w:tab w:val="right" w:leader="dot" w:pos="9350"/>
            </w:tabs>
            <w:spacing w:line="480" w:lineRule="auto"/>
            <w:jc w:val="both"/>
            <w:rPr>
              <w:rFonts w:ascii="Times New Roman" w:hAnsi="Times New Roman" w:cs="Times New Roman" w:eastAsiaTheme="minorEastAsia"/>
              <w:color w:val="000000" w:themeColor="text1"/>
              <w:sz w:val="24"/>
              <w:szCs w:val="24"/>
            </w:rPr>
          </w:pPr>
          <w:r>
            <w:fldChar w:fldCharType="begin"/>
          </w:r>
          <w:r>
            <w:instrText xml:space="preserve"> HYPERLINK \l "_Toc127550541" </w:instrText>
          </w:r>
          <w:r>
            <w:fldChar w:fldCharType="separate"/>
          </w:r>
          <w:r>
            <w:rPr>
              <w:rStyle w:val="19"/>
              <w:rFonts w:ascii="Times New Roman" w:hAnsi="Times New Roman" w:cs="Times New Roman"/>
              <w:color w:val="000000" w:themeColor="text1"/>
              <w:sz w:val="24"/>
              <w:szCs w:val="24"/>
            </w:rPr>
            <w:t>Reference List</w:t>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fldChar w:fldCharType="begin"/>
          </w:r>
          <w:r>
            <w:rPr>
              <w:rFonts w:ascii="Times New Roman" w:hAnsi="Times New Roman" w:cs="Times New Roman"/>
              <w:color w:val="000000" w:themeColor="text1"/>
              <w:sz w:val="24"/>
              <w:szCs w:val="24"/>
            </w:rPr>
            <w:instrText xml:space="preserve"> PAGEREF _Toc127550541 \h </w:instrText>
          </w:r>
          <w:r>
            <w:rPr>
              <w:rFonts w:ascii="Times New Roman" w:hAnsi="Times New Roman" w:cs="Times New Roman"/>
              <w:color w:val="000000" w:themeColor="text1"/>
              <w:sz w:val="24"/>
              <w:szCs w:val="24"/>
            </w:rPr>
            <w:fldChar w:fldCharType="separate"/>
          </w:r>
          <w:r>
            <w:rPr>
              <w:rFonts w:ascii="Times New Roman" w:hAnsi="Times New Roman" w:cs="Times New Roman"/>
              <w:color w:val="000000" w:themeColor="text1"/>
              <w:sz w:val="24"/>
              <w:szCs w:val="24"/>
            </w:rPr>
            <w:t>19</w:t>
          </w:r>
          <w:r>
            <w:rPr>
              <w:rFonts w:ascii="Times New Roman" w:hAnsi="Times New Roman" w:cs="Times New Roman"/>
              <w:color w:val="000000" w:themeColor="text1"/>
              <w:sz w:val="24"/>
              <w:szCs w:val="24"/>
            </w:rPr>
            <w:fldChar w:fldCharType="end"/>
          </w:r>
          <w:r>
            <w:rPr>
              <w:rFonts w:ascii="Times New Roman" w:hAnsi="Times New Roman" w:cs="Times New Roman"/>
              <w:color w:val="000000" w:themeColor="text1"/>
              <w:sz w:val="24"/>
              <w:szCs w:val="24"/>
            </w:rPr>
            <w:fldChar w:fldCharType="end"/>
          </w:r>
        </w:p>
        <w:p>
          <w:pPr>
            <w:spacing w:line="480" w:lineRule="auto"/>
            <w:jc w:val="both"/>
            <w:rPr>
              <w:lang w:val="en-GB"/>
            </w:rPr>
          </w:pPr>
          <w:r>
            <w:rPr>
              <w:rFonts w:ascii="Times New Roman" w:hAnsi="Times New Roman" w:cs="Times New Roman"/>
              <w:color w:val="000000" w:themeColor="text1"/>
              <w:sz w:val="24"/>
              <w:szCs w:val="24"/>
              <w:lang w:val="en-GB"/>
            </w:rPr>
            <w:fldChar w:fldCharType="end"/>
          </w:r>
        </w:p>
      </w:sdtContent>
    </w:sdt>
    <w:p>
      <w:pPr>
        <w:pStyle w:val="3"/>
        <w:spacing w:line="480" w:lineRule="auto"/>
        <w:jc w:val="center"/>
        <w:rPr>
          <w:rFonts w:ascii="Times New Roman" w:hAnsi="Times New Roman" w:eastAsia="Times New Roman" w:cs="Times New Roman"/>
          <w:b/>
          <w:sz w:val="32"/>
          <w:szCs w:val="32"/>
          <w:lang w:val="en-GB"/>
        </w:rPr>
      </w:pPr>
    </w:p>
    <w:p>
      <w:pPr>
        <w:spacing w:line="480" w:lineRule="auto"/>
        <w:rPr>
          <w:rFonts w:ascii="Times New Roman" w:hAnsi="Times New Roman" w:eastAsia="Times New Roman" w:cs="Times New Roman"/>
          <w:b/>
          <w:sz w:val="28"/>
          <w:szCs w:val="28"/>
          <w:lang w:val="en-GB"/>
        </w:rPr>
      </w:pPr>
      <w:r>
        <w:rPr>
          <w:rFonts w:ascii="Times New Roman" w:hAnsi="Times New Roman" w:eastAsia="Times New Roman" w:cs="Times New Roman"/>
          <w:b/>
          <w:sz w:val="28"/>
          <w:szCs w:val="28"/>
          <w:lang w:val="en-GB"/>
        </w:rPr>
        <w:br w:type="page"/>
      </w:r>
    </w:p>
    <w:p>
      <w:pPr>
        <w:pStyle w:val="2"/>
      </w:pPr>
      <w:bookmarkStart w:id="0" w:name="_Toc127550529"/>
      <w:r>
        <w:t>Introduction and background</w:t>
      </w:r>
      <w:bookmarkEnd w:id="0"/>
    </w:p>
    <w:p>
      <w:pPr>
        <w:pStyle w:val="4"/>
      </w:pPr>
      <w:bookmarkStart w:id="1" w:name="_Toc127550530"/>
      <w:r>
        <w:t>Introduction</w:t>
      </w:r>
      <w:bookmarkEnd w:id="1"/>
    </w:p>
    <w:p>
      <w:pPr>
        <w:pStyle w:val="3"/>
        <w:spacing w:line="48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 xml:space="preserve">Change and stability management in any organisation exist side-by-side and the major principles of change management includes understanding change, planning change, implementing and communicating change (Rosenbaum </w:t>
      </w:r>
      <w:r>
        <w:rPr>
          <w:rFonts w:ascii="Times New Roman" w:hAnsi="Times New Roman" w:eastAsia="Times New Roman" w:cs="Times New Roman"/>
          <w:i/>
          <w:sz w:val="24"/>
          <w:szCs w:val="24"/>
          <w:lang w:val="en-GB"/>
        </w:rPr>
        <w:t xml:space="preserve">et al. </w:t>
      </w:r>
      <w:r>
        <w:rPr>
          <w:rFonts w:ascii="Times New Roman" w:hAnsi="Times New Roman" w:eastAsia="Times New Roman" w:cs="Times New Roman"/>
          <w:sz w:val="24"/>
          <w:szCs w:val="24"/>
          <w:lang w:val="en-GB"/>
        </w:rPr>
        <w:t xml:space="preserve">2018). This study has been investigated about the change management strategy of </w:t>
      </w:r>
      <w:r>
        <w:rPr>
          <w:rFonts w:ascii="Times New Roman" w:hAnsi="Times New Roman" w:eastAsia="Times New Roman" w:cs="Times New Roman"/>
          <w:b/>
          <w:i/>
          <w:sz w:val="24"/>
          <w:szCs w:val="24"/>
          <w:lang w:val="en-GB"/>
        </w:rPr>
        <w:t xml:space="preserve">Netflix Inc. </w:t>
      </w:r>
      <w:r>
        <w:rPr>
          <w:rFonts w:ascii="Times New Roman" w:hAnsi="Times New Roman" w:eastAsia="Times New Roman" w:cs="Times New Roman"/>
          <w:sz w:val="24"/>
          <w:szCs w:val="24"/>
          <w:lang w:val="en-GB"/>
        </w:rPr>
        <w:t xml:space="preserve">specific change by the organisation, reason of change, major change management model and their implementation have been analysed. Evaluating the key driving factors of change such as competition, digitalisation, power, culture, leadership along with the resistance factors of change have been evaluated in this study. Analysing specific change and evaluating the factors behind change, the effectiveness has been described providing suitable suggestions to implement change plans in the organisation. </w:t>
      </w:r>
    </w:p>
    <w:p>
      <w:pPr>
        <w:pStyle w:val="4"/>
      </w:pPr>
      <w:bookmarkStart w:id="2" w:name="_Toc127550531"/>
      <w:r>
        <w:t>Background</w:t>
      </w:r>
      <w:bookmarkEnd w:id="2"/>
    </w:p>
    <w:p>
      <w:pPr>
        <w:pStyle w:val="3"/>
        <w:spacing w:line="48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Netflix Inc is the video-rental and the media-streaming company that was founded in 1997 and it’s headquarter is located in California (Netflix Inc, 2023). The company also creates original programming. The subscription-based video streaming service allows the audience to watch movies and TV shows on internet-connected devices. The company uses consumer-centric and data-driven marketing strategies that work in this digital age.</w:t>
      </w:r>
    </w:p>
    <w:p>
      <w:pPr>
        <w:pStyle w:val="3"/>
        <w:spacing w:line="48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 xml:space="preserve">Total revenue of this video streaming platform has amounted to about 31.6 dollars and net income is about 4.49 billion US dollar with total 12,800 employees worldwide (Stoll, 2023). The success of the company is dependent on the constant optimisation and analysis in order to market the business online.  From its beginning in the form of a DVD-by-mail service provider, the company has emerged as the most subscribed video streaming platform worldwide. The company is the market leader finding potential with technology and it has found the transition first (Stoll, 2022). Since this great transition of the company, total revenue has grown to over 26 billion from 1.36 billion just within 13 years. The subscription number has followed a significant trend, although this market leader has suffered a great loss in recent times. </w:t>
      </w:r>
    </w:p>
    <w:p>
      <w:pPr>
        <w:pStyle w:val="2"/>
      </w:pPr>
      <w:bookmarkStart w:id="3" w:name="_Toc127550532"/>
      <w:r>
        <w:t>Specific change by Netflix and reason for change</w:t>
      </w:r>
      <w:bookmarkEnd w:id="3"/>
    </w:p>
    <w:p>
      <w:pPr>
        <w:pStyle w:val="3"/>
        <w:spacing w:line="480" w:lineRule="auto"/>
        <w:jc w:val="both"/>
        <w:rPr>
          <w:rFonts w:ascii="Times New Roman" w:hAnsi="Times New Roman" w:eastAsia="Times New Roman" w:cs="Times New Roman"/>
          <w:b/>
          <w:sz w:val="24"/>
          <w:szCs w:val="24"/>
          <w:lang w:val="en-GB"/>
        </w:rPr>
      </w:pPr>
      <w:r>
        <w:rPr>
          <w:rFonts w:ascii="Times New Roman" w:hAnsi="Times New Roman" w:eastAsia="Times New Roman" w:cs="Times New Roman"/>
          <w:b/>
          <w:sz w:val="24"/>
          <w:szCs w:val="24"/>
          <w:lang w:val="en-GB"/>
        </w:rPr>
        <w:t>Netflix’s Product strategy 2022</w:t>
      </w:r>
    </w:p>
    <w:p>
      <w:pPr>
        <w:pStyle w:val="3"/>
        <w:spacing w:line="48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Throughout the last decade, the approach of the company was very consistent (Jayatilleke and Lai, 2018). The company aims to provide a greater consumer experience emphasising on personalised merchandising and compelling experience. The company delivered a number of movies and TV shows with maximised investment to make original content. The company focused on creating optimal balance between value and price. The punch line of the change of Netflix change strategy exhibits the company hasneeded to completely change the strategy. However for re-accelerating the growth of the business the company has been accelerated three core tactics-</w:t>
      </w:r>
    </w:p>
    <w:p>
      <w:pPr>
        <w:pStyle w:val="3"/>
        <w:numPr>
          <w:ilvl w:val="0"/>
          <w:numId w:val="1"/>
        </w:numPr>
        <w:spacing w:line="48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New ad-based monthly plan</w:t>
      </w:r>
    </w:p>
    <w:p>
      <w:pPr>
        <w:pStyle w:val="3"/>
        <w:numPr>
          <w:ilvl w:val="0"/>
          <w:numId w:val="1"/>
        </w:numPr>
        <w:spacing w:line="48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Paid sharing of account</w:t>
      </w:r>
    </w:p>
    <w:p>
      <w:pPr>
        <w:pStyle w:val="3"/>
        <w:numPr>
          <w:ilvl w:val="0"/>
          <w:numId w:val="1"/>
        </w:numPr>
        <w:spacing w:line="48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The capability to transfer those sub-profiles to the paid accounts</w:t>
      </w:r>
    </w:p>
    <w:p>
      <w:pPr>
        <w:pStyle w:val="3"/>
        <w:spacing w:line="48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 xml:space="preserve">The product vision of the company outlines several step-function innovations that have propelled the company forward in the last two decades. The product vision of the company includes lead streaming, worldwide expansion, and creating original content (Mak, 2022). </w:t>
      </w:r>
    </w:p>
    <w:p>
      <w:pPr>
        <w:pStyle w:val="3"/>
        <w:spacing w:line="480" w:lineRule="auto"/>
        <w:jc w:val="both"/>
        <w:rPr>
          <w:rFonts w:ascii="Times New Roman" w:hAnsi="Times New Roman" w:eastAsia="Times New Roman" w:cs="Times New Roman"/>
          <w:b/>
          <w:sz w:val="24"/>
          <w:szCs w:val="24"/>
          <w:lang w:val="en-GB"/>
        </w:rPr>
      </w:pPr>
      <w:r>
        <w:rPr>
          <w:rFonts w:ascii="Times New Roman" w:hAnsi="Times New Roman" w:eastAsia="Times New Roman" w:cs="Times New Roman"/>
          <w:b/>
          <w:sz w:val="24"/>
          <w:szCs w:val="24"/>
          <w:lang w:val="en-GB"/>
        </w:rPr>
        <w:t>Reason of change</w:t>
      </w:r>
    </w:p>
    <w:p>
      <w:pPr>
        <w:pStyle w:val="3"/>
        <w:spacing w:line="480" w:lineRule="auto"/>
        <w:jc w:val="both"/>
        <w:rPr>
          <w:rFonts w:ascii="Times New Roman" w:hAnsi="Times New Roman" w:eastAsia="Times New Roman" w:cs="Times New Roman"/>
          <w:b/>
          <w:i/>
          <w:sz w:val="24"/>
          <w:szCs w:val="24"/>
          <w:lang w:val="en-GB"/>
        </w:rPr>
      </w:pPr>
      <w:r>
        <w:rPr>
          <w:rFonts w:ascii="Times New Roman" w:hAnsi="Times New Roman" w:eastAsia="Times New Roman" w:cs="Times New Roman"/>
          <w:sz w:val="24"/>
          <w:szCs w:val="24"/>
          <w:lang w:val="en-GB"/>
        </w:rPr>
        <w:t>Two millions new subscribers was forecasted to be added by the company in the first quarter of 2022, however the company lost about 200000 members (Mak, 2022). The reason behind the change strategy by Netflix is to hold the competitive position in the market. The major reason behind this new product strategy by the company consists of increasing</w:t>
      </w:r>
      <w:r>
        <w:rPr>
          <w:rFonts w:ascii="Times New Roman" w:hAnsi="Times New Roman" w:eastAsia="Times New Roman" w:cs="Times New Roman"/>
          <w:b/>
          <w:i/>
          <w:sz w:val="24"/>
          <w:szCs w:val="24"/>
          <w:lang w:val="en-GB"/>
        </w:rPr>
        <w:t xml:space="preserve"> competition in the market, creation of original content, international expansion, innovation technology </w:t>
      </w:r>
      <w:r>
        <w:rPr>
          <w:rFonts w:ascii="Times New Roman" w:hAnsi="Times New Roman" w:eastAsia="Times New Roman" w:cs="Times New Roman"/>
          <w:sz w:val="24"/>
          <w:szCs w:val="24"/>
          <w:lang w:val="en-GB"/>
        </w:rPr>
        <w:t xml:space="preserve">and </w:t>
      </w:r>
      <w:r>
        <w:rPr>
          <w:rFonts w:ascii="Times New Roman" w:hAnsi="Times New Roman" w:eastAsia="Times New Roman" w:cs="Times New Roman"/>
          <w:b/>
          <w:i/>
          <w:sz w:val="24"/>
          <w:szCs w:val="24"/>
          <w:lang w:val="en-GB"/>
        </w:rPr>
        <w:t xml:space="preserve">monetisation strategies. </w:t>
      </w:r>
    </w:p>
    <w:p>
      <w:pPr>
        <w:pStyle w:val="3"/>
        <w:spacing w:line="480" w:lineRule="auto"/>
        <w:jc w:val="center"/>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rPr>
        <w:drawing>
          <wp:inline distT="114300" distB="114300" distL="114300" distR="114300">
            <wp:extent cx="4109720" cy="2839085"/>
            <wp:effectExtent l="25400" t="25400" r="25400" b="25400"/>
            <wp:docPr id="5" name="image4.png"/>
            <wp:cNvGraphicFramePr/>
            <a:graphic xmlns:a="http://schemas.openxmlformats.org/drawingml/2006/main">
              <a:graphicData uri="http://schemas.openxmlformats.org/drawingml/2006/picture">
                <pic:pic xmlns:pic="http://schemas.openxmlformats.org/drawingml/2006/picture">
                  <pic:nvPicPr>
                    <pic:cNvPr id="5" name="image4.png"/>
                    <pic:cNvPicPr preferRelativeResize="0"/>
                  </pic:nvPicPr>
                  <pic:blipFill>
                    <a:blip r:embed="rId7"/>
                    <a:srcRect/>
                    <a:stretch>
                      <a:fillRect/>
                    </a:stretch>
                  </pic:blipFill>
                  <pic:spPr>
                    <a:xfrm>
                      <a:off x="0" y="0"/>
                      <a:ext cx="4110038" cy="2839246"/>
                    </a:xfrm>
                    <a:prstGeom prst="rect">
                      <a:avLst/>
                    </a:prstGeom>
                    <a:ln w="25400">
                      <a:solidFill>
                        <a:srgbClr val="000000"/>
                      </a:solidFill>
                      <a:prstDash val="solid"/>
                    </a:ln>
                  </pic:spPr>
                </pic:pic>
              </a:graphicData>
            </a:graphic>
          </wp:inline>
        </w:drawing>
      </w:r>
    </w:p>
    <w:p>
      <w:pPr>
        <w:pStyle w:val="3"/>
        <w:spacing w:line="480" w:lineRule="auto"/>
        <w:jc w:val="center"/>
        <w:rPr>
          <w:rFonts w:ascii="Times New Roman" w:hAnsi="Times New Roman" w:eastAsia="Times New Roman" w:cs="Times New Roman"/>
          <w:b/>
          <w:sz w:val="24"/>
          <w:szCs w:val="24"/>
          <w:lang w:val="en-GB"/>
        </w:rPr>
      </w:pPr>
      <w:r>
        <w:rPr>
          <w:rFonts w:ascii="Times New Roman" w:hAnsi="Times New Roman" w:eastAsia="Times New Roman" w:cs="Times New Roman"/>
          <w:b/>
          <w:sz w:val="24"/>
          <w:szCs w:val="24"/>
          <w:lang w:val="en-GB"/>
        </w:rPr>
        <w:t>Figure 1: Numbers of paid subscribers of Netflix worldwide (2013-2022)</w:t>
      </w:r>
    </w:p>
    <w:p>
      <w:pPr>
        <w:pStyle w:val="3"/>
        <w:spacing w:line="480" w:lineRule="auto"/>
        <w:jc w:val="center"/>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(Source: Stoll, 2023)</w:t>
      </w:r>
    </w:p>
    <w:p>
      <w:pPr>
        <w:pStyle w:val="3"/>
        <w:spacing w:line="48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In the year 2022 an increase of eight million subscribers can be noted than the previous year. Behind the great fall of the subscription number is the subscription sharing and the key reason of this new product strategy by the company is to increase the total profit and hold the consistency in the market. Apart from that as the important priority, the company emphasises on the monetization process, so the company may invest into the incremental profits providing original contempt to its audience.</w:t>
      </w:r>
    </w:p>
    <w:p>
      <w:pPr>
        <w:pStyle w:val="3"/>
        <w:spacing w:line="48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Behind the decree in the numbers of subscribers are-</w:t>
      </w:r>
    </w:p>
    <w:p>
      <w:pPr>
        <w:pStyle w:val="3"/>
        <w:numPr>
          <w:ilvl w:val="0"/>
          <w:numId w:val="2"/>
        </w:numPr>
        <w:spacing w:line="480" w:lineRule="auto"/>
        <w:jc w:val="both"/>
        <w:rPr>
          <w:rFonts w:ascii="Times New Roman" w:hAnsi="Times New Roman" w:eastAsia="Times New Roman" w:cs="Times New Roman"/>
          <w:b/>
          <w:i/>
          <w:sz w:val="24"/>
          <w:szCs w:val="24"/>
          <w:lang w:val="en-GB"/>
        </w:rPr>
      </w:pPr>
      <w:r>
        <w:rPr>
          <w:rFonts w:ascii="Times New Roman" w:hAnsi="Times New Roman" w:eastAsia="Times New Roman" w:cs="Times New Roman"/>
          <w:sz w:val="24"/>
          <w:szCs w:val="24"/>
          <w:lang w:val="en-GB"/>
        </w:rPr>
        <w:t>Slower adoption rate than expected rate</w:t>
      </w:r>
    </w:p>
    <w:p>
      <w:pPr>
        <w:pStyle w:val="3"/>
        <w:numPr>
          <w:ilvl w:val="0"/>
          <w:numId w:val="2"/>
        </w:numPr>
        <w:spacing w:line="48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Widespread sharing of accounts</w:t>
      </w:r>
    </w:p>
    <w:p>
      <w:pPr>
        <w:pStyle w:val="3"/>
        <w:numPr>
          <w:ilvl w:val="0"/>
          <w:numId w:val="2"/>
        </w:numPr>
        <w:spacing w:line="48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Macro factors consist of Russia-Ukraine war impact (decision of 700k Russian subscriber cancellation, continued crisis posed by Covid-19 pandemic and the worldwide recession and inflation.</w:t>
      </w:r>
    </w:p>
    <w:p>
      <w:pPr>
        <w:pStyle w:val="2"/>
      </w:pPr>
      <w:bookmarkStart w:id="4" w:name="_Toc127550533"/>
      <w:r>
        <w:t>Key change management models and Application of change models considering incremental or large scale change programme</w:t>
      </w:r>
      <w:bookmarkEnd w:id="4"/>
    </w:p>
    <w:p>
      <w:pPr>
        <w:pStyle w:val="4"/>
      </w:pPr>
      <w:bookmarkStart w:id="5" w:name="_Toc127550534"/>
      <w:r>
        <w:t>Lewin’s change Model</w:t>
      </w:r>
      <w:bookmarkEnd w:id="5"/>
    </w:p>
    <w:p>
      <w:pPr>
        <w:pStyle w:val="3"/>
        <w:spacing w:line="48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Lewin’s change management model includes three stages: unfreezing</w:t>
      </w:r>
      <w:r>
        <w:rPr>
          <w:rFonts w:ascii="Times New Roman" w:hAnsi="Times New Roman" w:eastAsia="Times New Roman" w:cs="Times New Roman"/>
          <w:i/>
          <w:sz w:val="24"/>
          <w:szCs w:val="24"/>
          <w:lang w:val="en-GB"/>
        </w:rPr>
        <w:t xml:space="preserve">, changing </w:t>
      </w:r>
      <w:r>
        <w:rPr>
          <w:rFonts w:ascii="Times New Roman" w:hAnsi="Times New Roman" w:eastAsia="Times New Roman" w:cs="Times New Roman"/>
          <w:sz w:val="24"/>
          <w:szCs w:val="24"/>
          <w:lang w:val="en-GB"/>
        </w:rPr>
        <w:t xml:space="preserve">and </w:t>
      </w:r>
      <w:r>
        <w:rPr>
          <w:rFonts w:ascii="Times New Roman" w:hAnsi="Times New Roman" w:eastAsia="Times New Roman" w:cs="Times New Roman"/>
          <w:i/>
          <w:sz w:val="24"/>
          <w:szCs w:val="24"/>
          <w:lang w:val="en-GB"/>
        </w:rPr>
        <w:t>freezing that</w:t>
      </w:r>
      <w:r>
        <w:rPr>
          <w:rFonts w:ascii="Times New Roman" w:hAnsi="Times New Roman" w:eastAsia="Times New Roman" w:cs="Times New Roman"/>
          <w:sz w:val="24"/>
          <w:szCs w:val="24"/>
          <w:lang w:val="en-GB"/>
        </w:rPr>
        <w:t xml:space="preserve"> helps business to understand the change process and manage the changes. The first stage of this model consists of the preparation stage for the change that refers to understanding the need of change, finding reason and making sense of the immediate requirement for motivating people to accept that change (Cone and Unni, 2020). The second stage of this model is involved with the change implementation. It includes changing processes, systems, structures and particular behaviour. According to Hussain</w:t>
      </w:r>
      <w:r>
        <w:rPr>
          <w:rFonts w:ascii="Times New Roman" w:hAnsi="Times New Roman" w:eastAsia="Times New Roman" w:cs="Times New Roman"/>
          <w:i/>
          <w:sz w:val="24"/>
          <w:szCs w:val="24"/>
          <w:lang w:val="en-GB"/>
        </w:rPr>
        <w:t xml:space="preserve">et al. </w:t>
      </w:r>
      <w:r>
        <w:rPr>
          <w:rFonts w:ascii="Times New Roman" w:hAnsi="Times New Roman" w:eastAsia="Times New Roman" w:cs="Times New Roman"/>
          <w:sz w:val="24"/>
          <w:szCs w:val="24"/>
          <w:lang w:val="en-GB"/>
        </w:rPr>
        <w:t xml:space="preserve">(2018), the second stage is the most critical stage as it asks people to include new ways to do particular things. The third stage of the model states to make particular change as the permanent part to denote long-term growth of the organisation. This stage of the change management ensures sustainable change of organisation. Netflix in the freezing stage has understood the requirement of change in the organisation. The organisation aims to lead streaming and worldwide expansion providing great experience to the consumers. The decree in the numbers of consumers evidently might be difficult to continue the growth of the business effectively. Having knowledge about the consumer demand and the requirement to expand the business worldwide, the company has been taken the decision to include new product strategy 2022.    </w:t>
      </w:r>
    </w:p>
    <w:p>
      <w:pPr>
        <w:pStyle w:val="3"/>
        <w:spacing w:line="480" w:lineRule="auto"/>
        <w:jc w:val="center"/>
        <w:rPr>
          <w:rFonts w:ascii="Times New Roman" w:hAnsi="Times New Roman" w:eastAsia="Times New Roman" w:cs="Times New Roman"/>
          <w:b/>
          <w:sz w:val="24"/>
          <w:szCs w:val="24"/>
          <w:lang w:val="en-GB"/>
        </w:rPr>
      </w:pPr>
      <w:r>
        <w:rPr>
          <w:rFonts w:ascii="Times New Roman" w:hAnsi="Times New Roman" w:eastAsia="Times New Roman" w:cs="Times New Roman"/>
          <w:b/>
          <w:sz w:val="24"/>
          <w:szCs w:val="24"/>
        </w:rPr>
        <w:drawing>
          <wp:inline distT="114300" distB="114300" distL="114300" distR="114300">
            <wp:extent cx="5229225" cy="2106930"/>
            <wp:effectExtent l="25400" t="25400" r="25400" b="25400"/>
            <wp:docPr id="3" name="image3.png"/>
            <wp:cNvGraphicFramePr/>
            <a:graphic xmlns:a="http://schemas.openxmlformats.org/drawingml/2006/main">
              <a:graphicData uri="http://schemas.openxmlformats.org/drawingml/2006/picture">
                <pic:pic xmlns:pic="http://schemas.openxmlformats.org/drawingml/2006/picture">
                  <pic:nvPicPr>
                    <pic:cNvPr id="3" name="image3.png"/>
                    <pic:cNvPicPr preferRelativeResize="0"/>
                  </pic:nvPicPr>
                  <pic:blipFill>
                    <a:blip r:embed="rId8"/>
                    <a:srcRect/>
                    <a:stretch>
                      <a:fillRect/>
                    </a:stretch>
                  </pic:blipFill>
                  <pic:spPr>
                    <a:xfrm>
                      <a:off x="0" y="0"/>
                      <a:ext cx="5229813" cy="2107536"/>
                    </a:xfrm>
                    <a:prstGeom prst="rect">
                      <a:avLst/>
                    </a:prstGeom>
                    <a:ln w="25400">
                      <a:solidFill>
                        <a:srgbClr val="000000"/>
                      </a:solidFill>
                      <a:prstDash val="solid"/>
                    </a:ln>
                  </pic:spPr>
                </pic:pic>
              </a:graphicData>
            </a:graphic>
          </wp:inline>
        </w:drawing>
      </w:r>
    </w:p>
    <w:p>
      <w:pPr>
        <w:pStyle w:val="3"/>
        <w:spacing w:line="480" w:lineRule="auto"/>
        <w:jc w:val="center"/>
        <w:rPr>
          <w:rFonts w:ascii="Times New Roman" w:hAnsi="Times New Roman" w:eastAsia="Times New Roman" w:cs="Times New Roman"/>
          <w:b/>
          <w:sz w:val="24"/>
          <w:szCs w:val="24"/>
          <w:lang w:val="en-GB"/>
        </w:rPr>
      </w:pPr>
      <w:r>
        <w:rPr>
          <w:rFonts w:ascii="Times New Roman" w:hAnsi="Times New Roman" w:eastAsia="Times New Roman" w:cs="Times New Roman"/>
          <w:b/>
          <w:sz w:val="24"/>
          <w:szCs w:val="24"/>
          <w:lang w:val="en-GB"/>
        </w:rPr>
        <w:t>Figure2: Lewin’s change management model</w:t>
      </w:r>
    </w:p>
    <w:p>
      <w:pPr>
        <w:pStyle w:val="3"/>
        <w:spacing w:line="480" w:lineRule="auto"/>
        <w:jc w:val="center"/>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 xml:space="preserve">(Source:Rosenbaum </w:t>
      </w:r>
      <w:r>
        <w:rPr>
          <w:rFonts w:ascii="Times New Roman" w:hAnsi="Times New Roman" w:eastAsia="Times New Roman" w:cs="Times New Roman"/>
          <w:i/>
          <w:sz w:val="24"/>
          <w:szCs w:val="24"/>
          <w:lang w:val="en-GB"/>
        </w:rPr>
        <w:t xml:space="preserve">et al. </w:t>
      </w:r>
      <w:r>
        <w:rPr>
          <w:rFonts w:ascii="Times New Roman" w:hAnsi="Times New Roman" w:eastAsia="Times New Roman" w:cs="Times New Roman"/>
          <w:sz w:val="24"/>
          <w:szCs w:val="24"/>
          <w:lang w:val="en-GB"/>
        </w:rPr>
        <w:t>2018)</w:t>
      </w:r>
    </w:p>
    <w:p>
      <w:pPr>
        <w:pStyle w:val="3"/>
        <w:spacing w:line="48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The change strategy is highly focused on the monetization process, engagement and the monetisation. To drive the numbers of subscribers the company has been provided a new ad-based plan and paid accounting sharing along with the ability to transfer those sub profiles onto the paid accounts. Testing the optimal balance between value and price of the product</w:t>
      </w:r>
    </w:p>
    <w:p>
      <w:pPr>
        <w:pStyle w:val="4"/>
      </w:pPr>
      <w:bookmarkStart w:id="6" w:name="_Toc127550535"/>
      <w:r>
        <w:t>7s framework of change management</w:t>
      </w:r>
      <w:bookmarkEnd w:id="6"/>
    </w:p>
    <w:p>
      <w:pPr>
        <w:pStyle w:val="3"/>
        <w:spacing w:line="48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 xml:space="preserve">The 7s framework of change management includes seven elements to accelerate change that are </w:t>
      </w:r>
      <w:r>
        <w:rPr>
          <w:rFonts w:ascii="Times New Roman" w:hAnsi="Times New Roman" w:eastAsia="Times New Roman" w:cs="Times New Roman"/>
          <w:i/>
          <w:sz w:val="24"/>
          <w:szCs w:val="24"/>
          <w:lang w:val="en-GB"/>
        </w:rPr>
        <w:t xml:space="preserve">strategy, structure, system, shared value, skill, staff </w:t>
      </w:r>
      <w:r>
        <w:rPr>
          <w:rFonts w:ascii="Times New Roman" w:hAnsi="Times New Roman" w:eastAsia="Times New Roman" w:cs="Times New Roman"/>
          <w:sz w:val="24"/>
          <w:szCs w:val="24"/>
          <w:lang w:val="en-GB"/>
        </w:rPr>
        <w:t xml:space="preserve">and </w:t>
      </w:r>
      <w:r>
        <w:rPr>
          <w:rFonts w:ascii="Times New Roman" w:hAnsi="Times New Roman" w:eastAsia="Times New Roman" w:cs="Times New Roman"/>
          <w:i/>
          <w:sz w:val="24"/>
          <w:szCs w:val="24"/>
          <w:lang w:val="en-GB"/>
        </w:rPr>
        <w:t xml:space="preserve">style </w:t>
      </w:r>
      <w:r>
        <w:rPr>
          <w:rFonts w:ascii="Times New Roman" w:hAnsi="Times New Roman" w:eastAsia="Times New Roman" w:cs="Times New Roman"/>
          <w:sz w:val="24"/>
          <w:szCs w:val="24"/>
          <w:lang w:val="en-GB"/>
        </w:rPr>
        <w:t>(Gechkova and Kaleeva, 2020). In order to implement change effectively in the organisation all of these important elements are required to be integrated and aligned change has a cascading impact on others and for implementing and planning change all of these elements must be considered effectively.</w:t>
      </w:r>
    </w:p>
    <w:p>
      <w:pPr>
        <w:pStyle w:val="3"/>
        <w:spacing w:line="48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For accelerating the change in business, the company has been combined three major elements that are-</w:t>
      </w:r>
    </w:p>
    <w:p>
      <w:pPr>
        <w:pStyle w:val="3"/>
        <w:spacing w:line="48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b/>
          <w:i/>
          <w:sz w:val="24"/>
          <w:szCs w:val="24"/>
          <w:lang w:val="en-GB"/>
        </w:rPr>
        <w:t xml:space="preserve">Strategy: </w:t>
      </w:r>
      <w:r>
        <w:rPr>
          <w:rFonts w:ascii="Times New Roman" w:hAnsi="Times New Roman" w:eastAsia="Times New Roman" w:cs="Times New Roman"/>
          <w:sz w:val="24"/>
          <w:szCs w:val="24"/>
          <w:lang w:val="en-GB"/>
        </w:rPr>
        <w:t>The Company has planned delightful experiences for the customers that are hard to copy. The margin-enhancing way to fulfil the consumer satisfaction and increase the value of business the strategic choice to prioritise the original content is highly important in the change strategy by Netflix.</w:t>
      </w:r>
    </w:p>
    <w:p>
      <w:pPr>
        <w:pStyle w:val="3"/>
        <w:spacing w:line="48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b/>
          <w:i/>
          <w:sz w:val="24"/>
          <w:szCs w:val="24"/>
          <w:lang w:val="en-GB"/>
        </w:rPr>
        <w:t>Structure:</w:t>
      </w:r>
      <w:r>
        <w:rPr>
          <w:rFonts w:ascii="Times New Roman" w:hAnsi="Times New Roman" w:eastAsia="Times New Roman" w:cs="Times New Roman"/>
          <w:sz w:val="24"/>
          <w:szCs w:val="24"/>
          <w:lang w:val="en-GB"/>
        </w:rPr>
        <w:t>The structure of the business has been transformed in the last thirteen years rapidly. In order to deal with the wide account sharing and prevent the decrease in the consumers of consumers the decision of the company is highly impactful (Sokol</w:t>
      </w:r>
      <w:r>
        <w:rPr>
          <w:rFonts w:ascii="Times New Roman" w:hAnsi="Times New Roman" w:eastAsia="Times New Roman" w:cs="Times New Roman"/>
          <w:i/>
          <w:sz w:val="24"/>
          <w:szCs w:val="24"/>
          <w:lang w:val="en-GB"/>
        </w:rPr>
        <w:t xml:space="preserve">et al. </w:t>
      </w:r>
      <w:r>
        <w:rPr>
          <w:rFonts w:ascii="Times New Roman" w:hAnsi="Times New Roman" w:eastAsia="Times New Roman" w:cs="Times New Roman"/>
          <w:sz w:val="24"/>
          <w:szCs w:val="24"/>
          <w:lang w:val="en-GB"/>
        </w:rPr>
        <w:t xml:space="preserve">2020). The structure of change is important to deal with the changing demand of the consumers and respond to extensive competition in the current marketplace. </w:t>
      </w:r>
    </w:p>
    <w:p>
      <w:pPr>
        <w:pStyle w:val="3"/>
        <w:spacing w:line="480" w:lineRule="auto"/>
        <w:jc w:val="both"/>
        <w:rPr>
          <w:rFonts w:ascii="Times New Roman" w:hAnsi="Times New Roman" w:eastAsia="Times New Roman" w:cs="Times New Roman"/>
          <w:b/>
          <w:i/>
          <w:sz w:val="24"/>
          <w:szCs w:val="24"/>
          <w:lang w:val="en-GB"/>
        </w:rPr>
      </w:pPr>
      <w:r>
        <w:rPr>
          <w:rFonts w:ascii="Times New Roman" w:hAnsi="Times New Roman" w:eastAsia="Times New Roman" w:cs="Times New Roman"/>
          <w:b/>
          <w:i/>
          <w:sz w:val="24"/>
          <w:szCs w:val="24"/>
          <w:lang w:val="en-GB"/>
        </w:rPr>
        <w:t xml:space="preserve">Consumer science: </w:t>
      </w:r>
      <w:r>
        <w:rPr>
          <w:rFonts w:ascii="Times New Roman" w:hAnsi="Times New Roman" w:eastAsia="Times New Roman" w:cs="Times New Roman"/>
          <w:sz w:val="24"/>
          <w:szCs w:val="24"/>
          <w:lang w:val="en-GB"/>
        </w:rPr>
        <w:t>Testing for exposing effective planning in real to manage consumer whim and to manage high competitiveness in the market the strategic choice by the company is efficient.</w:t>
      </w:r>
    </w:p>
    <w:p>
      <w:pPr>
        <w:pStyle w:val="3"/>
        <w:spacing w:line="48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 xml:space="preserve">The change decision taken by Netflix would be positively impactful to increase the profitability rate of the company. In the Covid-19 period a surge in growth scale can be noted, however after the pandemic period this change would bring a greater profit in business of Netflix making a balance between the value of business and the consumer expectations. </w:t>
      </w:r>
    </w:p>
    <w:p>
      <w:pPr>
        <w:pStyle w:val="4"/>
      </w:pPr>
      <w:bookmarkStart w:id="7" w:name="_Toc127550536"/>
      <w:r>
        <w:t>Adkar’s Model of Change Management</w:t>
      </w:r>
      <w:bookmarkEnd w:id="7"/>
    </w:p>
    <w:p>
      <w:pPr>
        <w:pStyle w:val="3"/>
        <w:spacing w:line="48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 xml:space="preserve">Adkar’s change management model consists of five elements that are awareness, desire, knowledge, ability and reinforcement (Ali </w:t>
      </w:r>
      <w:r>
        <w:rPr>
          <w:rFonts w:ascii="Times New Roman" w:hAnsi="Times New Roman" w:eastAsia="Times New Roman" w:cs="Times New Roman"/>
          <w:i/>
          <w:sz w:val="24"/>
          <w:szCs w:val="24"/>
          <w:lang w:val="en-GB"/>
        </w:rPr>
        <w:t xml:space="preserve">et al. </w:t>
      </w:r>
      <w:r>
        <w:rPr>
          <w:rFonts w:ascii="Times New Roman" w:hAnsi="Times New Roman" w:eastAsia="Times New Roman" w:cs="Times New Roman"/>
          <w:sz w:val="24"/>
          <w:szCs w:val="24"/>
          <w:lang w:val="en-GB"/>
        </w:rPr>
        <w:t xml:space="preserve">2021). Awareness refers to the need for change. The desire to participate in it is required. Knowledge and ability to manage the change is required and lastly, reinforcement for sustaining change is required to the long-term change management strategy of any organisation.  </w:t>
      </w:r>
    </w:p>
    <w:p>
      <w:pPr>
        <w:pStyle w:val="3"/>
        <w:spacing w:line="480" w:lineRule="auto"/>
        <w:jc w:val="center"/>
        <w:rPr>
          <w:rFonts w:ascii="Times New Roman" w:hAnsi="Times New Roman" w:eastAsia="Times New Roman" w:cs="Times New Roman"/>
          <w:b/>
          <w:sz w:val="24"/>
          <w:szCs w:val="24"/>
          <w:lang w:val="en-GB"/>
        </w:rPr>
      </w:pPr>
      <w:r>
        <w:rPr>
          <w:rFonts w:ascii="Times New Roman" w:hAnsi="Times New Roman" w:eastAsia="Times New Roman" w:cs="Times New Roman"/>
          <w:b/>
          <w:sz w:val="24"/>
          <w:szCs w:val="24"/>
        </w:rPr>
        <w:drawing>
          <wp:inline distT="114300" distB="114300" distL="114300" distR="114300">
            <wp:extent cx="4838700" cy="3181350"/>
            <wp:effectExtent l="25400" t="25400" r="25400" b="25400"/>
            <wp:docPr id="1" name="image2.png"/>
            <wp:cNvGraphicFramePr/>
            <a:graphic xmlns:a="http://schemas.openxmlformats.org/drawingml/2006/main">
              <a:graphicData uri="http://schemas.openxmlformats.org/drawingml/2006/picture">
                <pic:pic xmlns:pic="http://schemas.openxmlformats.org/drawingml/2006/picture">
                  <pic:nvPicPr>
                    <pic:cNvPr id="1" name="image2.png"/>
                    <pic:cNvPicPr preferRelativeResize="0"/>
                  </pic:nvPicPr>
                  <pic:blipFill>
                    <a:blip r:embed="rId9"/>
                    <a:srcRect/>
                    <a:stretch>
                      <a:fillRect/>
                    </a:stretch>
                  </pic:blipFill>
                  <pic:spPr>
                    <a:xfrm>
                      <a:off x="0" y="0"/>
                      <a:ext cx="4838700" cy="3181350"/>
                    </a:xfrm>
                    <a:prstGeom prst="rect">
                      <a:avLst/>
                    </a:prstGeom>
                    <a:ln w="25400">
                      <a:solidFill>
                        <a:srgbClr val="000000"/>
                      </a:solidFill>
                      <a:prstDash val="solid"/>
                    </a:ln>
                  </pic:spPr>
                </pic:pic>
              </a:graphicData>
            </a:graphic>
          </wp:inline>
        </w:drawing>
      </w:r>
    </w:p>
    <w:p>
      <w:pPr>
        <w:pStyle w:val="3"/>
        <w:spacing w:line="480" w:lineRule="auto"/>
        <w:jc w:val="center"/>
        <w:rPr>
          <w:rFonts w:ascii="Times New Roman" w:hAnsi="Times New Roman" w:eastAsia="Times New Roman" w:cs="Times New Roman"/>
          <w:b/>
          <w:sz w:val="24"/>
          <w:szCs w:val="24"/>
          <w:lang w:val="en-GB"/>
        </w:rPr>
      </w:pPr>
      <w:r>
        <w:rPr>
          <w:rFonts w:ascii="Times New Roman" w:hAnsi="Times New Roman" w:eastAsia="Times New Roman" w:cs="Times New Roman"/>
          <w:b/>
          <w:sz w:val="24"/>
          <w:szCs w:val="24"/>
          <w:lang w:val="en-GB"/>
        </w:rPr>
        <w:t>Figure 3: Adkar’s change management Model</w:t>
      </w:r>
    </w:p>
    <w:p>
      <w:pPr>
        <w:pStyle w:val="3"/>
        <w:spacing w:line="480" w:lineRule="auto"/>
        <w:jc w:val="center"/>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(Source: Houben</w:t>
      </w:r>
      <w:r>
        <w:rPr>
          <w:rFonts w:ascii="Times New Roman" w:hAnsi="Times New Roman" w:eastAsia="Times New Roman" w:cs="Times New Roman"/>
          <w:i/>
          <w:sz w:val="24"/>
          <w:szCs w:val="24"/>
          <w:lang w:val="en-GB"/>
        </w:rPr>
        <w:t xml:space="preserve">et al. </w:t>
      </w:r>
      <w:r>
        <w:rPr>
          <w:rFonts w:ascii="Times New Roman" w:hAnsi="Times New Roman" w:eastAsia="Times New Roman" w:cs="Times New Roman"/>
          <w:sz w:val="24"/>
          <w:szCs w:val="24"/>
          <w:lang w:val="en-GB"/>
        </w:rPr>
        <w:t>2020)</w:t>
      </w:r>
    </w:p>
    <w:p>
      <w:pPr>
        <w:pStyle w:val="3"/>
        <w:spacing w:line="48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 xml:space="preserve">Netflix has increased its ability to prepare an environment in the organisation that can embrace change, make suitable experiments and create values that may serve in the change process. Focusing on the decreased profit and subscription number the company has accepted the need to change. Providing knowledge in the organisation about the requirement of change the change management procedure has been reinforced. </w:t>
      </w:r>
    </w:p>
    <w:p>
      <w:pPr>
        <w:pStyle w:val="2"/>
      </w:pPr>
      <w:bookmarkStart w:id="8" w:name="_Toc127550537"/>
      <w:r>
        <w:t>Driving factors of change</w:t>
      </w:r>
      <w:bookmarkEnd w:id="8"/>
    </w:p>
    <w:p>
      <w:pPr>
        <w:pStyle w:val="3"/>
        <w:spacing w:line="48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 xml:space="preserve">Organisations are required to be able to include multiple market conditions and fulfil the needs of the consumers. If any organisation cannot be flexible to change, it may lose the competitive advantage. The managers must identify the existing issues and challenges of business before taking strategic decisions for consistent growth of business. Effective change management is necessary to implement the change in an effective way. Anticipating the change the managers of any organisation is required to understand the key driving factors behind the change. According to Zhou </w:t>
      </w:r>
      <w:r>
        <w:rPr>
          <w:rFonts w:ascii="Times New Roman" w:hAnsi="Times New Roman" w:eastAsia="Times New Roman" w:cs="Times New Roman"/>
          <w:i/>
          <w:sz w:val="24"/>
          <w:szCs w:val="24"/>
          <w:lang w:val="en-GB"/>
        </w:rPr>
        <w:t xml:space="preserve">et al. </w:t>
      </w:r>
      <w:r>
        <w:rPr>
          <w:rFonts w:ascii="Times New Roman" w:hAnsi="Times New Roman" w:eastAsia="Times New Roman" w:cs="Times New Roman"/>
          <w:sz w:val="24"/>
          <w:szCs w:val="24"/>
          <w:lang w:val="en-GB"/>
        </w:rPr>
        <w:t>(2018), the driving factors behind change and stability management can be two types- external factors and internal factors such as leadership, culture, digitalisation, competition. The general external forces in the change strategy in business are social, demographic, Cultural, economic, political and technological and the business environment are competition, industry ambience and the existing demand of the consumers in the market (Malek</w:t>
      </w:r>
      <w:r>
        <w:rPr>
          <w:rFonts w:ascii="Times New Roman" w:hAnsi="Times New Roman" w:eastAsia="Times New Roman" w:cs="Times New Roman"/>
          <w:i/>
          <w:sz w:val="24"/>
          <w:szCs w:val="24"/>
          <w:lang w:val="en-GB"/>
        </w:rPr>
        <w:t xml:space="preserve">et al. </w:t>
      </w:r>
      <w:r>
        <w:rPr>
          <w:rFonts w:ascii="Times New Roman" w:hAnsi="Times New Roman" w:eastAsia="Times New Roman" w:cs="Times New Roman"/>
          <w:sz w:val="24"/>
          <w:szCs w:val="24"/>
          <w:lang w:val="en-GB"/>
        </w:rPr>
        <w:t xml:space="preserve">2019). On the other side, the internal forces behind the change management includes low performance, new vision and mission of the business, specific leadership style of the company and the organisational conflict. </w:t>
      </w:r>
    </w:p>
    <w:p>
      <w:pPr>
        <w:pStyle w:val="3"/>
        <w:spacing w:line="480" w:lineRule="auto"/>
        <w:jc w:val="center"/>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rPr>
        <w:drawing>
          <wp:inline distT="114300" distB="114300" distL="114300" distR="114300">
            <wp:extent cx="3833495" cy="2287270"/>
            <wp:effectExtent l="25400" t="25400" r="25400" b="25400"/>
            <wp:docPr id="2" name="image5.jpg"/>
            <wp:cNvGraphicFramePr/>
            <a:graphic xmlns:a="http://schemas.openxmlformats.org/drawingml/2006/main">
              <a:graphicData uri="http://schemas.openxmlformats.org/drawingml/2006/picture">
                <pic:pic xmlns:pic="http://schemas.openxmlformats.org/drawingml/2006/picture">
                  <pic:nvPicPr>
                    <pic:cNvPr id="2" name="image5.jpg"/>
                    <pic:cNvPicPr preferRelativeResize="0"/>
                  </pic:nvPicPr>
                  <pic:blipFill>
                    <a:blip r:embed="rId10"/>
                    <a:srcRect/>
                    <a:stretch>
                      <a:fillRect/>
                    </a:stretch>
                  </pic:blipFill>
                  <pic:spPr>
                    <a:xfrm>
                      <a:off x="0" y="0"/>
                      <a:ext cx="3833813" cy="2287579"/>
                    </a:xfrm>
                    <a:prstGeom prst="rect">
                      <a:avLst/>
                    </a:prstGeom>
                    <a:ln w="25400">
                      <a:solidFill>
                        <a:srgbClr val="000000"/>
                      </a:solidFill>
                      <a:prstDash val="solid"/>
                    </a:ln>
                  </pic:spPr>
                </pic:pic>
              </a:graphicData>
            </a:graphic>
          </wp:inline>
        </w:drawing>
      </w:r>
    </w:p>
    <w:p>
      <w:pPr>
        <w:pStyle w:val="3"/>
        <w:spacing w:line="480" w:lineRule="auto"/>
        <w:jc w:val="center"/>
        <w:rPr>
          <w:rFonts w:ascii="Times New Roman" w:hAnsi="Times New Roman" w:eastAsia="Times New Roman" w:cs="Times New Roman"/>
          <w:b/>
          <w:sz w:val="24"/>
          <w:szCs w:val="24"/>
          <w:lang w:val="en-GB"/>
        </w:rPr>
      </w:pPr>
      <w:r>
        <w:rPr>
          <w:rFonts w:ascii="Times New Roman" w:hAnsi="Times New Roman" w:eastAsia="Times New Roman" w:cs="Times New Roman"/>
          <w:b/>
          <w:sz w:val="24"/>
          <w:szCs w:val="24"/>
          <w:lang w:val="en-GB"/>
        </w:rPr>
        <w:t>Figure 4: Internal and external factors of change</w:t>
      </w:r>
    </w:p>
    <w:p>
      <w:pPr>
        <w:pStyle w:val="3"/>
        <w:spacing w:line="480" w:lineRule="auto"/>
        <w:jc w:val="center"/>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 xml:space="preserve">(Source: Zhou </w:t>
      </w:r>
      <w:r>
        <w:rPr>
          <w:rFonts w:ascii="Times New Roman" w:hAnsi="Times New Roman" w:eastAsia="Times New Roman" w:cs="Times New Roman"/>
          <w:i/>
          <w:sz w:val="24"/>
          <w:szCs w:val="24"/>
          <w:lang w:val="en-GB"/>
        </w:rPr>
        <w:t xml:space="preserve">et al. </w:t>
      </w:r>
      <w:r>
        <w:rPr>
          <w:rFonts w:ascii="Times New Roman" w:hAnsi="Times New Roman" w:eastAsia="Times New Roman" w:cs="Times New Roman"/>
          <w:sz w:val="24"/>
          <w:szCs w:val="24"/>
          <w:lang w:val="en-GB"/>
        </w:rPr>
        <w:t>2018)</w:t>
      </w:r>
    </w:p>
    <w:p>
      <w:pPr>
        <w:pStyle w:val="3"/>
        <w:spacing w:line="48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The change of the organisation refers to the transformation or peculiar adjustment to new functions of the business. As per given opinion of Hussain</w:t>
      </w:r>
      <w:r>
        <w:rPr>
          <w:rFonts w:ascii="Times New Roman" w:hAnsi="Times New Roman" w:eastAsia="Times New Roman" w:cs="Times New Roman"/>
          <w:i/>
          <w:sz w:val="24"/>
          <w:szCs w:val="24"/>
          <w:lang w:val="en-GB"/>
        </w:rPr>
        <w:t xml:space="preserve">et al. </w:t>
      </w:r>
      <w:r>
        <w:rPr>
          <w:rFonts w:ascii="Times New Roman" w:hAnsi="Times New Roman" w:eastAsia="Times New Roman" w:cs="Times New Roman"/>
          <w:sz w:val="24"/>
          <w:szCs w:val="24"/>
          <w:lang w:val="en-GB"/>
        </w:rPr>
        <w:t xml:space="preserve">(2018), organisations should adjust the little changes, however focusing on the long term impact on business finds t enhance the productivity by responding specific norms and regulations, including similar things or improving the productivity of business. In order to respond to larger external forces such as technology, consumer demand or competition larger response is needed in business. </w:t>
      </w:r>
    </w:p>
    <w:p>
      <w:pPr>
        <w:pStyle w:val="3"/>
        <w:spacing w:line="480" w:lineRule="auto"/>
        <w:jc w:val="center"/>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rPr>
        <w:drawing>
          <wp:inline distT="114300" distB="114300" distL="114300" distR="114300">
            <wp:extent cx="4376420" cy="2966720"/>
            <wp:effectExtent l="25400" t="25400" r="25400" b="25400"/>
            <wp:docPr id="4" name="image1.png"/>
            <wp:cNvGraphicFramePr/>
            <a:graphic xmlns:a="http://schemas.openxmlformats.org/drawingml/2006/main">
              <a:graphicData uri="http://schemas.openxmlformats.org/drawingml/2006/picture">
                <pic:pic xmlns:pic="http://schemas.openxmlformats.org/drawingml/2006/picture">
                  <pic:nvPicPr>
                    <pic:cNvPr id="4" name="image1.png"/>
                    <pic:cNvPicPr preferRelativeResize="0"/>
                  </pic:nvPicPr>
                  <pic:blipFill>
                    <a:blip r:embed="rId11"/>
                    <a:srcRect/>
                    <a:stretch>
                      <a:fillRect/>
                    </a:stretch>
                  </pic:blipFill>
                  <pic:spPr>
                    <a:xfrm>
                      <a:off x="0" y="0"/>
                      <a:ext cx="4376738" cy="2966923"/>
                    </a:xfrm>
                    <a:prstGeom prst="rect">
                      <a:avLst/>
                    </a:prstGeom>
                    <a:ln w="25400">
                      <a:solidFill>
                        <a:srgbClr val="000000"/>
                      </a:solidFill>
                      <a:prstDash val="solid"/>
                    </a:ln>
                  </pic:spPr>
                </pic:pic>
              </a:graphicData>
            </a:graphic>
          </wp:inline>
        </w:drawing>
      </w:r>
    </w:p>
    <w:p>
      <w:pPr>
        <w:pStyle w:val="3"/>
        <w:spacing w:line="480" w:lineRule="auto"/>
        <w:jc w:val="center"/>
        <w:rPr>
          <w:rFonts w:ascii="Times New Roman" w:hAnsi="Times New Roman" w:eastAsia="Times New Roman" w:cs="Times New Roman"/>
          <w:b/>
          <w:sz w:val="24"/>
          <w:szCs w:val="24"/>
          <w:lang w:val="en-GB"/>
        </w:rPr>
      </w:pPr>
      <w:r>
        <w:rPr>
          <w:rFonts w:ascii="Times New Roman" w:hAnsi="Times New Roman" w:eastAsia="Times New Roman" w:cs="Times New Roman"/>
          <w:b/>
          <w:sz w:val="24"/>
          <w:szCs w:val="24"/>
          <w:lang w:val="en-GB"/>
        </w:rPr>
        <w:t>Figure 5: Most popular in-demand video streaming services globally 2021</w:t>
      </w:r>
    </w:p>
    <w:p>
      <w:pPr>
        <w:pStyle w:val="3"/>
        <w:spacing w:line="480" w:lineRule="auto"/>
        <w:jc w:val="center"/>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(Source: Stoll, 2022)</w:t>
      </w:r>
    </w:p>
    <w:p>
      <w:pPr>
        <w:pStyle w:val="3"/>
        <w:spacing w:line="48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 xml:space="preserve">Above figure clearly states that Netflix holds about 57.1% of the total demand, followed by Amazon Prime (12.2%), Hulu, Apple TV and more. The existing competition in the market is one of the greatest factors behind the change strategy of Netflix. Behind the change management strategy by Netflix it is the existing competition in the market, digitalisation and the market leadership. In order to hold consistency in its growth the new product strategy the company is immensely important. In order to manage the profitability of the company and accelerate change in the video streaming business the contribution of this new strategy is highly effective. </w:t>
      </w:r>
    </w:p>
    <w:p>
      <w:pPr>
        <w:pStyle w:val="3"/>
        <w:spacing w:line="48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b/>
          <w:i/>
          <w:sz w:val="24"/>
          <w:szCs w:val="24"/>
          <w:lang w:val="en-GB"/>
        </w:rPr>
        <w:t xml:space="preserve">Market leadership: </w:t>
      </w:r>
      <w:r>
        <w:rPr>
          <w:rFonts w:ascii="Times New Roman" w:hAnsi="Times New Roman" w:eastAsia="Times New Roman" w:cs="Times New Roman"/>
          <w:sz w:val="24"/>
          <w:szCs w:val="24"/>
          <w:lang w:val="en-GB"/>
        </w:rPr>
        <w:t>In recent years the video streaming industry is emerging more crowded with new several entrants such as Apple TV, HBO, Disney and more. For holding the leadership in the market the company is focusing on creating original content.</w:t>
      </w:r>
    </w:p>
    <w:p>
      <w:pPr>
        <w:pStyle w:val="3"/>
        <w:spacing w:line="48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b/>
          <w:i/>
          <w:sz w:val="24"/>
          <w:szCs w:val="24"/>
          <w:lang w:val="en-GB"/>
        </w:rPr>
        <w:t xml:space="preserve">Innovation and technology: </w:t>
      </w:r>
      <w:r>
        <w:rPr>
          <w:rFonts w:ascii="Times New Roman" w:hAnsi="Times New Roman" w:eastAsia="Times New Roman" w:cs="Times New Roman"/>
          <w:sz w:val="24"/>
          <w:szCs w:val="24"/>
          <w:lang w:val="en-GB"/>
        </w:rPr>
        <w:t>In order to differentiate the product from the existing rivals in the market the force of innovation and technology is a major factor behind the change strategy by Netflix. According to Sundaram</w:t>
      </w:r>
      <w:r>
        <w:rPr>
          <w:rFonts w:ascii="Times New Roman" w:hAnsi="Times New Roman" w:eastAsia="Times New Roman" w:cs="Times New Roman"/>
          <w:i/>
          <w:sz w:val="24"/>
          <w:szCs w:val="24"/>
          <w:lang w:val="en-GB"/>
        </w:rPr>
        <w:t xml:space="preserve">et al. </w:t>
      </w:r>
      <w:r>
        <w:rPr>
          <w:rFonts w:ascii="Times New Roman" w:hAnsi="Times New Roman" w:eastAsia="Times New Roman" w:cs="Times New Roman"/>
          <w:sz w:val="24"/>
          <w:szCs w:val="24"/>
          <w:lang w:val="en-GB"/>
        </w:rPr>
        <w:t>(2020), the reliance on technology to send ahead of the market competition this strategy is effective for the company.</w:t>
      </w:r>
    </w:p>
    <w:p>
      <w:pPr>
        <w:pStyle w:val="3"/>
        <w:spacing w:line="48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b/>
          <w:i/>
          <w:sz w:val="24"/>
          <w:szCs w:val="24"/>
          <w:lang w:val="en-GB"/>
        </w:rPr>
        <w:t xml:space="preserve">International expansion: </w:t>
      </w:r>
      <w:r>
        <w:rPr>
          <w:rFonts w:ascii="Times New Roman" w:hAnsi="Times New Roman" w:eastAsia="Times New Roman" w:cs="Times New Roman"/>
          <w:sz w:val="24"/>
          <w:szCs w:val="24"/>
          <w:lang w:val="en-GB"/>
        </w:rPr>
        <w:t>In order to find more growth opportunities the international expansion in recent years is a notable step by the company.</w:t>
      </w:r>
    </w:p>
    <w:p>
      <w:pPr>
        <w:pStyle w:val="2"/>
      </w:pPr>
      <w:bookmarkStart w:id="9" w:name="_Toc127532698"/>
      <w:bookmarkStart w:id="10" w:name="_Toc127550538"/>
      <w:r>
        <w:t>Strategies for dealing with resistance factors to the change</w:t>
      </w:r>
      <w:bookmarkEnd w:id="9"/>
      <w:bookmarkEnd w:id="10"/>
    </w:p>
    <w:p>
      <w:pPr>
        <w:pStyle w:val="3"/>
        <w:spacing w:line="48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Netflix has always been a company which has gone through significant changes over the years from DVD rentals to a leading streaming platform with original content. Despite this massive success within the company there are some factors which have contributed to the change resistance within the company. Growing competition from other streaming services such as Amazon Prime, Hulu, and others have forced Netflix to adapt to changes and improve performance of the business. Resistance to change can be considered as a common issue within organisations which basically arises in time of implementing changes such as organisational restructuring and others. There are also other change factors such as changes in leadership, introducing advanced technology and others.</w:t>
      </w:r>
    </w:p>
    <w:p>
      <w:pPr>
        <w:pStyle w:val="3"/>
        <w:spacing w:line="48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 xml:space="preserve">Resistance for changes can come in various forms such as lack of engagement, active opposition, passive resistance and others. In order to successfully implement change management it is important to consider these factors which contribute to the overall resistance. Fear of the unknown can be considered as one of the common causes for resistance to change (Wan </w:t>
      </w:r>
      <w:r>
        <w:rPr>
          <w:rFonts w:ascii="Times New Roman" w:hAnsi="Times New Roman" w:eastAsia="Times New Roman" w:cs="Times New Roman"/>
          <w:i/>
          <w:sz w:val="24"/>
          <w:szCs w:val="24"/>
          <w:lang w:val="en-GB"/>
        </w:rPr>
        <w:t>et al.</w:t>
      </w:r>
      <w:r>
        <w:rPr>
          <w:rFonts w:ascii="Times New Roman" w:hAnsi="Times New Roman" w:eastAsia="Times New Roman" w:cs="Times New Roman"/>
          <w:sz w:val="24"/>
          <w:szCs w:val="24"/>
          <w:lang w:val="en-GB"/>
        </w:rPr>
        <w:t xml:space="preserve"> 2020). Changes can create a sense of anxiety and uncertainty in case people feel they do not have enough information about the change. They can also be feared in case they are not sure about the way it can impact their role. Organisations need to have a clear communication about the change and the importance of implementing those changes which can address the fear of unknown factors (Schulz-Knappe</w:t>
      </w:r>
      <w:r>
        <w:rPr>
          <w:rFonts w:ascii="Times New Roman" w:hAnsi="Times New Roman" w:eastAsia="Times New Roman" w:cs="Times New Roman"/>
          <w:i/>
          <w:sz w:val="24"/>
          <w:szCs w:val="24"/>
          <w:lang w:val="en-GB"/>
        </w:rPr>
        <w:t>et al.</w:t>
      </w:r>
      <w:r>
        <w:rPr>
          <w:rFonts w:ascii="Times New Roman" w:hAnsi="Times New Roman" w:eastAsia="Times New Roman" w:cs="Times New Roman"/>
          <w:sz w:val="24"/>
          <w:szCs w:val="24"/>
          <w:lang w:val="en-GB"/>
        </w:rPr>
        <w:t xml:space="preserve"> 2019). Apart from that, the benefit of the change and the way it can be implemented also need to be communicated. Some of the strategies for resolving the issue is to provide regular updates, holding team meetings, taking feedback and inputs from all the people within the organisation.</w:t>
      </w:r>
    </w:p>
    <w:p>
      <w:pPr>
        <w:pStyle w:val="3"/>
        <w:spacing w:line="48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Implementing training and development programs can also be helpful for resolving these resistances. Another problem which can arise is a sense of loss of control. Netflix is known for its decentralised structure where employees are responsible for making decisions and taking risks (Vaia</w:t>
      </w:r>
      <w:r>
        <w:rPr>
          <w:rFonts w:ascii="Times New Roman" w:hAnsi="Times New Roman" w:eastAsia="Times New Roman" w:cs="Times New Roman"/>
          <w:i/>
          <w:sz w:val="24"/>
          <w:szCs w:val="24"/>
          <w:lang w:val="en-GB"/>
        </w:rPr>
        <w:t>et al.</w:t>
      </w:r>
      <w:r>
        <w:rPr>
          <w:rFonts w:ascii="Times New Roman" w:hAnsi="Times New Roman" w:eastAsia="Times New Roman" w:cs="Times New Roman"/>
          <w:sz w:val="24"/>
          <w:szCs w:val="24"/>
          <w:lang w:val="en-GB"/>
        </w:rPr>
        <w:t xml:space="preserve"> 2022). Thus, it can cause resistance to change as people can also feel that changes can reduce their autonomy and their ability to make decisions, and their influence to work with the team. In order to implement these strategies it is important to involve all employees in the process of change. This can also involve employees in the change management process and help them to understand the way changes can be implemented.</w:t>
      </w:r>
    </w:p>
    <w:p>
      <w:pPr>
        <w:pStyle w:val="3"/>
        <w:spacing w:line="48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The strategies of revolving the factor such as loss of control can also include forming a cross-functional team to work on the change. Apart from that, providing opportunities for input and empowering employees to take ownership of the change is also important which can resolve the problem related to resistance to change. Training and development programs can also be helpful as employees can have an opportunity to gain new skills and obtain the support they require for implementing the changes (Chanana, 2021). Inconvenience is another factor which can also contribute to the resistance for change within employees. The pace of change in Netflix can also create a resistance to change. Changes within the organisations will require people to change their way of working or to learn new skills which can cause inconvenience. In order to address the issue related to pace and inconvenience, organisations need to provide resources and support to help them in adapting to the changes.</w:t>
      </w:r>
    </w:p>
    <w:p>
      <w:pPr>
        <w:pStyle w:val="3"/>
        <w:spacing w:line="48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Strategies for addressing issues related to inconvenience also include mentoring, coaching and training the employees in order to help them to acquire new skills and approaches which can provide tools and resources which can make the transition to change easier. Rewards and recognition programs for the employees that have successfully adopted the changes can also be helpful for achieving the transition. Lack of trust can also be considered as a factor which can contribute to the resistance to change (Kho</w:t>
      </w:r>
      <w:r>
        <w:rPr>
          <w:rFonts w:ascii="Times New Roman" w:hAnsi="Times New Roman" w:eastAsia="Times New Roman" w:cs="Times New Roman"/>
          <w:i/>
          <w:sz w:val="24"/>
          <w:szCs w:val="24"/>
          <w:lang w:val="en-GB"/>
        </w:rPr>
        <w:t>et al</w:t>
      </w:r>
      <w:r>
        <w:rPr>
          <w:rFonts w:ascii="Times New Roman" w:hAnsi="Times New Roman" w:eastAsia="Times New Roman" w:cs="Times New Roman"/>
          <w:sz w:val="24"/>
          <w:szCs w:val="24"/>
          <w:lang w:val="en-GB"/>
        </w:rPr>
        <w:t>. 2020). People within Netflix can be sceptical about the change in case they are not aware about the motive behind the changes. In order to address this factor, organisations need to build credibility and trust within organisations. Implementing a form of clear and transparent communication about the changes along with the requirement for changes need to be done for addressing the issue related to lack of trust (Yue et al. 2019). Involving trusted leaders of the organisation for implementing the changes can provide a sense of stability and continuity which can also address this challenge.</w:t>
      </w:r>
    </w:p>
    <w:p>
      <w:pPr>
        <w:pStyle w:val="3"/>
        <w:spacing w:line="48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In this given context, Netflix is also known for having a unique and high performance culture which is focused on innovation and experimentation (Mier and Kohli, 2021). This can also work as a resistance to change factor for the company. In order to address this challenge, Netflix needs to encourage employees to embrace change and take risks. The company can also take steps for training and development programs for helping employees and providing them with resources for embracing the changes and improving overall performance. Netflix can also address the resistance to change through creating a consistent approach to change management across organisations. This also involves creating a structured process for implementing changes with providing employees a clear set of roles and responsibilities. Apart from that, another strategy for addressing resistance to change is to provide consistent and clear leadership. Netflix also needs to ensure that the leaders are consistent in giving the message to the co-workers about changes. Moreover, these are some of the strategies which can help Netflix to address and resolve issues related to change management.</w:t>
      </w:r>
    </w:p>
    <w:p>
      <w:pPr>
        <w:pStyle w:val="2"/>
      </w:pPr>
      <w:bookmarkStart w:id="11" w:name="_Toc127550539"/>
      <w:r>
        <w:t>Implementation and effectiveness of change strategies</w:t>
      </w:r>
      <w:bookmarkEnd w:id="11"/>
    </w:p>
    <w:p>
      <w:pPr>
        <w:pStyle w:val="15"/>
        <w:spacing w:before="0" w:beforeAutospacing="0" w:after="0" w:afterAutospacing="0" w:line="480" w:lineRule="auto"/>
        <w:jc w:val="both"/>
        <w:rPr>
          <w:lang w:val="en-GB"/>
        </w:rPr>
      </w:pPr>
      <w:r>
        <w:rPr>
          <w:color w:val="000000"/>
          <w:lang w:val="en-GB"/>
        </w:rPr>
        <w:t xml:space="preserve">The nature of various organisational change management programs undertaken on the basis of certain change management models and frameworks are often found to be complex and involve various strategies for planning, implementation and evaluation. The task of assessing that a certain adopted program of change management has been completed requires identification and evaluation of certain indicators (Wan </w:t>
      </w:r>
      <w:r>
        <w:rPr>
          <w:i/>
          <w:iCs/>
          <w:color w:val="000000"/>
          <w:lang w:val="en-GB"/>
        </w:rPr>
        <w:t xml:space="preserve">et al. </w:t>
      </w:r>
      <w:r>
        <w:rPr>
          <w:color w:val="000000"/>
          <w:lang w:val="en-GB"/>
        </w:rPr>
        <w:t>2020). Some of the indicators that are significant for assessing that a certain change management program has come to end have been elaborated through the following lines.</w:t>
      </w:r>
    </w:p>
    <w:p>
      <w:pPr>
        <w:pStyle w:val="15"/>
        <w:spacing w:before="0" w:beforeAutospacing="0" w:after="0" w:afterAutospacing="0" w:line="480" w:lineRule="auto"/>
        <w:jc w:val="both"/>
        <w:rPr>
          <w:lang w:val="en-GB"/>
        </w:rPr>
      </w:pPr>
      <w:r>
        <w:rPr>
          <w:b/>
          <w:bCs/>
          <w:i/>
          <w:iCs/>
          <w:color w:val="000000"/>
          <w:lang w:val="en-GB"/>
        </w:rPr>
        <w:t>Achievement of objectives</w:t>
      </w:r>
    </w:p>
    <w:p>
      <w:pPr>
        <w:pStyle w:val="15"/>
        <w:spacing w:before="0" w:beforeAutospacing="0" w:after="0" w:afterAutospacing="0" w:line="480" w:lineRule="auto"/>
        <w:jc w:val="both"/>
        <w:rPr>
          <w:lang w:val="en-GB"/>
        </w:rPr>
      </w:pPr>
      <w:r>
        <w:rPr>
          <w:color w:val="000000"/>
          <w:lang w:val="en-GB"/>
        </w:rPr>
        <w:t>The most significant and first indicator for assessing that the change management process has reached completion point, is evaluation of the fulfilment of aims and objectives. The goals and objectives of the program need to be assessed and the extent of their fulfilment need to be analysed. This requires a clear definition of the goals and objectives of the study at the initial phases. Regular monitoring of progress is essential for evaluation of the degree to which aims and objectives of the program have been achieved (Errida and Lotfi, 2021). If the objectives have been met, this can be regarded as a strong indicator of completion of the change management process. </w:t>
      </w:r>
    </w:p>
    <w:p>
      <w:pPr>
        <w:pStyle w:val="15"/>
        <w:spacing w:before="0" w:beforeAutospacing="0" w:after="0" w:afterAutospacing="0" w:line="480" w:lineRule="auto"/>
        <w:jc w:val="both"/>
        <w:rPr>
          <w:lang w:val="en-GB"/>
        </w:rPr>
      </w:pPr>
      <w:r>
        <w:rPr>
          <w:b/>
          <w:bCs/>
          <w:i/>
          <w:iCs/>
          <w:color w:val="000000"/>
          <w:lang w:val="en-GB"/>
        </w:rPr>
        <w:t>Employee engagement</w:t>
      </w:r>
    </w:p>
    <w:p>
      <w:pPr>
        <w:pStyle w:val="15"/>
        <w:spacing w:before="0" w:beforeAutospacing="0" w:after="0" w:afterAutospacing="0" w:line="480" w:lineRule="auto"/>
        <w:jc w:val="both"/>
        <w:rPr>
          <w:lang w:val="en-GB"/>
        </w:rPr>
      </w:pPr>
      <w:r>
        <w:rPr>
          <w:color w:val="000000"/>
          <w:lang w:val="en-GB"/>
        </w:rPr>
        <w:t>Employee engagement is influential for achieving success in terms of realising any change management program effectively. Employees need to be involved within the process of planning and implementation of various activities within the spectrum of change management (Abbasnejad</w:t>
      </w:r>
      <w:r>
        <w:rPr>
          <w:i/>
          <w:iCs/>
          <w:color w:val="000000"/>
          <w:lang w:val="en-GB"/>
        </w:rPr>
        <w:t xml:space="preserve">et al. </w:t>
      </w:r>
      <w:r>
        <w:rPr>
          <w:color w:val="000000"/>
          <w:lang w:val="en-GB"/>
        </w:rPr>
        <w:t>2021). Feedback from employees needs to be sought throughout the execution of various procedures. The observation that the majority of the employees are engaged and supportive of the changes, it can be held as an indicator that the program has been executed successfully.</w:t>
      </w:r>
    </w:p>
    <w:p>
      <w:pPr>
        <w:pStyle w:val="15"/>
        <w:spacing w:before="0" w:beforeAutospacing="0" w:after="0" w:afterAutospacing="0" w:line="480" w:lineRule="auto"/>
        <w:jc w:val="both"/>
        <w:rPr>
          <w:lang w:val="en-GB"/>
        </w:rPr>
      </w:pPr>
      <w:r>
        <w:rPr>
          <w:b/>
          <w:bCs/>
          <w:i/>
          <w:iCs/>
          <w:color w:val="000000"/>
          <w:lang w:val="en-GB"/>
        </w:rPr>
        <w:t>Resistance management</w:t>
      </w:r>
    </w:p>
    <w:p>
      <w:pPr>
        <w:pStyle w:val="15"/>
        <w:spacing w:before="0" w:beforeAutospacing="0" w:after="0" w:afterAutospacing="0" w:line="480" w:lineRule="auto"/>
        <w:jc w:val="both"/>
        <w:rPr>
          <w:lang w:val="en-GB"/>
        </w:rPr>
      </w:pPr>
      <w:r>
        <w:rPr>
          <w:color w:val="000000"/>
          <w:lang w:val="en-GB"/>
        </w:rPr>
        <w:t>Resistance to change is existent in any organisation. Management of resistance is crucial. An effective change management program needs to incorporate plans to address resistance. When it is observed that plans to manage resistance to change have been executed effectively, it can be regarded as an indicator of successful completion of the change management process.</w:t>
      </w:r>
    </w:p>
    <w:p>
      <w:pPr>
        <w:pStyle w:val="15"/>
        <w:spacing w:before="0" w:beforeAutospacing="0" w:after="0" w:afterAutospacing="0" w:line="480" w:lineRule="auto"/>
        <w:jc w:val="both"/>
        <w:rPr>
          <w:lang w:val="en-GB"/>
        </w:rPr>
      </w:pPr>
      <w:r>
        <w:rPr>
          <w:b/>
          <w:bCs/>
          <w:i/>
          <w:iCs/>
          <w:color w:val="000000"/>
          <w:lang w:val="en-GB"/>
        </w:rPr>
        <w:t>Evaluation</w:t>
      </w:r>
    </w:p>
    <w:p>
      <w:pPr>
        <w:pStyle w:val="15"/>
        <w:spacing w:before="0" w:beforeAutospacing="0" w:after="0" w:afterAutospacing="0" w:line="480" w:lineRule="auto"/>
        <w:jc w:val="both"/>
        <w:rPr>
          <w:lang w:val="en-GB"/>
        </w:rPr>
      </w:pPr>
      <w:r>
        <w:rPr>
          <w:color w:val="000000"/>
          <w:lang w:val="en-GB"/>
        </w:rPr>
        <w:t xml:space="preserve">The aspect of evaluation is the final phase involved within the wider aspect of organisational change management. It is of utmost necessity to evaluate the success of change management programs objectively on part of the respective organisation (Mbatha, 2022). The business organisation in discussion, Netflix, needs to conduct a thorough evaluation process with respect to the adopted change management program. The evaluation process adopted for determining the success rate of the change management program for Netflix needs to incorporate metrics for measuring the overall impact of the change program on the stakeholders as well as on the organisation. Effective implementation of the paid sharing of accounts plan, successful rendering of the capability to transfer sub profiles to paid account as well as accurate incorporation of the new ad-based monthly plans can be regarded as valid and reliable indicators of the success achieved by implementing the discussed program of organisational change for enhanced business stability as well as profitability. </w:t>
      </w:r>
    </w:p>
    <w:p>
      <w:pPr>
        <w:pStyle w:val="2"/>
      </w:pPr>
      <w:bookmarkStart w:id="12" w:name="_Toc127532699"/>
    </w:p>
    <w:p>
      <w:pPr>
        <w:pStyle w:val="2"/>
      </w:pPr>
      <w:bookmarkStart w:id="13" w:name="_Toc127550540"/>
      <w:r>
        <w:t>Conclusion</w:t>
      </w:r>
      <w:bookmarkEnd w:id="12"/>
      <w:bookmarkEnd w:id="13"/>
    </w:p>
    <w:p>
      <w:pPr>
        <w:pStyle w:val="3"/>
        <w:spacing w:line="48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This current report has focused on Netflix and also determined the importance of change which is forced by growing competition. Key change management models such as Kurt Lewin's change management model, ADKAR model, and McKinsey &amp; Company’s 7-S framework have been used in this study for aligning the changes within importance. The strategies for utilising the models have also been elaborated in this report. The driver factors for change in Netflix such as competition, Market leadership and others have also been elaborated in this study. It has also been derived that there are also other factors such as organisational culture, pace of change and more which has worked as a resistance to change factor for Netflix. A set of recommendations have also been given which can help Netflix to deal with those factors and implement changes appropriately.</w:t>
      </w:r>
    </w:p>
    <w:p>
      <w:pPr>
        <w:pStyle w:val="3"/>
        <w:spacing w:line="480" w:lineRule="auto"/>
        <w:jc w:val="both"/>
        <w:rPr>
          <w:rFonts w:ascii="Times New Roman" w:hAnsi="Times New Roman" w:eastAsia="Times New Roman" w:cs="Times New Roman"/>
          <w:sz w:val="24"/>
          <w:szCs w:val="24"/>
          <w:lang w:val="en-GB"/>
        </w:rPr>
      </w:pPr>
    </w:p>
    <w:p>
      <w:pPr>
        <w:rPr>
          <w:rFonts w:ascii="Times New Roman" w:hAnsi="Times New Roman" w:eastAsia="Times New Roman" w:cs="Times New Roman"/>
          <w:b/>
          <w:sz w:val="24"/>
          <w:szCs w:val="24"/>
          <w:lang w:val="en-GB"/>
        </w:rPr>
      </w:pPr>
      <w:r>
        <w:rPr>
          <w:rFonts w:ascii="Times New Roman" w:hAnsi="Times New Roman" w:eastAsia="Times New Roman" w:cs="Times New Roman"/>
          <w:b/>
          <w:sz w:val="24"/>
          <w:szCs w:val="24"/>
          <w:lang w:val="en-GB"/>
        </w:rPr>
        <w:br w:type="page"/>
      </w:r>
    </w:p>
    <w:p>
      <w:pPr>
        <w:pStyle w:val="2"/>
      </w:pPr>
      <w:bookmarkStart w:id="14" w:name="_Toc127550541"/>
      <w:r>
        <w:t>Reference List</w:t>
      </w:r>
      <w:bookmarkEnd w:id="14"/>
    </w:p>
    <w:p>
      <w:pPr>
        <w:pStyle w:val="3"/>
        <w:spacing w:before="240" w:after="24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Abbasnejad, B., Nepal, M.P., Ahankoob, A., Nasirian, A. and Drogemuller, R., 2021. Building Information Modelling (BIM) adoption and implementation enablers in AEC firms: a systematic literature review.</w:t>
      </w:r>
      <w:r>
        <w:rPr>
          <w:rFonts w:ascii="Times New Roman" w:hAnsi="Times New Roman" w:eastAsia="Times New Roman" w:cs="Times New Roman"/>
          <w:i/>
          <w:iCs/>
          <w:sz w:val="24"/>
          <w:szCs w:val="24"/>
        </w:rPr>
        <w:t>Architectural Engineering and design management</w:t>
      </w:r>
      <w:r>
        <w:rPr>
          <w:rFonts w:ascii="Times New Roman" w:hAnsi="Times New Roman" w:eastAsia="Times New Roman" w:cs="Times New Roman"/>
          <w:sz w:val="24"/>
          <w:szCs w:val="24"/>
        </w:rPr>
        <w:t xml:space="preserve">, </w:t>
      </w:r>
      <w:r>
        <w:rPr>
          <w:rFonts w:ascii="Times New Roman" w:hAnsi="Times New Roman" w:eastAsia="Times New Roman" w:cs="Times New Roman"/>
          <w:i/>
          <w:iCs/>
          <w:sz w:val="24"/>
          <w:szCs w:val="24"/>
        </w:rPr>
        <w:t>17</w:t>
      </w:r>
      <w:r>
        <w:rPr>
          <w:rFonts w:ascii="Times New Roman" w:hAnsi="Times New Roman" w:eastAsia="Times New Roman" w:cs="Times New Roman"/>
          <w:sz w:val="24"/>
          <w:szCs w:val="24"/>
        </w:rPr>
        <w:t>(5-6), pp.411-433.</w:t>
      </w:r>
    </w:p>
    <w:p>
      <w:pPr>
        <w:pStyle w:val="3"/>
        <w:spacing w:before="240" w:after="240" w:line="48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 xml:space="preserve">Ali, M.A., Zafar, U., Mahmood, A. and Nazim, M., 2021. The power of ADKAR change model in innovative technology acceptance under the moderating effect of culture and open innovation. </w:t>
      </w:r>
      <w:r>
        <w:rPr>
          <w:rFonts w:ascii="Times New Roman" w:hAnsi="Times New Roman" w:eastAsia="Times New Roman" w:cs="Times New Roman"/>
          <w:i/>
          <w:sz w:val="24"/>
          <w:szCs w:val="24"/>
          <w:lang w:val="en-GB"/>
        </w:rPr>
        <w:t>LogForum</w:t>
      </w:r>
      <w:r>
        <w:rPr>
          <w:rFonts w:ascii="Times New Roman" w:hAnsi="Times New Roman" w:eastAsia="Times New Roman" w:cs="Times New Roman"/>
          <w:sz w:val="24"/>
          <w:szCs w:val="24"/>
          <w:lang w:val="en-GB"/>
        </w:rPr>
        <w:t xml:space="preserve">, </w:t>
      </w:r>
      <w:r>
        <w:rPr>
          <w:rFonts w:ascii="Times New Roman" w:hAnsi="Times New Roman" w:eastAsia="Times New Roman" w:cs="Times New Roman"/>
          <w:i/>
          <w:sz w:val="24"/>
          <w:szCs w:val="24"/>
          <w:lang w:val="en-GB"/>
        </w:rPr>
        <w:t>17</w:t>
      </w:r>
      <w:r>
        <w:rPr>
          <w:rFonts w:ascii="Times New Roman" w:hAnsi="Times New Roman" w:eastAsia="Times New Roman" w:cs="Times New Roman"/>
          <w:sz w:val="24"/>
          <w:szCs w:val="24"/>
          <w:lang w:val="en-GB"/>
        </w:rPr>
        <w:t>(4).</w:t>
      </w:r>
    </w:p>
    <w:p>
      <w:pPr>
        <w:pStyle w:val="3"/>
        <w:spacing w:before="240" w:after="240" w:line="48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Chanana, N., 2021. Employee engagement practices during COVID</w:t>
      </w:r>
      <w:r>
        <w:rPr>
          <w:rFonts w:ascii="Cambria Math" w:hAnsi="Cambria Math" w:eastAsia="Times New Roman" w:cs="Cambria Math"/>
          <w:sz w:val="24"/>
          <w:szCs w:val="24"/>
          <w:lang w:val="en-GB"/>
        </w:rPr>
        <w:t>‐</w:t>
      </w:r>
      <w:r>
        <w:rPr>
          <w:rFonts w:ascii="Times New Roman" w:hAnsi="Times New Roman" w:eastAsia="Times New Roman" w:cs="Times New Roman"/>
          <w:sz w:val="24"/>
          <w:szCs w:val="24"/>
          <w:lang w:val="en-GB"/>
        </w:rPr>
        <w:t xml:space="preserve">19 lockdown. </w:t>
      </w:r>
      <w:r>
        <w:rPr>
          <w:rFonts w:ascii="Times New Roman" w:hAnsi="Times New Roman" w:eastAsia="Times New Roman" w:cs="Times New Roman"/>
          <w:i/>
          <w:sz w:val="24"/>
          <w:szCs w:val="24"/>
          <w:lang w:val="en-GB"/>
        </w:rPr>
        <w:t>Journal of public affairs</w:t>
      </w:r>
      <w:r>
        <w:rPr>
          <w:rFonts w:ascii="Times New Roman" w:hAnsi="Times New Roman" w:eastAsia="Times New Roman" w:cs="Times New Roman"/>
          <w:sz w:val="24"/>
          <w:szCs w:val="24"/>
          <w:lang w:val="en-GB"/>
        </w:rPr>
        <w:t xml:space="preserve">, </w:t>
      </w:r>
      <w:r>
        <w:rPr>
          <w:rFonts w:ascii="Times New Roman" w:hAnsi="Times New Roman" w:eastAsia="Times New Roman" w:cs="Times New Roman"/>
          <w:i/>
          <w:sz w:val="24"/>
          <w:szCs w:val="24"/>
          <w:lang w:val="en-GB"/>
        </w:rPr>
        <w:t>21</w:t>
      </w:r>
      <w:r>
        <w:rPr>
          <w:rFonts w:ascii="Times New Roman" w:hAnsi="Times New Roman" w:eastAsia="Times New Roman" w:cs="Times New Roman"/>
          <w:sz w:val="24"/>
          <w:szCs w:val="24"/>
          <w:lang w:val="en-GB"/>
        </w:rPr>
        <w:t>(4), p.e2508.</w:t>
      </w:r>
    </w:p>
    <w:p>
      <w:pPr>
        <w:pStyle w:val="3"/>
        <w:spacing w:before="240" w:after="240" w:line="48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 xml:space="preserve">Cone, C. and Unni, E., 2020. Achieving consensus using a modified Delphi Technique embedded in Lewin's change management model designed to improve faculty satisfaction in a pharmacy school. </w:t>
      </w:r>
      <w:r>
        <w:rPr>
          <w:rFonts w:ascii="Times New Roman" w:hAnsi="Times New Roman" w:eastAsia="Times New Roman" w:cs="Times New Roman"/>
          <w:i/>
          <w:sz w:val="24"/>
          <w:szCs w:val="24"/>
          <w:lang w:val="en-GB"/>
        </w:rPr>
        <w:t>Research in Social and Administrative Pharmacy</w:t>
      </w:r>
      <w:r>
        <w:rPr>
          <w:rFonts w:ascii="Times New Roman" w:hAnsi="Times New Roman" w:eastAsia="Times New Roman" w:cs="Times New Roman"/>
          <w:sz w:val="24"/>
          <w:szCs w:val="24"/>
          <w:lang w:val="en-GB"/>
        </w:rPr>
        <w:t xml:space="preserve">, </w:t>
      </w:r>
      <w:r>
        <w:rPr>
          <w:rFonts w:ascii="Times New Roman" w:hAnsi="Times New Roman" w:eastAsia="Times New Roman" w:cs="Times New Roman"/>
          <w:i/>
          <w:sz w:val="24"/>
          <w:szCs w:val="24"/>
          <w:lang w:val="en-GB"/>
        </w:rPr>
        <w:t>16</w:t>
      </w:r>
      <w:r>
        <w:rPr>
          <w:rFonts w:ascii="Times New Roman" w:hAnsi="Times New Roman" w:eastAsia="Times New Roman" w:cs="Times New Roman"/>
          <w:sz w:val="24"/>
          <w:szCs w:val="24"/>
          <w:lang w:val="en-GB"/>
        </w:rPr>
        <w:t>(12), pp.1711-1717.</w:t>
      </w:r>
    </w:p>
    <w:p>
      <w:pPr>
        <w:pStyle w:val="3"/>
        <w:spacing w:before="240" w:after="24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Errida, A. and Lotfi, B., 2021. The determinants of organizational change management success: Literature review and case study. </w:t>
      </w:r>
      <w:r>
        <w:rPr>
          <w:rFonts w:ascii="Times New Roman" w:hAnsi="Times New Roman" w:eastAsia="Times New Roman" w:cs="Times New Roman"/>
          <w:i/>
          <w:iCs/>
          <w:sz w:val="24"/>
          <w:szCs w:val="24"/>
        </w:rPr>
        <w:t>International Journal of Engineering Business Management</w:t>
      </w:r>
      <w:r>
        <w:rPr>
          <w:rFonts w:ascii="Times New Roman" w:hAnsi="Times New Roman" w:eastAsia="Times New Roman" w:cs="Times New Roman"/>
          <w:sz w:val="24"/>
          <w:szCs w:val="24"/>
        </w:rPr>
        <w:t xml:space="preserve">, </w:t>
      </w:r>
      <w:r>
        <w:rPr>
          <w:rFonts w:ascii="Times New Roman" w:hAnsi="Times New Roman" w:eastAsia="Times New Roman" w:cs="Times New Roman"/>
          <w:i/>
          <w:iCs/>
          <w:sz w:val="24"/>
          <w:szCs w:val="24"/>
        </w:rPr>
        <w:t>13</w:t>
      </w:r>
      <w:r>
        <w:rPr>
          <w:rFonts w:ascii="Times New Roman" w:hAnsi="Times New Roman" w:eastAsia="Times New Roman" w:cs="Times New Roman"/>
          <w:sz w:val="24"/>
          <w:szCs w:val="24"/>
        </w:rPr>
        <w:t>, p.18479790211016273.</w:t>
      </w:r>
    </w:p>
    <w:p>
      <w:pPr>
        <w:pStyle w:val="3"/>
        <w:spacing w:before="240" w:after="240" w:line="48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Gechkova, T. and Kaleeva, T., 2020.The mckinsey 7s model in the airport system protection.</w:t>
      </w:r>
      <w:r>
        <w:rPr>
          <w:rFonts w:ascii="Times New Roman" w:hAnsi="Times New Roman" w:eastAsia="Times New Roman" w:cs="Times New Roman"/>
          <w:i/>
          <w:sz w:val="24"/>
          <w:szCs w:val="24"/>
          <w:lang w:val="en-GB"/>
        </w:rPr>
        <w:t>KNOWLEDGE-International Journal</w:t>
      </w:r>
      <w:r>
        <w:rPr>
          <w:rFonts w:ascii="Times New Roman" w:hAnsi="Times New Roman" w:eastAsia="Times New Roman" w:cs="Times New Roman"/>
          <w:sz w:val="24"/>
          <w:szCs w:val="24"/>
          <w:lang w:val="en-GB"/>
        </w:rPr>
        <w:t xml:space="preserve">, </w:t>
      </w:r>
      <w:r>
        <w:rPr>
          <w:rFonts w:ascii="Times New Roman" w:hAnsi="Times New Roman" w:eastAsia="Times New Roman" w:cs="Times New Roman"/>
          <w:i/>
          <w:sz w:val="24"/>
          <w:szCs w:val="24"/>
          <w:lang w:val="en-GB"/>
        </w:rPr>
        <w:t>42</w:t>
      </w:r>
      <w:r>
        <w:rPr>
          <w:rFonts w:ascii="Times New Roman" w:hAnsi="Times New Roman" w:eastAsia="Times New Roman" w:cs="Times New Roman"/>
          <w:sz w:val="24"/>
          <w:szCs w:val="24"/>
          <w:lang w:val="en-GB"/>
        </w:rPr>
        <w:t>(5), pp.843-848.</w:t>
      </w:r>
    </w:p>
    <w:p>
      <w:pPr>
        <w:pStyle w:val="3"/>
        <w:spacing w:before="240" w:after="240" w:line="48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 xml:space="preserve">Houben, M.A.M., Caekebeke, N., van den Hoogen, A., Ringenier, M., Tobias, T.J., Jonquiere, F.J., Sleeckx, N., Velkers, F.C., Stegeman, J.A., Dewulf, J. and Postma, M., 2020. The ADKAR® change management model for farmer profiling with regard to antimicrobial stewardship in livestock production. </w:t>
      </w:r>
      <w:r>
        <w:rPr>
          <w:rFonts w:ascii="Times New Roman" w:hAnsi="Times New Roman" w:eastAsia="Times New Roman" w:cs="Times New Roman"/>
          <w:i/>
          <w:sz w:val="24"/>
          <w:szCs w:val="24"/>
          <w:lang w:val="en-GB"/>
        </w:rPr>
        <w:t>VlaamsDiergeneeskundigTijdschrift</w:t>
      </w:r>
      <w:r>
        <w:rPr>
          <w:rFonts w:ascii="Times New Roman" w:hAnsi="Times New Roman" w:eastAsia="Times New Roman" w:cs="Times New Roman"/>
          <w:sz w:val="24"/>
          <w:szCs w:val="24"/>
          <w:lang w:val="en-GB"/>
        </w:rPr>
        <w:t xml:space="preserve">, </w:t>
      </w:r>
      <w:r>
        <w:rPr>
          <w:rFonts w:ascii="Times New Roman" w:hAnsi="Times New Roman" w:eastAsia="Times New Roman" w:cs="Times New Roman"/>
          <w:i/>
          <w:sz w:val="24"/>
          <w:szCs w:val="24"/>
          <w:lang w:val="en-GB"/>
        </w:rPr>
        <w:t>89</w:t>
      </w:r>
      <w:r>
        <w:rPr>
          <w:rFonts w:ascii="Times New Roman" w:hAnsi="Times New Roman" w:eastAsia="Times New Roman" w:cs="Times New Roman"/>
          <w:sz w:val="24"/>
          <w:szCs w:val="24"/>
          <w:lang w:val="en-GB"/>
        </w:rPr>
        <w:t>(6).</w:t>
      </w:r>
    </w:p>
    <w:p>
      <w:pPr>
        <w:pStyle w:val="3"/>
        <w:spacing w:before="240" w:after="240" w:line="48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 xml:space="preserve">Hussain, S.T., Lei, S., Akram, T., Haider, M.J., Hussain, S.H. and Ali, M., 2018. Kurt Lewin's change model: A critical review of the role of leadership and employee involvement in organizational change. </w:t>
      </w:r>
      <w:r>
        <w:rPr>
          <w:rFonts w:ascii="Times New Roman" w:hAnsi="Times New Roman" w:eastAsia="Times New Roman" w:cs="Times New Roman"/>
          <w:i/>
          <w:sz w:val="24"/>
          <w:szCs w:val="24"/>
          <w:lang w:val="en-GB"/>
        </w:rPr>
        <w:t>Journal of Innovation &amp; Knowledge</w:t>
      </w:r>
      <w:r>
        <w:rPr>
          <w:rFonts w:ascii="Times New Roman" w:hAnsi="Times New Roman" w:eastAsia="Times New Roman" w:cs="Times New Roman"/>
          <w:sz w:val="24"/>
          <w:szCs w:val="24"/>
          <w:lang w:val="en-GB"/>
        </w:rPr>
        <w:t xml:space="preserve">, </w:t>
      </w:r>
      <w:r>
        <w:rPr>
          <w:rFonts w:ascii="Times New Roman" w:hAnsi="Times New Roman" w:eastAsia="Times New Roman" w:cs="Times New Roman"/>
          <w:i/>
          <w:sz w:val="24"/>
          <w:szCs w:val="24"/>
          <w:lang w:val="en-GB"/>
        </w:rPr>
        <w:t>3</w:t>
      </w:r>
      <w:r>
        <w:rPr>
          <w:rFonts w:ascii="Times New Roman" w:hAnsi="Times New Roman" w:eastAsia="Times New Roman" w:cs="Times New Roman"/>
          <w:sz w:val="24"/>
          <w:szCs w:val="24"/>
          <w:lang w:val="en-GB"/>
        </w:rPr>
        <w:t>(3), pp.123-127.</w:t>
      </w:r>
    </w:p>
    <w:p>
      <w:pPr>
        <w:pStyle w:val="3"/>
        <w:spacing w:before="240" w:after="240" w:line="48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 xml:space="preserve">Jayatilleke, S. and Lai, R., 2018.A systematic review of requirements change management. </w:t>
      </w:r>
      <w:r>
        <w:rPr>
          <w:rFonts w:ascii="Times New Roman" w:hAnsi="Times New Roman" w:eastAsia="Times New Roman" w:cs="Times New Roman"/>
          <w:i/>
          <w:sz w:val="24"/>
          <w:szCs w:val="24"/>
          <w:lang w:val="en-GB"/>
        </w:rPr>
        <w:t>Information and Software Technology</w:t>
      </w:r>
      <w:r>
        <w:rPr>
          <w:rFonts w:ascii="Times New Roman" w:hAnsi="Times New Roman" w:eastAsia="Times New Roman" w:cs="Times New Roman"/>
          <w:sz w:val="24"/>
          <w:szCs w:val="24"/>
          <w:lang w:val="en-GB"/>
        </w:rPr>
        <w:t xml:space="preserve">, </w:t>
      </w:r>
      <w:r>
        <w:rPr>
          <w:rFonts w:ascii="Times New Roman" w:hAnsi="Times New Roman" w:eastAsia="Times New Roman" w:cs="Times New Roman"/>
          <w:i/>
          <w:sz w:val="24"/>
          <w:szCs w:val="24"/>
          <w:lang w:val="en-GB"/>
        </w:rPr>
        <w:t>93</w:t>
      </w:r>
      <w:r>
        <w:rPr>
          <w:rFonts w:ascii="Times New Roman" w:hAnsi="Times New Roman" w:eastAsia="Times New Roman" w:cs="Times New Roman"/>
          <w:sz w:val="24"/>
          <w:szCs w:val="24"/>
          <w:lang w:val="en-GB"/>
        </w:rPr>
        <w:t>, pp.163-185.</w:t>
      </w:r>
    </w:p>
    <w:p>
      <w:pPr>
        <w:pStyle w:val="3"/>
        <w:spacing w:before="240" w:after="240" w:line="48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 xml:space="preserve">Kho, J., Gillespie, N. and Martin-Khan, M., 2020. A systematic scoping review of change management practices used for telemedicine service implementations. </w:t>
      </w:r>
      <w:r>
        <w:rPr>
          <w:rFonts w:ascii="Times New Roman" w:hAnsi="Times New Roman" w:eastAsia="Times New Roman" w:cs="Times New Roman"/>
          <w:i/>
          <w:sz w:val="24"/>
          <w:szCs w:val="24"/>
          <w:lang w:val="en-GB"/>
        </w:rPr>
        <w:t>BMC health services research</w:t>
      </w:r>
      <w:r>
        <w:rPr>
          <w:rFonts w:ascii="Times New Roman" w:hAnsi="Times New Roman" w:eastAsia="Times New Roman" w:cs="Times New Roman"/>
          <w:sz w:val="24"/>
          <w:szCs w:val="24"/>
          <w:lang w:val="en-GB"/>
        </w:rPr>
        <w:t xml:space="preserve">, </w:t>
      </w:r>
      <w:r>
        <w:rPr>
          <w:rFonts w:ascii="Times New Roman" w:hAnsi="Times New Roman" w:eastAsia="Times New Roman" w:cs="Times New Roman"/>
          <w:i/>
          <w:sz w:val="24"/>
          <w:szCs w:val="24"/>
          <w:lang w:val="en-GB"/>
        </w:rPr>
        <w:t>20</w:t>
      </w:r>
      <w:r>
        <w:rPr>
          <w:rFonts w:ascii="Times New Roman" w:hAnsi="Times New Roman" w:eastAsia="Times New Roman" w:cs="Times New Roman"/>
          <w:sz w:val="24"/>
          <w:szCs w:val="24"/>
          <w:lang w:val="en-GB"/>
        </w:rPr>
        <w:t>, pp.1-16.</w:t>
      </w:r>
    </w:p>
    <w:p>
      <w:pPr>
        <w:pStyle w:val="3"/>
        <w:spacing w:before="240" w:after="240" w:line="48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Mak, A,. 2022.How should Netflix's product strategy change, given its recent earnings chaos? By Former VP of Product at Netflix.</w:t>
      </w:r>
      <w:r>
        <w:rPr>
          <w:rFonts w:ascii="Times New Roman" w:hAnsi="Times New Roman" w:eastAsia="Times New Roman" w:cs="Times New Roman"/>
          <w:i/>
          <w:sz w:val="24"/>
          <w:szCs w:val="24"/>
          <w:lang w:val="en-GB"/>
        </w:rPr>
        <w:t>in.</w:t>
      </w:r>
      <w:r>
        <w:rPr>
          <w:rFonts w:ascii="Times New Roman" w:hAnsi="Times New Roman" w:eastAsia="Times New Roman" w:cs="Times New Roman"/>
          <w:sz w:val="24"/>
          <w:szCs w:val="24"/>
          <w:lang w:val="en-GB"/>
        </w:rPr>
        <w:t>Available at: https://www.linkedin.com/pulse/how-should-netflixs-product-strategy-change-given-its-mak-?trk=pulse-article[Accessed on 10</w:t>
      </w:r>
      <w:r>
        <w:rPr>
          <w:rFonts w:ascii="Times New Roman" w:hAnsi="Times New Roman" w:eastAsia="Times New Roman" w:cs="Times New Roman"/>
          <w:sz w:val="24"/>
          <w:szCs w:val="24"/>
          <w:vertAlign w:val="superscript"/>
          <w:lang w:val="en-GB"/>
        </w:rPr>
        <w:t>th</w:t>
      </w:r>
      <w:r>
        <w:rPr>
          <w:rFonts w:ascii="Times New Roman" w:hAnsi="Times New Roman" w:eastAsia="Times New Roman" w:cs="Times New Roman"/>
          <w:sz w:val="24"/>
          <w:szCs w:val="24"/>
          <w:lang w:val="en-GB"/>
        </w:rPr>
        <w:t xml:space="preserve"> February, 2023]</w:t>
      </w:r>
    </w:p>
    <w:p>
      <w:pPr>
        <w:pStyle w:val="3"/>
        <w:spacing w:before="240" w:after="240" w:line="48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Malek, L., Umberger, W. and Goddard, E., 2019. Is anti-consumption driving meat consumption changes in Australia?.</w:t>
      </w:r>
      <w:r>
        <w:rPr>
          <w:rFonts w:ascii="Times New Roman" w:hAnsi="Times New Roman" w:eastAsia="Times New Roman" w:cs="Times New Roman"/>
          <w:i/>
          <w:sz w:val="24"/>
          <w:szCs w:val="24"/>
          <w:lang w:val="en-GB"/>
        </w:rPr>
        <w:t>British Food Journal</w:t>
      </w:r>
      <w:r>
        <w:rPr>
          <w:rFonts w:ascii="Times New Roman" w:hAnsi="Times New Roman" w:eastAsia="Times New Roman" w:cs="Times New Roman"/>
          <w:sz w:val="24"/>
          <w:szCs w:val="24"/>
          <w:lang w:val="en-GB"/>
        </w:rPr>
        <w:t xml:space="preserve">, </w:t>
      </w:r>
      <w:r>
        <w:rPr>
          <w:rFonts w:ascii="Times New Roman" w:hAnsi="Times New Roman" w:eastAsia="Times New Roman" w:cs="Times New Roman"/>
          <w:i/>
          <w:sz w:val="24"/>
          <w:szCs w:val="24"/>
          <w:lang w:val="en-GB"/>
        </w:rPr>
        <w:t>121</w:t>
      </w:r>
      <w:r>
        <w:rPr>
          <w:rFonts w:ascii="Times New Roman" w:hAnsi="Times New Roman" w:eastAsia="Times New Roman" w:cs="Times New Roman"/>
          <w:sz w:val="24"/>
          <w:szCs w:val="24"/>
          <w:lang w:val="en-GB"/>
        </w:rPr>
        <w:t>(1), pp.123-138.</w:t>
      </w:r>
    </w:p>
    <w:p>
      <w:pPr>
        <w:pStyle w:val="3"/>
        <w:spacing w:before="240" w:after="240" w:line="48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rPr>
        <w:t xml:space="preserve">Mbatha, L.L., 2022. </w:t>
      </w:r>
      <w:r>
        <w:rPr>
          <w:rFonts w:ascii="Times New Roman" w:hAnsi="Times New Roman" w:eastAsia="Times New Roman" w:cs="Times New Roman"/>
          <w:i/>
          <w:iCs/>
          <w:sz w:val="24"/>
          <w:szCs w:val="24"/>
        </w:rPr>
        <w:t>Stakeholder perceptions of leadership and organisational change management in two community education and training colleges in South Africa</w:t>
      </w:r>
      <w:r>
        <w:rPr>
          <w:rFonts w:ascii="Times New Roman" w:hAnsi="Times New Roman" w:eastAsia="Times New Roman" w:cs="Times New Roman"/>
          <w:sz w:val="24"/>
          <w:szCs w:val="24"/>
        </w:rPr>
        <w:t xml:space="preserve"> (Doctoral dissertation).</w:t>
      </w:r>
    </w:p>
    <w:p>
      <w:pPr>
        <w:pStyle w:val="3"/>
        <w:spacing w:before="240" w:after="240" w:line="480" w:lineRule="auto"/>
        <w:jc w:val="both"/>
        <w:rPr>
          <w:rFonts w:ascii="Times New Roman" w:hAnsi="Times New Roman" w:eastAsia="Times New Roman" w:cs="Times New Roman"/>
          <w:b/>
          <w:sz w:val="24"/>
          <w:szCs w:val="24"/>
          <w:lang w:val="en-GB"/>
        </w:rPr>
      </w:pPr>
      <w:r>
        <w:rPr>
          <w:rFonts w:ascii="Times New Roman" w:hAnsi="Times New Roman" w:eastAsia="Times New Roman" w:cs="Times New Roman"/>
          <w:sz w:val="24"/>
          <w:szCs w:val="24"/>
          <w:lang w:val="en-GB"/>
        </w:rPr>
        <w:t xml:space="preserve">Mier, J. and Kohli, A.K., 2021. Netflix: reinvention across multiple time periods, reflections and directions for future research. </w:t>
      </w:r>
      <w:r>
        <w:rPr>
          <w:rFonts w:ascii="Times New Roman" w:hAnsi="Times New Roman" w:eastAsia="Times New Roman" w:cs="Times New Roman"/>
          <w:i/>
          <w:sz w:val="24"/>
          <w:szCs w:val="24"/>
          <w:lang w:val="en-GB"/>
        </w:rPr>
        <w:t>AMS Review</w:t>
      </w:r>
      <w:r>
        <w:rPr>
          <w:rFonts w:ascii="Times New Roman" w:hAnsi="Times New Roman" w:eastAsia="Times New Roman" w:cs="Times New Roman"/>
          <w:sz w:val="24"/>
          <w:szCs w:val="24"/>
          <w:lang w:val="en-GB"/>
        </w:rPr>
        <w:t xml:space="preserve">, </w:t>
      </w:r>
      <w:r>
        <w:rPr>
          <w:rFonts w:ascii="Times New Roman" w:hAnsi="Times New Roman" w:eastAsia="Times New Roman" w:cs="Times New Roman"/>
          <w:i/>
          <w:sz w:val="24"/>
          <w:szCs w:val="24"/>
          <w:lang w:val="en-GB"/>
        </w:rPr>
        <w:t>11</w:t>
      </w:r>
      <w:r>
        <w:rPr>
          <w:rFonts w:ascii="Times New Roman" w:hAnsi="Times New Roman" w:eastAsia="Times New Roman" w:cs="Times New Roman"/>
          <w:sz w:val="24"/>
          <w:szCs w:val="24"/>
          <w:lang w:val="en-GB"/>
        </w:rPr>
        <w:t>, pp.194-205.</w:t>
      </w:r>
    </w:p>
    <w:p>
      <w:pPr>
        <w:pStyle w:val="3"/>
        <w:spacing w:before="240" w:after="240" w:line="48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Netflix Inc, 2023. About Us</w:t>
      </w:r>
      <w:r>
        <w:rPr>
          <w:rFonts w:ascii="Times New Roman" w:hAnsi="Times New Roman" w:eastAsia="Times New Roman" w:cs="Times New Roman"/>
          <w:i/>
          <w:sz w:val="24"/>
          <w:szCs w:val="24"/>
          <w:lang w:val="en-GB"/>
        </w:rPr>
        <w:t>.</w:t>
      </w:r>
      <w:r>
        <w:rPr>
          <w:rFonts w:ascii="Times New Roman" w:hAnsi="Times New Roman" w:eastAsia="Times New Roman" w:cs="Times New Roman"/>
          <w:sz w:val="24"/>
          <w:szCs w:val="24"/>
          <w:lang w:val="en-GB"/>
        </w:rPr>
        <w:t>Available at: https://about.netflix.com/en [Accessed on 10</w:t>
      </w:r>
      <w:r>
        <w:rPr>
          <w:rFonts w:ascii="Times New Roman" w:hAnsi="Times New Roman" w:eastAsia="Times New Roman" w:cs="Times New Roman"/>
          <w:sz w:val="24"/>
          <w:szCs w:val="24"/>
          <w:vertAlign w:val="superscript"/>
          <w:lang w:val="en-GB"/>
        </w:rPr>
        <w:t>th</w:t>
      </w:r>
      <w:r>
        <w:rPr>
          <w:rFonts w:ascii="Times New Roman" w:hAnsi="Times New Roman" w:eastAsia="Times New Roman" w:cs="Times New Roman"/>
          <w:sz w:val="24"/>
          <w:szCs w:val="24"/>
          <w:lang w:val="en-GB"/>
        </w:rPr>
        <w:t xml:space="preserve"> February, 2023]</w:t>
      </w:r>
    </w:p>
    <w:p>
      <w:pPr>
        <w:pStyle w:val="3"/>
        <w:spacing w:before="240" w:after="240" w:line="48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Rosenbaum, D., More, E. and Steane, P., 2018. Planned organisational change management: Forward to the past? An exploratory literature review.</w:t>
      </w:r>
      <w:r>
        <w:rPr>
          <w:rFonts w:ascii="Times New Roman" w:hAnsi="Times New Roman" w:eastAsia="Times New Roman" w:cs="Times New Roman"/>
          <w:i/>
          <w:sz w:val="24"/>
          <w:szCs w:val="24"/>
          <w:lang w:val="en-GB"/>
        </w:rPr>
        <w:t>Journal of Organizational Change Management</w:t>
      </w:r>
      <w:r>
        <w:rPr>
          <w:rFonts w:ascii="Times New Roman" w:hAnsi="Times New Roman" w:eastAsia="Times New Roman" w:cs="Times New Roman"/>
          <w:sz w:val="24"/>
          <w:szCs w:val="24"/>
          <w:lang w:val="en-GB"/>
        </w:rPr>
        <w:t xml:space="preserve">, </w:t>
      </w:r>
      <w:r>
        <w:rPr>
          <w:rFonts w:ascii="Times New Roman" w:hAnsi="Times New Roman" w:eastAsia="Times New Roman" w:cs="Times New Roman"/>
          <w:i/>
          <w:sz w:val="24"/>
          <w:szCs w:val="24"/>
          <w:lang w:val="en-GB"/>
        </w:rPr>
        <w:t>31</w:t>
      </w:r>
      <w:r>
        <w:rPr>
          <w:rFonts w:ascii="Times New Roman" w:hAnsi="Times New Roman" w:eastAsia="Times New Roman" w:cs="Times New Roman"/>
          <w:sz w:val="24"/>
          <w:szCs w:val="24"/>
          <w:lang w:val="en-GB"/>
        </w:rPr>
        <w:t>(2), pp.286-303.</w:t>
      </w:r>
    </w:p>
    <w:p>
      <w:pPr>
        <w:pStyle w:val="3"/>
        <w:spacing w:before="240" w:after="240" w:line="48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Rosenbaum, D., More, E. and Steane, P., 2018. Planned organisational change management: Forward to the past? An exploratory literature review.</w:t>
      </w:r>
      <w:r>
        <w:rPr>
          <w:rFonts w:ascii="Times New Roman" w:hAnsi="Times New Roman" w:eastAsia="Times New Roman" w:cs="Times New Roman"/>
          <w:i/>
          <w:sz w:val="24"/>
          <w:szCs w:val="24"/>
          <w:lang w:val="en-GB"/>
        </w:rPr>
        <w:t>Journal of Organizational Change Management</w:t>
      </w:r>
      <w:r>
        <w:rPr>
          <w:rFonts w:ascii="Times New Roman" w:hAnsi="Times New Roman" w:eastAsia="Times New Roman" w:cs="Times New Roman"/>
          <w:sz w:val="24"/>
          <w:szCs w:val="24"/>
          <w:lang w:val="en-GB"/>
        </w:rPr>
        <w:t xml:space="preserve">, </w:t>
      </w:r>
      <w:r>
        <w:rPr>
          <w:rFonts w:ascii="Times New Roman" w:hAnsi="Times New Roman" w:eastAsia="Times New Roman" w:cs="Times New Roman"/>
          <w:i/>
          <w:sz w:val="24"/>
          <w:szCs w:val="24"/>
          <w:lang w:val="en-GB"/>
        </w:rPr>
        <w:t>31</w:t>
      </w:r>
      <w:r>
        <w:rPr>
          <w:rFonts w:ascii="Times New Roman" w:hAnsi="Times New Roman" w:eastAsia="Times New Roman" w:cs="Times New Roman"/>
          <w:sz w:val="24"/>
          <w:szCs w:val="24"/>
          <w:lang w:val="en-GB"/>
        </w:rPr>
        <w:t>(2), pp.286-303.</w:t>
      </w:r>
    </w:p>
    <w:p>
      <w:pPr>
        <w:pStyle w:val="3"/>
        <w:spacing w:before="240" w:after="240" w:line="48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 xml:space="preserve">Schulz-Knappe, C., Koch, T. and Beckert, J., 2019. The importance of communicating change: Identifying predictors for support and resistance toward organizational change processes. </w:t>
      </w:r>
      <w:r>
        <w:rPr>
          <w:rFonts w:ascii="Times New Roman" w:hAnsi="Times New Roman" w:eastAsia="Times New Roman" w:cs="Times New Roman"/>
          <w:i/>
          <w:sz w:val="24"/>
          <w:szCs w:val="24"/>
          <w:lang w:val="en-GB"/>
        </w:rPr>
        <w:t>Corporate Communications: An International Journal</w:t>
      </w:r>
      <w:r>
        <w:rPr>
          <w:rFonts w:ascii="Times New Roman" w:hAnsi="Times New Roman" w:eastAsia="Times New Roman" w:cs="Times New Roman"/>
          <w:sz w:val="24"/>
          <w:szCs w:val="24"/>
          <w:lang w:val="en-GB"/>
        </w:rPr>
        <w:t xml:space="preserve">, </w:t>
      </w:r>
      <w:r>
        <w:rPr>
          <w:rFonts w:ascii="Times New Roman" w:hAnsi="Times New Roman" w:eastAsia="Times New Roman" w:cs="Times New Roman"/>
          <w:i/>
          <w:sz w:val="24"/>
          <w:szCs w:val="24"/>
          <w:lang w:val="en-GB"/>
        </w:rPr>
        <w:t>24</w:t>
      </w:r>
      <w:r>
        <w:rPr>
          <w:rFonts w:ascii="Times New Roman" w:hAnsi="Times New Roman" w:eastAsia="Times New Roman" w:cs="Times New Roman"/>
          <w:sz w:val="24"/>
          <w:szCs w:val="24"/>
          <w:lang w:val="en-GB"/>
        </w:rPr>
        <w:t>(4), pp.670-685.</w:t>
      </w:r>
    </w:p>
    <w:p>
      <w:pPr>
        <w:pStyle w:val="3"/>
        <w:spacing w:before="240" w:after="240" w:line="48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 xml:space="preserve">Sokol, R., Schuman-Olivier, Z., Batalden, M., Sullivan, L. and Shaughnessy, A.F., 2020.A change management case study for safe opioid prescribing and opioid use disorder treatment. </w:t>
      </w:r>
      <w:r>
        <w:rPr>
          <w:rFonts w:ascii="Times New Roman" w:hAnsi="Times New Roman" w:eastAsia="Times New Roman" w:cs="Times New Roman"/>
          <w:i/>
          <w:sz w:val="24"/>
          <w:szCs w:val="24"/>
          <w:lang w:val="en-GB"/>
        </w:rPr>
        <w:t>The Journal of the American Board of Family Medicine</w:t>
      </w:r>
      <w:r>
        <w:rPr>
          <w:rFonts w:ascii="Times New Roman" w:hAnsi="Times New Roman" w:eastAsia="Times New Roman" w:cs="Times New Roman"/>
          <w:sz w:val="24"/>
          <w:szCs w:val="24"/>
          <w:lang w:val="en-GB"/>
        </w:rPr>
        <w:t xml:space="preserve">, </w:t>
      </w:r>
      <w:r>
        <w:rPr>
          <w:rFonts w:ascii="Times New Roman" w:hAnsi="Times New Roman" w:eastAsia="Times New Roman" w:cs="Times New Roman"/>
          <w:i/>
          <w:sz w:val="24"/>
          <w:szCs w:val="24"/>
          <w:lang w:val="en-GB"/>
        </w:rPr>
        <w:t>33</w:t>
      </w:r>
      <w:r>
        <w:rPr>
          <w:rFonts w:ascii="Times New Roman" w:hAnsi="Times New Roman" w:eastAsia="Times New Roman" w:cs="Times New Roman"/>
          <w:sz w:val="24"/>
          <w:szCs w:val="24"/>
          <w:lang w:val="en-GB"/>
        </w:rPr>
        <w:t>(1), pp.129-137.</w:t>
      </w:r>
    </w:p>
    <w:p>
      <w:pPr>
        <w:pStyle w:val="3"/>
        <w:spacing w:before="240" w:after="240" w:line="48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Stoll, J., 2023. Most in-demand video streaming services worldwide 2021, by share of demand.</w:t>
      </w:r>
      <w:r>
        <w:rPr>
          <w:rFonts w:ascii="Times New Roman" w:hAnsi="Times New Roman" w:eastAsia="Times New Roman" w:cs="Times New Roman"/>
          <w:i/>
          <w:sz w:val="24"/>
          <w:szCs w:val="24"/>
          <w:lang w:val="en-GB"/>
        </w:rPr>
        <w:t>Statista.</w:t>
      </w:r>
      <w:r>
        <w:rPr>
          <w:rFonts w:ascii="Times New Roman" w:hAnsi="Times New Roman" w:eastAsia="Times New Roman" w:cs="Times New Roman"/>
          <w:sz w:val="24"/>
          <w:szCs w:val="24"/>
          <w:lang w:val="en-GB"/>
        </w:rPr>
        <w:t>Available at: https://www.statista.com/statistics/1035628/most-in-demand-streaming-services-global-share/ [Accessed on 10</w:t>
      </w:r>
      <w:r>
        <w:rPr>
          <w:rFonts w:ascii="Times New Roman" w:hAnsi="Times New Roman" w:eastAsia="Times New Roman" w:cs="Times New Roman"/>
          <w:sz w:val="24"/>
          <w:szCs w:val="24"/>
          <w:vertAlign w:val="superscript"/>
          <w:lang w:val="en-GB"/>
        </w:rPr>
        <w:t>th</w:t>
      </w:r>
      <w:r>
        <w:rPr>
          <w:rFonts w:ascii="Times New Roman" w:hAnsi="Times New Roman" w:eastAsia="Times New Roman" w:cs="Times New Roman"/>
          <w:sz w:val="24"/>
          <w:szCs w:val="24"/>
          <w:lang w:val="en-GB"/>
        </w:rPr>
        <w:t xml:space="preserve"> February, 2023]</w:t>
      </w:r>
    </w:p>
    <w:p>
      <w:pPr>
        <w:pStyle w:val="3"/>
        <w:spacing w:before="240" w:after="240" w:line="48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Stoll, J., 2023. Netflix - statistics &amp;facts .</w:t>
      </w:r>
      <w:r>
        <w:rPr>
          <w:rFonts w:ascii="Times New Roman" w:hAnsi="Times New Roman" w:eastAsia="Times New Roman" w:cs="Times New Roman"/>
          <w:i/>
          <w:sz w:val="24"/>
          <w:szCs w:val="24"/>
          <w:lang w:val="en-GB"/>
        </w:rPr>
        <w:t>Statista.</w:t>
      </w:r>
      <w:r>
        <w:rPr>
          <w:rFonts w:ascii="Times New Roman" w:hAnsi="Times New Roman" w:eastAsia="Times New Roman" w:cs="Times New Roman"/>
          <w:sz w:val="24"/>
          <w:szCs w:val="24"/>
          <w:lang w:val="en-GB"/>
        </w:rPr>
        <w:t>Available at: https://www.statista.com/topics/842/netflix/#topicOverview [Accessed on 10</w:t>
      </w:r>
      <w:r>
        <w:rPr>
          <w:rFonts w:ascii="Times New Roman" w:hAnsi="Times New Roman" w:eastAsia="Times New Roman" w:cs="Times New Roman"/>
          <w:sz w:val="24"/>
          <w:szCs w:val="24"/>
          <w:vertAlign w:val="superscript"/>
          <w:lang w:val="en-GB"/>
        </w:rPr>
        <w:t>th</w:t>
      </w:r>
      <w:r>
        <w:rPr>
          <w:rFonts w:ascii="Times New Roman" w:hAnsi="Times New Roman" w:eastAsia="Times New Roman" w:cs="Times New Roman"/>
          <w:sz w:val="24"/>
          <w:szCs w:val="24"/>
          <w:lang w:val="en-GB"/>
        </w:rPr>
        <w:t xml:space="preserve"> February, 2023]</w:t>
      </w:r>
    </w:p>
    <w:p>
      <w:pPr>
        <w:pStyle w:val="3"/>
        <w:spacing w:before="240" w:after="240" w:line="48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Stoll, J., 2023. Netflix's annual revenue 2002-2022.</w:t>
      </w:r>
      <w:r>
        <w:rPr>
          <w:rFonts w:ascii="Times New Roman" w:hAnsi="Times New Roman" w:eastAsia="Times New Roman" w:cs="Times New Roman"/>
          <w:i/>
          <w:sz w:val="24"/>
          <w:szCs w:val="24"/>
          <w:lang w:val="en-GB"/>
        </w:rPr>
        <w:t>Statista.</w:t>
      </w:r>
      <w:r>
        <w:rPr>
          <w:rFonts w:ascii="Times New Roman" w:hAnsi="Times New Roman" w:eastAsia="Times New Roman" w:cs="Times New Roman"/>
          <w:sz w:val="24"/>
          <w:szCs w:val="24"/>
          <w:lang w:val="en-GB"/>
        </w:rPr>
        <w:t>Available at: https://www.statista.com/statistics/272545/annual-revenue-of-netflix/[Accessed on 10</w:t>
      </w:r>
      <w:r>
        <w:rPr>
          <w:rFonts w:ascii="Times New Roman" w:hAnsi="Times New Roman" w:eastAsia="Times New Roman" w:cs="Times New Roman"/>
          <w:sz w:val="24"/>
          <w:szCs w:val="24"/>
          <w:vertAlign w:val="superscript"/>
          <w:lang w:val="en-GB"/>
        </w:rPr>
        <w:t>th</w:t>
      </w:r>
      <w:r>
        <w:rPr>
          <w:rFonts w:ascii="Times New Roman" w:hAnsi="Times New Roman" w:eastAsia="Times New Roman" w:cs="Times New Roman"/>
          <w:sz w:val="24"/>
          <w:szCs w:val="24"/>
          <w:lang w:val="en-GB"/>
        </w:rPr>
        <w:t xml:space="preserve"> February, 2023]</w:t>
      </w:r>
    </w:p>
    <w:p>
      <w:pPr>
        <w:pStyle w:val="3"/>
        <w:spacing w:before="240" w:after="240" w:line="48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 xml:space="preserve">Stoll, J., 2023.Quarterly Netflix subscribers count worldwide 2013-2022. </w:t>
      </w:r>
      <w:r>
        <w:rPr>
          <w:rFonts w:ascii="Times New Roman" w:hAnsi="Times New Roman" w:eastAsia="Times New Roman" w:cs="Times New Roman"/>
          <w:i/>
          <w:sz w:val="24"/>
          <w:szCs w:val="24"/>
          <w:lang w:val="en-GB"/>
        </w:rPr>
        <w:t>Statista.</w:t>
      </w:r>
      <w:r>
        <w:rPr>
          <w:rFonts w:ascii="Times New Roman" w:hAnsi="Times New Roman" w:eastAsia="Times New Roman" w:cs="Times New Roman"/>
          <w:sz w:val="24"/>
          <w:szCs w:val="24"/>
          <w:lang w:val="en-GB"/>
        </w:rPr>
        <w:t>Available at: https://www.statista.com/statistics/250934/quarterly-number-of-netflix-streaming-subscribers-worldwide/[Accessed on 10</w:t>
      </w:r>
      <w:r>
        <w:rPr>
          <w:rFonts w:ascii="Times New Roman" w:hAnsi="Times New Roman" w:eastAsia="Times New Roman" w:cs="Times New Roman"/>
          <w:sz w:val="24"/>
          <w:szCs w:val="24"/>
          <w:vertAlign w:val="superscript"/>
          <w:lang w:val="en-GB"/>
        </w:rPr>
        <w:t>th</w:t>
      </w:r>
      <w:r>
        <w:rPr>
          <w:rFonts w:ascii="Times New Roman" w:hAnsi="Times New Roman" w:eastAsia="Times New Roman" w:cs="Times New Roman"/>
          <w:sz w:val="24"/>
          <w:szCs w:val="24"/>
          <w:lang w:val="en-GB"/>
        </w:rPr>
        <w:t xml:space="preserve"> February, 2023]</w:t>
      </w:r>
    </w:p>
    <w:p>
      <w:pPr>
        <w:pStyle w:val="3"/>
        <w:spacing w:before="240" w:after="240" w:line="48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 xml:space="preserve">Sundaram, R., Ziade, D. and Quinn, D., 2020. Drivers of change: an examination of factors that prompt managers to enforce changes in business. </w:t>
      </w:r>
      <w:r>
        <w:rPr>
          <w:rFonts w:ascii="Times New Roman" w:hAnsi="Times New Roman" w:eastAsia="Times New Roman" w:cs="Times New Roman"/>
          <w:i/>
          <w:sz w:val="24"/>
          <w:szCs w:val="24"/>
          <w:lang w:val="en-GB"/>
        </w:rPr>
        <w:t>International Journal of Management</w:t>
      </w:r>
      <w:r>
        <w:rPr>
          <w:rFonts w:ascii="Times New Roman" w:hAnsi="Times New Roman" w:eastAsia="Times New Roman" w:cs="Times New Roman"/>
          <w:sz w:val="24"/>
          <w:szCs w:val="24"/>
          <w:lang w:val="en-GB"/>
        </w:rPr>
        <w:t xml:space="preserve">, </w:t>
      </w:r>
      <w:r>
        <w:rPr>
          <w:rFonts w:ascii="Times New Roman" w:hAnsi="Times New Roman" w:eastAsia="Times New Roman" w:cs="Times New Roman"/>
          <w:i/>
          <w:sz w:val="24"/>
          <w:szCs w:val="24"/>
          <w:lang w:val="en-GB"/>
        </w:rPr>
        <w:t>11</w:t>
      </w:r>
      <w:r>
        <w:rPr>
          <w:rFonts w:ascii="Times New Roman" w:hAnsi="Times New Roman" w:eastAsia="Times New Roman" w:cs="Times New Roman"/>
          <w:sz w:val="24"/>
          <w:szCs w:val="24"/>
          <w:lang w:val="en-GB"/>
        </w:rPr>
        <w:t>(5).</w:t>
      </w:r>
    </w:p>
    <w:p>
      <w:pPr>
        <w:pStyle w:val="3"/>
        <w:spacing w:before="240" w:after="240" w:line="48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Vaia, G., Arkhipova, D. and DeLone, W., 2022.Digital governance mechanisms and principles that enable agile responses in dynamic competitive environments.</w:t>
      </w:r>
      <w:r>
        <w:rPr>
          <w:rFonts w:ascii="Times New Roman" w:hAnsi="Times New Roman" w:eastAsia="Times New Roman" w:cs="Times New Roman"/>
          <w:i/>
          <w:sz w:val="24"/>
          <w:szCs w:val="24"/>
          <w:lang w:val="en-GB"/>
        </w:rPr>
        <w:t>European Journal of Information Systems</w:t>
      </w:r>
      <w:r>
        <w:rPr>
          <w:rFonts w:ascii="Times New Roman" w:hAnsi="Times New Roman" w:eastAsia="Times New Roman" w:cs="Times New Roman"/>
          <w:sz w:val="24"/>
          <w:szCs w:val="24"/>
          <w:lang w:val="en-GB"/>
        </w:rPr>
        <w:t xml:space="preserve">, </w:t>
      </w:r>
      <w:r>
        <w:rPr>
          <w:rFonts w:ascii="Times New Roman" w:hAnsi="Times New Roman" w:eastAsia="Times New Roman" w:cs="Times New Roman"/>
          <w:i/>
          <w:sz w:val="24"/>
          <w:szCs w:val="24"/>
          <w:lang w:val="en-GB"/>
        </w:rPr>
        <w:t>31</w:t>
      </w:r>
      <w:r>
        <w:rPr>
          <w:rFonts w:ascii="Times New Roman" w:hAnsi="Times New Roman" w:eastAsia="Times New Roman" w:cs="Times New Roman"/>
          <w:sz w:val="24"/>
          <w:szCs w:val="24"/>
          <w:lang w:val="en-GB"/>
        </w:rPr>
        <w:t>(6), pp.662-680.</w:t>
      </w:r>
    </w:p>
    <w:p>
      <w:pPr>
        <w:pStyle w:val="3"/>
        <w:spacing w:before="240" w:after="240" w:line="48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Wan, J., Saade, R. and Wang, L., 2020.Deriving significant factors for managing change in UN.</w:t>
      </w:r>
      <w:r>
        <w:rPr>
          <w:rFonts w:ascii="Times New Roman" w:hAnsi="Times New Roman" w:eastAsia="Times New Roman" w:cs="Times New Roman"/>
          <w:i/>
          <w:sz w:val="24"/>
          <w:szCs w:val="24"/>
          <w:lang w:val="en-GB"/>
        </w:rPr>
        <w:t>Journal of Organizational Change Management</w:t>
      </w:r>
      <w:r>
        <w:rPr>
          <w:rFonts w:ascii="Times New Roman" w:hAnsi="Times New Roman" w:eastAsia="Times New Roman" w:cs="Times New Roman"/>
          <w:sz w:val="24"/>
          <w:szCs w:val="24"/>
          <w:lang w:val="en-GB"/>
        </w:rPr>
        <w:t xml:space="preserve">, </w:t>
      </w:r>
      <w:r>
        <w:rPr>
          <w:rFonts w:ascii="Times New Roman" w:hAnsi="Times New Roman" w:eastAsia="Times New Roman" w:cs="Times New Roman"/>
          <w:i/>
          <w:sz w:val="24"/>
          <w:szCs w:val="24"/>
          <w:lang w:val="en-GB"/>
        </w:rPr>
        <w:t>33</w:t>
      </w:r>
      <w:r>
        <w:rPr>
          <w:rFonts w:ascii="Times New Roman" w:hAnsi="Times New Roman" w:eastAsia="Times New Roman" w:cs="Times New Roman"/>
          <w:sz w:val="24"/>
          <w:szCs w:val="24"/>
          <w:lang w:val="en-GB"/>
        </w:rPr>
        <w:t>(1), pp.114-126.</w:t>
      </w:r>
    </w:p>
    <w:p>
      <w:pPr>
        <w:pStyle w:val="3"/>
        <w:spacing w:before="240" w:after="240" w:line="48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Yue, C.A., Men, L.R. and Ferguson, M.A., 2019.Bridging transformational leadership, transparent communication, and employee openness to change: The mediating role of trust.</w:t>
      </w:r>
      <w:r>
        <w:rPr>
          <w:rFonts w:ascii="Times New Roman" w:hAnsi="Times New Roman" w:eastAsia="Times New Roman" w:cs="Times New Roman"/>
          <w:i/>
          <w:sz w:val="24"/>
          <w:szCs w:val="24"/>
          <w:lang w:val="en-GB"/>
        </w:rPr>
        <w:t>Public relations review</w:t>
      </w:r>
      <w:r>
        <w:rPr>
          <w:rFonts w:ascii="Times New Roman" w:hAnsi="Times New Roman" w:eastAsia="Times New Roman" w:cs="Times New Roman"/>
          <w:sz w:val="24"/>
          <w:szCs w:val="24"/>
          <w:lang w:val="en-GB"/>
        </w:rPr>
        <w:t xml:space="preserve">, </w:t>
      </w:r>
      <w:r>
        <w:rPr>
          <w:rFonts w:ascii="Times New Roman" w:hAnsi="Times New Roman" w:eastAsia="Times New Roman" w:cs="Times New Roman"/>
          <w:i/>
          <w:sz w:val="24"/>
          <w:szCs w:val="24"/>
          <w:lang w:val="en-GB"/>
        </w:rPr>
        <w:t>45</w:t>
      </w:r>
      <w:r>
        <w:rPr>
          <w:rFonts w:ascii="Times New Roman" w:hAnsi="Times New Roman" w:eastAsia="Times New Roman" w:cs="Times New Roman"/>
          <w:sz w:val="24"/>
          <w:szCs w:val="24"/>
          <w:lang w:val="en-GB"/>
        </w:rPr>
        <w:t>(3), p.101779.</w:t>
      </w:r>
    </w:p>
    <w:p>
      <w:pPr>
        <w:pStyle w:val="3"/>
        <w:spacing w:before="240" w:after="240" w:line="48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 xml:space="preserve">Zhou, X., Huang, G., Wang, X. and Cheng, G., 2018. Future changes in precipitation extremes over Canada: Driving factors and inherent mechanism. </w:t>
      </w:r>
      <w:r>
        <w:rPr>
          <w:rFonts w:ascii="Times New Roman" w:hAnsi="Times New Roman" w:eastAsia="Times New Roman" w:cs="Times New Roman"/>
          <w:i/>
          <w:sz w:val="24"/>
          <w:szCs w:val="24"/>
          <w:lang w:val="en-GB"/>
        </w:rPr>
        <w:t>Journal of Geophysical Research: Atmospheres</w:t>
      </w:r>
      <w:r>
        <w:rPr>
          <w:rFonts w:ascii="Times New Roman" w:hAnsi="Times New Roman" w:eastAsia="Times New Roman" w:cs="Times New Roman"/>
          <w:sz w:val="24"/>
          <w:szCs w:val="24"/>
          <w:lang w:val="en-GB"/>
        </w:rPr>
        <w:t xml:space="preserve">, </w:t>
      </w:r>
      <w:r>
        <w:rPr>
          <w:rFonts w:ascii="Times New Roman" w:hAnsi="Times New Roman" w:eastAsia="Times New Roman" w:cs="Times New Roman"/>
          <w:i/>
          <w:sz w:val="24"/>
          <w:szCs w:val="24"/>
          <w:lang w:val="en-GB"/>
        </w:rPr>
        <w:t>123</w:t>
      </w:r>
      <w:r>
        <w:rPr>
          <w:rFonts w:ascii="Times New Roman" w:hAnsi="Times New Roman" w:eastAsia="Times New Roman" w:cs="Times New Roman"/>
          <w:sz w:val="24"/>
          <w:szCs w:val="24"/>
          <w:lang w:val="en-GB"/>
        </w:rPr>
        <w:t>(11), pp.5783-5803.</w:t>
      </w:r>
    </w:p>
    <w:p>
      <w:pPr>
        <w:pStyle w:val="3"/>
        <w:spacing w:line="480" w:lineRule="auto"/>
        <w:jc w:val="both"/>
        <w:rPr>
          <w:rFonts w:ascii="Times New Roman" w:hAnsi="Times New Roman" w:eastAsia="Times New Roman" w:cs="Times New Roman"/>
          <w:b/>
          <w:sz w:val="24"/>
          <w:szCs w:val="24"/>
          <w:lang w:val="en-GB"/>
        </w:rPr>
      </w:pPr>
    </w:p>
    <w:p>
      <w:pPr>
        <w:pStyle w:val="3"/>
        <w:spacing w:line="480" w:lineRule="auto"/>
        <w:jc w:val="both"/>
        <w:rPr>
          <w:rFonts w:ascii="Times New Roman" w:hAnsi="Times New Roman" w:eastAsia="Times New Roman" w:cs="Times New Roman"/>
          <w:b/>
          <w:sz w:val="28"/>
          <w:szCs w:val="28"/>
          <w:lang w:val="en-GB"/>
        </w:rPr>
      </w:pPr>
    </w:p>
    <w:sectPr>
      <w:footerReference r:id="rId5" w:type="default"/>
      <w:pgSz w:w="12240" w:h="15840"/>
      <w:pgMar w:top="1440" w:right="1440" w:bottom="1440" w:left="1440" w:header="720" w:footer="720" w:gutter="0"/>
      <w:pgBorders w:offsetFrom="page">
        <w:top w:val="single" w:color="auto" w:sz="4" w:space="24"/>
        <w:left w:val="single" w:color="auto" w:sz="4" w:space="24"/>
        <w:bottom w:val="single" w:color="auto" w:sz="4" w:space="24"/>
        <w:right w:val="single" w:color="auto" w:sz="4" w:space="24"/>
      </w:pgBorders>
      <w:pgNumType w:start="1"/>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86"/>
    <w:family w:val="swiss"/>
    <w:pitch w:val="default"/>
    <w:sig w:usb0="E0002EFF" w:usb1="C000785B" w:usb2="00000009" w:usb3="00000000" w:csb0="400001FF" w:csb1="FFFF0000"/>
  </w:font>
  <w:font w:name="Tahoma">
    <w:panose1 w:val="020B0604030504040204"/>
    <w:charset w:val="00"/>
    <w:family w:val="swiss"/>
    <w:pitch w:val="default"/>
    <w:sig w:usb0="E1002EFF" w:usb1="C000605B" w:usb2="00000029" w:usb3="00000000" w:csb0="200101FF" w:csb1="20280000"/>
  </w:font>
  <w:font w:name="Cambria Math">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2195136"/>
      <w:docPartObj>
        <w:docPartGallery w:val="AutoText"/>
      </w:docPartObj>
    </w:sdtPr>
    <w:sdtContent>
      <w:p>
        <w:pPr>
          <w:pStyle w:val="10"/>
          <w:jc w:val="right"/>
        </w:pPr>
        <w:r>
          <w:fldChar w:fldCharType="begin"/>
        </w:r>
        <w:r>
          <w:instrText xml:space="preserve"> PAGE   \* MERGEFORMAT </w:instrText>
        </w:r>
        <w:r>
          <w:fldChar w:fldCharType="separate"/>
        </w:r>
        <w:r>
          <w:t>3</w:t>
        </w:r>
        <w:r>
          <w:fldChar w:fldCharType="end"/>
        </w:r>
      </w:p>
    </w:sdtContent>
  </w:sdt>
  <w:p>
    <w:pPr>
      <w:pStyle w:val="1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76" w:lineRule="auto"/>
      </w:pPr>
      <w:r>
        <w:separator/>
      </w:r>
    </w:p>
  </w:footnote>
  <w:footnote w:type="continuationSeparator" w:id="1">
    <w:p>
      <w:pPr>
        <w:spacing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BDA3E72"/>
    <w:multiLevelType w:val="multilevel"/>
    <w:tmpl w:val="1BDA3E72"/>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abstractNum w:abstractNumId="1">
    <w:nsid w:val="50267F4C"/>
    <w:multiLevelType w:val="multilevel"/>
    <w:tmpl w:val="50267F4C"/>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characterSpacingControl w:val="doNotCompress"/>
  <w:footnotePr>
    <w:footnote w:id="0"/>
    <w:footnote w:id="1"/>
  </w:footnotePr>
  <w:endnotePr>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E5NGY1NmE5ZDY2MTQ1NGRkZjVkZmEyMmQ2Nzg0Y2MifQ=="/>
  </w:docVars>
  <w:rsids>
    <w:rsidRoot w:val="00742786"/>
    <w:rsid w:val="00037662"/>
    <w:rsid w:val="00040B0B"/>
    <w:rsid w:val="00086523"/>
    <w:rsid w:val="001E2EC5"/>
    <w:rsid w:val="00207091"/>
    <w:rsid w:val="002340C8"/>
    <w:rsid w:val="00250839"/>
    <w:rsid w:val="002A027F"/>
    <w:rsid w:val="002A1496"/>
    <w:rsid w:val="002B106E"/>
    <w:rsid w:val="003043FD"/>
    <w:rsid w:val="00310954"/>
    <w:rsid w:val="00311545"/>
    <w:rsid w:val="0031721C"/>
    <w:rsid w:val="00331294"/>
    <w:rsid w:val="003D0635"/>
    <w:rsid w:val="004160E4"/>
    <w:rsid w:val="004602FD"/>
    <w:rsid w:val="004A5C0E"/>
    <w:rsid w:val="004D48E0"/>
    <w:rsid w:val="004E280E"/>
    <w:rsid w:val="00532F44"/>
    <w:rsid w:val="00576C39"/>
    <w:rsid w:val="005A2C06"/>
    <w:rsid w:val="0061167F"/>
    <w:rsid w:val="00641915"/>
    <w:rsid w:val="006514F2"/>
    <w:rsid w:val="00697A13"/>
    <w:rsid w:val="006A1A07"/>
    <w:rsid w:val="006F0D26"/>
    <w:rsid w:val="006F1912"/>
    <w:rsid w:val="006F4038"/>
    <w:rsid w:val="00742786"/>
    <w:rsid w:val="007B618A"/>
    <w:rsid w:val="007D5BA7"/>
    <w:rsid w:val="008C3F98"/>
    <w:rsid w:val="008C6C04"/>
    <w:rsid w:val="009177D5"/>
    <w:rsid w:val="009B6302"/>
    <w:rsid w:val="009D52D9"/>
    <w:rsid w:val="00A20773"/>
    <w:rsid w:val="00B30DBB"/>
    <w:rsid w:val="00B72EB3"/>
    <w:rsid w:val="00C56FB1"/>
    <w:rsid w:val="00CF2D06"/>
    <w:rsid w:val="00D77128"/>
    <w:rsid w:val="00E40B20"/>
    <w:rsid w:val="00E42FD5"/>
    <w:rsid w:val="00E62EDB"/>
    <w:rsid w:val="00E70A79"/>
    <w:rsid w:val="00EF6095"/>
    <w:rsid w:val="00F2574E"/>
    <w:rsid w:val="00F36033"/>
    <w:rsid w:val="00F51F2B"/>
    <w:rsid w:val="00FD6175"/>
    <w:rsid w:val="00FE4544"/>
    <w:rsid w:val="00FF5BA3"/>
    <w:rsid w:val="5EA47A1B"/>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semiHidden="0" w:name="Normal"/>
    <w:lsdException w:unhideWhenUsed="0" w:uiPriority="0" w:semiHidden="0" w:name="heading 1"/>
    <w:lsdException w:unhideWhenUsed="0" w:uiPriority="0" w:semiHidden="0" w:name="heading 2"/>
    <w:lsdException w:qFormat="1" w:unhideWhenUsed="0" w:uiPriority="0" w:semiHidden="0" w:name="heading 3"/>
    <w:lsdException w:unhideWhenUsed="0" w:uiPriority="0" w:semiHidden="0" w:name="heading 4"/>
    <w:lsdException w:unhideWhenUsed="0" w:uiPriority="0" w:semiHidden="0" w:name="heading 5"/>
    <w:lsdException w:unhideWhenUsed="0" w:uiPriority="0"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unhideWhenUsed="0" w:uiPriority="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276" w:lineRule="auto"/>
    </w:pPr>
    <w:rPr>
      <w:rFonts w:ascii="Arial" w:hAnsi="Arial" w:eastAsia="Arial" w:cs="Arial"/>
      <w:sz w:val="22"/>
      <w:szCs w:val="22"/>
      <w:lang w:val="en-US" w:eastAsia="en-US" w:bidi="ar-SA"/>
    </w:rPr>
  </w:style>
  <w:style w:type="paragraph" w:styleId="2">
    <w:name w:val="heading 1"/>
    <w:basedOn w:val="3"/>
    <w:next w:val="3"/>
    <w:uiPriority w:val="0"/>
    <w:pPr>
      <w:spacing w:line="480" w:lineRule="auto"/>
      <w:jc w:val="both"/>
      <w:outlineLvl w:val="0"/>
    </w:pPr>
    <w:rPr>
      <w:rFonts w:ascii="Times New Roman" w:hAnsi="Times New Roman" w:eastAsia="Times New Roman" w:cs="Times New Roman"/>
      <w:b/>
      <w:sz w:val="28"/>
      <w:szCs w:val="28"/>
      <w:lang w:val="en-GB"/>
    </w:rPr>
  </w:style>
  <w:style w:type="paragraph" w:styleId="4">
    <w:name w:val="heading 2"/>
    <w:basedOn w:val="3"/>
    <w:next w:val="3"/>
    <w:uiPriority w:val="0"/>
    <w:pPr>
      <w:spacing w:line="480" w:lineRule="auto"/>
      <w:jc w:val="both"/>
      <w:outlineLvl w:val="1"/>
    </w:pPr>
    <w:rPr>
      <w:rFonts w:ascii="Times New Roman" w:hAnsi="Times New Roman" w:eastAsia="Times New Roman" w:cs="Times New Roman"/>
      <w:b/>
      <w:sz w:val="24"/>
      <w:szCs w:val="24"/>
      <w:lang w:val="en-GB"/>
    </w:rPr>
  </w:style>
  <w:style w:type="paragraph" w:styleId="5">
    <w:name w:val="heading 3"/>
    <w:basedOn w:val="3"/>
    <w:next w:val="3"/>
    <w:qFormat/>
    <w:uiPriority w:val="0"/>
    <w:pPr>
      <w:keepNext/>
      <w:keepLines/>
      <w:spacing w:before="320" w:after="80"/>
      <w:outlineLvl w:val="2"/>
    </w:pPr>
    <w:rPr>
      <w:color w:val="434343"/>
      <w:sz w:val="28"/>
      <w:szCs w:val="28"/>
    </w:rPr>
  </w:style>
  <w:style w:type="paragraph" w:styleId="6">
    <w:name w:val="heading 4"/>
    <w:basedOn w:val="3"/>
    <w:next w:val="3"/>
    <w:uiPriority w:val="0"/>
    <w:pPr>
      <w:keepNext/>
      <w:keepLines/>
      <w:spacing w:before="280" w:after="80"/>
      <w:outlineLvl w:val="3"/>
    </w:pPr>
    <w:rPr>
      <w:color w:val="666666"/>
      <w:sz w:val="24"/>
      <w:szCs w:val="24"/>
    </w:rPr>
  </w:style>
  <w:style w:type="paragraph" w:styleId="7">
    <w:name w:val="heading 5"/>
    <w:basedOn w:val="3"/>
    <w:next w:val="3"/>
    <w:uiPriority w:val="0"/>
    <w:pPr>
      <w:keepNext/>
      <w:keepLines/>
      <w:spacing w:before="240" w:after="80"/>
      <w:outlineLvl w:val="4"/>
    </w:pPr>
    <w:rPr>
      <w:color w:val="666666"/>
    </w:rPr>
  </w:style>
  <w:style w:type="paragraph" w:styleId="8">
    <w:name w:val="heading 6"/>
    <w:basedOn w:val="3"/>
    <w:next w:val="3"/>
    <w:uiPriority w:val="0"/>
    <w:pPr>
      <w:keepNext/>
      <w:keepLines/>
      <w:spacing w:before="240" w:after="80"/>
      <w:outlineLvl w:val="5"/>
    </w:pPr>
    <w:rPr>
      <w:i/>
      <w:color w:val="666666"/>
    </w:rPr>
  </w:style>
  <w:style w:type="character" w:default="1" w:styleId="18">
    <w:name w:val="Default Paragraph Font"/>
    <w:semiHidden/>
    <w:unhideWhenUsed/>
    <w:uiPriority w:val="1"/>
  </w:style>
  <w:style w:type="table" w:default="1" w:styleId="17">
    <w:name w:val="Normal Table"/>
    <w:semiHidden/>
    <w:unhideWhenUsed/>
    <w:qFormat/>
    <w:uiPriority w:val="99"/>
    <w:tblPr>
      <w:tblCellMar>
        <w:top w:w="0" w:type="dxa"/>
        <w:left w:w="108" w:type="dxa"/>
        <w:bottom w:w="0" w:type="dxa"/>
        <w:right w:w="108" w:type="dxa"/>
      </w:tblCellMar>
    </w:tblPr>
  </w:style>
  <w:style w:type="paragraph" w:customStyle="1" w:styleId="3">
    <w:name w:val="Normal1"/>
    <w:uiPriority w:val="0"/>
    <w:pPr>
      <w:spacing w:line="276" w:lineRule="auto"/>
    </w:pPr>
    <w:rPr>
      <w:rFonts w:ascii="Arial" w:hAnsi="Arial" w:eastAsia="Arial" w:cs="Arial"/>
      <w:sz w:val="22"/>
      <w:szCs w:val="22"/>
      <w:lang w:val="en-US" w:eastAsia="en-US" w:bidi="ar-SA"/>
    </w:rPr>
  </w:style>
  <w:style w:type="paragraph" w:styleId="9">
    <w:name w:val="Balloon Text"/>
    <w:basedOn w:val="1"/>
    <w:link w:val="22"/>
    <w:semiHidden/>
    <w:unhideWhenUsed/>
    <w:uiPriority w:val="99"/>
    <w:pPr>
      <w:spacing w:line="240" w:lineRule="auto"/>
    </w:pPr>
    <w:rPr>
      <w:rFonts w:ascii="Tahoma" w:hAnsi="Tahoma" w:cs="Tahoma"/>
      <w:sz w:val="16"/>
      <w:szCs w:val="16"/>
    </w:rPr>
  </w:style>
  <w:style w:type="paragraph" w:styleId="10">
    <w:name w:val="footer"/>
    <w:basedOn w:val="1"/>
    <w:link w:val="21"/>
    <w:unhideWhenUsed/>
    <w:uiPriority w:val="99"/>
    <w:pPr>
      <w:tabs>
        <w:tab w:val="center" w:pos="4680"/>
        <w:tab w:val="right" w:pos="9360"/>
      </w:tabs>
      <w:spacing w:line="240" w:lineRule="auto"/>
    </w:pPr>
  </w:style>
  <w:style w:type="paragraph" w:styleId="11">
    <w:name w:val="header"/>
    <w:basedOn w:val="1"/>
    <w:link w:val="20"/>
    <w:semiHidden/>
    <w:unhideWhenUsed/>
    <w:qFormat/>
    <w:uiPriority w:val="99"/>
    <w:pPr>
      <w:tabs>
        <w:tab w:val="center" w:pos="4680"/>
        <w:tab w:val="right" w:pos="9360"/>
      </w:tabs>
      <w:spacing w:line="240" w:lineRule="auto"/>
    </w:pPr>
  </w:style>
  <w:style w:type="paragraph" w:styleId="12">
    <w:name w:val="toc 1"/>
    <w:basedOn w:val="1"/>
    <w:next w:val="1"/>
    <w:unhideWhenUsed/>
    <w:uiPriority w:val="39"/>
    <w:pPr>
      <w:spacing w:after="100"/>
    </w:pPr>
  </w:style>
  <w:style w:type="paragraph" w:styleId="13">
    <w:name w:val="Subtitle"/>
    <w:basedOn w:val="3"/>
    <w:next w:val="3"/>
    <w:uiPriority w:val="0"/>
    <w:pPr>
      <w:keepNext/>
      <w:keepLines/>
      <w:spacing w:after="320"/>
    </w:pPr>
    <w:rPr>
      <w:color w:val="666666"/>
      <w:sz w:val="30"/>
      <w:szCs w:val="30"/>
    </w:rPr>
  </w:style>
  <w:style w:type="paragraph" w:styleId="14">
    <w:name w:val="toc 2"/>
    <w:basedOn w:val="1"/>
    <w:next w:val="1"/>
    <w:unhideWhenUsed/>
    <w:qFormat/>
    <w:uiPriority w:val="39"/>
    <w:pPr>
      <w:spacing w:after="100"/>
      <w:ind w:left="220"/>
    </w:pPr>
  </w:style>
  <w:style w:type="paragraph" w:styleId="15">
    <w:name w:val="Normal (Web)"/>
    <w:basedOn w:val="1"/>
    <w:unhideWhenUsed/>
    <w:uiPriority w:val="99"/>
    <w:pPr>
      <w:spacing w:before="100" w:beforeAutospacing="1" w:after="100" w:afterAutospacing="1" w:line="240" w:lineRule="auto"/>
    </w:pPr>
    <w:rPr>
      <w:rFonts w:ascii="Times New Roman" w:hAnsi="Times New Roman" w:eastAsia="Times New Roman" w:cs="Times New Roman"/>
      <w:sz w:val="24"/>
      <w:szCs w:val="24"/>
    </w:rPr>
  </w:style>
  <w:style w:type="paragraph" w:styleId="16">
    <w:name w:val="Title"/>
    <w:basedOn w:val="3"/>
    <w:next w:val="3"/>
    <w:uiPriority w:val="0"/>
    <w:pPr>
      <w:keepNext/>
      <w:keepLines/>
      <w:spacing w:after="60"/>
    </w:pPr>
    <w:rPr>
      <w:sz w:val="52"/>
      <w:szCs w:val="52"/>
    </w:rPr>
  </w:style>
  <w:style w:type="character" w:styleId="19">
    <w:name w:val="Hyperlink"/>
    <w:basedOn w:val="18"/>
    <w:unhideWhenUsed/>
    <w:uiPriority w:val="99"/>
    <w:rPr>
      <w:color w:val="0000FF" w:themeColor="hyperlink"/>
      <w:u w:val="single"/>
    </w:rPr>
  </w:style>
  <w:style w:type="character" w:customStyle="1" w:styleId="20">
    <w:name w:val="Header Char"/>
    <w:basedOn w:val="18"/>
    <w:link w:val="11"/>
    <w:semiHidden/>
    <w:uiPriority w:val="99"/>
  </w:style>
  <w:style w:type="character" w:customStyle="1" w:styleId="21">
    <w:name w:val="Footer Char"/>
    <w:basedOn w:val="18"/>
    <w:link w:val="10"/>
    <w:uiPriority w:val="99"/>
  </w:style>
  <w:style w:type="character" w:customStyle="1" w:styleId="22">
    <w:name w:val="Balloon Text Char"/>
    <w:basedOn w:val="18"/>
    <w:link w:val="9"/>
    <w:semiHidden/>
    <w:uiPriority w:val="99"/>
    <w:rPr>
      <w:rFonts w:ascii="Tahoma" w:hAnsi="Tahoma" w:cs="Tahoma"/>
      <w:sz w:val="16"/>
      <w:szCs w:val="16"/>
    </w:rPr>
  </w:style>
  <w:style w:type="paragraph" w:customStyle="1" w:styleId="23">
    <w:name w:val="TOC Heading"/>
    <w:basedOn w:val="2"/>
    <w:next w:val="1"/>
    <w:semiHidden/>
    <w:unhideWhenUsed/>
    <w:qFormat/>
    <w:uiPriority w:val="39"/>
    <w:pPr>
      <w:keepNext/>
      <w:keepLines/>
      <w:spacing w:before="480" w:line="276" w:lineRule="auto"/>
      <w:jc w:val="left"/>
      <w:outlineLvl w:val="9"/>
    </w:pPr>
    <w:rPr>
      <w:rFonts w:asciiTheme="majorHAnsi" w:hAnsiTheme="majorHAnsi" w:eastAsiaTheme="majorEastAsia" w:cstheme="majorBidi"/>
      <w:bCs/>
      <w:color w:val="366091" w:themeColor="accent1" w:themeShade="BF"/>
      <w:lang w:val="en-US"/>
    </w:rPr>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pn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1.xml"/><Relationship Id="rId12" Type="http://schemas.openxmlformats.org/officeDocument/2006/relationships/numbering" Target="numbering.xml"/><Relationship Id="rId11" Type="http://schemas.openxmlformats.org/officeDocument/2006/relationships/image" Target="media/image5.png"/><Relationship Id="rId10" Type="http://schemas.openxmlformats.org/officeDocument/2006/relationships/image" Target="media/image4.jpe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E09763-FD8B-4E52-9A97-A820E3246388}">
  <ds:schemaRefs/>
</ds:datastoreItem>
</file>

<file path=docProps/app.xml><?xml version="1.0" encoding="utf-8"?>
<Properties xmlns="http://schemas.openxmlformats.org/officeDocument/2006/extended-properties" xmlns:vt="http://schemas.openxmlformats.org/officeDocument/2006/docPropsVTypes">
  <Template>Normal</Template>
  <Pages>23</Pages>
  <Words>4625</Words>
  <Characters>26369</Characters>
  <Lines>219</Lines>
  <Paragraphs>61</Paragraphs>
  <TotalTime>6</TotalTime>
  <ScaleCrop>false</ScaleCrop>
  <LinksUpToDate>false</LinksUpToDate>
  <CharactersWithSpaces>30933</CharactersWithSpaces>
  <Application>WPS Office_11.1.0.14036_F1E327BC-269C-435d-A152-05C5408002CA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2023-05-03T08:30:00Z</dcterms:created>
  <dc:creator>MI SERVICE</dc:creator>
  <cp:lastModifiedBy>alex</cp:lastModifiedBy>
  <dcterms:modified xsi:type="dcterms:W3CDTF">2023-05-04T05:08:03Z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9B78E3D4C21845339C1F77FEF118D1EA_12</vt:lpwstr>
  </property>
</Properties>
</file>