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89CF0" w14:textId="3709CB2B" w:rsidR="000D3012" w:rsidRPr="000D3012" w:rsidRDefault="000D3012" w:rsidP="000D3012">
      <w:pPr>
        <w:jc w:val="center"/>
        <w:rPr>
          <w:sz w:val="36"/>
          <w:szCs w:val="36"/>
        </w:rPr>
      </w:pPr>
      <w:r w:rsidRPr="000D3012">
        <w:rPr>
          <w:sz w:val="36"/>
          <w:szCs w:val="36"/>
        </w:rPr>
        <w:t>The Implications of Introducing Vehicle to Grid Technology into The Automotive Sector</w:t>
      </w:r>
    </w:p>
    <w:p w14:paraId="6A0FAAC1" w14:textId="46D3CC2A" w:rsidR="00E02FF8" w:rsidRPr="000D3012" w:rsidRDefault="00E02FF8" w:rsidP="000D3012">
      <w:pPr>
        <w:jc w:val="center"/>
        <w:rPr>
          <w:sz w:val="32"/>
          <w:szCs w:val="32"/>
        </w:rPr>
      </w:pPr>
      <w:r w:rsidRPr="000D3012">
        <w:rPr>
          <w:sz w:val="32"/>
          <w:szCs w:val="32"/>
        </w:rPr>
        <w:t xml:space="preserve">Automotive Materials </w:t>
      </w:r>
      <w:r w:rsidR="000D3012" w:rsidRPr="000D3012">
        <w:rPr>
          <w:sz w:val="32"/>
          <w:szCs w:val="32"/>
        </w:rPr>
        <w:t>&amp; Sustainability /ACHA6012</w:t>
      </w:r>
    </w:p>
    <w:p w14:paraId="00F9E969" w14:textId="217939C1" w:rsidR="00E02FF8" w:rsidRPr="000D3012" w:rsidRDefault="00E02FF8" w:rsidP="000D3012">
      <w:pPr>
        <w:jc w:val="center"/>
        <w:rPr>
          <w:sz w:val="28"/>
          <w:szCs w:val="28"/>
        </w:rPr>
      </w:pPr>
      <w:r w:rsidRPr="000D3012">
        <w:rPr>
          <w:sz w:val="28"/>
          <w:szCs w:val="28"/>
        </w:rPr>
        <w:t xml:space="preserve">Charles Sangster </w:t>
      </w:r>
      <w:r w:rsidR="000D3012" w:rsidRPr="000D3012">
        <w:rPr>
          <w:sz w:val="28"/>
          <w:szCs w:val="28"/>
        </w:rPr>
        <w:t>/1902452</w:t>
      </w:r>
    </w:p>
    <w:p w14:paraId="7BBB117F" w14:textId="6F97F713" w:rsidR="000D3012" w:rsidRDefault="000D3012" w:rsidP="000D3012">
      <w:pPr>
        <w:jc w:val="center"/>
        <w:rPr>
          <w:sz w:val="24"/>
          <w:szCs w:val="24"/>
        </w:rPr>
      </w:pPr>
      <w:r w:rsidRPr="000D3012">
        <w:rPr>
          <w:sz w:val="24"/>
          <w:szCs w:val="24"/>
        </w:rPr>
        <w:t>Date:</w:t>
      </w:r>
      <w:r w:rsidR="008D5A00">
        <w:rPr>
          <w:sz w:val="24"/>
          <w:szCs w:val="24"/>
        </w:rPr>
        <w:t xml:space="preserve"> </w:t>
      </w:r>
      <w:r w:rsidR="0004617E">
        <w:rPr>
          <w:sz w:val="24"/>
          <w:szCs w:val="24"/>
        </w:rPr>
        <w:t>20/11/2021</w:t>
      </w:r>
    </w:p>
    <w:p w14:paraId="72D9E857" w14:textId="2CB33B7B" w:rsidR="000D3012" w:rsidRDefault="000D3012">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1688510334"/>
        <w:docPartObj>
          <w:docPartGallery w:val="Table of Contents"/>
          <w:docPartUnique/>
        </w:docPartObj>
      </w:sdtPr>
      <w:sdtEndPr>
        <w:rPr>
          <w:b/>
          <w:bCs/>
          <w:noProof/>
        </w:rPr>
      </w:sdtEndPr>
      <w:sdtContent>
        <w:p w14:paraId="16E660FD" w14:textId="3EF4166D" w:rsidR="000D3012" w:rsidRDefault="000D3012">
          <w:pPr>
            <w:pStyle w:val="TOCHeading"/>
          </w:pPr>
          <w:r>
            <w:t>Contents</w:t>
          </w:r>
        </w:p>
        <w:p w14:paraId="2A866779" w14:textId="2812A4D2" w:rsidR="005672DD" w:rsidRDefault="000D30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299731" w:history="1">
            <w:r w:rsidR="005672DD" w:rsidRPr="007D0EF0">
              <w:rPr>
                <w:rStyle w:val="Hyperlink"/>
                <w:noProof/>
              </w:rPr>
              <w:t>Introduction</w:t>
            </w:r>
            <w:r w:rsidR="005672DD">
              <w:rPr>
                <w:noProof/>
                <w:webHidden/>
              </w:rPr>
              <w:tab/>
            </w:r>
            <w:r w:rsidR="005672DD">
              <w:rPr>
                <w:noProof/>
                <w:webHidden/>
              </w:rPr>
              <w:fldChar w:fldCharType="begin"/>
            </w:r>
            <w:r w:rsidR="005672DD">
              <w:rPr>
                <w:noProof/>
                <w:webHidden/>
              </w:rPr>
              <w:instrText xml:space="preserve"> PAGEREF _Toc88299731 \h </w:instrText>
            </w:r>
            <w:r w:rsidR="005672DD">
              <w:rPr>
                <w:noProof/>
                <w:webHidden/>
              </w:rPr>
            </w:r>
            <w:r w:rsidR="005672DD">
              <w:rPr>
                <w:noProof/>
                <w:webHidden/>
              </w:rPr>
              <w:fldChar w:fldCharType="separate"/>
            </w:r>
            <w:r w:rsidR="005672DD">
              <w:rPr>
                <w:noProof/>
                <w:webHidden/>
              </w:rPr>
              <w:t>3</w:t>
            </w:r>
            <w:r w:rsidR="005672DD">
              <w:rPr>
                <w:noProof/>
                <w:webHidden/>
              </w:rPr>
              <w:fldChar w:fldCharType="end"/>
            </w:r>
          </w:hyperlink>
        </w:p>
        <w:p w14:paraId="013C6574" w14:textId="7E15CC0B" w:rsidR="005672DD" w:rsidRDefault="005672DD">
          <w:pPr>
            <w:pStyle w:val="TOC1"/>
            <w:tabs>
              <w:tab w:val="right" w:leader="dot" w:pos="9016"/>
            </w:tabs>
            <w:rPr>
              <w:rFonts w:eastAsiaTheme="minorEastAsia"/>
              <w:noProof/>
              <w:lang w:eastAsia="en-GB"/>
            </w:rPr>
          </w:pPr>
          <w:hyperlink w:anchor="_Toc88299732" w:history="1">
            <w:r w:rsidRPr="007D0EF0">
              <w:rPr>
                <w:rStyle w:val="Hyperlink"/>
                <w:noProof/>
              </w:rPr>
              <w:t>Research</w:t>
            </w:r>
            <w:r>
              <w:rPr>
                <w:noProof/>
                <w:webHidden/>
              </w:rPr>
              <w:tab/>
            </w:r>
            <w:r>
              <w:rPr>
                <w:noProof/>
                <w:webHidden/>
              </w:rPr>
              <w:fldChar w:fldCharType="begin"/>
            </w:r>
            <w:r>
              <w:rPr>
                <w:noProof/>
                <w:webHidden/>
              </w:rPr>
              <w:instrText xml:space="preserve"> PAGEREF _Toc88299732 \h </w:instrText>
            </w:r>
            <w:r>
              <w:rPr>
                <w:noProof/>
                <w:webHidden/>
              </w:rPr>
            </w:r>
            <w:r>
              <w:rPr>
                <w:noProof/>
                <w:webHidden/>
              </w:rPr>
              <w:fldChar w:fldCharType="separate"/>
            </w:r>
            <w:r>
              <w:rPr>
                <w:noProof/>
                <w:webHidden/>
              </w:rPr>
              <w:t>4</w:t>
            </w:r>
            <w:r>
              <w:rPr>
                <w:noProof/>
                <w:webHidden/>
              </w:rPr>
              <w:fldChar w:fldCharType="end"/>
            </w:r>
          </w:hyperlink>
        </w:p>
        <w:p w14:paraId="050CB41D" w14:textId="42D69331" w:rsidR="005672DD" w:rsidRDefault="005672DD">
          <w:pPr>
            <w:pStyle w:val="TOC2"/>
            <w:tabs>
              <w:tab w:val="right" w:leader="dot" w:pos="9016"/>
            </w:tabs>
            <w:rPr>
              <w:rFonts w:eastAsiaTheme="minorEastAsia"/>
              <w:noProof/>
              <w:lang w:eastAsia="en-GB"/>
            </w:rPr>
          </w:pPr>
          <w:hyperlink w:anchor="_Toc88299733" w:history="1">
            <w:r w:rsidRPr="007D0EF0">
              <w:rPr>
                <w:rStyle w:val="Hyperlink"/>
                <w:noProof/>
              </w:rPr>
              <w:t>What Is V2G?</w:t>
            </w:r>
            <w:r>
              <w:rPr>
                <w:noProof/>
                <w:webHidden/>
              </w:rPr>
              <w:tab/>
            </w:r>
            <w:r>
              <w:rPr>
                <w:noProof/>
                <w:webHidden/>
              </w:rPr>
              <w:fldChar w:fldCharType="begin"/>
            </w:r>
            <w:r>
              <w:rPr>
                <w:noProof/>
                <w:webHidden/>
              </w:rPr>
              <w:instrText xml:space="preserve"> PAGEREF _Toc88299733 \h </w:instrText>
            </w:r>
            <w:r>
              <w:rPr>
                <w:noProof/>
                <w:webHidden/>
              </w:rPr>
            </w:r>
            <w:r>
              <w:rPr>
                <w:noProof/>
                <w:webHidden/>
              </w:rPr>
              <w:fldChar w:fldCharType="separate"/>
            </w:r>
            <w:r>
              <w:rPr>
                <w:noProof/>
                <w:webHidden/>
              </w:rPr>
              <w:t>4</w:t>
            </w:r>
            <w:r>
              <w:rPr>
                <w:noProof/>
                <w:webHidden/>
              </w:rPr>
              <w:fldChar w:fldCharType="end"/>
            </w:r>
          </w:hyperlink>
        </w:p>
        <w:p w14:paraId="53666D04" w14:textId="2AE72627" w:rsidR="005672DD" w:rsidRDefault="005672DD">
          <w:pPr>
            <w:pStyle w:val="TOC2"/>
            <w:tabs>
              <w:tab w:val="right" w:leader="dot" w:pos="9016"/>
            </w:tabs>
            <w:rPr>
              <w:rFonts w:eastAsiaTheme="minorEastAsia"/>
              <w:noProof/>
              <w:lang w:eastAsia="en-GB"/>
            </w:rPr>
          </w:pPr>
          <w:hyperlink w:anchor="_Toc88299734" w:history="1">
            <w:r w:rsidRPr="007D0EF0">
              <w:rPr>
                <w:rStyle w:val="Hyperlink"/>
                <w:rFonts w:cstheme="minorHAnsi"/>
                <w:noProof/>
              </w:rPr>
              <w:t>Electrical Demand Solutions and Grid Capabilities</w:t>
            </w:r>
            <w:r>
              <w:rPr>
                <w:noProof/>
                <w:webHidden/>
              </w:rPr>
              <w:tab/>
            </w:r>
            <w:r>
              <w:rPr>
                <w:noProof/>
                <w:webHidden/>
              </w:rPr>
              <w:fldChar w:fldCharType="begin"/>
            </w:r>
            <w:r>
              <w:rPr>
                <w:noProof/>
                <w:webHidden/>
              </w:rPr>
              <w:instrText xml:space="preserve"> PAGEREF _Toc88299734 \h </w:instrText>
            </w:r>
            <w:r>
              <w:rPr>
                <w:noProof/>
                <w:webHidden/>
              </w:rPr>
            </w:r>
            <w:r>
              <w:rPr>
                <w:noProof/>
                <w:webHidden/>
              </w:rPr>
              <w:fldChar w:fldCharType="separate"/>
            </w:r>
            <w:r>
              <w:rPr>
                <w:noProof/>
                <w:webHidden/>
              </w:rPr>
              <w:t>5</w:t>
            </w:r>
            <w:r>
              <w:rPr>
                <w:noProof/>
                <w:webHidden/>
              </w:rPr>
              <w:fldChar w:fldCharType="end"/>
            </w:r>
          </w:hyperlink>
        </w:p>
        <w:p w14:paraId="1B71056F" w14:textId="00B3A323" w:rsidR="005672DD" w:rsidRDefault="005672DD">
          <w:pPr>
            <w:pStyle w:val="TOC2"/>
            <w:tabs>
              <w:tab w:val="right" w:leader="dot" w:pos="9016"/>
            </w:tabs>
            <w:rPr>
              <w:rFonts w:eastAsiaTheme="minorEastAsia"/>
              <w:noProof/>
              <w:lang w:eastAsia="en-GB"/>
            </w:rPr>
          </w:pPr>
          <w:hyperlink w:anchor="_Toc88299735" w:history="1">
            <w:r w:rsidRPr="007D0EF0">
              <w:rPr>
                <w:rStyle w:val="Hyperlink"/>
                <w:noProof/>
              </w:rPr>
              <w:t>Ethical Issues</w:t>
            </w:r>
            <w:r>
              <w:rPr>
                <w:noProof/>
                <w:webHidden/>
              </w:rPr>
              <w:tab/>
            </w:r>
            <w:r>
              <w:rPr>
                <w:noProof/>
                <w:webHidden/>
              </w:rPr>
              <w:fldChar w:fldCharType="begin"/>
            </w:r>
            <w:r>
              <w:rPr>
                <w:noProof/>
                <w:webHidden/>
              </w:rPr>
              <w:instrText xml:space="preserve"> PAGEREF _Toc88299735 \h </w:instrText>
            </w:r>
            <w:r>
              <w:rPr>
                <w:noProof/>
                <w:webHidden/>
              </w:rPr>
            </w:r>
            <w:r>
              <w:rPr>
                <w:noProof/>
                <w:webHidden/>
              </w:rPr>
              <w:fldChar w:fldCharType="separate"/>
            </w:r>
            <w:r>
              <w:rPr>
                <w:noProof/>
                <w:webHidden/>
              </w:rPr>
              <w:t>7</w:t>
            </w:r>
            <w:r>
              <w:rPr>
                <w:noProof/>
                <w:webHidden/>
              </w:rPr>
              <w:fldChar w:fldCharType="end"/>
            </w:r>
          </w:hyperlink>
        </w:p>
        <w:p w14:paraId="59EA38C8" w14:textId="0A065A3D" w:rsidR="005672DD" w:rsidRDefault="005672DD">
          <w:pPr>
            <w:pStyle w:val="TOC2"/>
            <w:tabs>
              <w:tab w:val="right" w:leader="dot" w:pos="9016"/>
            </w:tabs>
            <w:rPr>
              <w:rFonts w:eastAsiaTheme="minorEastAsia"/>
              <w:noProof/>
              <w:lang w:eastAsia="en-GB"/>
            </w:rPr>
          </w:pPr>
          <w:hyperlink w:anchor="_Toc88299736" w:history="1">
            <w:r w:rsidRPr="007D0EF0">
              <w:rPr>
                <w:rStyle w:val="Hyperlink"/>
                <w:noProof/>
              </w:rPr>
              <w:t>Practicalities of using such technology</w:t>
            </w:r>
            <w:r>
              <w:rPr>
                <w:noProof/>
                <w:webHidden/>
              </w:rPr>
              <w:tab/>
            </w:r>
            <w:r>
              <w:rPr>
                <w:noProof/>
                <w:webHidden/>
              </w:rPr>
              <w:fldChar w:fldCharType="begin"/>
            </w:r>
            <w:r>
              <w:rPr>
                <w:noProof/>
                <w:webHidden/>
              </w:rPr>
              <w:instrText xml:space="preserve"> PAGEREF _Toc88299736 \h </w:instrText>
            </w:r>
            <w:r>
              <w:rPr>
                <w:noProof/>
                <w:webHidden/>
              </w:rPr>
            </w:r>
            <w:r>
              <w:rPr>
                <w:noProof/>
                <w:webHidden/>
              </w:rPr>
              <w:fldChar w:fldCharType="separate"/>
            </w:r>
            <w:r>
              <w:rPr>
                <w:noProof/>
                <w:webHidden/>
              </w:rPr>
              <w:t>8</w:t>
            </w:r>
            <w:r>
              <w:rPr>
                <w:noProof/>
                <w:webHidden/>
              </w:rPr>
              <w:fldChar w:fldCharType="end"/>
            </w:r>
          </w:hyperlink>
        </w:p>
        <w:p w14:paraId="0991391C" w14:textId="606D8392" w:rsidR="005672DD" w:rsidRDefault="005672DD">
          <w:pPr>
            <w:pStyle w:val="TOC2"/>
            <w:tabs>
              <w:tab w:val="right" w:leader="dot" w:pos="9016"/>
            </w:tabs>
            <w:rPr>
              <w:rFonts w:eastAsiaTheme="minorEastAsia"/>
              <w:noProof/>
              <w:lang w:eastAsia="en-GB"/>
            </w:rPr>
          </w:pPr>
          <w:hyperlink w:anchor="_Toc88299737" w:history="1">
            <w:r w:rsidRPr="007D0EF0">
              <w:rPr>
                <w:rStyle w:val="Hyperlink"/>
                <w:noProof/>
              </w:rPr>
              <w:t>Current Charging Technology</w:t>
            </w:r>
            <w:r>
              <w:rPr>
                <w:noProof/>
                <w:webHidden/>
              </w:rPr>
              <w:tab/>
            </w:r>
            <w:r>
              <w:rPr>
                <w:noProof/>
                <w:webHidden/>
              </w:rPr>
              <w:fldChar w:fldCharType="begin"/>
            </w:r>
            <w:r>
              <w:rPr>
                <w:noProof/>
                <w:webHidden/>
              </w:rPr>
              <w:instrText xml:space="preserve"> PAGEREF _Toc88299737 \h </w:instrText>
            </w:r>
            <w:r>
              <w:rPr>
                <w:noProof/>
                <w:webHidden/>
              </w:rPr>
            </w:r>
            <w:r>
              <w:rPr>
                <w:noProof/>
                <w:webHidden/>
              </w:rPr>
              <w:fldChar w:fldCharType="separate"/>
            </w:r>
            <w:r>
              <w:rPr>
                <w:noProof/>
                <w:webHidden/>
              </w:rPr>
              <w:t>9</w:t>
            </w:r>
            <w:r>
              <w:rPr>
                <w:noProof/>
                <w:webHidden/>
              </w:rPr>
              <w:fldChar w:fldCharType="end"/>
            </w:r>
          </w:hyperlink>
        </w:p>
        <w:p w14:paraId="2348A298" w14:textId="40D31059" w:rsidR="005672DD" w:rsidRDefault="005672DD">
          <w:pPr>
            <w:pStyle w:val="TOC3"/>
            <w:tabs>
              <w:tab w:val="right" w:leader="dot" w:pos="9016"/>
            </w:tabs>
            <w:rPr>
              <w:rFonts w:eastAsiaTheme="minorEastAsia"/>
              <w:noProof/>
              <w:lang w:eastAsia="en-GB"/>
            </w:rPr>
          </w:pPr>
          <w:hyperlink w:anchor="_Toc88299738" w:history="1">
            <w:r w:rsidRPr="007D0EF0">
              <w:rPr>
                <w:rStyle w:val="Hyperlink"/>
                <w:noProof/>
              </w:rPr>
              <w:t>Regular Charging System</w:t>
            </w:r>
            <w:r>
              <w:rPr>
                <w:noProof/>
                <w:webHidden/>
              </w:rPr>
              <w:tab/>
            </w:r>
            <w:r>
              <w:rPr>
                <w:noProof/>
                <w:webHidden/>
              </w:rPr>
              <w:fldChar w:fldCharType="begin"/>
            </w:r>
            <w:r>
              <w:rPr>
                <w:noProof/>
                <w:webHidden/>
              </w:rPr>
              <w:instrText xml:space="preserve"> PAGEREF _Toc88299738 \h </w:instrText>
            </w:r>
            <w:r>
              <w:rPr>
                <w:noProof/>
                <w:webHidden/>
              </w:rPr>
            </w:r>
            <w:r>
              <w:rPr>
                <w:noProof/>
                <w:webHidden/>
              </w:rPr>
              <w:fldChar w:fldCharType="separate"/>
            </w:r>
            <w:r>
              <w:rPr>
                <w:noProof/>
                <w:webHidden/>
              </w:rPr>
              <w:t>9</w:t>
            </w:r>
            <w:r>
              <w:rPr>
                <w:noProof/>
                <w:webHidden/>
              </w:rPr>
              <w:fldChar w:fldCharType="end"/>
            </w:r>
          </w:hyperlink>
        </w:p>
        <w:p w14:paraId="34925645" w14:textId="2B08702F" w:rsidR="005672DD" w:rsidRDefault="005672DD">
          <w:pPr>
            <w:pStyle w:val="TOC3"/>
            <w:tabs>
              <w:tab w:val="right" w:leader="dot" w:pos="9016"/>
            </w:tabs>
            <w:rPr>
              <w:rFonts w:eastAsiaTheme="minorEastAsia"/>
              <w:noProof/>
              <w:lang w:eastAsia="en-GB"/>
            </w:rPr>
          </w:pPr>
          <w:hyperlink w:anchor="_Toc88299739" w:history="1">
            <w:r w:rsidRPr="007D0EF0">
              <w:rPr>
                <w:rStyle w:val="Hyperlink"/>
                <w:noProof/>
              </w:rPr>
              <w:t>V2G Charging Infrastructure</w:t>
            </w:r>
            <w:r>
              <w:rPr>
                <w:noProof/>
                <w:webHidden/>
              </w:rPr>
              <w:tab/>
            </w:r>
            <w:r>
              <w:rPr>
                <w:noProof/>
                <w:webHidden/>
              </w:rPr>
              <w:fldChar w:fldCharType="begin"/>
            </w:r>
            <w:r>
              <w:rPr>
                <w:noProof/>
                <w:webHidden/>
              </w:rPr>
              <w:instrText xml:space="preserve"> PAGEREF _Toc88299739 \h </w:instrText>
            </w:r>
            <w:r>
              <w:rPr>
                <w:noProof/>
                <w:webHidden/>
              </w:rPr>
            </w:r>
            <w:r>
              <w:rPr>
                <w:noProof/>
                <w:webHidden/>
              </w:rPr>
              <w:fldChar w:fldCharType="separate"/>
            </w:r>
            <w:r>
              <w:rPr>
                <w:noProof/>
                <w:webHidden/>
              </w:rPr>
              <w:t>10</w:t>
            </w:r>
            <w:r>
              <w:rPr>
                <w:noProof/>
                <w:webHidden/>
              </w:rPr>
              <w:fldChar w:fldCharType="end"/>
            </w:r>
          </w:hyperlink>
        </w:p>
        <w:p w14:paraId="6D045F9E" w14:textId="45D526F0" w:rsidR="005672DD" w:rsidRDefault="005672DD">
          <w:pPr>
            <w:pStyle w:val="TOC1"/>
            <w:tabs>
              <w:tab w:val="right" w:leader="dot" w:pos="9016"/>
            </w:tabs>
            <w:rPr>
              <w:rFonts w:eastAsiaTheme="minorEastAsia"/>
              <w:noProof/>
              <w:lang w:eastAsia="en-GB"/>
            </w:rPr>
          </w:pPr>
          <w:hyperlink w:anchor="_Toc88299740" w:history="1">
            <w:r w:rsidRPr="007D0EF0">
              <w:rPr>
                <w:rStyle w:val="Hyperlink"/>
                <w:noProof/>
              </w:rPr>
              <w:t>Discussion</w:t>
            </w:r>
            <w:r>
              <w:rPr>
                <w:noProof/>
                <w:webHidden/>
              </w:rPr>
              <w:tab/>
            </w:r>
            <w:r>
              <w:rPr>
                <w:noProof/>
                <w:webHidden/>
              </w:rPr>
              <w:fldChar w:fldCharType="begin"/>
            </w:r>
            <w:r>
              <w:rPr>
                <w:noProof/>
                <w:webHidden/>
              </w:rPr>
              <w:instrText xml:space="preserve"> PAGEREF _Toc88299740 \h </w:instrText>
            </w:r>
            <w:r>
              <w:rPr>
                <w:noProof/>
                <w:webHidden/>
              </w:rPr>
            </w:r>
            <w:r>
              <w:rPr>
                <w:noProof/>
                <w:webHidden/>
              </w:rPr>
              <w:fldChar w:fldCharType="separate"/>
            </w:r>
            <w:r>
              <w:rPr>
                <w:noProof/>
                <w:webHidden/>
              </w:rPr>
              <w:t>11</w:t>
            </w:r>
            <w:r>
              <w:rPr>
                <w:noProof/>
                <w:webHidden/>
              </w:rPr>
              <w:fldChar w:fldCharType="end"/>
            </w:r>
          </w:hyperlink>
        </w:p>
        <w:p w14:paraId="5BD52656" w14:textId="3EF746A9" w:rsidR="005672DD" w:rsidRDefault="005672DD">
          <w:pPr>
            <w:pStyle w:val="TOC1"/>
            <w:tabs>
              <w:tab w:val="right" w:leader="dot" w:pos="9016"/>
            </w:tabs>
            <w:rPr>
              <w:rFonts w:eastAsiaTheme="minorEastAsia"/>
              <w:noProof/>
              <w:lang w:eastAsia="en-GB"/>
            </w:rPr>
          </w:pPr>
          <w:hyperlink w:anchor="_Toc88299741" w:history="1">
            <w:r w:rsidRPr="007D0EF0">
              <w:rPr>
                <w:rStyle w:val="Hyperlink"/>
                <w:noProof/>
              </w:rPr>
              <w:t>Conclusion</w:t>
            </w:r>
            <w:r>
              <w:rPr>
                <w:noProof/>
                <w:webHidden/>
              </w:rPr>
              <w:tab/>
            </w:r>
            <w:r>
              <w:rPr>
                <w:noProof/>
                <w:webHidden/>
              </w:rPr>
              <w:fldChar w:fldCharType="begin"/>
            </w:r>
            <w:r>
              <w:rPr>
                <w:noProof/>
                <w:webHidden/>
              </w:rPr>
              <w:instrText xml:space="preserve"> PAGEREF _Toc88299741 \h </w:instrText>
            </w:r>
            <w:r>
              <w:rPr>
                <w:noProof/>
                <w:webHidden/>
              </w:rPr>
            </w:r>
            <w:r>
              <w:rPr>
                <w:noProof/>
                <w:webHidden/>
              </w:rPr>
              <w:fldChar w:fldCharType="separate"/>
            </w:r>
            <w:r>
              <w:rPr>
                <w:noProof/>
                <w:webHidden/>
              </w:rPr>
              <w:t>12</w:t>
            </w:r>
            <w:r>
              <w:rPr>
                <w:noProof/>
                <w:webHidden/>
              </w:rPr>
              <w:fldChar w:fldCharType="end"/>
            </w:r>
          </w:hyperlink>
        </w:p>
        <w:p w14:paraId="1B2C877D" w14:textId="4CC1D1F2" w:rsidR="005672DD" w:rsidRDefault="005672DD">
          <w:pPr>
            <w:pStyle w:val="TOC1"/>
            <w:tabs>
              <w:tab w:val="right" w:leader="dot" w:pos="9016"/>
            </w:tabs>
            <w:rPr>
              <w:rFonts w:eastAsiaTheme="minorEastAsia"/>
              <w:noProof/>
              <w:lang w:eastAsia="en-GB"/>
            </w:rPr>
          </w:pPr>
          <w:hyperlink w:anchor="_Toc88299742" w:history="1">
            <w:r w:rsidRPr="007D0EF0">
              <w:rPr>
                <w:rStyle w:val="Hyperlink"/>
                <w:noProof/>
              </w:rPr>
              <w:t>References</w:t>
            </w:r>
            <w:r>
              <w:rPr>
                <w:noProof/>
                <w:webHidden/>
              </w:rPr>
              <w:tab/>
            </w:r>
            <w:r>
              <w:rPr>
                <w:noProof/>
                <w:webHidden/>
              </w:rPr>
              <w:fldChar w:fldCharType="begin"/>
            </w:r>
            <w:r>
              <w:rPr>
                <w:noProof/>
                <w:webHidden/>
              </w:rPr>
              <w:instrText xml:space="preserve"> PAGEREF _Toc88299742 \h </w:instrText>
            </w:r>
            <w:r>
              <w:rPr>
                <w:noProof/>
                <w:webHidden/>
              </w:rPr>
            </w:r>
            <w:r>
              <w:rPr>
                <w:noProof/>
                <w:webHidden/>
              </w:rPr>
              <w:fldChar w:fldCharType="separate"/>
            </w:r>
            <w:r>
              <w:rPr>
                <w:noProof/>
                <w:webHidden/>
              </w:rPr>
              <w:t>13</w:t>
            </w:r>
            <w:r>
              <w:rPr>
                <w:noProof/>
                <w:webHidden/>
              </w:rPr>
              <w:fldChar w:fldCharType="end"/>
            </w:r>
          </w:hyperlink>
        </w:p>
        <w:p w14:paraId="16567C83" w14:textId="59E684EC" w:rsidR="005672DD" w:rsidRDefault="005672DD">
          <w:pPr>
            <w:pStyle w:val="TOC1"/>
            <w:tabs>
              <w:tab w:val="right" w:leader="dot" w:pos="9016"/>
            </w:tabs>
            <w:rPr>
              <w:rFonts w:eastAsiaTheme="minorEastAsia"/>
              <w:noProof/>
              <w:lang w:eastAsia="en-GB"/>
            </w:rPr>
          </w:pPr>
          <w:hyperlink w:anchor="_Toc88299743" w:history="1">
            <w:r w:rsidRPr="007D0EF0">
              <w:rPr>
                <w:rStyle w:val="Hyperlink"/>
                <w:noProof/>
              </w:rPr>
              <w:t>Appendix A: Charging Standards (Jones et al, 2021).</w:t>
            </w:r>
            <w:r>
              <w:rPr>
                <w:noProof/>
                <w:webHidden/>
              </w:rPr>
              <w:tab/>
            </w:r>
            <w:r>
              <w:rPr>
                <w:noProof/>
                <w:webHidden/>
              </w:rPr>
              <w:fldChar w:fldCharType="begin"/>
            </w:r>
            <w:r>
              <w:rPr>
                <w:noProof/>
                <w:webHidden/>
              </w:rPr>
              <w:instrText xml:space="preserve"> PAGEREF _Toc88299743 \h </w:instrText>
            </w:r>
            <w:r>
              <w:rPr>
                <w:noProof/>
                <w:webHidden/>
              </w:rPr>
            </w:r>
            <w:r>
              <w:rPr>
                <w:noProof/>
                <w:webHidden/>
              </w:rPr>
              <w:fldChar w:fldCharType="separate"/>
            </w:r>
            <w:r>
              <w:rPr>
                <w:noProof/>
                <w:webHidden/>
              </w:rPr>
              <w:t>14</w:t>
            </w:r>
            <w:r>
              <w:rPr>
                <w:noProof/>
                <w:webHidden/>
              </w:rPr>
              <w:fldChar w:fldCharType="end"/>
            </w:r>
          </w:hyperlink>
        </w:p>
        <w:p w14:paraId="7F80BE98" w14:textId="0EF3669D" w:rsidR="00281A73" w:rsidRDefault="000D3012" w:rsidP="00281A73">
          <w:pPr>
            <w:rPr>
              <w:b/>
              <w:bCs/>
              <w:noProof/>
            </w:rPr>
          </w:pPr>
          <w:r>
            <w:rPr>
              <w:b/>
              <w:bCs/>
              <w:noProof/>
            </w:rPr>
            <w:fldChar w:fldCharType="end"/>
          </w:r>
          <w:r w:rsidR="00281A73">
            <w:rPr>
              <w:rFonts w:asciiTheme="majorHAnsi" w:hAnsiTheme="majorHAnsi" w:cstheme="majorHAnsi"/>
              <w:noProof/>
              <w:color w:val="2F5496" w:themeColor="accent1" w:themeShade="BF"/>
              <w:sz w:val="32"/>
              <w:szCs w:val="32"/>
            </w:rPr>
            <w:t>Charts</w:t>
          </w:r>
        </w:p>
        <w:p w14:paraId="44BC4F9F" w14:textId="3B451E92" w:rsidR="005672DD" w:rsidRDefault="00281A73">
          <w:pPr>
            <w:pStyle w:val="TableofFigures"/>
            <w:tabs>
              <w:tab w:val="right" w:leader="dot" w:pos="9016"/>
            </w:tabs>
            <w:rPr>
              <w:rFonts w:eastAsiaTheme="minorEastAsia"/>
              <w:noProof/>
              <w:lang w:eastAsia="en-GB"/>
            </w:rPr>
          </w:pPr>
          <w:r>
            <w:rPr>
              <w:b/>
              <w:bCs/>
              <w:noProof/>
            </w:rPr>
            <w:fldChar w:fldCharType="begin"/>
          </w:r>
          <w:r>
            <w:rPr>
              <w:b/>
              <w:bCs/>
              <w:noProof/>
            </w:rPr>
            <w:instrText xml:space="preserve"> TOC \h \z \c "Chart" </w:instrText>
          </w:r>
          <w:r>
            <w:rPr>
              <w:b/>
              <w:bCs/>
              <w:noProof/>
            </w:rPr>
            <w:fldChar w:fldCharType="separate"/>
          </w:r>
          <w:hyperlink r:id="rId6" w:anchor="_Toc88299744" w:history="1">
            <w:r w:rsidR="005672DD" w:rsidRPr="00BA0F30">
              <w:rPr>
                <w:rStyle w:val="Hyperlink"/>
                <w:noProof/>
              </w:rPr>
              <w:t>Chart 1: Powe Supply for UK 2021 (BBC News, 2021)</w:t>
            </w:r>
            <w:r w:rsidR="005672DD">
              <w:rPr>
                <w:noProof/>
                <w:webHidden/>
              </w:rPr>
              <w:tab/>
            </w:r>
            <w:r w:rsidR="005672DD">
              <w:rPr>
                <w:noProof/>
                <w:webHidden/>
              </w:rPr>
              <w:fldChar w:fldCharType="begin"/>
            </w:r>
            <w:r w:rsidR="005672DD">
              <w:rPr>
                <w:noProof/>
                <w:webHidden/>
              </w:rPr>
              <w:instrText xml:space="preserve"> PAGEREF _Toc88299744 \h </w:instrText>
            </w:r>
            <w:r w:rsidR="005672DD">
              <w:rPr>
                <w:noProof/>
                <w:webHidden/>
              </w:rPr>
            </w:r>
            <w:r w:rsidR="005672DD">
              <w:rPr>
                <w:noProof/>
                <w:webHidden/>
              </w:rPr>
              <w:fldChar w:fldCharType="separate"/>
            </w:r>
            <w:r w:rsidR="005672DD">
              <w:rPr>
                <w:noProof/>
                <w:webHidden/>
              </w:rPr>
              <w:t>5</w:t>
            </w:r>
            <w:r w:rsidR="005672DD">
              <w:rPr>
                <w:noProof/>
                <w:webHidden/>
              </w:rPr>
              <w:fldChar w:fldCharType="end"/>
            </w:r>
          </w:hyperlink>
        </w:p>
        <w:p w14:paraId="0345EF3C" w14:textId="77777777" w:rsidR="005672DD" w:rsidRDefault="00281A73">
          <w:pPr>
            <w:rPr>
              <w:noProof/>
            </w:rPr>
          </w:pPr>
          <w:r>
            <w:rPr>
              <w:b/>
              <w:bCs/>
              <w:noProof/>
            </w:rPr>
            <w:fldChar w:fldCharType="end"/>
          </w:r>
          <w:r w:rsidR="007D47D7">
            <w:rPr>
              <w:rFonts w:asciiTheme="majorHAnsi" w:hAnsiTheme="majorHAnsi" w:cstheme="majorHAnsi"/>
              <w:noProof/>
              <w:color w:val="2F5496" w:themeColor="accent1" w:themeShade="BF"/>
              <w:sz w:val="32"/>
              <w:szCs w:val="32"/>
            </w:rPr>
            <w:t>Figures</w:t>
          </w:r>
          <w:r w:rsidR="007D47D7">
            <w:rPr>
              <w:b/>
              <w:bCs/>
              <w:noProof/>
            </w:rPr>
            <w:t xml:space="preserve"> </w:t>
          </w:r>
          <w:r w:rsidR="007D47D7">
            <w:rPr>
              <w:b/>
              <w:bCs/>
              <w:noProof/>
            </w:rPr>
            <w:fldChar w:fldCharType="begin"/>
          </w:r>
          <w:r w:rsidR="007D47D7">
            <w:rPr>
              <w:b/>
              <w:bCs/>
              <w:noProof/>
            </w:rPr>
            <w:instrText xml:space="preserve"> TOC \h \z \c "Figure" </w:instrText>
          </w:r>
          <w:r w:rsidR="007D47D7">
            <w:rPr>
              <w:b/>
              <w:bCs/>
              <w:noProof/>
            </w:rPr>
            <w:fldChar w:fldCharType="separate"/>
          </w:r>
        </w:p>
        <w:p w14:paraId="2CF778E3" w14:textId="69082639" w:rsidR="005672DD" w:rsidRDefault="005672DD">
          <w:pPr>
            <w:pStyle w:val="TableofFigures"/>
            <w:tabs>
              <w:tab w:val="right" w:leader="dot" w:pos="9016"/>
            </w:tabs>
            <w:rPr>
              <w:rFonts w:eastAsiaTheme="minorEastAsia"/>
              <w:noProof/>
              <w:lang w:eastAsia="en-GB"/>
            </w:rPr>
          </w:pPr>
          <w:hyperlink r:id="rId7" w:anchor="_Toc88299745" w:history="1">
            <w:r w:rsidRPr="00B36F73">
              <w:rPr>
                <w:rStyle w:val="Hyperlink"/>
                <w:noProof/>
              </w:rPr>
              <w:t>Figure 1: Power Used by a House Hold Throughout a Day (ResearchGate, 2021)</w:t>
            </w:r>
            <w:r>
              <w:rPr>
                <w:noProof/>
                <w:webHidden/>
              </w:rPr>
              <w:tab/>
            </w:r>
            <w:r>
              <w:rPr>
                <w:noProof/>
                <w:webHidden/>
              </w:rPr>
              <w:fldChar w:fldCharType="begin"/>
            </w:r>
            <w:r>
              <w:rPr>
                <w:noProof/>
                <w:webHidden/>
              </w:rPr>
              <w:instrText xml:space="preserve"> PAGEREF _Toc88299745 \h </w:instrText>
            </w:r>
            <w:r>
              <w:rPr>
                <w:noProof/>
                <w:webHidden/>
              </w:rPr>
            </w:r>
            <w:r>
              <w:rPr>
                <w:noProof/>
                <w:webHidden/>
              </w:rPr>
              <w:fldChar w:fldCharType="separate"/>
            </w:r>
            <w:r>
              <w:rPr>
                <w:noProof/>
                <w:webHidden/>
              </w:rPr>
              <w:t>5</w:t>
            </w:r>
            <w:r>
              <w:rPr>
                <w:noProof/>
                <w:webHidden/>
              </w:rPr>
              <w:fldChar w:fldCharType="end"/>
            </w:r>
          </w:hyperlink>
        </w:p>
        <w:p w14:paraId="1F237C6A" w14:textId="7B3A4DC1" w:rsidR="000D3012" w:rsidRDefault="007D47D7">
          <w:r>
            <w:rPr>
              <w:b/>
              <w:bCs/>
              <w:noProof/>
            </w:rPr>
            <w:fldChar w:fldCharType="end"/>
          </w:r>
        </w:p>
      </w:sdtContent>
    </w:sdt>
    <w:p w14:paraId="135A9122" w14:textId="79DC5408" w:rsidR="00C506CA" w:rsidRDefault="00ED27F5" w:rsidP="00ED27F5">
      <w:pPr>
        <w:pStyle w:val="Heading1"/>
      </w:pPr>
      <w:r>
        <w:br w:type="page"/>
      </w:r>
      <w:bookmarkStart w:id="0" w:name="_Toc88299731"/>
      <w:r w:rsidR="00C506CA">
        <w:lastRenderedPageBreak/>
        <w:t>Introduction</w:t>
      </w:r>
      <w:bookmarkEnd w:id="0"/>
    </w:p>
    <w:p w14:paraId="414892BD" w14:textId="1AD24C1F" w:rsidR="003464F0" w:rsidRPr="008318A1" w:rsidRDefault="00B16607">
      <w:pPr>
        <w:rPr>
          <w:rFonts w:cstheme="minorHAnsi"/>
        </w:rPr>
      </w:pPr>
      <w:bookmarkStart w:id="1" w:name="_Hlk88228187"/>
      <w:r w:rsidRPr="008318A1">
        <w:rPr>
          <w:rFonts w:cstheme="minorHAnsi"/>
        </w:rPr>
        <w:t>This report will be analysing the immediate and long-term implications of introducing vehicle-to-grid (V2G)</w:t>
      </w:r>
      <w:r w:rsidR="00E83CB1" w:rsidRPr="008318A1">
        <w:rPr>
          <w:rFonts w:cstheme="minorHAnsi"/>
        </w:rPr>
        <w:t xml:space="preserve"> </w:t>
      </w:r>
      <w:r w:rsidRPr="008318A1">
        <w:rPr>
          <w:rFonts w:cstheme="minorHAnsi"/>
        </w:rPr>
        <w:t xml:space="preserve">into </w:t>
      </w:r>
      <w:r w:rsidR="00C872E3" w:rsidRPr="008318A1">
        <w:rPr>
          <w:rFonts w:cstheme="minorHAnsi"/>
        </w:rPr>
        <w:t xml:space="preserve">a </w:t>
      </w:r>
      <w:r w:rsidRPr="008318A1">
        <w:rPr>
          <w:rFonts w:cstheme="minorHAnsi"/>
        </w:rPr>
        <w:t>domestic, company and factory</w:t>
      </w:r>
      <w:r w:rsidR="003464F0" w:rsidRPr="008318A1">
        <w:rPr>
          <w:rFonts w:cstheme="minorHAnsi"/>
        </w:rPr>
        <w:t>-</w:t>
      </w:r>
      <w:r w:rsidRPr="008318A1">
        <w:rPr>
          <w:rFonts w:cstheme="minorHAnsi"/>
        </w:rPr>
        <w:t>based automotive setting</w:t>
      </w:r>
      <w:r w:rsidR="005F7846" w:rsidRPr="008318A1">
        <w:rPr>
          <w:rFonts w:cstheme="minorHAnsi"/>
        </w:rPr>
        <w:t xml:space="preserve"> with the main focus being on domestic</w:t>
      </w:r>
      <w:r w:rsidRPr="008318A1">
        <w:rPr>
          <w:rFonts w:cstheme="minorHAnsi"/>
        </w:rPr>
        <w:t xml:space="preserve">. The report will be focussing on </w:t>
      </w:r>
      <w:r w:rsidR="00686ABA" w:rsidRPr="008318A1">
        <w:rPr>
          <w:rFonts w:cstheme="minorHAnsi"/>
        </w:rPr>
        <w:t>4</w:t>
      </w:r>
      <w:r w:rsidRPr="008318A1">
        <w:rPr>
          <w:rFonts w:cstheme="minorHAnsi"/>
        </w:rPr>
        <w:t xml:space="preserve"> key aspects; </w:t>
      </w:r>
      <w:r w:rsidR="00686ABA" w:rsidRPr="008318A1">
        <w:rPr>
          <w:rFonts w:cstheme="minorHAnsi"/>
        </w:rPr>
        <w:t>Electricity demand solutions and grid capabilities, ethical issues, practicalities of using V2G and current charging technology</w:t>
      </w:r>
      <w:r w:rsidRPr="008318A1">
        <w:rPr>
          <w:rFonts w:cstheme="minorHAnsi"/>
        </w:rPr>
        <w:t>.</w:t>
      </w:r>
      <w:r w:rsidR="00C506CA" w:rsidRPr="008318A1">
        <w:rPr>
          <w:rFonts w:cstheme="minorHAnsi"/>
        </w:rPr>
        <w:t xml:space="preserve"> This information will </w:t>
      </w:r>
      <w:r w:rsidR="00E83CB1" w:rsidRPr="008318A1">
        <w:rPr>
          <w:rFonts w:cstheme="minorHAnsi"/>
        </w:rPr>
        <w:t xml:space="preserve">be </w:t>
      </w:r>
      <w:r w:rsidR="00C506CA" w:rsidRPr="008318A1">
        <w:rPr>
          <w:rFonts w:cstheme="minorHAnsi"/>
        </w:rPr>
        <w:t xml:space="preserve">used to help form a non-bias opinion </w:t>
      </w:r>
      <w:r w:rsidR="003464F0" w:rsidRPr="008318A1">
        <w:rPr>
          <w:rFonts w:cstheme="minorHAnsi"/>
        </w:rPr>
        <w:t xml:space="preserve">as </w:t>
      </w:r>
      <w:r w:rsidR="00C506CA" w:rsidRPr="008318A1">
        <w:rPr>
          <w:rFonts w:cstheme="minorHAnsi"/>
        </w:rPr>
        <w:t xml:space="preserve">to whether V2G can be </w:t>
      </w:r>
      <w:r w:rsidR="004F53F5" w:rsidRPr="008318A1">
        <w:rPr>
          <w:rFonts w:cstheme="minorHAnsi"/>
        </w:rPr>
        <w:t>implemented</w:t>
      </w:r>
      <w:r w:rsidR="00C506CA" w:rsidRPr="008318A1">
        <w:rPr>
          <w:rFonts w:cstheme="minorHAnsi"/>
        </w:rPr>
        <w:t xml:space="preserve"> in</w:t>
      </w:r>
      <w:r w:rsidR="00E83CB1" w:rsidRPr="008318A1">
        <w:rPr>
          <w:rFonts w:cstheme="minorHAnsi"/>
        </w:rPr>
        <w:t>to</w:t>
      </w:r>
      <w:r w:rsidR="00C506CA" w:rsidRPr="008318A1">
        <w:rPr>
          <w:rFonts w:cstheme="minorHAnsi"/>
        </w:rPr>
        <w:t xml:space="preserve"> the relative sectors efficiently or not.</w:t>
      </w:r>
    </w:p>
    <w:bookmarkEnd w:id="1"/>
    <w:p w14:paraId="0F5B3902" w14:textId="77777777" w:rsidR="000749E7" w:rsidRDefault="000749E7">
      <w:pPr>
        <w:rPr>
          <w:rFonts w:asciiTheme="majorHAnsi" w:eastAsiaTheme="majorEastAsia" w:hAnsiTheme="majorHAnsi" w:cstheme="majorBidi"/>
          <w:color w:val="2F5496" w:themeColor="accent1" w:themeShade="BF"/>
          <w:sz w:val="32"/>
          <w:szCs w:val="32"/>
        </w:rPr>
      </w:pPr>
      <w:r>
        <w:br w:type="page"/>
      </w:r>
    </w:p>
    <w:p w14:paraId="7C1CB0D4" w14:textId="6FD9BE02" w:rsidR="000D3012" w:rsidRDefault="000D3012" w:rsidP="000D3012">
      <w:pPr>
        <w:pStyle w:val="Heading1"/>
      </w:pPr>
      <w:bookmarkStart w:id="2" w:name="_Toc88299732"/>
      <w:r>
        <w:lastRenderedPageBreak/>
        <w:t>Research</w:t>
      </w:r>
      <w:bookmarkEnd w:id="2"/>
      <w:r>
        <w:t xml:space="preserve"> </w:t>
      </w:r>
    </w:p>
    <w:p w14:paraId="0A60B1D7" w14:textId="77777777" w:rsidR="00C872E3" w:rsidRPr="00C872E3" w:rsidRDefault="00C872E3" w:rsidP="00C872E3"/>
    <w:p w14:paraId="2147C7FD" w14:textId="77777777" w:rsidR="005F7846" w:rsidRDefault="005F7846" w:rsidP="005F7846">
      <w:pPr>
        <w:pStyle w:val="Heading2"/>
      </w:pPr>
      <w:bookmarkStart w:id="3" w:name="_Toc88299733"/>
      <w:r>
        <w:t>What Is V2G?</w:t>
      </w:r>
      <w:bookmarkEnd w:id="3"/>
    </w:p>
    <w:p w14:paraId="59CFE77C" w14:textId="4A085A00" w:rsidR="005F7846" w:rsidRPr="008318A1" w:rsidRDefault="005F7846" w:rsidP="005F7846">
      <w:pPr>
        <w:rPr>
          <w:rFonts w:cstheme="minorHAnsi"/>
        </w:rPr>
      </w:pPr>
      <w:r w:rsidRPr="008318A1">
        <w:rPr>
          <w:rFonts w:cstheme="minorHAnsi"/>
        </w:rPr>
        <w:t>Greenhouse gases such as carbon dioxide (CO2), carbon monoxide (CO), nitrogen oxides (NOx) and unburnt hydrocarbons (HCs) are all produced by the</w:t>
      </w:r>
      <w:r w:rsidR="00CE4004" w:rsidRPr="008318A1">
        <w:rPr>
          <w:rFonts w:cstheme="minorHAnsi"/>
        </w:rPr>
        <w:t xml:space="preserve"> electrical</w:t>
      </w:r>
      <w:r w:rsidRPr="008318A1">
        <w:rPr>
          <w:rFonts w:cstheme="minorHAnsi"/>
        </w:rPr>
        <w:t xml:space="preserve">, transport and commercial </w:t>
      </w:r>
      <w:r w:rsidR="00CE4004" w:rsidRPr="008318A1">
        <w:rPr>
          <w:rFonts w:cstheme="minorHAnsi"/>
        </w:rPr>
        <w:t>sectors</w:t>
      </w:r>
      <w:r w:rsidRPr="008318A1">
        <w:rPr>
          <w:rFonts w:cstheme="minorHAnsi"/>
        </w:rPr>
        <w:t>. Due to this</w:t>
      </w:r>
      <w:r w:rsidR="00C872E3" w:rsidRPr="008318A1">
        <w:rPr>
          <w:rFonts w:cstheme="minorHAnsi"/>
        </w:rPr>
        <w:t xml:space="preserve"> electric</w:t>
      </w:r>
      <w:r w:rsidR="00CE4004" w:rsidRPr="008318A1">
        <w:rPr>
          <w:rFonts w:cstheme="minorHAnsi"/>
        </w:rPr>
        <w:t>/</w:t>
      </w:r>
      <w:r w:rsidRPr="008318A1">
        <w:rPr>
          <w:rFonts w:cstheme="minorHAnsi"/>
        </w:rPr>
        <w:t xml:space="preserve">plug-in hybrid electric (PHEV) </w:t>
      </w:r>
      <w:r w:rsidR="00C872E3" w:rsidRPr="008318A1">
        <w:rPr>
          <w:rFonts w:cstheme="minorHAnsi"/>
        </w:rPr>
        <w:t xml:space="preserve">vehicles </w:t>
      </w:r>
      <w:r w:rsidRPr="008318A1">
        <w:rPr>
          <w:rFonts w:cstheme="minorHAnsi"/>
        </w:rPr>
        <w:t>are seen to be the future of transport</w:t>
      </w:r>
      <w:r w:rsidR="00C872E3" w:rsidRPr="008318A1">
        <w:rPr>
          <w:rFonts w:cstheme="minorHAnsi"/>
        </w:rPr>
        <w:t xml:space="preserve"> due to future capabilities of grid support,</w:t>
      </w:r>
      <w:r w:rsidRPr="008318A1">
        <w:rPr>
          <w:rFonts w:cstheme="minorHAnsi"/>
        </w:rPr>
        <w:t xml:space="preserve"> with a PHEV spending more time parked up th</w:t>
      </w:r>
      <w:r w:rsidR="00C872E3" w:rsidRPr="008318A1">
        <w:rPr>
          <w:rFonts w:cstheme="minorHAnsi"/>
        </w:rPr>
        <w:t>a</w:t>
      </w:r>
      <w:r w:rsidRPr="008318A1">
        <w:rPr>
          <w:rFonts w:cstheme="minorHAnsi"/>
        </w:rPr>
        <w:t xml:space="preserve">n driving it is estimated that a fleet of vehicles could contribute up to two-thirds of forecasted peak loads. </w:t>
      </w:r>
    </w:p>
    <w:p w14:paraId="17F07131" w14:textId="3D615C62" w:rsidR="005F7846" w:rsidRPr="008318A1" w:rsidRDefault="005F7846" w:rsidP="005F7846">
      <w:pPr>
        <w:rPr>
          <w:rFonts w:cstheme="minorHAnsi"/>
        </w:rPr>
      </w:pPr>
      <w:r w:rsidRPr="008318A1">
        <w:rPr>
          <w:rFonts w:cstheme="minorHAnsi"/>
        </w:rPr>
        <w:t xml:space="preserve">The core idea is the power exchange between the grid and the vehicle. When the vehicle is idle power will be taken and </w:t>
      </w:r>
      <w:r w:rsidR="00E83CB1" w:rsidRPr="008318A1">
        <w:rPr>
          <w:rFonts w:cstheme="minorHAnsi"/>
        </w:rPr>
        <w:t xml:space="preserve">placed </w:t>
      </w:r>
      <w:r w:rsidRPr="008318A1">
        <w:rPr>
          <w:rFonts w:cstheme="minorHAnsi"/>
        </w:rPr>
        <w:t>into the grid, thereby giving aid during peak</w:t>
      </w:r>
      <w:r w:rsidR="00E83CB1" w:rsidRPr="008318A1">
        <w:rPr>
          <w:rFonts w:cstheme="minorHAnsi"/>
        </w:rPr>
        <w:t xml:space="preserve"> </w:t>
      </w:r>
      <w:r w:rsidRPr="008318A1">
        <w:rPr>
          <w:rFonts w:cstheme="minorHAnsi"/>
        </w:rPr>
        <w:t>power demands. The vehicle will then be charged during off</w:t>
      </w:r>
      <w:r w:rsidR="00C872E3" w:rsidRPr="008318A1">
        <w:rPr>
          <w:rFonts w:cstheme="minorHAnsi"/>
        </w:rPr>
        <w:t>-</w:t>
      </w:r>
      <w:r w:rsidRPr="008318A1">
        <w:rPr>
          <w:rFonts w:cstheme="minorHAnsi"/>
        </w:rPr>
        <w:t>peak times, this</w:t>
      </w:r>
      <w:r w:rsidR="00C872E3" w:rsidRPr="008318A1">
        <w:rPr>
          <w:rFonts w:cstheme="minorHAnsi"/>
        </w:rPr>
        <w:t xml:space="preserve"> </w:t>
      </w:r>
      <w:r w:rsidRPr="008318A1">
        <w:rPr>
          <w:rFonts w:cstheme="minorHAnsi"/>
        </w:rPr>
        <w:t>process is called peak shaving.</w:t>
      </w:r>
    </w:p>
    <w:p w14:paraId="7E3322EA" w14:textId="77777777" w:rsidR="005F7846" w:rsidRPr="008318A1" w:rsidRDefault="005F7846" w:rsidP="005F7846">
      <w:pPr>
        <w:rPr>
          <w:rFonts w:cstheme="minorHAnsi"/>
        </w:rPr>
      </w:pPr>
      <w:r w:rsidRPr="008318A1">
        <w:rPr>
          <w:rFonts w:cstheme="minorHAnsi"/>
        </w:rPr>
        <w:t>Some of the advantages of peak shaving are:</w:t>
      </w:r>
    </w:p>
    <w:p w14:paraId="0ACF5B1B" w14:textId="77777777" w:rsidR="005F7846" w:rsidRPr="008318A1" w:rsidRDefault="005F7846" w:rsidP="005F7846">
      <w:pPr>
        <w:pStyle w:val="ListParagraph"/>
        <w:numPr>
          <w:ilvl w:val="0"/>
          <w:numId w:val="5"/>
        </w:numPr>
        <w:rPr>
          <w:rFonts w:cstheme="minorHAnsi"/>
        </w:rPr>
      </w:pPr>
      <w:r w:rsidRPr="008318A1">
        <w:rPr>
          <w:rFonts w:cstheme="minorHAnsi"/>
        </w:rPr>
        <w:t xml:space="preserve">Reduction in Line losses </w:t>
      </w:r>
    </w:p>
    <w:p w14:paraId="4FE6C418" w14:textId="77777777" w:rsidR="005F7846" w:rsidRPr="008318A1" w:rsidRDefault="005F7846" w:rsidP="005F7846">
      <w:pPr>
        <w:pStyle w:val="ListParagraph"/>
        <w:numPr>
          <w:ilvl w:val="0"/>
          <w:numId w:val="5"/>
        </w:numPr>
        <w:rPr>
          <w:rFonts w:cstheme="minorHAnsi"/>
        </w:rPr>
      </w:pPr>
      <w:r w:rsidRPr="008318A1">
        <w:rPr>
          <w:rFonts w:cstheme="minorHAnsi"/>
        </w:rPr>
        <w:t xml:space="preserve">Reduction in Delay transmission </w:t>
      </w:r>
    </w:p>
    <w:p w14:paraId="62FDA9C7" w14:textId="77777777" w:rsidR="005F7846" w:rsidRPr="008318A1" w:rsidRDefault="005F7846" w:rsidP="005F7846">
      <w:pPr>
        <w:pStyle w:val="ListParagraph"/>
        <w:numPr>
          <w:ilvl w:val="0"/>
          <w:numId w:val="5"/>
        </w:numPr>
        <w:rPr>
          <w:rFonts w:cstheme="minorHAnsi"/>
        </w:rPr>
      </w:pPr>
      <w:r w:rsidRPr="008318A1">
        <w:rPr>
          <w:rFonts w:cstheme="minorHAnsi"/>
        </w:rPr>
        <w:t xml:space="preserve">Reduction in Transmission congestion </w:t>
      </w:r>
    </w:p>
    <w:p w14:paraId="38672810" w14:textId="606E7B6E" w:rsidR="005F7846" w:rsidRPr="008318A1" w:rsidRDefault="005F7846" w:rsidP="005F7846">
      <w:pPr>
        <w:pStyle w:val="ListParagraph"/>
        <w:numPr>
          <w:ilvl w:val="0"/>
          <w:numId w:val="5"/>
        </w:numPr>
        <w:rPr>
          <w:rFonts w:cstheme="minorHAnsi"/>
        </w:rPr>
      </w:pPr>
      <w:r w:rsidRPr="008318A1">
        <w:rPr>
          <w:rFonts w:cstheme="minorHAnsi"/>
        </w:rPr>
        <w:t>Reduction in stressed operation of power systems, reducing maintenanc</w:t>
      </w:r>
      <w:r w:rsidR="00C872E3" w:rsidRPr="008318A1">
        <w:rPr>
          <w:rFonts w:cstheme="minorHAnsi"/>
        </w:rPr>
        <w:t>e</w:t>
      </w:r>
      <w:r w:rsidRPr="008318A1">
        <w:rPr>
          <w:rFonts w:cstheme="minorHAnsi"/>
        </w:rPr>
        <w:t xml:space="preserve"> fees and increas</w:t>
      </w:r>
      <w:r w:rsidR="00C872E3" w:rsidRPr="008318A1">
        <w:rPr>
          <w:rFonts w:cstheme="minorHAnsi"/>
        </w:rPr>
        <w:t>ing</w:t>
      </w:r>
      <w:r w:rsidRPr="008318A1">
        <w:rPr>
          <w:rFonts w:cstheme="minorHAnsi"/>
        </w:rPr>
        <w:t xml:space="preserve"> the longevity of the power plant. </w:t>
      </w:r>
    </w:p>
    <w:p w14:paraId="6878AF73" w14:textId="00119479" w:rsidR="005F7846" w:rsidRPr="008318A1" w:rsidRDefault="005F7846" w:rsidP="005F7846">
      <w:pPr>
        <w:pStyle w:val="ListParagraph"/>
        <w:numPr>
          <w:ilvl w:val="0"/>
          <w:numId w:val="5"/>
        </w:numPr>
        <w:rPr>
          <w:rFonts w:cstheme="minorHAnsi"/>
        </w:rPr>
      </w:pPr>
      <w:r w:rsidRPr="008318A1">
        <w:rPr>
          <w:rFonts w:cstheme="minorHAnsi"/>
        </w:rPr>
        <w:t xml:space="preserve">Reduction in </w:t>
      </w:r>
      <w:r w:rsidR="00C872E3" w:rsidRPr="008318A1">
        <w:rPr>
          <w:rFonts w:cstheme="minorHAnsi"/>
        </w:rPr>
        <w:t xml:space="preserve">the </w:t>
      </w:r>
      <w:r w:rsidRPr="008318A1">
        <w:rPr>
          <w:rFonts w:cstheme="minorHAnsi"/>
        </w:rPr>
        <w:t>investment of peak power plants.</w:t>
      </w:r>
    </w:p>
    <w:p w14:paraId="0B0925D1" w14:textId="1CD837B0" w:rsidR="00E83CB1" w:rsidRPr="008318A1" w:rsidRDefault="005F7846" w:rsidP="00E83CB1">
      <w:pPr>
        <w:rPr>
          <w:rFonts w:cstheme="minorHAnsi"/>
        </w:rPr>
      </w:pPr>
      <w:r w:rsidRPr="008318A1">
        <w:rPr>
          <w:rFonts w:cstheme="minorHAnsi"/>
        </w:rPr>
        <w:t xml:space="preserve">For V2G to work a bi-directional flow of electricity </w:t>
      </w:r>
      <w:r w:rsidR="00C872E3" w:rsidRPr="008318A1">
        <w:rPr>
          <w:rFonts w:cstheme="minorHAnsi"/>
        </w:rPr>
        <w:t xml:space="preserve">along with communication </w:t>
      </w:r>
      <w:r w:rsidRPr="008318A1">
        <w:rPr>
          <w:rFonts w:cstheme="minorHAnsi"/>
        </w:rPr>
        <w:t>between the grid and vehicles needs to be established, th</w:t>
      </w:r>
      <w:r w:rsidR="00C872E3" w:rsidRPr="008318A1">
        <w:rPr>
          <w:rFonts w:cstheme="minorHAnsi"/>
        </w:rPr>
        <w:t>u</w:t>
      </w:r>
      <w:r w:rsidRPr="008318A1">
        <w:rPr>
          <w:rFonts w:cstheme="minorHAnsi"/>
        </w:rPr>
        <w:t xml:space="preserve">s allowing for the best harvest of electricity from the vehicle. </w:t>
      </w:r>
    </w:p>
    <w:p w14:paraId="44179EE0" w14:textId="2CAD3776" w:rsidR="004D3366" w:rsidRPr="008318A1" w:rsidRDefault="004D3366" w:rsidP="004D3366">
      <w:pPr>
        <w:rPr>
          <w:rFonts w:cstheme="minorHAnsi"/>
        </w:rPr>
      </w:pPr>
      <w:r w:rsidRPr="008318A1">
        <w:rPr>
          <w:rFonts w:cstheme="minorHAnsi"/>
        </w:rPr>
        <w:t>(Pandy et al, 2015; Morash, 2013; Zhou &amp; Li, 2015; Kempton et al, 2001)</w:t>
      </w:r>
    </w:p>
    <w:p w14:paraId="0C3568A9" w14:textId="77FCD71C" w:rsidR="00E83CB1" w:rsidRDefault="00E83CB1">
      <w:pPr>
        <w:rPr>
          <w:rFonts w:cstheme="minorHAnsi"/>
        </w:rPr>
      </w:pPr>
      <w:r>
        <w:rPr>
          <w:rFonts w:cstheme="minorHAnsi"/>
        </w:rPr>
        <w:br w:type="page"/>
      </w:r>
    </w:p>
    <w:p w14:paraId="0303DD0C" w14:textId="77777777" w:rsidR="0077193F" w:rsidRDefault="0077193F" w:rsidP="0077193F">
      <w:pPr>
        <w:pStyle w:val="Heading2"/>
        <w:rPr>
          <w:rFonts w:asciiTheme="minorHAnsi" w:hAnsiTheme="minorHAnsi" w:cstheme="minorHAnsi"/>
        </w:rPr>
      </w:pPr>
      <w:bookmarkStart w:id="4" w:name="_Toc88299734"/>
      <w:r>
        <w:rPr>
          <w:rFonts w:asciiTheme="minorHAnsi" w:hAnsiTheme="minorHAnsi" w:cstheme="minorHAnsi"/>
        </w:rPr>
        <w:lastRenderedPageBreak/>
        <w:t>Electrical Demand Solutions and Grid Capabilities</w:t>
      </w:r>
      <w:bookmarkEnd w:id="4"/>
    </w:p>
    <w:p w14:paraId="4643BFB2" w14:textId="473E659A" w:rsidR="0077193F" w:rsidRPr="008318A1" w:rsidRDefault="00EE7C1A" w:rsidP="0077193F">
      <w:pPr>
        <w:rPr>
          <w:rFonts w:cstheme="minorHAnsi"/>
        </w:rPr>
      </w:pPr>
      <w:r>
        <w:rPr>
          <w:noProof/>
        </w:rPr>
        <mc:AlternateContent>
          <mc:Choice Requires="wps">
            <w:drawing>
              <wp:anchor distT="0" distB="0" distL="114300" distR="114300" simplePos="0" relativeHeight="251662336" behindDoc="0" locked="0" layoutInCell="1" allowOverlap="1" wp14:anchorId="1532F25B" wp14:editId="0F8D4A2D">
                <wp:simplePos x="0" y="0"/>
                <wp:positionH relativeFrom="column">
                  <wp:posOffset>944880</wp:posOffset>
                </wp:positionH>
                <wp:positionV relativeFrom="paragraph">
                  <wp:posOffset>3477895</wp:posOffset>
                </wp:positionV>
                <wp:extent cx="3825240" cy="182880"/>
                <wp:effectExtent l="0" t="0" r="3810" b="7620"/>
                <wp:wrapTopAndBottom/>
                <wp:docPr id="3" name="Text Box 3"/>
                <wp:cNvGraphicFramePr/>
                <a:graphic xmlns:a="http://schemas.openxmlformats.org/drawingml/2006/main">
                  <a:graphicData uri="http://schemas.microsoft.com/office/word/2010/wordprocessingShape">
                    <wps:wsp>
                      <wps:cNvSpPr txBox="1"/>
                      <wps:spPr>
                        <a:xfrm>
                          <a:off x="0" y="0"/>
                          <a:ext cx="3825240" cy="182880"/>
                        </a:xfrm>
                        <a:prstGeom prst="rect">
                          <a:avLst/>
                        </a:prstGeom>
                        <a:solidFill>
                          <a:prstClr val="white"/>
                        </a:solidFill>
                        <a:ln>
                          <a:noFill/>
                        </a:ln>
                      </wps:spPr>
                      <wps:txbx>
                        <w:txbxContent>
                          <w:p w14:paraId="480E7FBF" w14:textId="6C5F6F41" w:rsidR="007D47D7" w:rsidRPr="00F0384F" w:rsidRDefault="007D47D7" w:rsidP="007D47D7">
                            <w:pPr>
                              <w:pStyle w:val="Caption"/>
                              <w:rPr>
                                <w:rFonts w:cstheme="minorHAnsi"/>
                                <w:noProof/>
                              </w:rPr>
                            </w:pPr>
                            <w:bookmarkStart w:id="5" w:name="_Toc88299745"/>
                            <w:r>
                              <w:t xml:space="preserve">Figure </w:t>
                            </w:r>
                            <w:r w:rsidR="005672DD">
                              <w:fldChar w:fldCharType="begin"/>
                            </w:r>
                            <w:r w:rsidR="005672DD">
                              <w:instrText xml:space="preserve"> SEQ Figure \* ARABIC </w:instrText>
                            </w:r>
                            <w:r w:rsidR="005672DD">
                              <w:fldChar w:fldCharType="separate"/>
                            </w:r>
                            <w:r>
                              <w:rPr>
                                <w:noProof/>
                              </w:rPr>
                              <w:t>1</w:t>
                            </w:r>
                            <w:r w:rsidR="005672DD">
                              <w:rPr>
                                <w:noProof/>
                              </w:rPr>
                              <w:fldChar w:fldCharType="end"/>
                            </w:r>
                            <w:r>
                              <w:t>: Power Used by a House Hold T</w:t>
                            </w:r>
                            <w:r w:rsidR="00707739">
                              <w:t xml:space="preserve">hroughout </w:t>
                            </w:r>
                            <w:r>
                              <w:t>a Day</w:t>
                            </w:r>
                            <w:r w:rsidR="00E239F8">
                              <w:t xml:space="preserve"> (</w:t>
                            </w:r>
                            <w:r w:rsidR="00E239F8" w:rsidRPr="00EE7C1A">
                              <w:t>ResearchGate, 2021</w:t>
                            </w:r>
                            <w:r w:rsidR="00E239F8">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2F25B" id="_x0000_t202" coordsize="21600,21600" o:spt="202" path="m,l,21600r21600,l21600,xe">
                <v:stroke joinstyle="miter"/>
                <v:path gradientshapeok="t" o:connecttype="rect"/>
              </v:shapetype>
              <v:shape id="Text Box 3" o:spid="_x0000_s1026" type="#_x0000_t202" style="position:absolute;margin-left:74.4pt;margin-top:273.85pt;width:301.2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" stroked="f">
                <v:textbox inset="0,0,0,0">
                  <w:txbxContent>
                    <w:p w14:paraId="480E7FBF" w14:textId="6C5F6F41" w:rsidR="007D47D7" w:rsidRPr="00F0384F" w:rsidRDefault="007D47D7" w:rsidP="007D47D7">
                      <w:pPr>
                        <w:pStyle w:val="Caption"/>
                        <w:rPr>
                          <w:rFonts w:cstheme="minorHAnsi"/>
                          <w:noProof/>
                        </w:rPr>
                      </w:pPr>
                      <w:bookmarkStart w:id="6" w:name="_Toc88299745"/>
                      <w:r>
                        <w:t xml:space="preserve">Figure </w:t>
                      </w:r>
                      <w:r w:rsidR="005672DD">
                        <w:fldChar w:fldCharType="begin"/>
                      </w:r>
                      <w:r w:rsidR="005672DD">
                        <w:instrText xml:space="preserve"> SEQ Figure \* ARABIC </w:instrText>
                      </w:r>
                      <w:r w:rsidR="005672DD">
                        <w:fldChar w:fldCharType="separate"/>
                      </w:r>
                      <w:r>
                        <w:rPr>
                          <w:noProof/>
                        </w:rPr>
                        <w:t>1</w:t>
                      </w:r>
                      <w:r w:rsidR="005672DD">
                        <w:rPr>
                          <w:noProof/>
                        </w:rPr>
                        <w:fldChar w:fldCharType="end"/>
                      </w:r>
                      <w:r>
                        <w:t>: Power Used by a House Hold T</w:t>
                      </w:r>
                      <w:r w:rsidR="00707739">
                        <w:t xml:space="preserve">hroughout </w:t>
                      </w:r>
                      <w:r>
                        <w:t>a Day</w:t>
                      </w:r>
                      <w:r w:rsidR="00E239F8">
                        <w:t xml:space="preserve"> (</w:t>
                      </w:r>
                      <w:r w:rsidR="00E239F8" w:rsidRPr="00EE7C1A">
                        <w:t>ResearchGate, 2021</w:t>
                      </w:r>
                      <w:r w:rsidR="00E239F8">
                        <w:t>)</w:t>
                      </w:r>
                      <w:bookmarkEnd w:id="6"/>
                    </w:p>
                  </w:txbxContent>
                </v:textbox>
                <w10:wrap type="topAndBottom"/>
              </v:shape>
            </w:pict>
          </mc:Fallback>
        </mc:AlternateContent>
      </w:r>
      <w:r>
        <w:rPr>
          <w:rFonts w:cstheme="minorHAnsi"/>
          <w:noProof/>
        </w:rPr>
        <w:drawing>
          <wp:anchor distT="0" distB="0" distL="114300" distR="114300" simplePos="0" relativeHeight="251660288" behindDoc="0" locked="0" layoutInCell="1" allowOverlap="1" wp14:anchorId="016EFD6A" wp14:editId="184AF130">
            <wp:simplePos x="0" y="0"/>
            <wp:positionH relativeFrom="column">
              <wp:posOffset>937260</wp:posOffset>
            </wp:positionH>
            <wp:positionV relativeFrom="paragraph">
              <wp:posOffset>567055</wp:posOffset>
            </wp:positionV>
            <wp:extent cx="3589020" cy="28797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589020" cy="2879725"/>
                    </a:xfrm>
                    <a:prstGeom prst="rect">
                      <a:avLst/>
                    </a:prstGeom>
                  </pic:spPr>
                </pic:pic>
              </a:graphicData>
            </a:graphic>
          </wp:anchor>
        </w:drawing>
      </w:r>
      <w:r w:rsidR="0077193F">
        <w:rPr>
          <w:rFonts w:cstheme="minorHAnsi"/>
        </w:rPr>
        <w:t xml:space="preserve">With </w:t>
      </w:r>
      <w:r w:rsidR="0077193F" w:rsidRPr="008318A1">
        <w:rPr>
          <w:rFonts w:cstheme="minorHAnsi"/>
        </w:rPr>
        <w:t>V2G making use of multiple vehicles the unpredictability factor of energy harvesting is greatly reduced with the use of traffic</w:t>
      </w:r>
      <w:r w:rsidR="00597EAA" w:rsidRPr="008318A1">
        <w:rPr>
          <w:rFonts w:cstheme="minorHAnsi"/>
        </w:rPr>
        <w:t>/</w:t>
      </w:r>
      <w:r w:rsidR="0077193F" w:rsidRPr="008318A1">
        <w:rPr>
          <w:rFonts w:cstheme="minorHAnsi"/>
        </w:rPr>
        <w:t>road-use data.</w:t>
      </w:r>
      <w:r w:rsidR="00597EAA" w:rsidRPr="008318A1">
        <w:rPr>
          <w:rFonts w:cstheme="minorHAnsi"/>
        </w:rPr>
        <w:t xml:space="preserve"> </w:t>
      </w:r>
      <w:r w:rsidR="0077193F" w:rsidRPr="008318A1">
        <w:rPr>
          <w:rFonts w:cstheme="minorHAnsi"/>
        </w:rPr>
        <w:t>This</w:t>
      </w:r>
      <w:r w:rsidR="00597EAA" w:rsidRPr="008318A1">
        <w:rPr>
          <w:rFonts w:cstheme="minorHAnsi"/>
        </w:rPr>
        <w:t xml:space="preserve"> is best seen in</w:t>
      </w:r>
      <w:r w:rsidR="0077193F" w:rsidRPr="008318A1">
        <w:rPr>
          <w:rFonts w:cstheme="minorHAnsi"/>
        </w:rPr>
        <w:t xml:space="preserve"> </w:t>
      </w:r>
      <w:r w:rsidR="003722BD" w:rsidRPr="008318A1">
        <w:rPr>
          <w:rFonts w:cstheme="minorHAnsi"/>
        </w:rPr>
        <w:t>Figure</w:t>
      </w:r>
      <w:r w:rsidR="0077193F" w:rsidRPr="008318A1">
        <w:rPr>
          <w:rFonts w:cstheme="minorHAnsi"/>
        </w:rPr>
        <w:t xml:space="preserve"> 1, </w:t>
      </w:r>
      <w:r w:rsidR="00597EAA" w:rsidRPr="008318A1">
        <w:rPr>
          <w:rFonts w:cstheme="minorHAnsi"/>
        </w:rPr>
        <w:t xml:space="preserve">which </w:t>
      </w:r>
      <w:r w:rsidR="0077193F" w:rsidRPr="008318A1">
        <w:rPr>
          <w:rFonts w:cstheme="minorHAnsi"/>
        </w:rPr>
        <w:t>shows</w:t>
      </w:r>
      <w:r w:rsidR="00597EAA" w:rsidRPr="008318A1">
        <w:rPr>
          <w:rFonts w:cstheme="minorHAnsi"/>
        </w:rPr>
        <w:t xml:space="preserve"> the </w:t>
      </w:r>
      <w:r w:rsidR="0077193F" w:rsidRPr="008318A1">
        <w:rPr>
          <w:rFonts w:cstheme="minorHAnsi"/>
        </w:rPr>
        <w:t>energy usage of a house during, mid-January</w:t>
      </w:r>
      <w:r w:rsidR="00597EAA" w:rsidRPr="008318A1">
        <w:rPr>
          <w:rFonts w:cstheme="minorHAnsi"/>
        </w:rPr>
        <w:t>/</w:t>
      </w:r>
      <w:r w:rsidR="0077193F" w:rsidRPr="008318A1">
        <w:rPr>
          <w:rFonts w:cstheme="minorHAnsi"/>
        </w:rPr>
        <w:t>July</w:t>
      </w:r>
      <w:r w:rsidR="00364FAA" w:rsidRPr="008318A1">
        <w:rPr>
          <w:rFonts w:cstheme="minorHAnsi"/>
        </w:rPr>
        <w:t xml:space="preserve"> (Kempton et al, 2001)</w:t>
      </w:r>
      <w:r w:rsidR="0077193F" w:rsidRPr="008318A1">
        <w:rPr>
          <w:rFonts w:cstheme="minorHAnsi"/>
        </w:rPr>
        <w:t xml:space="preserve">.  </w:t>
      </w:r>
    </w:p>
    <w:p w14:paraId="301DDB32" w14:textId="001C93A4" w:rsidR="0077193F" w:rsidRPr="008318A1" w:rsidRDefault="0077193F" w:rsidP="0077193F">
      <w:pPr>
        <w:rPr>
          <w:rFonts w:cstheme="minorHAnsi"/>
        </w:rPr>
      </w:pPr>
      <w:r w:rsidRPr="008318A1">
        <w:rPr>
          <w:rFonts w:cstheme="minorHAnsi"/>
        </w:rPr>
        <w:t xml:space="preserve">This </w:t>
      </w:r>
      <w:r w:rsidR="003722BD" w:rsidRPr="008318A1">
        <w:rPr>
          <w:rFonts w:cstheme="minorHAnsi"/>
        </w:rPr>
        <w:t xml:space="preserve">graph </w:t>
      </w:r>
      <w:r w:rsidRPr="008318A1">
        <w:rPr>
          <w:rFonts w:cstheme="minorHAnsi"/>
        </w:rPr>
        <w:t>shows that during the times of 06:00-10:30 and 16:00-21:00 there</w:t>
      </w:r>
      <w:r w:rsidR="00597EAA" w:rsidRPr="008318A1">
        <w:rPr>
          <w:rFonts w:cstheme="minorHAnsi"/>
        </w:rPr>
        <w:t>'s</w:t>
      </w:r>
      <w:r w:rsidRPr="008318A1">
        <w:rPr>
          <w:rFonts w:cstheme="minorHAnsi"/>
        </w:rPr>
        <w:t xml:space="preserve"> a spike in energy usage. From this it can </w:t>
      </w:r>
      <w:r w:rsidR="00597EAA" w:rsidRPr="008318A1">
        <w:rPr>
          <w:rFonts w:cstheme="minorHAnsi"/>
        </w:rPr>
        <w:t xml:space="preserve">be </w:t>
      </w:r>
      <w:r w:rsidRPr="008318A1">
        <w:rPr>
          <w:rFonts w:cstheme="minorHAnsi"/>
        </w:rPr>
        <w:t>assumed that during these spikes households will have their relative vehicle sat idle, this makes these vehicles</w:t>
      </w:r>
      <w:r w:rsidR="00597EAA" w:rsidRPr="008318A1">
        <w:rPr>
          <w:rFonts w:cstheme="minorHAnsi"/>
        </w:rPr>
        <w:t xml:space="preserve"> </w:t>
      </w:r>
      <w:r w:rsidRPr="008318A1">
        <w:rPr>
          <w:rFonts w:cstheme="minorHAnsi"/>
        </w:rPr>
        <w:t>available for V2G</w:t>
      </w:r>
      <w:r w:rsidR="00597EAA" w:rsidRPr="008318A1">
        <w:rPr>
          <w:rFonts w:cstheme="minorHAnsi"/>
        </w:rPr>
        <w:t xml:space="preserve"> (for a further example of this kind of data usage look at </w:t>
      </w:r>
      <w:r w:rsidRPr="008318A1">
        <w:rPr>
          <w:rFonts w:cstheme="minorHAnsi"/>
        </w:rPr>
        <w:t>Kempton et al, 2001. From this data, it can best be seen when energy can be taken/given to or from the vehicle</w:t>
      </w:r>
      <w:r w:rsidR="00EE7C1A" w:rsidRPr="008318A1">
        <w:rPr>
          <w:rFonts w:cstheme="minorHAnsi"/>
        </w:rPr>
        <w:t xml:space="preserve"> (</w:t>
      </w:r>
      <w:bookmarkStart w:id="7" w:name="_Hlk88226279"/>
      <w:r w:rsidR="00EE7C1A" w:rsidRPr="008318A1">
        <w:rPr>
          <w:rFonts w:cstheme="minorHAnsi"/>
        </w:rPr>
        <w:t>BBC News, 2021; The Guardian, 2021; ResearchGate, 2021</w:t>
      </w:r>
      <w:bookmarkEnd w:id="7"/>
      <w:r w:rsidR="00EE7C1A" w:rsidRPr="008318A1">
        <w:rPr>
          <w:rFonts w:cstheme="minorHAnsi"/>
        </w:rPr>
        <w:t>)</w:t>
      </w:r>
      <w:r w:rsidRPr="008318A1">
        <w:rPr>
          <w:rFonts w:cstheme="minorHAnsi"/>
        </w:rPr>
        <w:t>.</w:t>
      </w:r>
    </w:p>
    <w:p w14:paraId="046EDB3E" w14:textId="4668225E" w:rsidR="0077193F" w:rsidRPr="008318A1" w:rsidRDefault="003722BD" w:rsidP="0077193F">
      <w:pPr>
        <w:rPr>
          <w:rFonts w:cstheme="minorHAnsi"/>
        </w:rPr>
      </w:pPr>
      <w:r w:rsidRPr="008318A1">
        <w:rPr>
          <w:rFonts w:cstheme="minorHAnsi"/>
          <w:noProof/>
        </w:rPr>
        <mc:AlternateContent>
          <mc:Choice Requires="wps">
            <w:drawing>
              <wp:anchor distT="0" distB="0" distL="114300" distR="114300" simplePos="0" relativeHeight="251666432" behindDoc="0" locked="0" layoutInCell="1" allowOverlap="1" wp14:anchorId="7CCFF2EF" wp14:editId="1468076F">
                <wp:simplePos x="0" y="0"/>
                <wp:positionH relativeFrom="margin">
                  <wp:align>center</wp:align>
                </wp:positionH>
                <wp:positionV relativeFrom="paragraph">
                  <wp:posOffset>3685540</wp:posOffset>
                </wp:positionV>
                <wp:extent cx="43434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4B4F68FC" w14:textId="107CDC01" w:rsidR="003722BD" w:rsidRPr="00D56E1D" w:rsidRDefault="003722BD" w:rsidP="003722BD">
                            <w:pPr>
                              <w:pStyle w:val="Caption"/>
                              <w:rPr>
                                <w:noProof/>
                              </w:rPr>
                            </w:pPr>
                            <w:bookmarkStart w:id="8" w:name="_Toc88299744"/>
                            <w:r>
                              <w:t xml:space="preserve">Chart </w:t>
                            </w:r>
                            <w:r w:rsidR="005672DD">
                              <w:fldChar w:fldCharType="begin"/>
                            </w:r>
                            <w:r w:rsidR="005672DD">
                              <w:instrText xml:space="preserve"> SEQ Chart \* ARABIC </w:instrText>
                            </w:r>
                            <w:r w:rsidR="005672DD">
                              <w:fldChar w:fldCharType="separate"/>
                            </w:r>
                            <w:r>
                              <w:rPr>
                                <w:noProof/>
                              </w:rPr>
                              <w:t>1</w:t>
                            </w:r>
                            <w:r w:rsidR="005672DD">
                              <w:rPr>
                                <w:noProof/>
                              </w:rPr>
                              <w:fldChar w:fldCharType="end"/>
                            </w:r>
                            <w:r>
                              <w:t>: Powe Supply for UK 2021 (BBC News, 2021)</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CFF2EF" id="Text Box 5" o:spid="_x0000_s1027" type="#_x0000_t202" style="position:absolute;margin-left:0;margin-top:290.2pt;width:342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" stroked="f">
                <v:textbox style="mso-fit-shape-to-text:t" inset="0,0,0,0">
                  <w:txbxContent>
                    <w:p w14:paraId="4B4F68FC" w14:textId="107CDC01" w:rsidR="003722BD" w:rsidRPr="00D56E1D" w:rsidRDefault="003722BD" w:rsidP="003722BD">
                      <w:pPr>
                        <w:pStyle w:val="Caption"/>
                        <w:rPr>
                          <w:noProof/>
                        </w:rPr>
                      </w:pPr>
                      <w:bookmarkStart w:id="9" w:name="_Toc88299744"/>
                      <w:r>
                        <w:t xml:space="preserve">Chart </w:t>
                      </w:r>
                      <w:r w:rsidR="005672DD">
                        <w:fldChar w:fldCharType="begin"/>
                      </w:r>
                      <w:r w:rsidR="005672DD">
                        <w:instrText xml:space="preserve"> SEQ Chart \* ARABIC </w:instrText>
                      </w:r>
                      <w:r w:rsidR="005672DD">
                        <w:fldChar w:fldCharType="separate"/>
                      </w:r>
                      <w:r>
                        <w:rPr>
                          <w:noProof/>
                        </w:rPr>
                        <w:t>1</w:t>
                      </w:r>
                      <w:r w:rsidR="005672DD">
                        <w:rPr>
                          <w:noProof/>
                        </w:rPr>
                        <w:fldChar w:fldCharType="end"/>
                      </w:r>
                      <w:r>
                        <w:t>: Powe Supply for UK 2021 (BBC News, 2021)</w:t>
                      </w:r>
                      <w:bookmarkEnd w:id="9"/>
                    </w:p>
                  </w:txbxContent>
                </v:textbox>
                <w10:wrap type="topAndBottom" anchorx="margin"/>
              </v:shape>
            </w:pict>
          </mc:Fallback>
        </mc:AlternateContent>
      </w:r>
      <w:r w:rsidR="00EE7C1A" w:rsidRPr="008318A1">
        <w:rPr>
          <w:rFonts w:cstheme="minorHAnsi"/>
          <w:noProof/>
        </w:rPr>
        <w:drawing>
          <wp:anchor distT="0" distB="0" distL="114300" distR="114300" simplePos="0" relativeHeight="251659264" behindDoc="0" locked="0" layoutInCell="1" allowOverlap="1" wp14:anchorId="08B4234C" wp14:editId="59118D2E">
            <wp:simplePos x="0" y="0"/>
            <wp:positionH relativeFrom="margin">
              <wp:align>center</wp:align>
            </wp:positionH>
            <wp:positionV relativeFrom="paragraph">
              <wp:posOffset>1125220</wp:posOffset>
            </wp:positionV>
            <wp:extent cx="4343400" cy="2506980"/>
            <wp:effectExtent l="0" t="0" r="0" b="762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77193F" w:rsidRPr="008318A1">
        <w:rPr>
          <w:rFonts w:cstheme="minorHAnsi"/>
        </w:rPr>
        <w:t xml:space="preserve">Power suppliers can predict peak loads and act accordingly, this </w:t>
      </w:r>
      <w:r w:rsidR="00597EAA" w:rsidRPr="008318A1">
        <w:rPr>
          <w:rFonts w:cstheme="minorHAnsi"/>
        </w:rPr>
        <w:t>can be</w:t>
      </w:r>
      <w:r w:rsidR="0077193F" w:rsidRPr="008318A1">
        <w:rPr>
          <w:rFonts w:cstheme="minorHAnsi"/>
        </w:rPr>
        <w:t xml:space="preserve"> seen in </w:t>
      </w:r>
      <w:r w:rsidR="00597EAA" w:rsidRPr="008318A1">
        <w:rPr>
          <w:rFonts w:cstheme="minorHAnsi"/>
        </w:rPr>
        <w:t xml:space="preserve">the </w:t>
      </w:r>
      <w:r w:rsidR="0077193F" w:rsidRPr="008318A1">
        <w:rPr>
          <w:rFonts w:cstheme="minorHAnsi"/>
        </w:rPr>
        <w:t>September of 2021. Due to a lack of wind power and rising gas prices, coal power plants were used to help aid in</w:t>
      </w:r>
      <w:r w:rsidR="00597EAA" w:rsidRPr="008318A1">
        <w:rPr>
          <w:rFonts w:cstheme="minorHAnsi"/>
        </w:rPr>
        <w:t xml:space="preserve"> </w:t>
      </w:r>
      <w:r w:rsidR="0077193F" w:rsidRPr="008318A1">
        <w:rPr>
          <w:rFonts w:cstheme="minorHAnsi"/>
        </w:rPr>
        <w:t>power</w:t>
      </w:r>
      <w:r w:rsidR="00597EAA" w:rsidRPr="008318A1">
        <w:rPr>
          <w:rFonts w:cstheme="minorHAnsi"/>
        </w:rPr>
        <w:t xml:space="preserve"> production</w:t>
      </w:r>
      <w:r w:rsidR="0077193F" w:rsidRPr="008318A1">
        <w:rPr>
          <w:rFonts w:cstheme="minorHAnsi"/>
        </w:rPr>
        <w:t>; EDF</w:t>
      </w:r>
      <w:r w:rsidR="00597EAA" w:rsidRPr="008318A1">
        <w:rPr>
          <w:rFonts w:cstheme="minorHAnsi"/>
        </w:rPr>
        <w:t xml:space="preserve"> was asked</w:t>
      </w:r>
      <w:r w:rsidR="0077193F" w:rsidRPr="008318A1">
        <w:rPr>
          <w:rFonts w:cstheme="minorHAnsi"/>
        </w:rPr>
        <w:t xml:space="preserve"> to fire up coal power stations to help with this. </w:t>
      </w:r>
      <w:r w:rsidRPr="008318A1">
        <w:rPr>
          <w:rFonts w:cstheme="minorHAnsi"/>
        </w:rPr>
        <w:t xml:space="preserve">Chart </w:t>
      </w:r>
      <w:r w:rsidR="0077193F" w:rsidRPr="008318A1">
        <w:rPr>
          <w:rFonts w:cstheme="minorHAnsi"/>
        </w:rPr>
        <w:t xml:space="preserve">1 shows the national grid energy </w:t>
      </w:r>
      <w:r w:rsidR="00597EAA" w:rsidRPr="008318A1">
        <w:rPr>
          <w:rFonts w:cstheme="minorHAnsi"/>
        </w:rPr>
        <w:t xml:space="preserve">produced </w:t>
      </w:r>
      <w:r w:rsidR="0077193F" w:rsidRPr="008318A1">
        <w:rPr>
          <w:rFonts w:cstheme="minorHAnsi"/>
        </w:rPr>
        <w:t>during this time, it can be seen that just under 50% of</w:t>
      </w:r>
      <w:r w:rsidR="00597EAA" w:rsidRPr="008318A1">
        <w:rPr>
          <w:rFonts w:cstheme="minorHAnsi"/>
        </w:rPr>
        <w:t xml:space="preserve"> </w:t>
      </w:r>
      <w:r w:rsidR="0077193F" w:rsidRPr="008318A1">
        <w:rPr>
          <w:rFonts w:cstheme="minorHAnsi"/>
        </w:rPr>
        <w:t>power being produced came from gas</w:t>
      </w:r>
      <w:r w:rsidR="00597EAA" w:rsidRPr="008318A1">
        <w:rPr>
          <w:rFonts w:cstheme="minorHAnsi"/>
        </w:rPr>
        <w:t>/</w:t>
      </w:r>
      <w:r w:rsidR="0077193F" w:rsidRPr="008318A1">
        <w:rPr>
          <w:rFonts w:cstheme="minorHAnsi"/>
        </w:rPr>
        <w:t>coal</w:t>
      </w:r>
      <w:r w:rsidR="00EE7C1A" w:rsidRPr="008318A1">
        <w:rPr>
          <w:rFonts w:cstheme="minorHAnsi"/>
        </w:rPr>
        <w:t xml:space="preserve"> (BBC News, 2021; The Guardian, 2021; ResearchGate, 2021).</w:t>
      </w:r>
    </w:p>
    <w:p w14:paraId="6F03B8D3" w14:textId="77194982" w:rsidR="0077193F" w:rsidRPr="008318A1" w:rsidRDefault="0077193F" w:rsidP="0077193F">
      <w:pPr>
        <w:rPr>
          <w:rFonts w:cstheme="minorHAnsi"/>
        </w:rPr>
      </w:pPr>
      <w:r w:rsidRPr="008318A1">
        <w:rPr>
          <w:rFonts w:cstheme="minorHAnsi"/>
        </w:rPr>
        <w:lastRenderedPageBreak/>
        <w:t xml:space="preserve">During this </w:t>
      </w:r>
      <w:r w:rsidR="00597EAA" w:rsidRPr="008318A1">
        <w:rPr>
          <w:rFonts w:cstheme="minorHAnsi"/>
        </w:rPr>
        <w:t xml:space="preserve">period </w:t>
      </w:r>
      <w:r w:rsidRPr="008318A1">
        <w:rPr>
          <w:rFonts w:cstheme="minorHAnsi"/>
        </w:rPr>
        <w:t>ESO spen</w:t>
      </w:r>
      <w:r w:rsidR="00597EAA" w:rsidRPr="008318A1">
        <w:rPr>
          <w:rFonts w:cstheme="minorHAnsi"/>
        </w:rPr>
        <w:t xml:space="preserve">t over </w:t>
      </w:r>
      <w:r w:rsidRPr="008318A1">
        <w:rPr>
          <w:rFonts w:cstheme="minorHAnsi"/>
        </w:rPr>
        <w:t>£86m to keep the power stations going, this involved paying £4,000 per megawatt-hour for fossil fuel power station</w:t>
      </w:r>
      <w:r w:rsidR="00597EAA" w:rsidRPr="008318A1">
        <w:rPr>
          <w:rFonts w:cstheme="minorHAnsi"/>
        </w:rPr>
        <w:t>s</w:t>
      </w:r>
      <w:r w:rsidRPr="008318A1">
        <w:rPr>
          <w:rFonts w:cstheme="minorHAnsi"/>
        </w:rPr>
        <w:t xml:space="preserve"> to produce electricity</w:t>
      </w:r>
      <w:r w:rsidR="00597EAA" w:rsidRPr="008318A1">
        <w:rPr>
          <w:rFonts w:cstheme="minorHAnsi"/>
        </w:rPr>
        <w:t xml:space="preserve"> when needed</w:t>
      </w:r>
      <w:r w:rsidRPr="008318A1">
        <w:rPr>
          <w:rFonts w:cstheme="minorHAnsi"/>
        </w:rPr>
        <w:t>.</w:t>
      </w:r>
      <w:r w:rsidR="00597EAA" w:rsidRPr="008318A1">
        <w:rPr>
          <w:rFonts w:cstheme="minorHAnsi"/>
        </w:rPr>
        <w:t xml:space="preserve"> By introducing</w:t>
      </w:r>
      <w:r w:rsidRPr="008318A1">
        <w:rPr>
          <w:rFonts w:cstheme="minorHAnsi"/>
        </w:rPr>
        <w:t xml:space="preserve"> V2G</w:t>
      </w:r>
      <w:r w:rsidR="00597EAA" w:rsidRPr="008318A1">
        <w:rPr>
          <w:rFonts w:cstheme="minorHAnsi"/>
        </w:rPr>
        <w:t xml:space="preserve"> into the grid</w:t>
      </w:r>
      <w:r w:rsidRPr="008318A1">
        <w:rPr>
          <w:rFonts w:cstheme="minorHAnsi"/>
        </w:rPr>
        <w:t xml:space="preserve"> situations like this </w:t>
      </w:r>
      <w:r w:rsidR="00597EAA" w:rsidRPr="008318A1">
        <w:rPr>
          <w:rFonts w:cstheme="minorHAnsi"/>
        </w:rPr>
        <w:t>would</w:t>
      </w:r>
      <w:r w:rsidRPr="008318A1">
        <w:rPr>
          <w:rFonts w:cstheme="minorHAnsi"/>
        </w:rPr>
        <w:t xml:space="preserve"> make us</w:t>
      </w:r>
      <w:r w:rsidR="00597EAA" w:rsidRPr="008318A1">
        <w:rPr>
          <w:rFonts w:cstheme="minorHAnsi"/>
        </w:rPr>
        <w:t xml:space="preserve">e </w:t>
      </w:r>
      <w:r w:rsidRPr="008318A1">
        <w:rPr>
          <w:rFonts w:cstheme="minorHAnsi"/>
        </w:rPr>
        <w:t>of stored energy in vehicles instead of relying on costly/harmful power stations. This would les</w:t>
      </w:r>
      <w:r w:rsidR="00597EAA" w:rsidRPr="008318A1">
        <w:rPr>
          <w:rFonts w:cstheme="minorHAnsi"/>
        </w:rPr>
        <w:t>se</w:t>
      </w:r>
      <w:r w:rsidRPr="008318A1">
        <w:rPr>
          <w:rFonts w:cstheme="minorHAnsi"/>
        </w:rPr>
        <w:t>n the burden</w:t>
      </w:r>
      <w:r w:rsidR="00597EAA" w:rsidRPr="008318A1">
        <w:rPr>
          <w:rFonts w:cstheme="minorHAnsi"/>
        </w:rPr>
        <w:t xml:space="preserve"> </w:t>
      </w:r>
      <w:r w:rsidRPr="008318A1">
        <w:rPr>
          <w:rFonts w:cstheme="minorHAnsi"/>
        </w:rPr>
        <w:t>placed on current power plants whilst acting as a solution to costly peak plant generators, this would also reduce</w:t>
      </w:r>
      <w:r w:rsidR="00597EAA" w:rsidRPr="008318A1">
        <w:rPr>
          <w:rFonts w:cstheme="minorHAnsi"/>
        </w:rPr>
        <w:t xml:space="preserve"> </w:t>
      </w:r>
      <w:r w:rsidRPr="008318A1">
        <w:rPr>
          <w:rFonts w:cstheme="minorHAnsi"/>
        </w:rPr>
        <w:t>maintenance costs of these facilities. All this will lead to saving</w:t>
      </w:r>
      <w:r w:rsidR="00597EAA" w:rsidRPr="008318A1">
        <w:rPr>
          <w:rFonts w:cstheme="minorHAnsi"/>
        </w:rPr>
        <w:t>s</w:t>
      </w:r>
      <w:r w:rsidRPr="008318A1">
        <w:rPr>
          <w:rFonts w:cstheme="minorHAnsi"/>
        </w:rPr>
        <w:t xml:space="preserve"> of billions of pounds from the power sector along with </w:t>
      </w:r>
      <w:r w:rsidR="00597EAA" w:rsidRPr="008318A1">
        <w:rPr>
          <w:rFonts w:cstheme="minorHAnsi"/>
        </w:rPr>
        <w:t xml:space="preserve">providing the grid with </w:t>
      </w:r>
      <w:r w:rsidRPr="008318A1">
        <w:rPr>
          <w:rFonts w:cstheme="minorHAnsi"/>
        </w:rPr>
        <w:t>a flexible, controllable load with load levelling during off-peak periods (Pandy et al, 2015; Morash, 2013; Zhou &amp; Li, 2015; Kempton et al, 2001</w:t>
      </w:r>
      <w:r w:rsidR="00EE7C1A" w:rsidRPr="008318A1">
        <w:rPr>
          <w:rFonts w:cstheme="minorHAnsi"/>
        </w:rPr>
        <w:t>; BBC News, 2021; The Guardian, 2021).</w:t>
      </w:r>
    </w:p>
    <w:p w14:paraId="7CD656C8" w14:textId="77BC0D82" w:rsidR="0077193F" w:rsidRPr="008318A1" w:rsidRDefault="0077193F" w:rsidP="0077193F">
      <w:pPr>
        <w:rPr>
          <w:rFonts w:cstheme="minorHAnsi"/>
        </w:rPr>
      </w:pPr>
      <w:r w:rsidRPr="008318A1">
        <w:rPr>
          <w:rFonts w:cstheme="minorHAnsi"/>
        </w:rPr>
        <w:t>PHEVs can be used to help balance the frequency of the grid by acting as an energy producer</w:t>
      </w:r>
      <w:r w:rsidR="00597EAA" w:rsidRPr="008318A1">
        <w:rPr>
          <w:rFonts w:cstheme="minorHAnsi"/>
        </w:rPr>
        <w:t>/</w:t>
      </w:r>
      <w:r w:rsidRPr="008318A1">
        <w:rPr>
          <w:rFonts w:cstheme="minorHAnsi"/>
        </w:rPr>
        <w:t>load</w:t>
      </w:r>
      <w:r w:rsidR="00597EAA" w:rsidRPr="008318A1">
        <w:rPr>
          <w:rFonts w:cstheme="minorHAnsi"/>
        </w:rPr>
        <w:t>.</w:t>
      </w:r>
      <w:r w:rsidRPr="008318A1">
        <w:rPr>
          <w:rFonts w:cstheme="minorHAnsi"/>
        </w:rPr>
        <w:t xml:space="preserve"> </w:t>
      </w:r>
      <w:r w:rsidR="00597EAA" w:rsidRPr="008318A1">
        <w:rPr>
          <w:rFonts w:cstheme="minorHAnsi"/>
        </w:rPr>
        <w:t>W</w:t>
      </w:r>
      <w:r w:rsidRPr="008318A1">
        <w:rPr>
          <w:rFonts w:cstheme="minorHAnsi"/>
        </w:rPr>
        <w:t>hen</w:t>
      </w:r>
      <w:r w:rsidR="00597EAA" w:rsidRPr="008318A1">
        <w:rPr>
          <w:rFonts w:cstheme="minorHAnsi"/>
        </w:rPr>
        <w:t xml:space="preserve"> </w:t>
      </w:r>
      <w:r w:rsidRPr="008318A1">
        <w:rPr>
          <w:rFonts w:cstheme="minorHAnsi"/>
        </w:rPr>
        <w:t>a shortage of energy</w:t>
      </w:r>
      <w:r w:rsidR="00597EAA" w:rsidRPr="008318A1">
        <w:rPr>
          <w:rFonts w:cstheme="minorHAnsi"/>
        </w:rPr>
        <w:t xml:space="preserve"> is seen</w:t>
      </w:r>
      <w:r w:rsidRPr="008318A1">
        <w:rPr>
          <w:rFonts w:cstheme="minorHAnsi"/>
        </w:rPr>
        <w:t xml:space="preserve"> it can be taken from the vehicle</w:t>
      </w:r>
      <w:r w:rsidR="00597EAA" w:rsidRPr="008318A1">
        <w:rPr>
          <w:rFonts w:cstheme="minorHAnsi"/>
        </w:rPr>
        <w:t xml:space="preserve">, </w:t>
      </w:r>
      <w:r w:rsidRPr="008318A1">
        <w:rPr>
          <w:rFonts w:cstheme="minorHAnsi"/>
        </w:rPr>
        <w:t xml:space="preserve">when </w:t>
      </w:r>
      <w:r w:rsidR="00597EAA" w:rsidRPr="008318A1">
        <w:rPr>
          <w:rFonts w:cstheme="minorHAnsi"/>
        </w:rPr>
        <w:t>there is an</w:t>
      </w:r>
      <w:r w:rsidRPr="008318A1">
        <w:rPr>
          <w:rFonts w:cstheme="minorHAnsi"/>
        </w:rPr>
        <w:t xml:space="preserve"> overabundance </w:t>
      </w:r>
      <w:r w:rsidR="00597EAA" w:rsidRPr="008318A1">
        <w:rPr>
          <w:rFonts w:cstheme="minorHAnsi"/>
        </w:rPr>
        <w:t>of</w:t>
      </w:r>
      <w:r w:rsidRPr="008318A1">
        <w:rPr>
          <w:rFonts w:cstheme="minorHAnsi"/>
        </w:rPr>
        <w:t xml:space="preserve"> energy </w:t>
      </w:r>
      <w:r w:rsidR="00597EAA" w:rsidRPr="008318A1">
        <w:rPr>
          <w:rFonts w:cstheme="minorHAnsi"/>
        </w:rPr>
        <w:t xml:space="preserve">it </w:t>
      </w:r>
      <w:r w:rsidRPr="008318A1">
        <w:rPr>
          <w:rFonts w:cstheme="minorHAnsi"/>
        </w:rPr>
        <w:t xml:space="preserve">can be placed back into the vehicle. </w:t>
      </w:r>
      <w:r w:rsidR="00597EAA" w:rsidRPr="008318A1">
        <w:rPr>
          <w:rFonts w:cstheme="minorHAnsi"/>
        </w:rPr>
        <w:t>U</w:t>
      </w:r>
      <w:r w:rsidRPr="008318A1">
        <w:rPr>
          <w:rFonts w:cstheme="minorHAnsi"/>
        </w:rPr>
        <w:t xml:space="preserve">sing the vehicle </w:t>
      </w:r>
      <w:r w:rsidR="00597EAA" w:rsidRPr="008318A1">
        <w:rPr>
          <w:rFonts w:cstheme="minorHAnsi"/>
        </w:rPr>
        <w:t xml:space="preserve">like </w:t>
      </w:r>
      <w:r w:rsidRPr="008318A1">
        <w:rPr>
          <w:rFonts w:cstheme="minorHAnsi"/>
        </w:rPr>
        <w:t xml:space="preserve">this </w:t>
      </w:r>
      <w:r w:rsidR="00597EAA" w:rsidRPr="008318A1">
        <w:rPr>
          <w:rFonts w:cstheme="minorHAnsi"/>
        </w:rPr>
        <w:t>allows the</w:t>
      </w:r>
      <w:r w:rsidRPr="008318A1">
        <w:rPr>
          <w:rFonts w:cstheme="minorHAnsi"/>
        </w:rPr>
        <w:t xml:space="preserve"> following </w:t>
      </w:r>
      <w:r w:rsidR="00597EAA" w:rsidRPr="008318A1">
        <w:rPr>
          <w:rFonts w:cstheme="minorHAnsi"/>
        </w:rPr>
        <w:t xml:space="preserve">to be </w:t>
      </w:r>
      <w:r w:rsidRPr="008318A1">
        <w:rPr>
          <w:rFonts w:cstheme="minorHAnsi"/>
        </w:rPr>
        <w:t>achieved:</w:t>
      </w:r>
    </w:p>
    <w:p w14:paraId="45CC38A8" w14:textId="13A4CD84" w:rsidR="0077193F" w:rsidRPr="008318A1" w:rsidRDefault="00597EAA" w:rsidP="0077193F">
      <w:pPr>
        <w:pStyle w:val="ListParagraph"/>
        <w:numPr>
          <w:ilvl w:val="0"/>
          <w:numId w:val="10"/>
        </w:numPr>
        <w:spacing w:line="256" w:lineRule="auto"/>
        <w:rPr>
          <w:rFonts w:cstheme="minorHAnsi"/>
        </w:rPr>
      </w:pPr>
      <w:r w:rsidRPr="008318A1">
        <w:rPr>
          <w:rFonts w:cstheme="minorHAnsi"/>
        </w:rPr>
        <w:t>R</w:t>
      </w:r>
      <w:r w:rsidR="0077193F" w:rsidRPr="008318A1">
        <w:rPr>
          <w:rFonts w:cstheme="minorHAnsi"/>
        </w:rPr>
        <w:t>eduction</w:t>
      </w:r>
      <w:r w:rsidRPr="008318A1">
        <w:rPr>
          <w:rFonts w:cstheme="minorHAnsi"/>
        </w:rPr>
        <w:t xml:space="preserve"> </w:t>
      </w:r>
      <w:r w:rsidR="0077193F" w:rsidRPr="008318A1">
        <w:rPr>
          <w:rFonts w:cstheme="minorHAnsi"/>
        </w:rPr>
        <w:t>in the use of spinning resources (extra generators attached to the grid)</w:t>
      </w:r>
    </w:p>
    <w:p w14:paraId="46A66491" w14:textId="77777777" w:rsidR="0077193F" w:rsidRPr="008318A1" w:rsidRDefault="0077193F" w:rsidP="0077193F">
      <w:pPr>
        <w:pStyle w:val="ListParagraph"/>
        <w:numPr>
          <w:ilvl w:val="0"/>
          <w:numId w:val="10"/>
        </w:numPr>
        <w:spacing w:line="256" w:lineRule="auto"/>
        <w:rPr>
          <w:rFonts w:cstheme="minorHAnsi"/>
        </w:rPr>
      </w:pPr>
      <w:r w:rsidRPr="008318A1">
        <w:rPr>
          <w:rFonts w:cstheme="minorHAnsi"/>
        </w:rPr>
        <w:t xml:space="preserve">Help in responding to unexpected equipment failures. </w:t>
      </w:r>
    </w:p>
    <w:p w14:paraId="786CD8DA" w14:textId="3116A240" w:rsidR="0077193F" w:rsidRPr="008318A1" w:rsidRDefault="0077193F" w:rsidP="0077193F">
      <w:pPr>
        <w:pStyle w:val="ListParagraph"/>
        <w:numPr>
          <w:ilvl w:val="0"/>
          <w:numId w:val="10"/>
        </w:numPr>
        <w:spacing w:line="256" w:lineRule="auto"/>
        <w:rPr>
          <w:rFonts w:cstheme="minorHAnsi"/>
        </w:rPr>
      </w:pPr>
      <w:r w:rsidRPr="008318A1">
        <w:rPr>
          <w:rFonts w:cstheme="minorHAnsi"/>
        </w:rPr>
        <w:t>Stab</w:t>
      </w:r>
      <w:r w:rsidR="00597EAA" w:rsidRPr="008318A1">
        <w:rPr>
          <w:rFonts w:cstheme="minorHAnsi"/>
        </w:rPr>
        <w:t>ler</w:t>
      </w:r>
      <w:r w:rsidRPr="008318A1">
        <w:rPr>
          <w:rFonts w:cstheme="minorHAnsi"/>
        </w:rPr>
        <w:t xml:space="preserve"> operation of the</w:t>
      </w:r>
      <w:r w:rsidR="00597EAA" w:rsidRPr="008318A1">
        <w:rPr>
          <w:rFonts w:cstheme="minorHAnsi"/>
        </w:rPr>
        <w:t xml:space="preserve"> grid</w:t>
      </w:r>
      <w:r w:rsidRPr="008318A1">
        <w:rPr>
          <w:rFonts w:cstheme="minorHAnsi"/>
        </w:rPr>
        <w:t xml:space="preserve"> due to their ability to act as an ancillary service</w:t>
      </w:r>
      <w:r w:rsidR="00597EAA" w:rsidRPr="008318A1">
        <w:rPr>
          <w:rFonts w:cstheme="minorHAnsi"/>
        </w:rPr>
        <w:t>.</w:t>
      </w:r>
    </w:p>
    <w:p w14:paraId="02C81CA8" w14:textId="68D890E7" w:rsidR="0077193F" w:rsidRPr="008318A1" w:rsidRDefault="0077193F" w:rsidP="0077193F">
      <w:pPr>
        <w:pStyle w:val="ListParagraph"/>
        <w:numPr>
          <w:ilvl w:val="0"/>
          <w:numId w:val="10"/>
        </w:numPr>
        <w:spacing w:line="256" w:lineRule="auto"/>
        <w:rPr>
          <w:rFonts w:cstheme="minorHAnsi"/>
        </w:rPr>
      </w:pPr>
      <w:r w:rsidRPr="008318A1">
        <w:rPr>
          <w:rFonts w:cstheme="minorHAnsi"/>
        </w:rPr>
        <w:t>Reduc</w:t>
      </w:r>
      <w:r w:rsidR="00597EAA" w:rsidRPr="008318A1">
        <w:rPr>
          <w:rFonts w:cstheme="minorHAnsi"/>
        </w:rPr>
        <w:t xml:space="preserve">tion in the use of </w:t>
      </w:r>
      <w:r w:rsidRPr="008318A1">
        <w:rPr>
          <w:rFonts w:cstheme="minorHAnsi"/>
        </w:rPr>
        <w:t>protection relays and possible reduction in the impact of contingencies.</w:t>
      </w:r>
    </w:p>
    <w:p w14:paraId="52001D71" w14:textId="43206D5D" w:rsidR="0077193F" w:rsidRPr="008318A1" w:rsidRDefault="0077193F" w:rsidP="0077193F">
      <w:pPr>
        <w:pStyle w:val="ListParagraph"/>
        <w:numPr>
          <w:ilvl w:val="0"/>
          <w:numId w:val="10"/>
        </w:numPr>
        <w:spacing w:line="256" w:lineRule="auto"/>
        <w:rPr>
          <w:rFonts w:cstheme="minorHAnsi"/>
        </w:rPr>
      </w:pPr>
      <w:r w:rsidRPr="008318A1">
        <w:rPr>
          <w:rFonts w:cstheme="minorHAnsi"/>
        </w:rPr>
        <w:t>Reduction in capital cost</w:t>
      </w:r>
      <w:r w:rsidR="00597EAA" w:rsidRPr="008318A1">
        <w:rPr>
          <w:rFonts w:cstheme="minorHAnsi"/>
        </w:rPr>
        <w:t>/</w:t>
      </w:r>
      <w:r w:rsidRPr="008318A1">
        <w:rPr>
          <w:rFonts w:cstheme="minorHAnsi"/>
        </w:rPr>
        <w:t>maintenance of spinning resources.</w:t>
      </w:r>
    </w:p>
    <w:p w14:paraId="69764BAC" w14:textId="77777777" w:rsidR="0077193F" w:rsidRPr="008318A1" w:rsidRDefault="0077193F" w:rsidP="0077193F">
      <w:pPr>
        <w:rPr>
          <w:rFonts w:cstheme="minorHAnsi"/>
        </w:rPr>
      </w:pPr>
      <w:r w:rsidRPr="008318A1">
        <w:rPr>
          <w:rFonts w:cstheme="minorHAnsi"/>
        </w:rPr>
        <w:t>(</w:t>
      </w:r>
      <w:bookmarkStart w:id="10" w:name="_Hlk88226324"/>
      <w:r w:rsidRPr="008318A1">
        <w:rPr>
          <w:rFonts w:cstheme="minorHAnsi"/>
        </w:rPr>
        <w:t>Pandy et al, 2015; Morash, 2013; Zhou &amp; Li, 2015; Kempton et al, 2001</w:t>
      </w:r>
      <w:bookmarkEnd w:id="10"/>
      <w:r w:rsidRPr="008318A1">
        <w:rPr>
          <w:rFonts w:cstheme="minorHAnsi"/>
        </w:rPr>
        <w:t>)</w:t>
      </w:r>
    </w:p>
    <w:p w14:paraId="7A41EB3C" w14:textId="7687F268" w:rsidR="0077193F" w:rsidRPr="008318A1" w:rsidRDefault="0077193F" w:rsidP="0077193F">
      <w:pPr>
        <w:rPr>
          <w:rFonts w:cstheme="minorHAnsi"/>
        </w:rPr>
      </w:pPr>
      <w:r w:rsidRPr="008318A1">
        <w:rPr>
          <w:rFonts w:cstheme="minorHAnsi"/>
        </w:rPr>
        <w:t>Due to the use of the vehicle</w:t>
      </w:r>
      <w:r w:rsidR="00597EAA" w:rsidRPr="008318A1">
        <w:rPr>
          <w:rFonts w:cstheme="minorHAnsi"/>
        </w:rPr>
        <w:t>,</w:t>
      </w:r>
      <w:r w:rsidRPr="008318A1">
        <w:rPr>
          <w:rFonts w:cstheme="minorHAnsi"/>
        </w:rPr>
        <w:t xml:space="preserve"> power compan</w:t>
      </w:r>
      <w:r w:rsidR="00597EAA" w:rsidRPr="008318A1">
        <w:rPr>
          <w:rFonts w:cstheme="minorHAnsi"/>
        </w:rPr>
        <w:t>ies</w:t>
      </w:r>
      <w:r w:rsidRPr="008318A1">
        <w:rPr>
          <w:rFonts w:cstheme="minorHAnsi"/>
        </w:rPr>
        <w:t xml:space="preserve"> will provide reductions in </w:t>
      </w:r>
      <w:r w:rsidR="00597EAA" w:rsidRPr="008318A1">
        <w:rPr>
          <w:rFonts w:cstheme="minorHAnsi"/>
        </w:rPr>
        <w:t xml:space="preserve">the </w:t>
      </w:r>
      <w:r w:rsidRPr="008318A1">
        <w:rPr>
          <w:rFonts w:cstheme="minorHAnsi"/>
        </w:rPr>
        <w:t>cost of electricity tariffs in addition to compensation due to damage c</w:t>
      </w:r>
      <w:r w:rsidR="008C2EB6" w:rsidRPr="008318A1">
        <w:rPr>
          <w:rFonts w:cstheme="minorHAnsi"/>
        </w:rPr>
        <w:t xml:space="preserve">aused </w:t>
      </w:r>
      <w:r w:rsidRPr="008318A1">
        <w:rPr>
          <w:rFonts w:cstheme="minorHAnsi"/>
        </w:rPr>
        <w:t>to the battery due to repeated discharging</w:t>
      </w:r>
      <w:r w:rsidR="00597EAA" w:rsidRPr="008318A1">
        <w:rPr>
          <w:rFonts w:cstheme="minorHAnsi"/>
        </w:rPr>
        <w:t>/</w:t>
      </w:r>
      <w:r w:rsidRPr="008318A1">
        <w:rPr>
          <w:rFonts w:cstheme="minorHAnsi"/>
        </w:rPr>
        <w:t>charging (Pandy et al, 2015; Morash, 2013; Zhou &amp; Li, 2015; Kempton et al, 2001).</w:t>
      </w:r>
    </w:p>
    <w:p w14:paraId="4DEA5043" w14:textId="5D1D5004" w:rsidR="0077193F" w:rsidRPr="008318A1" w:rsidRDefault="0077193F" w:rsidP="0077193F">
      <w:pPr>
        <w:rPr>
          <w:rFonts w:cstheme="minorHAnsi"/>
        </w:rPr>
      </w:pPr>
      <w:r w:rsidRPr="008318A1">
        <w:rPr>
          <w:rFonts w:cstheme="minorHAnsi"/>
        </w:rPr>
        <w:t>During a power outage, the PHEV can be plugged into the house independently and used</w:t>
      </w:r>
      <w:r w:rsidR="00597EAA" w:rsidRPr="008318A1">
        <w:rPr>
          <w:rFonts w:cstheme="minorHAnsi"/>
        </w:rPr>
        <w:t xml:space="preserve"> as a power source</w:t>
      </w:r>
      <w:r w:rsidRPr="008318A1">
        <w:rPr>
          <w:rFonts w:cstheme="minorHAnsi"/>
        </w:rPr>
        <w:t>. A Toyota Prius can produce at least 3 kilowatts continuously, this makes it capable to power a house during a blackout (Pandy et al, 2015; Morash, 2013; Zhou &amp; Li, 2015; Kempton et al, 2001).</w:t>
      </w:r>
    </w:p>
    <w:p w14:paraId="3115F0BC" w14:textId="7377114E" w:rsidR="0077193F" w:rsidRPr="008318A1" w:rsidRDefault="00597EAA" w:rsidP="0077193F">
      <w:pPr>
        <w:rPr>
          <w:rFonts w:cstheme="minorHAnsi"/>
        </w:rPr>
      </w:pPr>
      <w:r w:rsidRPr="008318A1">
        <w:rPr>
          <w:rFonts w:cstheme="minorHAnsi"/>
        </w:rPr>
        <w:t>T</w:t>
      </w:r>
      <w:r w:rsidR="0077193F" w:rsidRPr="008318A1">
        <w:rPr>
          <w:rFonts w:cstheme="minorHAnsi"/>
        </w:rPr>
        <w:t xml:space="preserve">he storage of energy produced by renewable sources </w:t>
      </w:r>
      <w:r w:rsidRPr="008318A1">
        <w:rPr>
          <w:rFonts w:cstheme="minorHAnsi"/>
        </w:rPr>
        <w:t xml:space="preserve">faces </w:t>
      </w:r>
      <w:r w:rsidR="0077193F" w:rsidRPr="008318A1">
        <w:rPr>
          <w:rFonts w:cstheme="minorHAnsi"/>
        </w:rPr>
        <w:t xml:space="preserve">three main issues; location, cost and technology, V2G can be a solution to this problem. </w:t>
      </w:r>
      <w:r w:rsidRPr="008318A1">
        <w:rPr>
          <w:rFonts w:cstheme="minorHAnsi"/>
        </w:rPr>
        <w:t xml:space="preserve">Energy generated by </w:t>
      </w:r>
      <w:r w:rsidR="0077193F" w:rsidRPr="008318A1">
        <w:rPr>
          <w:rFonts w:cstheme="minorHAnsi"/>
        </w:rPr>
        <w:t xml:space="preserve">renewable sources </w:t>
      </w:r>
      <w:r w:rsidRPr="008318A1">
        <w:rPr>
          <w:rFonts w:cstheme="minorHAnsi"/>
        </w:rPr>
        <w:t xml:space="preserve">sees </w:t>
      </w:r>
      <w:r w:rsidR="0077193F" w:rsidRPr="008318A1">
        <w:rPr>
          <w:rFonts w:cstheme="minorHAnsi"/>
        </w:rPr>
        <w:t>peak</w:t>
      </w:r>
      <w:r w:rsidRPr="008318A1">
        <w:rPr>
          <w:rFonts w:cstheme="minorHAnsi"/>
        </w:rPr>
        <w:t>s</w:t>
      </w:r>
      <w:r w:rsidR="0077193F" w:rsidRPr="008318A1">
        <w:rPr>
          <w:rFonts w:cstheme="minorHAnsi"/>
        </w:rPr>
        <w:t xml:space="preserve"> </w:t>
      </w:r>
      <w:r w:rsidRPr="008318A1">
        <w:rPr>
          <w:rFonts w:cstheme="minorHAnsi"/>
        </w:rPr>
        <w:t xml:space="preserve">in energy output </w:t>
      </w:r>
      <w:r w:rsidR="0077193F" w:rsidRPr="008318A1">
        <w:rPr>
          <w:rFonts w:cstheme="minorHAnsi"/>
        </w:rPr>
        <w:t xml:space="preserve">at different points threw out the 24-hour cycle, the issue </w:t>
      </w:r>
      <w:r w:rsidRPr="008318A1">
        <w:rPr>
          <w:rFonts w:cstheme="minorHAnsi"/>
        </w:rPr>
        <w:t xml:space="preserve">arises </w:t>
      </w:r>
      <w:r w:rsidR="0077193F" w:rsidRPr="008318A1">
        <w:rPr>
          <w:rFonts w:cstheme="minorHAnsi"/>
        </w:rPr>
        <w:t xml:space="preserve">when a range of renewable energy sources are used and these peak outputs happen at different times, this leads to problems integrating renewable energy resources into the grid. </w:t>
      </w:r>
      <w:r w:rsidRPr="008318A1">
        <w:rPr>
          <w:rFonts w:cstheme="minorHAnsi"/>
        </w:rPr>
        <w:t>By using</w:t>
      </w:r>
      <w:r w:rsidR="0077193F" w:rsidRPr="008318A1">
        <w:rPr>
          <w:rFonts w:cstheme="minorHAnsi"/>
        </w:rPr>
        <w:t xml:space="preserve"> V2G, the</w:t>
      </w:r>
      <w:r w:rsidRPr="008318A1">
        <w:rPr>
          <w:rFonts w:cstheme="minorHAnsi"/>
        </w:rPr>
        <w:t xml:space="preserve">se </w:t>
      </w:r>
      <w:r w:rsidR="0077193F" w:rsidRPr="008318A1">
        <w:rPr>
          <w:rFonts w:cstheme="minorHAnsi"/>
        </w:rPr>
        <w:t xml:space="preserve">energy peaks can be placed into vehicles and then </w:t>
      </w:r>
      <w:r w:rsidRPr="008318A1">
        <w:rPr>
          <w:rFonts w:cstheme="minorHAnsi"/>
        </w:rPr>
        <w:t xml:space="preserve">placed </w:t>
      </w:r>
      <w:r w:rsidR="0077193F" w:rsidRPr="008318A1">
        <w:rPr>
          <w:rFonts w:cstheme="minorHAnsi"/>
        </w:rPr>
        <w:t xml:space="preserve">back </w:t>
      </w:r>
      <w:r w:rsidRPr="008318A1">
        <w:rPr>
          <w:rFonts w:cstheme="minorHAnsi"/>
        </w:rPr>
        <w:t xml:space="preserve">into </w:t>
      </w:r>
      <w:r w:rsidR="0077193F" w:rsidRPr="008318A1">
        <w:rPr>
          <w:rFonts w:cstheme="minorHAnsi"/>
        </w:rPr>
        <w:t xml:space="preserve">the grid </w:t>
      </w:r>
      <w:r w:rsidRPr="008318A1">
        <w:rPr>
          <w:rFonts w:cstheme="minorHAnsi"/>
        </w:rPr>
        <w:t xml:space="preserve">when </w:t>
      </w:r>
      <w:r w:rsidR="0077193F" w:rsidRPr="008318A1">
        <w:rPr>
          <w:rFonts w:cstheme="minorHAnsi"/>
        </w:rPr>
        <w:t>need</w:t>
      </w:r>
      <w:r w:rsidRPr="008318A1">
        <w:rPr>
          <w:rFonts w:cstheme="minorHAnsi"/>
        </w:rPr>
        <w:t>ed</w:t>
      </w:r>
      <w:r w:rsidR="0077193F" w:rsidRPr="008318A1">
        <w:rPr>
          <w:rFonts w:cstheme="minorHAnsi"/>
        </w:rPr>
        <w:t>; this again helps with the balancing/storage of energy in the grid (Pandy et al, 2015; Morash, 2013; Zhou &amp; Li, 2015; Kempton et al, 2001).</w:t>
      </w:r>
    </w:p>
    <w:p w14:paraId="31C12055" w14:textId="2FD60B01" w:rsidR="0077193F" w:rsidRPr="008318A1" w:rsidRDefault="0077193F" w:rsidP="0077193F">
      <w:pPr>
        <w:rPr>
          <w:rFonts w:cstheme="minorHAnsi"/>
        </w:rPr>
      </w:pPr>
      <w:r w:rsidRPr="008318A1">
        <w:rPr>
          <w:rFonts w:cstheme="minorHAnsi"/>
        </w:rPr>
        <w:t xml:space="preserve">V2G is still in its infancy of development, with a range of testing that still needs to be done before completion. This Is primarily to do with the destructive attributes the process has towards the battery/vehicle. Another issue facing V2G is for the ideas above to work the infrastructure needs to first be put in place, this would cost a lot and be dependent on whether people will </w:t>
      </w:r>
      <w:r w:rsidR="00597EAA" w:rsidRPr="008318A1">
        <w:rPr>
          <w:rFonts w:cstheme="minorHAnsi"/>
        </w:rPr>
        <w:t xml:space="preserve">use </w:t>
      </w:r>
      <w:r w:rsidRPr="008318A1">
        <w:rPr>
          <w:rFonts w:cstheme="minorHAnsi"/>
        </w:rPr>
        <w:t>V2G; the more people who use the grid the cheaper it will become to run</w:t>
      </w:r>
      <w:r w:rsidR="00873E7E" w:rsidRPr="008318A1">
        <w:rPr>
          <w:rFonts w:cstheme="minorHAnsi"/>
        </w:rPr>
        <w:t xml:space="preserve"> </w:t>
      </w:r>
      <w:r w:rsidRPr="008318A1">
        <w:rPr>
          <w:rFonts w:cstheme="minorHAnsi"/>
        </w:rPr>
        <w:t>(Pandy et al, 2015; Morash, 2013; Zhou &amp; Li, 2015; Kempton et al, 2001).</w:t>
      </w:r>
    </w:p>
    <w:p w14:paraId="72900306" w14:textId="77777777" w:rsidR="0077193F" w:rsidRDefault="0077193F">
      <w:pPr>
        <w:rPr>
          <w:rFonts w:cstheme="minorHAnsi"/>
        </w:rPr>
      </w:pPr>
      <w:r>
        <w:rPr>
          <w:rFonts w:cstheme="minorHAnsi"/>
        </w:rPr>
        <w:br w:type="page"/>
      </w:r>
    </w:p>
    <w:p w14:paraId="59023405" w14:textId="77777777" w:rsidR="0077193F" w:rsidRDefault="0077193F" w:rsidP="0077193F">
      <w:pPr>
        <w:pStyle w:val="Heading2"/>
      </w:pPr>
      <w:bookmarkStart w:id="11" w:name="_Toc88299735"/>
      <w:r>
        <w:lastRenderedPageBreak/>
        <w:t>Ethical Issues</w:t>
      </w:r>
      <w:bookmarkEnd w:id="11"/>
    </w:p>
    <w:p w14:paraId="4492872C" w14:textId="3E214BCD" w:rsidR="0077193F" w:rsidRPr="008318A1" w:rsidRDefault="0077193F" w:rsidP="0077193F">
      <w:pPr>
        <w:rPr>
          <w:rFonts w:cstheme="minorHAnsi"/>
        </w:rPr>
      </w:pPr>
      <w:r w:rsidRPr="008318A1">
        <w:rPr>
          <w:rFonts w:cstheme="minorHAnsi"/>
        </w:rPr>
        <w:t>Lithium is used</w:t>
      </w:r>
      <w:r w:rsidR="0091067D" w:rsidRPr="008318A1">
        <w:rPr>
          <w:rFonts w:cstheme="minorHAnsi"/>
        </w:rPr>
        <w:t xml:space="preserve"> in </w:t>
      </w:r>
      <w:r w:rsidRPr="008318A1">
        <w:rPr>
          <w:rFonts w:cstheme="minorHAnsi"/>
        </w:rPr>
        <w:t>everything from phones</w:t>
      </w:r>
      <w:r w:rsidR="0091067D" w:rsidRPr="008318A1">
        <w:rPr>
          <w:rFonts w:cstheme="minorHAnsi"/>
        </w:rPr>
        <w:t xml:space="preserve"> to </w:t>
      </w:r>
      <w:r w:rsidRPr="008318A1">
        <w:rPr>
          <w:rFonts w:cstheme="minorHAnsi"/>
        </w:rPr>
        <w:t>laptops and of</w:t>
      </w:r>
      <w:r w:rsidR="0091067D" w:rsidRPr="008318A1">
        <w:rPr>
          <w:rFonts w:cstheme="minorHAnsi"/>
        </w:rPr>
        <w:t xml:space="preserve">f </w:t>
      </w:r>
      <w:r w:rsidRPr="008318A1">
        <w:rPr>
          <w:rFonts w:cstheme="minorHAnsi"/>
        </w:rPr>
        <w:t>present-day cars</w:t>
      </w:r>
      <w:r w:rsidR="0091067D" w:rsidRPr="008318A1">
        <w:rPr>
          <w:rFonts w:cstheme="minorHAnsi"/>
        </w:rPr>
        <w:t xml:space="preserve">, </w:t>
      </w:r>
      <w:r w:rsidRPr="008318A1">
        <w:rPr>
          <w:rFonts w:cstheme="minorHAnsi"/>
        </w:rPr>
        <w:t>but obtaining the metal for use is a very lengthy and harmful process</w:t>
      </w:r>
      <w:r w:rsidR="0091067D" w:rsidRPr="008318A1">
        <w:rPr>
          <w:rFonts w:cstheme="minorHAnsi"/>
        </w:rPr>
        <w:t>. M</w:t>
      </w:r>
      <w:r w:rsidRPr="008318A1">
        <w:rPr>
          <w:rFonts w:cstheme="minorHAnsi"/>
        </w:rPr>
        <w:t xml:space="preserve">ining lithium alters from location to location but one thing all sites have in common is </w:t>
      </w:r>
      <w:r w:rsidR="0091067D" w:rsidRPr="008318A1">
        <w:rPr>
          <w:rFonts w:cstheme="minorHAnsi"/>
        </w:rPr>
        <w:t xml:space="preserve">the use of </w:t>
      </w:r>
      <w:r w:rsidRPr="008318A1">
        <w:rPr>
          <w:rFonts w:cstheme="minorHAnsi"/>
        </w:rPr>
        <w:t>harmful chemicals to saturate surrounding areas to remove the lithium in a usable state (Katwala, 2018).</w:t>
      </w:r>
    </w:p>
    <w:p w14:paraId="44587747" w14:textId="290F77C6" w:rsidR="0077193F" w:rsidRPr="008318A1" w:rsidRDefault="0077193F" w:rsidP="0077193F">
      <w:pPr>
        <w:rPr>
          <w:rFonts w:cstheme="minorHAnsi"/>
        </w:rPr>
      </w:pPr>
      <w:r w:rsidRPr="008318A1">
        <w:rPr>
          <w:rFonts w:cstheme="minorHAnsi"/>
        </w:rPr>
        <w:t>The</w:t>
      </w:r>
      <w:r w:rsidR="0091067D" w:rsidRPr="008318A1">
        <w:rPr>
          <w:rFonts w:cstheme="minorHAnsi"/>
        </w:rPr>
        <w:t xml:space="preserve"> </w:t>
      </w:r>
      <w:r w:rsidRPr="008318A1">
        <w:rPr>
          <w:rFonts w:cstheme="minorHAnsi"/>
        </w:rPr>
        <w:t>South America</w:t>
      </w:r>
      <w:r w:rsidR="0091067D" w:rsidRPr="008318A1">
        <w:rPr>
          <w:rFonts w:cstheme="minorHAnsi"/>
        </w:rPr>
        <w:t>n</w:t>
      </w:r>
      <w:r w:rsidRPr="008318A1">
        <w:rPr>
          <w:rFonts w:cstheme="minorHAnsi"/>
        </w:rPr>
        <w:t xml:space="preserve"> </w:t>
      </w:r>
      <w:r w:rsidR="0091067D" w:rsidRPr="008318A1">
        <w:rPr>
          <w:rFonts w:cstheme="minorHAnsi"/>
        </w:rPr>
        <w:t xml:space="preserve">salt flats </w:t>
      </w:r>
      <w:r w:rsidRPr="008318A1">
        <w:rPr>
          <w:rFonts w:cstheme="minorHAnsi"/>
        </w:rPr>
        <w:t>are said to hold half the world’s lithium. Removing this starts by drilling holes in the salt flats and pumping salty, mineral-rich brine to the surface. This is</w:t>
      </w:r>
      <w:r w:rsidR="0091067D" w:rsidRPr="008318A1">
        <w:rPr>
          <w:rFonts w:cstheme="minorHAnsi"/>
        </w:rPr>
        <w:t xml:space="preserve"> </w:t>
      </w:r>
      <w:r w:rsidRPr="008318A1">
        <w:rPr>
          <w:rFonts w:cstheme="minorHAnsi"/>
        </w:rPr>
        <w:t>left to evaporate over months leaving behind a mixture of magnesium, potassium, borax and lithium salts. This salt mixture is then repeatedly saturated and evaporated for 12-18 months until lithium carbonate can be extracted, this method of lithium collection is cheap but requires 500,000 gallons of water per tonne of lithium (Katwala, 2018).</w:t>
      </w:r>
    </w:p>
    <w:p w14:paraId="10E4C5E6" w14:textId="002BA03F" w:rsidR="0077193F" w:rsidRPr="008318A1" w:rsidRDefault="0077193F" w:rsidP="0077193F">
      <w:pPr>
        <w:rPr>
          <w:rFonts w:cstheme="minorHAnsi"/>
        </w:rPr>
      </w:pPr>
      <w:r w:rsidRPr="008318A1">
        <w:rPr>
          <w:rFonts w:cstheme="minorHAnsi"/>
        </w:rPr>
        <w:t>Due to the quantities of water, it was seen that surrounding local farms were starting to see water shortages along with toxic chemicals (hydrochloric acid) leaking into the surrounding water supplies,</w:t>
      </w:r>
      <w:r w:rsidR="0091067D" w:rsidRPr="008318A1">
        <w:rPr>
          <w:rFonts w:cstheme="minorHAnsi"/>
        </w:rPr>
        <w:t xml:space="preserve"> </w:t>
      </w:r>
      <w:r w:rsidRPr="008318A1">
        <w:rPr>
          <w:rFonts w:cstheme="minorHAnsi"/>
        </w:rPr>
        <w:t>leading to the death of wild</w:t>
      </w:r>
      <w:r w:rsidR="0091067D" w:rsidRPr="008318A1">
        <w:rPr>
          <w:rFonts w:cstheme="minorHAnsi"/>
        </w:rPr>
        <w:t xml:space="preserve"> and </w:t>
      </w:r>
      <w:r w:rsidRPr="008318A1">
        <w:rPr>
          <w:rFonts w:cstheme="minorHAnsi"/>
        </w:rPr>
        <w:t>farmed animals in the area. Even when traditionally mining lithium, chemicals have been found to contaminate surrounding water sources. Research found that fish as far as 150 miles downstream were being impacted by lithium processing; this mining process has also been found to pollute the soil and cause air contamination (Katwala, 2018).</w:t>
      </w:r>
    </w:p>
    <w:p w14:paraId="3388B9A2" w14:textId="536DA2E7" w:rsidR="0077193F" w:rsidRPr="008318A1" w:rsidRDefault="0077193F" w:rsidP="0077193F">
      <w:pPr>
        <w:rPr>
          <w:rFonts w:cstheme="minorHAnsi"/>
        </w:rPr>
      </w:pPr>
      <w:r w:rsidRPr="008318A1">
        <w:rPr>
          <w:rFonts w:cstheme="minorHAnsi"/>
        </w:rPr>
        <w:t>Alongside lithium, the mining of cobalt is also taking its toll on the planet/surrounding communities. With cobalt being toxic straight out of the ground it starts to be problematic when due to its abundance and ease of obtaining</w:t>
      </w:r>
      <w:r w:rsidR="0091067D" w:rsidRPr="008318A1">
        <w:rPr>
          <w:rFonts w:cstheme="minorHAnsi"/>
        </w:rPr>
        <w:t>,</w:t>
      </w:r>
      <w:r w:rsidRPr="008318A1">
        <w:rPr>
          <w:rFonts w:cstheme="minorHAnsi"/>
        </w:rPr>
        <w:t xml:space="preserve"> people start using child labour to mine the substance in great quantities</w:t>
      </w:r>
      <w:r w:rsidR="0091067D" w:rsidRPr="008318A1">
        <w:rPr>
          <w:rFonts w:cstheme="minorHAnsi"/>
        </w:rPr>
        <w:t xml:space="preserve">. Alongside the harms stated above, other factors such as human interaction between minors and locals have shown to also cause an issue with the process </w:t>
      </w:r>
      <w:r w:rsidRPr="008318A1">
        <w:rPr>
          <w:rFonts w:cstheme="minorHAnsi"/>
        </w:rPr>
        <w:t>(Katwala, 2018).</w:t>
      </w:r>
    </w:p>
    <w:p w14:paraId="6B62E0AF" w14:textId="77777777" w:rsidR="0077193F" w:rsidRDefault="0077193F">
      <w:pPr>
        <w:rPr>
          <w:rFonts w:cstheme="minorHAnsi"/>
        </w:rPr>
      </w:pPr>
      <w:r>
        <w:rPr>
          <w:rFonts w:cstheme="minorHAnsi"/>
        </w:rPr>
        <w:br w:type="page"/>
      </w:r>
    </w:p>
    <w:p w14:paraId="682CDAA7" w14:textId="5AC4A6C6" w:rsidR="0077193F" w:rsidRDefault="0077193F" w:rsidP="0077193F">
      <w:pPr>
        <w:pStyle w:val="Heading2"/>
      </w:pPr>
      <w:bookmarkStart w:id="12" w:name="_Toc88299736"/>
      <w:r>
        <w:lastRenderedPageBreak/>
        <w:t>Practicalities of using such technolog</w:t>
      </w:r>
      <w:r w:rsidR="00A35936">
        <w:t>y</w:t>
      </w:r>
      <w:bookmarkEnd w:id="12"/>
    </w:p>
    <w:p w14:paraId="1BCD2145" w14:textId="0D99B3A7" w:rsidR="0077193F" w:rsidRPr="008318A1" w:rsidRDefault="0077193F" w:rsidP="0077193F">
      <w:pPr>
        <w:rPr>
          <w:rFonts w:cstheme="minorHAnsi"/>
        </w:rPr>
      </w:pPr>
      <w:r w:rsidRPr="008318A1">
        <w:rPr>
          <w:rFonts w:cstheme="minorHAnsi"/>
        </w:rPr>
        <w:t>A project started back in 2018 found the following when trying to implicate V2G into the UK. The project</w:t>
      </w:r>
      <w:r w:rsidR="00A35936" w:rsidRPr="008318A1">
        <w:rPr>
          <w:rFonts w:cstheme="minorHAnsi"/>
        </w:rPr>
        <w:t xml:space="preserve"> and </w:t>
      </w:r>
      <w:r w:rsidRPr="008318A1">
        <w:rPr>
          <w:rFonts w:cstheme="minorHAnsi"/>
        </w:rPr>
        <w:t xml:space="preserve">technology used </w:t>
      </w:r>
      <w:r w:rsidR="00A35936" w:rsidRPr="008318A1">
        <w:rPr>
          <w:rFonts w:cstheme="minorHAnsi"/>
        </w:rPr>
        <w:t xml:space="preserve">are </w:t>
      </w:r>
      <w:r w:rsidRPr="008318A1">
        <w:rPr>
          <w:rFonts w:cstheme="minorHAnsi"/>
        </w:rPr>
        <w:t xml:space="preserve">expanded upon </w:t>
      </w:r>
      <w:r w:rsidR="00A35936" w:rsidRPr="008318A1">
        <w:rPr>
          <w:rFonts w:cstheme="minorHAnsi"/>
        </w:rPr>
        <w:t xml:space="preserve">later in the </w:t>
      </w:r>
      <w:r w:rsidRPr="008318A1">
        <w:rPr>
          <w:rFonts w:cstheme="minorHAnsi"/>
        </w:rPr>
        <w:t xml:space="preserve">report. </w:t>
      </w:r>
    </w:p>
    <w:p w14:paraId="40C7DD1A" w14:textId="2022C4C2" w:rsidR="00C245E8" w:rsidRPr="008318A1" w:rsidRDefault="0077193F" w:rsidP="00C245E8">
      <w:pPr>
        <w:pStyle w:val="ListParagraph"/>
        <w:numPr>
          <w:ilvl w:val="0"/>
          <w:numId w:val="14"/>
        </w:numPr>
        <w:spacing w:line="256" w:lineRule="auto"/>
        <w:rPr>
          <w:rFonts w:cstheme="minorHAnsi"/>
        </w:rPr>
      </w:pPr>
      <w:r w:rsidRPr="008318A1">
        <w:rPr>
          <w:rFonts w:cstheme="minorHAnsi"/>
        </w:rPr>
        <w:t>Cost of charging hardware/installation: Installation of V2G across the country came to a cost of around £3,700, this price is higher than that of a smart charg</w:t>
      </w:r>
      <w:r w:rsidR="00A35936" w:rsidRPr="008318A1">
        <w:rPr>
          <w:rFonts w:cstheme="minorHAnsi"/>
        </w:rPr>
        <w:t xml:space="preserve">ing </w:t>
      </w:r>
      <w:r w:rsidRPr="008318A1">
        <w:rPr>
          <w:rFonts w:cstheme="minorHAnsi"/>
        </w:rPr>
        <w:t xml:space="preserve">point. However, this </w:t>
      </w:r>
      <w:r w:rsidR="00A35936" w:rsidRPr="008318A1">
        <w:rPr>
          <w:rFonts w:cstheme="minorHAnsi"/>
        </w:rPr>
        <w:t xml:space="preserve">is </w:t>
      </w:r>
      <w:r w:rsidRPr="008318A1">
        <w:rPr>
          <w:rFonts w:cstheme="minorHAnsi"/>
        </w:rPr>
        <w:t xml:space="preserve">expected to </w:t>
      </w:r>
      <w:r w:rsidR="00A35936" w:rsidRPr="008318A1">
        <w:rPr>
          <w:rFonts w:cstheme="minorHAnsi"/>
        </w:rPr>
        <w:t>decrease</w:t>
      </w:r>
      <w:r w:rsidRPr="008318A1">
        <w:rPr>
          <w:rFonts w:cstheme="minorHAnsi"/>
        </w:rPr>
        <w:t xml:space="preserve"> as mass production increases.</w:t>
      </w:r>
    </w:p>
    <w:p w14:paraId="45AF8B68" w14:textId="18B04E61" w:rsidR="0077193F" w:rsidRPr="008318A1" w:rsidRDefault="0077193F" w:rsidP="00C245E8">
      <w:pPr>
        <w:pStyle w:val="ListParagraph"/>
        <w:numPr>
          <w:ilvl w:val="0"/>
          <w:numId w:val="14"/>
        </w:numPr>
        <w:spacing w:line="256" w:lineRule="auto"/>
        <w:rPr>
          <w:rFonts w:cstheme="minorHAnsi"/>
        </w:rPr>
      </w:pPr>
      <w:r w:rsidRPr="008318A1">
        <w:rPr>
          <w:rFonts w:cstheme="minorHAnsi"/>
        </w:rPr>
        <w:t xml:space="preserve">Vehicle Compatibility: The only vehicle </w:t>
      </w:r>
      <w:r w:rsidR="00A35936" w:rsidRPr="008318A1">
        <w:rPr>
          <w:rFonts w:cstheme="minorHAnsi"/>
        </w:rPr>
        <w:t>at the time capa</w:t>
      </w:r>
      <w:r w:rsidRPr="008318A1">
        <w:rPr>
          <w:rFonts w:cstheme="minorHAnsi"/>
        </w:rPr>
        <w:t xml:space="preserve">ble </w:t>
      </w:r>
      <w:r w:rsidR="00A35936" w:rsidRPr="008318A1">
        <w:rPr>
          <w:rFonts w:cstheme="minorHAnsi"/>
        </w:rPr>
        <w:t>of</w:t>
      </w:r>
      <w:r w:rsidRPr="008318A1">
        <w:rPr>
          <w:rFonts w:cstheme="minorHAnsi"/>
        </w:rPr>
        <w:t xml:space="preserve"> contribut</w:t>
      </w:r>
      <w:r w:rsidR="00A35936" w:rsidRPr="008318A1">
        <w:rPr>
          <w:rFonts w:cstheme="minorHAnsi"/>
        </w:rPr>
        <w:t xml:space="preserve">ing </w:t>
      </w:r>
      <w:r w:rsidRPr="008318A1">
        <w:rPr>
          <w:rFonts w:cstheme="minorHAnsi"/>
        </w:rPr>
        <w:t xml:space="preserve">to V2G </w:t>
      </w:r>
      <w:r w:rsidR="00A35936" w:rsidRPr="008318A1">
        <w:rPr>
          <w:rFonts w:cstheme="minorHAnsi"/>
        </w:rPr>
        <w:t>was</w:t>
      </w:r>
      <w:r w:rsidRPr="008318A1">
        <w:rPr>
          <w:rFonts w:cstheme="minorHAnsi"/>
        </w:rPr>
        <w:t xml:space="preserve"> the Nissan Leaf, due to this the number of people able to or wanting to commit to V2G </w:t>
      </w:r>
      <w:r w:rsidR="00A35936" w:rsidRPr="008318A1">
        <w:rPr>
          <w:rFonts w:cstheme="minorHAnsi"/>
        </w:rPr>
        <w:t>was</w:t>
      </w:r>
      <w:r w:rsidRPr="008318A1">
        <w:rPr>
          <w:rFonts w:cstheme="minorHAnsi"/>
        </w:rPr>
        <w:t xml:space="preserve"> greatly reduced. This demand for compatible cars will need to be met by the automotive sector leading to an increase in vehicle sales and revenue for manufacture. This increase in funds could also lead to further development in the blending of automotive and green energy production (solar panels on roofs of cars).</w:t>
      </w:r>
      <w:r w:rsidR="00DE4AE4" w:rsidRPr="008318A1">
        <w:rPr>
          <w:rFonts w:cstheme="minorHAnsi"/>
        </w:rPr>
        <w:t xml:space="preserve"> It can be see</w:t>
      </w:r>
      <w:r w:rsidR="00A35936" w:rsidRPr="008318A1">
        <w:rPr>
          <w:rFonts w:cstheme="minorHAnsi"/>
        </w:rPr>
        <w:t>n</w:t>
      </w:r>
      <w:r w:rsidR="00DE4AE4" w:rsidRPr="008318A1">
        <w:rPr>
          <w:rFonts w:cstheme="minorHAnsi"/>
        </w:rPr>
        <w:t xml:space="preserve"> that car manufactures such as </w:t>
      </w:r>
      <w:r w:rsidR="00A35936" w:rsidRPr="008318A1">
        <w:rPr>
          <w:rFonts w:cstheme="minorHAnsi"/>
        </w:rPr>
        <w:t>T</w:t>
      </w:r>
      <w:r w:rsidR="00DE4AE4" w:rsidRPr="008318A1">
        <w:rPr>
          <w:rFonts w:cstheme="minorHAnsi"/>
        </w:rPr>
        <w:t>esla and VW are looking into adding bi</w:t>
      </w:r>
      <w:r w:rsidR="00A35936" w:rsidRPr="008318A1">
        <w:rPr>
          <w:rFonts w:cstheme="minorHAnsi"/>
        </w:rPr>
        <w:t>-</w:t>
      </w:r>
      <w:r w:rsidR="00DE4AE4" w:rsidRPr="008318A1">
        <w:rPr>
          <w:rFonts w:cstheme="minorHAnsi"/>
        </w:rPr>
        <w:t>directional charging to their vehicles for the future</w:t>
      </w:r>
      <w:r w:rsidR="00C245E8" w:rsidRPr="008318A1">
        <w:rPr>
          <w:rFonts w:cstheme="minorHAnsi"/>
        </w:rPr>
        <w:t xml:space="preserve"> (Lambert, 2020; </w:t>
      </w:r>
      <w:r w:rsidR="009703E1" w:rsidRPr="008318A1">
        <w:rPr>
          <w:rFonts w:cstheme="minorHAnsi"/>
        </w:rPr>
        <w:t xml:space="preserve">Edelstein, </w:t>
      </w:r>
      <w:r w:rsidR="00C245E8" w:rsidRPr="008318A1">
        <w:rPr>
          <w:rFonts w:cstheme="minorHAnsi"/>
        </w:rPr>
        <w:t>2021).</w:t>
      </w:r>
    </w:p>
    <w:p w14:paraId="7A83E015" w14:textId="1CE7CC4A" w:rsidR="0077193F" w:rsidRPr="008318A1" w:rsidRDefault="0077193F" w:rsidP="0077193F">
      <w:pPr>
        <w:pStyle w:val="ListParagraph"/>
        <w:numPr>
          <w:ilvl w:val="0"/>
          <w:numId w:val="14"/>
        </w:numPr>
        <w:spacing w:line="256" w:lineRule="auto"/>
        <w:rPr>
          <w:rFonts w:cstheme="minorHAnsi"/>
        </w:rPr>
      </w:pPr>
      <w:r w:rsidRPr="008318A1">
        <w:rPr>
          <w:rFonts w:cstheme="minorHAnsi"/>
        </w:rPr>
        <w:t>Certifications and localising V2G: Delays in the V2G hardware gaining the needed certification</w:t>
      </w:r>
      <w:r w:rsidR="00A35936" w:rsidRPr="008318A1">
        <w:rPr>
          <w:rFonts w:cstheme="minorHAnsi"/>
        </w:rPr>
        <w:t xml:space="preserve"> </w:t>
      </w:r>
      <w:r w:rsidRPr="008318A1">
        <w:rPr>
          <w:rFonts w:cstheme="minorHAnsi"/>
        </w:rPr>
        <w:t xml:space="preserve">along with </w:t>
      </w:r>
      <w:r w:rsidR="00A35936" w:rsidRPr="008318A1">
        <w:rPr>
          <w:rFonts w:cstheme="minorHAnsi"/>
        </w:rPr>
        <w:t xml:space="preserve">the </w:t>
      </w:r>
      <w:r w:rsidRPr="008318A1">
        <w:rPr>
          <w:rFonts w:cstheme="minorHAnsi"/>
        </w:rPr>
        <w:t xml:space="preserve">connecting </w:t>
      </w:r>
      <w:r w:rsidR="00A35936" w:rsidRPr="008318A1">
        <w:rPr>
          <w:rFonts w:cstheme="minorHAnsi"/>
        </w:rPr>
        <w:t xml:space="preserve">of </w:t>
      </w:r>
      <w:r w:rsidRPr="008318A1">
        <w:rPr>
          <w:rFonts w:cstheme="minorHAnsi"/>
        </w:rPr>
        <w:t>chargers to</w:t>
      </w:r>
      <w:r w:rsidR="00A35936" w:rsidRPr="008318A1">
        <w:rPr>
          <w:rFonts w:cstheme="minorHAnsi"/>
        </w:rPr>
        <w:t xml:space="preserve"> </w:t>
      </w:r>
      <w:r w:rsidRPr="008318A1">
        <w:rPr>
          <w:rFonts w:cstheme="minorHAnsi"/>
        </w:rPr>
        <w:t>distribution networks</w:t>
      </w:r>
      <w:r w:rsidR="00A35936" w:rsidRPr="008318A1">
        <w:rPr>
          <w:rFonts w:cstheme="minorHAnsi"/>
        </w:rPr>
        <w:t xml:space="preserve"> was experienced.</w:t>
      </w:r>
    </w:p>
    <w:p w14:paraId="30387486" w14:textId="27B3374A" w:rsidR="0077193F" w:rsidRPr="008318A1" w:rsidRDefault="0077193F" w:rsidP="0077193F">
      <w:pPr>
        <w:pStyle w:val="ListParagraph"/>
        <w:numPr>
          <w:ilvl w:val="0"/>
          <w:numId w:val="14"/>
        </w:numPr>
        <w:spacing w:line="256" w:lineRule="auto"/>
        <w:rPr>
          <w:rFonts w:cstheme="minorHAnsi"/>
        </w:rPr>
      </w:pPr>
      <w:r w:rsidRPr="008318A1">
        <w:rPr>
          <w:rFonts w:cstheme="minorHAnsi"/>
        </w:rPr>
        <w:t>due to the infancy of the idea</w:t>
      </w:r>
      <w:r w:rsidR="00A35936" w:rsidRPr="008318A1">
        <w:rPr>
          <w:rFonts w:cstheme="minorHAnsi"/>
        </w:rPr>
        <w:t>/</w:t>
      </w:r>
      <w:r w:rsidRPr="008318A1">
        <w:rPr>
          <w:rFonts w:cstheme="minorHAnsi"/>
        </w:rPr>
        <w:t xml:space="preserve">technology funding and marketing </w:t>
      </w:r>
      <w:r w:rsidR="00A35936" w:rsidRPr="008318A1">
        <w:rPr>
          <w:rFonts w:cstheme="minorHAnsi"/>
        </w:rPr>
        <w:t>wa</w:t>
      </w:r>
      <w:r w:rsidRPr="008318A1">
        <w:rPr>
          <w:rFonts w:cstheme="minorHAnsi"/>
        </w:rPr>
        <w:t>s hard to inquire</w:t>
      </w:r>
      <w:r w:rsidR="00873E7E" w:rsidRPr="008318A1">
        <w:rPr>
          <w:rFonts w:cstheme="minorHAnsi"/>
        </w:rPr>
        <w:t>.</w:t>
      </w:r>
    </w:p>
    <w:p w14:paraId="00DB0BEE" w14:textId="482F8A1E" w:rsidR="0077193F" w:rsidRPr="008318A1" w:rsidRDefault="0077193F" w:rsidP="0077193F">
      <w:pPr>
        <w:rPr>
          <w:rFonts w:cstheme="minorHAnsi"/>
        </w:rPr>
      </w:pPr>
      <w:r w:rsidRPr="008318A1">
        <w:rPr>
          <w:rFonts w:cstheme="minorHAnsi"/>
        </w:rPr>
        <w:t>(Pandy et al, 2015; Morash, 2013; Zhou &amp; Li, 2015; Kempton et al, 2001</w:t>
      </w:r>
      <w:r w:rsidR="002267A1" w:rsidRPr="008318A1">
        <w:rPr>
          <w:rFonts w:cstheme="minorHAnsi"/>
        </w:rPr>
        <w:t>; Ofgem, 2021).</w:t>
      </w:r>
    </w:p>
    <w:p w14:paraId="4088E1EC" w14:textId="4985963F" w:rsidR="0077193F" w:rsidRPr="008318A1" w:rsidRDefault="0077193F" w:rsidP="0077193F">
      <w:pPr>
        <w:rPr>
          <w:rFonts w:cstheme="minorHAnsi"/>
        </w:rPr>
      </w:pPr>
      <w:r w:rsidRPr="008318A1">
        <w:rPr>
          <w:rFonts w:cstheme="minorHAnsi"/>
        </w:rPr>
        <w:t xml:space="preserve">V2G Is reliant on the vehicle having a remaining charge to give back to the grid during peak energy demands, this will lead to the vehicle </w:t>
      </w:r>
      <w:r w:rsidR="00A35936" w:rsidRPr="008318A1">
        <w:rPr>
          <w:rFonts w:cstheme="minorHAnsi"/>
        </w:rPr>
        <w:t xml:space="preserve">needing </w:t>
      </w:r>
      <w:r w:rsidRPr="008318A1">
        <w:rPr>
          <w:rFonts w:cstheme="minorHAnsi"/>
        </w:rPr>
        <w:t>to be charged more c</w:t>
      </w:r>
      <w:r w:rsidR="00A35936" w:rsidRPr="008318A1">
        <w:rPr>
          <w:rFonts w:cstheme="minorHAnsi"/>
        </w:rPr>
        <w:t>ausing</w:t>
      </w:r>
      <w:r w:rsidRPr="008318A1">
        <w:rPr>
          <w:rFonts w:cstheme="minorHAnsi"/>
        </w:rPr>
        <w:t xml:space="preserve"> inconvenience to the driver. Along with this the depth of discharge of the PHEV affects the longevity of the battery, as the depth of discharge increases the life of the battery reduces. This is common with</w:t>
      </w:r>
      <w:r w:rsidR="00A35936" w:rsidRPr="008318A1">
        <w:rPr>
          <w:rFonts w:cstheme="minorHAnsi"/>
        </w:rPr>
        <w:t xml:space="preserve"> V2G</w:t>
      </w:r>
      <w:r w:rsidRPr="008318A1">
        <w:rPr>
          <w:rFonts w:cstheme="minorHAnsi"/>
        </w:rPr>
        <w:t xml:space="preserve"> with</w:t>
      </w:r>
      <w:r w:rsidR="00A35936" w:rsidRPr="008318A1">
        <w:rPr>
          <w:rFonts w:cstheme="minorHAnsi"/>
        </w:rPr>
        <w:t xml:space="preserve"> vehicles </w:t>
      </w:r>
      <w:r w:rsidRPr="008318A1">
        <w:rPr>
          <w:rFonts w:cstheme="minorHAnsi"/>
        </w:rPr>
        <w:t xml:space="preserve">being repetitively charged/discharged coursing quick damage/cost to the owner (Pandy et al, 2015; Morash, 2013; Zhou &amp; Li, 2015; Kempton et al, 2001). </w:t>
      </w:r>
    </w:p>
    <w:p w14:paraId="5E4FF9F7" w14:textId="5C9D347C" w:rsidR="0077193F" w:rsidRPr="008318A1" w:rsidRDefault="0077193F" w:rsidP="0077193F">
      <w:pPr>
        <w:rPr>
          <w:rFonts w:cstheme="minorHAnsi"/>
        </w:rPr>
      </w:pPr>
      <w:r w:rsidRPr="008318A1">
        <w:rPr>
          <w:rFonts w:cstheme="minorHAnsi"/>
        </w:rPr>
        <w:t>The greater the rate of charge/discharge over an extended period (like when used for V2G) means the greater the temperature of the battery and surrounding components, prolonged exposure to these temperatures can cause damage to components. This leads to a decrease in vehicle efficiency and an increase in vehicle servicing, all this leading to inconvenience to the driver</w:t>
      </w:r>
      <w:r w:rsidR="00A35936" w:rsidRPr="008318A1">
        <w:rPr>
          <w:rFonts w:cstheme="minorHAnsi"/>
        </w:rPr>
        <w:t xml:space="preserve"> </w:t>
      </w:r>
      <w:r w:rsidRPr="008318A1">
        <w:rPr>
          <w:rFonts w:cstheme="minorHAnsi"/>
        </w:rPr>
        <w:t>(</w:t>
      </w:r>
      <w:bookmarkStart w:id="13" w:name="_Hlk88226436"/>
      <w:r w:rsidRPr="008318A1">
        <w:rPr>
          <w:rFonts w:cstheme="minorHAnsi"/>
        </w:rPr>
        <w:t>Pandy et al, 2015; Morash, 2013; Zhou &amp; Li, 2015; Kempton et al, 2001</w:t>
      </w:r>
      <w:bookmarkEnd w:id="13"/>
      <w:r w:rsidRPr="008318A1">
        <w:rPr>
          <w:rFonts w:cstheme="minorHAnsi"/>
        </w:rPr>
        <w:t>)</w:t>
      </w:r>
      <w:r w:rsidR="00A35936" w:rsidRPr="008318A1">
        <w:rPr>
          <w:rFonts w:cstheme="minorHAnsi"/>
        </w:rPr>
        <w:t>.</w:t>
      </w:r>
    </w:p>
    <w:p w14:paraId="57B0ABBA" w14:textId="77777777" w:rsidR="0077193F" w:rsidRDefault="0077193F">
      <w:pPr>
        <w:rPr>
          <w:rFonts w:cstheme="minorHAnsi"/>
        </w:rPr>
      </w:pPr>
      <w:r>
        <w:rPr>
          <w:rFonts w:cstheme="minorHAnsi"/>
        </w:rPr>
        <w:br w:type="page"/>
      </w:r>
    </w:p>
    <w:p w14:paraId="3D3573C3" w14:textId="3D0722F4" w:rsidR="0077193F" w:rsidRDefault="0077193F" w:rsidP="0077193F">
      <w:pPr>
        <w:pStyle w:val="Heading2"/>
      </w:pPr>
      <w:bookmarkStart w:id="14" w:name="_Toc88299737"/>
      <w:r>
        <w:lastRenderedPageBreak/>
        <w:t>Current Charging Technolog</w:t>
      </w:r>
      <w:r w:rsidR="00570BDD">
        <w:t>y</w:t>
      </w:r>
      <w:bookmarkEnd w:id="14"/>
    </w:p>
    <w:p w14:paraId="46A6E36B" w14:textId="77777777" w:rsidR="0077193F" w:rsidRPr="008A4ECF" w:rsidRDefault="0077193F" w:rsidP="0077193F"/>
    <w:p w14:paraId="0B6F6913" w14:textId="77777777" w:rsidR="0077193F" w:rsidRPr="008A4ECF" w:rsidRDefault="0077193F" w:rsidP="0077193F">
      <w:pPr>
        <w:pStyle w:val="Heading3"/>
      </w:pPr>
      <w:bookmarkStart w:id="15" w:name="_Toc88299738"/>
      <w:r>
        <w:t>Regular Charging System</w:t>
      </w:r>
      <w:bookmarkEnd w:id="15"/>
    </w:p>
    <w:p w14:paraId="4C1EB247" w14:textId="77777777" w:rsidR="0077193F" w:rsidRPr="008318A1" w:rsidRDefault="0077193F" w:rsidP="0077193F">
      <w:pPr>
        <w:rPr>
          <w:rFonts w:cstheme="minorHAnsi"/>
        </w:rPr>
      </w:pPr>
      <w:r w:rsidRPr="008318A1">
        <w:rPr>
          <w:rFonts w:cstheme="minorHAnsi"/>
        </w:rPr>
        <w:t>When looking at the charging of an EV or PHEV it can be seen there are many variations in charger types, speeds and whether they support V2G or not (Jones et al, 2021).</w:t>
      </w:r>
    </w:p>
    <w:p w14:paraId="50AA265C" w14:textId="77777777" w:rsidR="0077193F" w:rsidRPr="008318A1" w:rsidRDefault="0077193F" w:rsidP="0077193F">
      <w:pPr>
        <w:rPr>
          <w:rFonts w:cstheme="minorHAnsi"/>
        </w:rPr>
      </w:pPr>
      <w:r w:rsidRPr="008318A1">
        <w:rPr>
          <w:rFonts w:cstheme="minorHAnsi"/>
        </w:rPr>
        <w:t>Charging can be viewed in two different lights, they are:</w:t>
      </w:r>
    </w:p>
    <w:p w14:paraId="2A8E65B9" w14:textId="430654FB" w:rsidR="0077193F" w:rsidRPr="008318A1" w:rsidRDefault="0077193F" w:rsidP="0077193F">
      <w:pPr>
        <w:pStyle w:val="ListParagraph"/>
        <w:numPr>
          <w:ilvl w:val="0"/>
          <w:numId w:val="11"/>
        </w:numPr>
        <w:spacing w:line="256" w:lineRule="auto"/>
        <w:rPr>
          <w:rFonts w:cstheme="minorHAnsi"/>
        </w:rPr>
      </w:pPr>
      <w:r w:rsidRPr="008318A1">
        <w:rPr>
          <w:rFonts w:cstheme="minorHAnsi"/>
        </w:rPr>
        <w:t>First is looking at the vehicle like an appliance, this disregards the large loads associated with charging</w:t>
      </w:r>
      <w:r w:rsidR="00570BDD" w:rsidRPr="008318A1">
        <w:rPr>
          <w:rFonts w:cstheme="minorHAnsi"/>
        </w:rPr>
        <w:t>/</w:t>
      </w:r>
      <w:r w:rsidRPr="008318A1">
        <w:rPr>
          <w:rFonts w:cstheme="minorHAnsi"/>
        </w:rPr>
        <w:t>battery capacity.</w:t>
      </w:r>
    </w:p>
    <w:p w14:paraId="33E13CEE" w14:textId="77777777" w:rsidR="0077193F" w:rsidRPr="008318A1" w:rsidRDefault="0077193F" w:rsidP="0077193F">
      <w:pPr>
        <w:pStyle w:val="ListParagraph"/>
        <w:numPr>
          <w:ilvl w:val="0"/>
          <w:numId w:val="11"/>
        </w:numPr>
        <w:spacing w:line="256" w:lineRule="auto"/>
        <w:rPr>
          <w:rFonts w:cstheme="minorHAnsi"/>
        </w:rPr>
      </w:pPr>
      <w:r w:rsidRPr="008318A1">
        <w:rPr>
          <w:rFonts w:cstheme="minorHAnsi"/>
        </w:rPr>
        <w:t>The second is smart charging, this is charging the vehicle during times of cheap power or low energy demand. Another variation of this is turning the charger on and off depending on grid power/price, this could prove inconvenient for the driver but can also offer aid in grid frequency control.</w:t>
      </w:r>
    </w:p>
    <w:p w14:paraId="62EB3E51" w14:textId="77777777" w:rsidR="0077193F" w:rsidRPr="008318A1" w:rsidRDefault="0077193F" w:rsidP="0077193F">
      <w:pPr>
        <w:rPr>
          <w:rFonts w:cstheme="minorHAnsi"/>
        </w:rPr>
      </w:pPr>
      <w:r w:rsidRPr="008318A1">
        <w:rPr>
          <w:rFonts w:cstheme="minorHAnsi"/>
        </w:rPr>
        <w:t>(Jones et al, 2021).</w:t>
      </w:r>
    </w:p>
    <w:p w14:paraId="75C28AAE" w14:textId="77777777" w:rsidR="0077193F" w:rsidRPr="008318A1" w:rsidRDefault="0077193F" w:rsidP="0077193F">
      <w:pPr>
        <w:rPr>
          <w:rFonts w:cstheme="minorHAnsi"/>
        </w:rPr>
      </w:pPr>
      <w:r w:rsidRPr="008318A1">
        <w:rPr>
          <w:rFonts w:cstheme="minorHAnsi"/>
        </w:rPr>
        <w:t>There are two variations of charging setups, these are:</w:t>
      </w:r>
    </w:p>
    <w:p w14:paraId="434F2C92" w14:textId="77777777" w:rsidR="0077193F" w:rsidRPr="008318A1" w:rsidRDefault="0077193F" w:rsidP="0077193F">
      <w:pPr>
        <w:pStyle w:val="ListParagraph"/>
        <w:numPr>
          <w:ilvl w:val="0"/>
          <w:numId w:val="12"/>
        </w:numPr>
        <w:spacing w:line="256" w:lineRule="auto"/>
        <w:rPr>
          <w:rFonts w:cstheme="minorHAnsi"/>
        </w:rPr>
      </w:pPr>
      <w:r w:rsidRPr="008318A1">
        <w:rPr>
          <w:rFonts w:cstheme="minorHAnsi"/>
        </w:rPr>
        <w:t>On-board chargers – An AC/DC converter is stored in the vehicle with the vehicle connecting to an AC power supply. These chargers have a lower power capacity due to size/weight consideration, due to this their design is also a lot simpler.</w:t>
      </w:r>
    </w:p>
    <w:p w14:paraId="4F6DC484" w14:textId="77777777" w:rsidR="0077193F" w:rsidRPr="008318A1" w:rsidRDefault="0077193F" w:rsidP="0077193F">
      <w:pPr>
        <w:pStyle w:val="ListParagraph"/>
        <w:numPr>
          <w:ilvl w:val="0"/>
          <w:numId w:val="12"/>
        </w:numPr>
        <w:spacing w:line="256" w:lineRule="auto"/>
        <w:rPr>
          <w:rFonts w:cstheme="minorHAnsi"/>
        </w:rPr>
      </w:pPr>
      <w:r w:rsidRPr="008318A1">
        <w:rPr>
          <w:rFonts w:cstheme="minorHAnsi"/>
        </w:rPr>
        <w:t>Off-board chargers – the AC/DC converter is stored outside the vehicle and provides a DC power supply. These chargers do not face sizing/weight issues and due to this have higher power capacity/complexity.</w:t>
      </w:r>
    </w:p>
    <w:p w14:paraId="4118CFE0" w14:textId="77777777" w:rsidR="0077193F" w:rsidRPr="008318A1" w:rsidRDefault="0077193F" w:rsidP="0077193F">
      <w:pPr>
        <w:rPr>
          <w:rFonts w:cstheme="minorHAnsi"/>
        </w:rPr>
      </w:pPr>
      <w:r w:rsidRPr="008318A1">
        <w:rPr>
          <w:rFonts w:cstheme="minorHAnsi"/>
        </w:rPr>
        <w:t>(Jones et al, 2021)</w:t>
      </w:r>
    </w:p>
    <w:p w14:paraId="6FEB88A2" w14:textId="77777777" w:rsidR="0077193F" w:rsidRPr="008318A1" w:rsidRDefault="0077193F" w:rsidP="0077193F">
      <w:pPr>
        <w:rPr>
          <w:rFonts w:cstheme="minorHAnsi"/>
        </w:rPr>
      </w:pPr>
      <w:r w:rsidRPr="008318A1">
        <w:rPr>
          <w:rFonts w:cstheme="minorHAnsi"/>
        </w:rPr>
        <w:t>Most vehicles will have an on-board charger and will accept DC connection to an off-board charger. Most chargers are two-stage converters, with the first stage being where the AC/DC converts AC input to an intermediate DC output. The second stage takes the DC output and feeds it into a DC/DC converter that provides increased control over the DC power flow of the vehicle's batteries (Jones et al, 2021).</w:t>
      </w:r>
    </w:p>
    <w:p w14:paraId="3C5F2F44" w14:textId="6AD4BD1B" w:rsidR="007D47D7" w:rsidRPr="008318A1" w:rsidRDefault="0077193F" w:rsidP="0077193F">
      <w:pPr>
        <w:rPr>
          <w:rFonts w:cstheme="minorHAnsi"/>
        </w:rPr>
      </w:pPr>
      <w:r w:rsidRPr="008318A1">
        <w:rPr>
          <w:rFonts w:cstheme="minorHAnsi"/>
        </w:rPr>
        <w:t>When looking at charging standards and plug design, there are many variations across the world mainly due to the different countries/regions where vehicles are manufactured</w:t>
      </w:r>
      <w:r w:rsidR="003359E8" w:rsidRPr="008318A1">
        <w:rPr>
          <w:rFonts w:cstheme="minorHAnsi"/>
        </w:rPr>
        <w:t>, some of these can be seen in appendi</w:t>
      </w:r>
      <w:r w:rsidR="004E78E5" w:rsidRPr="008318A1">
        <w:rPr>
          <w:rFonts w:cstheme="minorHAnsi"/>
        </w:rPr>
        <w:t>x</w:t>
      </w:r>
      <w:r w:rsidR="003359E8" w:rsidRPr="008318A1">
        <w:rPr>
          <w:rFonts w:cstheme="minorHAnsi"/>
        </w:rPr>
        <w:t xml:space="preserve"> A </w:t>
      </w:r>
      <w:r w:rsidRPr="008318A1">
        <w:rPr>
          <w:rFonts w:cstheme="minorHAnsi"/>
        </w:rPr>
        <w:t>(Jones et al, 2021).</w:t>
      </w:r>
    </w:p>
    <w:p w14:paraId="68A2DD43" w14:textId="561E48DE" w:rsidR="0077193F" w:rsidRPr="008318A1" w:rsidRDefault="0077193F" w:rsidP="0077193F">
      <w:pPr>
        <w:rPr>
          <w:rFonts w:cstheme="minorHAnsi"/>
        </w:rPr>
      </w:pPr>
      <w:r w:rsidRPr="008318A1">
        <w:rPr>
          <w:rFonts w:cstheme="minorHAnsi"/>
        </w:rPr>
        <w:t>Chargers are also described based on their charging speed; this can differ depending on location due to changing technology around the world (Jones et al, 2021).</w:t>
      </w:r>
    </w:p>
    <w:p w14:paraId="4B0F4CF3" w14:textId="77777777" w:rsidR="0077193F" w:rsidRPr="008318A1" w:rsidRDefault="0077193F" w:rsidP="0077193F">
      <w:pPr>
        <w:pStyle w:val="ListParagraph"/>
        <w:numPr>
          <w:ilvl w:val="0"/>
          <w:numId w:val="13"/>
        </w:numPr>
        <w:spacing w:line="256" w:lineRule="auto"/>
        <w:rPr>
          <w:rFonts w:cstheme="minorHAnsi"/>
        </w:rPr>
      </w:pPr>
      <w:r w:rsidRPr="008318A1">
        <w:rPr>
          <w:rFonts w:cstheme="minorHAnsi"/>
        </w:rPr>
        <w:t>Level 1 charging refers to single-phase power at the standard AC network supply voltage, this comes in around 120V or 240V with 10A and 16A depending on the country.</w:t>
      </w:r>
    </w:p>
    <w:p w14:paraId="2507D88D" w14:textId="77777777" w:rsidR="0077193F" w:rsidRPr="008318A1" w:rsidRDefault="0077193F" w:rsidP="0077193F">
      <w:pPr>
        <w:pStyle w:val="ListParagraph"/>
        <w:numPr>
          <w:ilvl w:val="0"/>
          <w:numId w:val="13"/>
        </w:numPr>
        <w:spacing w:line="256" w:lineRule="auto"/>
        <w:rPr>
          <w:rFonts w:cstheme="minorHAnsi"/>
        </w:rPr>
      </w:pPr>
      <w:r w:rsidRPr="008318A1">
        <w:rPr>
          <w:rFonts w:cstheme="minorHAnsi"/>
        </w:rPr>
        <w:t>Level 2 refers to high-power AC charging with two and three-phase supply voltage and at a greater amperage. This level of charging normally involves a dedicated circuit and wall box (AC chargers will use the vehicles onboard charger).</w:t>
      </w:r>
    </w:p>
    <w:p w14:paraId="390B5DA2" w14:textId="77777777" w:rsidR="0077193F" w:rsidRPr="008318A1" w:rsidRDefault="0077193F" w:rsidP="0077193F">
      <w:pPr>
        <w:pStyle w:val="ListParagraph"/>
        <w:numPr>
          <w:ilvl w:val="0"/>
          <w:numId w:val="13"/>
        </w:numPr>
        <w:spacing w:line="256" w:lineRule="auto"/>
        <w:rPr>
          <w:rFonts w:cstheme="minorHAnsi"/>
        </w:rPr>
      </w:pPr>
      <w:r w:rsidRPr="008318A1">
        <w:rPr>
          <w:rFonts w:cstheme="minorHAnsi"/>
        </w:rPr>
        <w:t>Level 3 charging refers to DC fast charging, which in cases will bypass the on-board charger</w:t>
      </w:r>
    </w:p>
    <w:p w14:paraId="0413E37A" w14:textId="77777777" w:rsidR="0077193F" w:rsidRPr="008318A1" w:rsidRDefault="0077193F" w:rsidP="0077193F">
      <w:pPr>
        <w:rPr>
          <w:rFonts w:cstheme="minorHAnsi"/>
        </w:rPr>
      </w:pPr>
      <w:r w:rsidRPr="008318A1">
        <w:rPr>
          <w:rFonts w:cstheme="minorHAnsi"/>
        </w:rPr>
        <w:t>Depending on the country the levels also can change, with some countries a 240 V charger maybe a level 1 and in others a level 2. The mode of charging will also alter depending on the country with 2,3 and 4 charging being the same as levels 1,2 and 3 respectively (Jones et al, 2021).</w:t>
      </w:r>
    </w:p>
    <w:p w14:paraId="0A0A67B6" w14:textId="77777777" w:rsidR="0077193F" w:rsidRPr="008318A1" w:rsidRDefault="0077193F" w:rsidP="0077193F">
      <w:pPr>
        <w:rPr>
          <w:rFonts w:cstheme="minorHAnsi"/>
        </w:rPr>
      </w:pPr>
      <w:r w:rsidRPr="008318A1">
        <w:rPr>
          <w:rFonts w:cstheme="minorHAnsi"/>
        </w:rPr>
        <w:t>For more in-depth information surrounding charging systems refer to Briones et al (2012).</w:t>
      </w:r>
    </w:p>
    <w:p w14:paraId="4C3960EC" w14:textId="656C726B" w:rsidR="0077193F" w:rsidRDefault="0077193F" w:rsidP="0077193F">
      <w:pPr>
        <w:pStyle w:val="Heading3"/>
      </w:pPr>
      <w:bookmarkStart w:id="16" w:name="_Toc88299739"/>
      <w:r>
        <w:lastRenderedPageBreak/>
        <w:t xml:space="preserve">V2G Charging </w:t>
      </w:r>
      <w:r w:rsidR="00570BDD">
        <w:t>I</w:t>
      </w:r>
      <w:r>
        <w:t>nfrastructure</w:t>
      </w:r>
      <w:bookmarkEnd w:id="16"/>
      <w:r>
        <w:t xml:space="preserve"> </w:t>
      </w:r>
    </w:p>
    <w:p w14:paraId="5048133A" w14:textId="77777777" w:rsidR="0077193F" w:rsidRPr="008318A1" w:rsidRDefault="0077193F" w:rsidP="0077193F">
      <w:pPr>
        <w:rPr>
          <w:rFonts w:cstheme="minorHAnsi"/>
        </w:rPr>
      </w:pPr>
      <w:r w:rsidRPr="008318A1">
        <w:rPr>
          <w:rFonts w:cstheme="minorHAnsi"/>
        </w:rPr>
        <w:t>This section will discuss and expand upon the project mentioned previously.</w:t>
      </w:r>
    </w:p>
    <w:p w14:paraId="78167B92" w14:textId="0638BE22" w:rsidR="0077193F" w:rsidRPr="008318A1" w:rsidRDefault="0077193F" w:rsidP="0077193F">
      <w:pPr>
        <w:rPr>
          <w:rFonts w:cstheme="minorHAnsi"/>
        </w:rPr>
      </w:pPr>
      <w:r w:rsidRPr="008318A1">
        <w:rPr>
          <w:rFonts w:cstheme="minorHAnsi"/>
        </w:rPr>
        <w:t>A V2G program was started in April of 2018 to produce an efficient V2G system. some of the main names tied to this program are OVO energy, Kaluza, Nissan Motor Company, research consultancy Cenex and Indra Renewable technology</w:t>
      </w:r>
      <w:r w:rsidR="00570BDD" w:rsidRPr="008318A1">
        <w:rPr>
          <w:rFonts w:cstheme="minorHAnsi"/>
        </w:rPr>
        <w:t xml:space="preserve">. there was </w:t>
      </w:r>
      <w:r w:rsidRPr="008318A1">
        <w:rPr>
          <w:rFonts w:cstheme="minorHAnsi"/>
        </w:rPr>
        <w:t>funding support from Office for Low Emission Vehicles</w:t>
      </w:r>
      <w:r w:rsidR="00570BDD" w:rsidRPr="008318A1">
        <w:rPr>
          <w:rFonts w:cstheme="minorHAnsi"/>
        </w:rPr>
        <w:t xml:space="preserve"> </w:t>
      </w:r>
      <w:r w:rsidRPr="008318A1">
        <w:rPr>
          <w:rFonts w:cstheme="minorHAnsi"/>
        </w:rPr>
        <w:t>and the Department of Business Energy and Industrial Strategy (BEIS). Sin</w:t>
      </w:r>
      <w:r w:rsidR="00570BDD" w:rsidRPr="008318A1">
        <w:rPr>
          <w:rFonts w:cstheme="minorHAnsi"/>
        </w:rPr>
        <w:t>ce</w:t>
      </w:r>
      <w:r w:rsidRPr="008318A1">
        <w:rPr>
          <w:rFonts w:cstheme="minorHAnsi"/>
        </w:rPr>
        <w:t xml:space="preserve"> the start of the program</w:t>
      </w:r>
      <w:r w:rsidR="00570BDD" w:rsidRPr="008318A1">
        <w:rPr>
          <w:rFonts w:cstheme="minorHAnsi"/>
        </w:rPr>
        <w:t>,</w:t>
      </w:r>
      <w:r w:rsidRPr="008318A1">
        <w:rPr>
          <w:rFonts w:cstheme="minorHAnsi"/>
        </w:rPr>
        <w:t xml:space="preserve"> 330 V2G devices have been fitted across the UK</w:t>
      </w:r>
      <w:r w:rsidR="002267A1" w:rsidRPr="008318A1">
        <w:rPr>
          <w:rFonts w:cstheme="minorHAnsi"/>
        </w:rPr>
        <w:t xml:space="preserve"> (Ofgem, 2021).</w:t>
      </w:r>
    </w:p>
    <w:p w14:paraId="118F98A3" w14:textId="6A21DFF0" w:rsidR="0077193F" w:rsidRPr="008318A1" w:rsidRDefault="0077193F" w:rsidP="0077193F">
      <w:pPr>
        <w:rPr>
          <w:rFonts w:cstheme="minorHAnsi"/>
        </w:rPr>
      </w:pPr>
      <w:r w:rsidRPr="008318A1">
        <w:rPr>
          <w:rFonts w:cstheme="minorHAnsi"/>
        </w:rPr>
        <w:t xml:space="preserve">The V2G system was connected to Kaluza’s platform. The system </w:t>
      </w:r>
      <w:r w:rsidR="00570BDD" w:rsidRPr="008318A1">
        <w:rPr>
          <w:rFonts w:cstheme="minorHAnsi"/>
        </w:rPr>
        <w:t>placed energy into the</w:t>
      </w:r>
      <w:r w:rsidRPr="008318A1">
        <w:rPr>
          <w:rFonts w:cstheme="minorHAnsi"/>
        </w:rPr>
        <w:t xml:space="preserve"> vehicles when an abundance of renewable energy was present, </w:t>
      </w:r>
      <w:r w:rsidR="00570BDD" w:rsidRPr="008318A1">
        <w:rPr>
          <w:rFonts w:cstheme="minorHAnsi"/>
        </w:rPr>
        <w:t xml:space="preserve">this energy was then placed </w:t>
      </w:r>
      <w:r w:rsidRPr="008318A1">
        <w:rPr>
          <w:rFonts w:cstheme="minorHAnsi"/>
        </w:rPr>
        <w:t>back into the grid based on the li</w:t>
      </w:r>
      <w:r w:rsidR="00570BDD" w:rsidRPr="008318A1">
        <w:rPr>
          <w:rFonts w:cstheme="minorHAnsi"/>
        </w:rPr>
        <w:t xml:space="preserve">ve </w:t>
      </w:r>
      <w:r w:rsidRPr="008318A1">
        <w:rPr>
          <w:rFonts w:cstheme="minorHAnsi"/>
        </w:rPr>
        <w:t>demands of the grid.</w:t>
      </w:r>
      <w:r w:rsidR="00570BDD" w:rsidRPr="008318A1">
        <w:rPr>
          <w:rFonts w:cstheme="minorHAnsi"/>
        </w:rPr>
        <w:t xml:space="preserve"> T</w:t>
      </w:r>
      <w:r w:rsidRPr="008318A1">
        <w:rPr>
          <w:rFonts w:cstheme="minorHAnsi"/>
        </w:rPr>
        <w:t>his</w:t>
      </w:r>
      <w:r w:rsidR="00570BDD" w:rsidRPr="008318A1">
        <w:rPr>
          <w:rFonts w:cstheme="minorHAnsi"/>
        </w:rPr>
        <w:t xml:space="preserve"> was all </w:t>
      </w:r>
      <w:r w:rsidRPr="008318A1">
        <w:rPr>
          <w:rFonts w:cstheme="minorHAnsi"/>
        </w:rPr>
        <w:t>controlled with</w:t>
      </w:r>
      <w:r w:rsidR="00570BDD" w:rsidRPr="008318A1">
        <w:rPr>
          <w:rFonts w:cstheme="minorHAnsi"/>
        </w:rPr>
        <w:t xml:space="preserve"> </w:t>
      </w:r>
      <w:r w:rsidRPr="008318A1">
        <w:rPr>
          <w:rFonts w:cstheme="minorHAnsi"/>
        </w:rPr>
        <w:t>artificial intelligence which used real-time market signals (wholesale electricity price feeds, weather and grid data) to automatically charge the vehicle when price/carbon levels were low</w:t>
      </w:r>
      <w:r w:rsidR="00570BDD" w:rsidRPr="008318A1">
        <w:rPr>
          <w:rFonts w:cstheme="minorHAnsi"/>
        </w:rPr>
        <w:t xml:space="preserve">; it also controlled when to </w:t>
      </w:r>
      <w:r w:rsidRPr="008318A1">
        <w:rPr>
          <w:rFonts w:cstheme="minorHAnsi"/>
        </w:rPr>
        <w:t xml:space="preserve">place energy </w:t>
      </w:r>
      <w:r w:rsidR="00570BDD" w:rsidRPr="008318A1">
        <w:rPr>
          <w:rFonts w:cstheme="minorHAnsi"/>
        </w:rPr>
        <w:t>back into</w:t>
      </w:r>
      <w:r w:rsidRPr="008318A1">
        <w:rPr>
          <w:rFonts w:cstheme="minorHAnsi"/>
        </w:rPr>
        <w:t xml:space="preserve"> </w:t>
      </w:r>
      <w:r w:rsidR="00570BDD" w:rsidRPr="008318A1">
        <w:rPr>
          <w:rFonts w:cstheme="minorHAnsi"/>
        </w:rPr>
        <w:t xml:space="preserve">the </w:t>
      </w:r>
      <w:r w:rsidRPr="008318A1">
        <w:rPr>
          <w:rFonts w:cstheme="minorHAnsi"/>
        </w:rPr>
        <w:t xml:space="preserve">grid. To inshore </w:t>
      </w:r>
      <w:r w:rsidR="00570BDD" w:rsidRPr="008318A1">
        <w:rPr>
          <w:rFonts w:cstheme="minorHAnsi"/>
        </w:rPr>
        <w:t>the user still had some control</w:t>
      </w:r>
      <w:r w:rsidRPr="008318A1">
        <w:rPr>
          <w:rFonts w:cstheme="minorHAnsi"/>
        </w:rPr>
        <w:t xml:space="preserve"> an app </w:t>
      </w:r>
      <w:r w:rsidR="00570BDD" w:rsidRPr="008318A1">
        <w:rPr>
          <w:rFonts w:cstheme="minorHAnsi"/>
        </w:rPr>
        <w:t xml:space="preserve">was produced which allowed the user to </w:t>
      </w:r>
      <w:r w:rsidRPr="008318A1">
        <w:rPr>
          <w:rFonts w:cstheme="minorHAnsi"/>
        </w:rPr>
        <w:t>state when they want</w:t>
      </w:r>
      <w:r w:rsidR="00570BDD" w:rsidRPr="008318A1">
        <w:rPr>
          <w:rFonts w:cstheme="minorHAnsi"/>
        </w:rPr>
        <w:t>ed</w:t>
      </w:r>
      <w:r w:rsidRPr="008318A1">
        <w:rPr>
          <w:rFonts w:cstheme="minorHAnsi"/>
        </w:rPr>
        <w:t xml:space="preserve"> the vehicle charged, this charging is then do</w:t>
      </w:r>
      <w:r w:rsidR="00570BDD" w:rsidRPr="008318A1">
        <w:rPr>
          <w:rFonts w:cstheme="minorHAnsi"/>
        </w:rPr>
        <w:t>n</w:t>
      </w:r>
      <w:r w:rsidRPr="008318A1">
        <w:rPr>
          <w:rFonts w:cstheme="minorHAnsi"/>
        </w:rPr>
        <w:t>e using the cheapest energy available at the time; this could be green energy. The app can also inform the user w</w:t>
      </w:r>
      <w:r w:rsidR="00570BDD" w:rsidRPr="008318A1">
        <w:rPr>
          <w:rFonts w:cstheme="minorHAnsi"/>
        </w:rPr>
        <w:t>he</w:t>
      </w:r>
      <w:r w:rsidRPr="008318A1">
        <w:rPr>
          <w:rFonts w:cstheme="minorHAnsi"/>
        </w:rPr>
        <w:t>ther their vehicle is</w:t>
      </w:r>
      <w:r w:rsidR="00570BDD" w:rsidRPr="008318A1">
        <w:rPr>
          <w:rFonts w:cstheme="minorHAnsi"/>
        </w:rPr>
        <w:t xml:space="preserve"> supplying/taking </w:t>
      </w:r>
      <w:r w:rsidRPr="008318A1">
        <w:rPr>
          <w:rFonts w:cstheme="minorHAnsi"/>
        </w:rPr>
        <w:t>energy from the grid</w:t>
      </w:r>
      <w:r w:rsidR="002267A1" w:rsidRPr="008318A1">
        <w:rPr>
          <w:rFonts w:cstheme="minorHAnsi"/>
        </w:rPr>
        <w:t xml:space="preserve"> (Ofgem, 2021).</w:t>
      </w:r>
    </w:p>
    <w:p w14:paraId="4CDF5DC9" w14:textId="5005925B" w:rsidR="0077193F" w:rsidRPr="008318A1" w:rsidRDefault="0077193F" w:rsidP="0077193F">
      <w:pPr>
        <w:rPr>
          <w:rFonts w:cstheme="minorHAnsi"/>
        </w:rPr>
      </w:pPr>
      <w:r w:rsidRPr="008318A1">
        <w:rPr>
          <w:rFonts w:cstheme="minorHAnsi"/>
        </w:rPr>
        <w:t xml:space="preserve">Looking into the future it is estimated that by 2030 the UK could have 11 million EVs on the road. If only 50% used V2G this would open up 22 </w:t>
      </w:r>
      <w:proofErr w:type="spellStart"/>
      <w:r w:rsidRPr="008318A1">
        <w:rPr>
          <w:rFonts w:cstheme="minorHAnsi"/>
        </w:rPr>
        <w:t>TW</w:t>
      </w:r>
      <w:r w:rsidR="00570BDD" w:rsidRPr="008318A1">
        <w:rPr>
          <w:rFonts w:cstheme="minorHAnsi"/>
        </w:rPr>
        <w:t>h</w:t>
      </w:r>
      <w:proofErr w:type="spellEnd"/>
      <w:r w:rsidRPr="008318A1">
        <w:rPr>
          <w:rFonts w:cstheme="minorHAnsi"/>
        </w:rPr>
        <w:t xml:space="preserve"> of flexible EV energy per year providing 16GW of daily flexible capacity to the grid</w:t>
      </w:r>
      <w:r w:rsidR="002267A1" w:rsidRPr="008318A1">
        <w:rPr>
          <w:rFonts w:cstheme="minorHAnsi"/>
        </w:rPr>
        <w:t xml:space="preserve"> (Ofgem, 2021).</w:t>
      </w:r>
    </w:p>
    <w:p w14:paraId="301DC72E" w14:textId="35816867" w:rsidR="0077193F" w:rsidRPr="008318A1" w:rsidRDefault="0077193F" w:rsidP="0077193F">
      <w:pPr>
        <w:rPr>
          <w:rFonts w:cstheme="minorHAnsi"/>
        </w:rPr>
      </w:pPr>
      <w:r w:rsidRPr="008318A1">
        <w:rPr>
          <w:rFonts w:cstheme="minorHAnsi"/>
        </w:rPr>
        <w:t>People who take part in this V2G grid plan will be paid 30p per kWh</w:t>
      </w:r>
      <w:r w:rsidR="00570BDD" w:rsidRPr="008318A1">
        <w:rPr>
          <w:rFonts w:cstheme="minorHAnsi"/>
        </w:rPr>
        <w:t xml:space="preserve">, with a yearly figure calculated at </w:t>
      </w:r>
      <w:r w:rsidRPr="008318A1">
        <w:rPr>
          <w:rFonts w:cstheme="minorHAnsi"/>
        </w:rPr>
        <w:t>£725</w:t>
      </w:r>
      <w:r w:rsidR="00570BDD" w:rsidRPr="008318A1">
        <w:rPr>
          <w:rFonts w:cstheme="minorHAnsi"/>
        </w:rPr>
        <w:t xml:space="preserve"> </w:t>
      </w:r>
      <w:r w:rsidR="00E239F8" w:rsidRPr="008318A1">
        <w:rPr>
          <w:rFonts w:cstheme="minorHAnsi"/>
        </w:rPr>
        <w:t>(</w:t>
      </w:r>
      <w:bookmarkStart w:id="17" w:name="_Hlk88226396"/>
      <w:r w:rsidR="00E239F8" w:rsidRPr="008318A1">
        <w:rPr>
          <w:rFonts w:cstheme="minorHAnsi"/>
        </w:rPr>
        <w:t>Ofgem, 2021</w:t>
      </w:r>
      <w:bookmarkEnd w:id="17"/>
      <w:r w:rsidR="00E239F8" w:rsidRPr="008318A1">
        <w:rPr>
          <w:rFonts w:cstheme="minorHAnsi"/>
        </w:rPr>
        <w:t>)</w:t>
      </w:r>
      <w:r w:rsidRPr="008318A1">
        <w:rPr>
          <w:rFonts w:cstheme="minorHAnsi"/>
        </w:rPr>
        <w:t>.</w:t>
      </w:r>
    </w:p>
    <w:p w14:paraId="104F4C9B" w14:textId="77777777" w:rsidR="0077193F" w:rsidRDefault="0077193F">
      <w:r>
        <w:br w:type="page"/>
      </w:r>
    </w:p>
    <w:p w14:paraId="56A67293" w14:textId="477F5C69" w:rsidR="00AC7718" w:rsidRDefault="003464F0" w:rsidP="005D2FAD">
      <w:pPr>
        <w:pStyle w:val="Heading1"/>
      </w:pPr>
      <w:bookmarkStart w:id="18" w:name="_Toc88299740"/>
      <w:r>
        <w:lastRenderedPageBreak/>
        <w:t>Discussion</w:t>
      </w:r>
      <w:bookmarkEnd w:id="18"/>
    </w:p>
    <w:p w14:paraId="7C08FFB2" w14:textId="77777777" w:rsidR="005D2FAD" w:rsidRPr="005D2FAD" w:rsidRDefault="005D2FAD" w:rsidP="005D2FAD"/>
    <w:p w14:paraId="1A02A920" w14:textId="459890FD" w:rsidR="00D22C73" w:rsidRPr="008318A1" w:rsidRDefault="00D22C73" w:rsidP="00D22C73">
      <w:pPr>
        <w:rPr>
          <w:rFonts w:cstheme="minorHAnsi"/>
        </w:rPr>
      </w:pPr>
      <w:r w:rsidRPr="008318A1">
        <w:rPr>
          <w:rFonts w:cstheme="minorHAnsi"/>
        </w:rPr>
        <w:t>Integrating V2G into the grid provides a large array of benefits. The first of these is a reduction in the use of coal/fossil fuel power stations as peak demand generators</w:t>
      </w:r>
      <w:r w:rsidR="00AC7718" w:rsidRPr="008318A1">
        <w:rPr>
          <w:rFonts w:cstheme="minorHAnsi"/>
        </w:rPr>
        <w:t xml:space="preserve">, </w:t>
      </w:r>
      <w:r w:rsidRPr="008318A1">
        <w:rPr>
          <w:rFonts w:cstheme="minorHAnsi"/>
        </w:rPr>
        <w:t xml:space="preserve">threw doing this a </w:t>
      </w:r>
      <w:r w:rsidR="001A3ACC" w:rsidRPr="008318A1">
        <w:rPr>
          <w:rFonts w:cstheme="minorHAnsi"/>
        </w:rPr>
        <w:t>pollution reduc</w:t>
      </w:r>
      <w:r w:rsidRPr="008318A1">
        <w:rPr>
          <w:rFonts w:cstheme="minorHAnsi"/>
        </w:rPr>
        <w:t>tion will be seen. ESO spent £86m on keeping coal power stations going, with the use of V2G this could be greatly reduced and large sums of money saved and redirected into green</w:t>
      </w:r>
      <w:r w:rsidR="00AC7718" w:rsidRPr="008318A1">
        <w:rPr>
          <w:rFonts w:cstheme="minorHAnsi"/>
        </w:rPr>
        <w:t xml:space="preserve">er </w:t>
      </w:r>
      <w:r w:rsidRPr="008318A1">
        <w:rPr>
          <w:rFonts w:cstheme="minorHAnsi"/>
        </w:rPr>
        <w:t>forms of energy. Money can also be saved due</w:t>
      </w:r>
      <w:r w:rsidR="001A3ACC" w:rsidRPr="008318A1">
        <w:rPr>
          <w:rFonts w:cstheme="minorHAnsi"/>
        </w:rPr>
        <w:t xml:space="preserve"> to</w:t>
      </w:r>
      <w:r w:rsidRPr="008318A1">
        <w:rPr>
          <w:rFonts w:cstheme="minorHAnsi"/>
        </w:rPr>
        <w:t xml:space="preserve"> V2G ability to help balance grid</w:t>
      </w:r>
      <w:r w:rsidR="00AC7718" w:rsidRPr="008318A1">
        <w:rPr>
          <w:rFonts w:cstheme="minorHAnsi"/>
        </w:rPr>
        <w:t xml:space="preserve"> </w:t>
      </w:r>
      <w:r w:rsidRPr="008318A1">
        <w:rPr>
          <w:rFonts w:cstheme="minorHAnsi"/>
        </w:rPr>
        <w:t>frequenc</w:t>
      </w:r>
      <w:r w:rsidR="00AC7718" w:rsidRPr="008318A1">
        <w:rPr>
          <w:rFonts w:cstheme="minorHAnsi"/>
        </w:rPr>
        <w:t>ies</w:t>
      </w:r>
      <w:r w:rsidRPr="008318A1">
        <w:rPr>
          <w:rFonts w:cstheme="minorHAnsi"/>
        </w:rPr>
        <w:t>, this removes the need for spinning resources, relays and possible reduction</w:t>
      </w:r>
      <w:r w:rsidR="00AC7718" w:rsidRPr="008318A1">
        <w:rPr>
          <w:rFonts w:cstheme="minorHAnsi"/>
        </w:rPr>
        <w:t xml:space="preserve">s </w:t>
      </w:r>
      <w:r w:rsidRPr="008318A1">
        <w:rPr>
          <w:rFonts w:cstheme="minorHAnsi"/>
        </w:rPr>
        <w:t xml:space="preserve">in the impact of contingencies along with </w:t>
      </w:r>
      <w:r w:rsidR="00AC7718" w:rsidRPr="008318A1">
        <w:rPr>
          <w:rFonts w:cstheme="minorHAnsi"/>
        </w:rPr>
        <w:t xml:space="preserve">providing </w:t>
      </w:r>
      <w:r w:rsidRPr="008318A1">
        <w:rPr>
          <w:rFonts w:cstheme="minorHAnsi"/>
        </w:rPr>
        <w:t>help in response to unexpected equipment failure</w:t>
      </w:r>
      <w:r w:rsidR="00AC7718" w:rsidRPr="008318A1">
        <w:rPr>
          <w:rFonts w:cstheme="minorHAnsi"/>
        </w:rPr>
        <w:t>s</w:t>
      </w:r>
      <w:r w:rsidRPr="008318A1">
        <w:rPr>
          <w:rFonts w:cstheme="minorHAnsi"/>
        </w:rPr>
        <w:t xml:space="preserve"> (BBC News, 2021; The Guardian, 2021; ResearchGate, 20</w:t>
      </w:r>
      <w:r w:rsidR="003D54D8" w:rsidRPr="008318A1">
        <w:rPr>
          <w:rFonts w:cstheme="minorHAnsi"/>
        </w:rPr>
        <w:t>21</w:t>
      </w:r>
      <w:r w:rsidRPr="008318A1">
        <w:rPr>
          <w:rFonts w:cstheme="minorHAnsi"/>
        </w:rPr>
        <w:t>; Pandy et al, 2015; Morash, 2013; Zhou &amp; Li, 2015; Kempton et al, 2001).</w:t>
      </w:r>
    </w:p>
    <w:p w14:paraId="731EE080" w14:textId="3B9DC15D" w:rsidR="00D22C73" w:rsidRPr="008318A1" w:rsidRDefault="00D22C73" w:rsidP="00D22C73">
      <w:pPr>
        <w:rPr>
          <w:rFonts w:cstheme="minorHAnsi"/>
        </w:rPr>
      </w:pPr>
      <w:r w:rsidRPr="008318A1">
        <w:rPr>
          <w:rFonts w:cstheme="minorHAnsi"/>
        </w:rPr>
        <w:t>Although V2G will benefit the grid from a running and financial standpoint there are still problems. The integration of V2G into the g</w:t>
      </w:r>
      <w:r w:rsidR="00AC7718" w:rsidRPr="008318A1">
        <w:rPr>
          <w:rFonts w:cstheme="minorHAnsi"/>
        </w:rPr>
        <w:t>ri</w:t>
      </w:r>
      <w:r w:rsidRPr="008318A1">
        <w:rPr>
          <w:rFonts w:cstheme="minorHAnsi"/>
        </w:rPr>
        <w:t xml:space="preserve">d proved to </w:t>
      </w:r>
      <w:r w:rsidR="001A3ACC" w:rsidRPr="008318A1">
        <w:rPr>
          <w:rFonts w:cstheme="minorHAnsi"/>
        </w:rPr>
        <w:t xml:space="preserve">be </w:t>
      </w:r>
      <w:r w:rsidRPr="008318A1">
        <w:rPr>
          <w:rFonts w:cstheme="minorHAnsi"/>
        </w:rPr>
        <w:t xml:space="preserve">very expensive when carried out in a recent project, </w:t>
      </w:r>
      <w:r w:rsidR="00AC7718" w:rsidRPr="008318A1">
        <w:rPr>
          <w:rFonts w:cstheme="minorHAnsi"/>
        </w:rPr>
        <w:t xml:space="preserve">it was </w:t>
      </w:r>
      <w:r w:rsidRPr="008318A1">
        <w:rPr>
          <w:rFonts w:cstheme="minorHAnsi"/>
        </w:rPr>
        <w:t>found th</w:t>
      </w:r>
      <w:r w:rsidR="00AC7718" w:rsidRPr="008318A1">
        <w:rPr>
          <w:rFonts w:cstheme="minorHAnsi"/>
        </w:rPr>
        <w:t xml:space="preserve">at the </w:t>
      </w:r>
      <w:r w:rsidRPr="008318A1">
        <w:rPr>
          <w:rFonts w:cstheme="minorHAnsi"/>
        </w:rPr>
        <w:t xml:space="preserve">installation of chargers across the UK came to £3,700 </w:t>
      </w:r>
      <w:r w:rsidR="00EB0EBE" w:rsidRPr="008318A1">
        <w:rPr>
          <w:rFonts w:cstheme="minorHAnsi"/>
        </w:rPr>
        <w:t>(more expensive than</w:t>
      </w:r>
      <w:r w:rsidR="00AC7718" w:rsidRPr="008318A1">
        <w:rPr>
          <w:rFonts w:cstheme="minorHAnsi"/>
        </w:rPr>
        <w:t xml:space="preserve"> a </w:t>
      </w:r>
      <w:r w:rsidR="00EB0EBE" w:rsidRPr="008318A1">
        <w:rPr>
          <w:rFonts w:cstheme="minorHAnsi"/>
        </w:rPr>
        <w:t>smart charger)</w:t>
      </w:r>
      <w:r w:rsidRPr="008318A1">
        <w:rPr>
          <w:rFonts w:cstheme="minorHAnsi"/>
        </w:rPr>
        <w:t xml:space="preserve">; </w:t>
      </w:r>
      <w:r w:rsidR="00AC7718" w:rsidRPr="008318A1">
        <w:rPr>
          <w:rFonts w:cstheme="minorHAnsi"/>
        </w:rPr>
        <w:t>an</w:t>
      </w:r>
      <w:r w:rsidRPr="008318A1">
        <w:rPr>
          <w:rFonts w:cstheme="minorHAnsi"/>
        </w:rPr>
        <w:t xml:space="preserve">other issue experienced was the gaining of certification for chargers along with connecting the chargers to various distribution networks. </w:t>
      </w:r>
      <w:r w:rsidR="00AC7718" w:rsidRPr="008318A1">
        <w:rPr>
          <w:rFonts w:cstheme="minorHAnsi"/>
        </w:rPr>
        <w:t xml:space="preserve">Other problems </w:t>
      </w:r>
      <w:r w:rsidRPr="008318A1">
        <w:rPr>
          <w:rFonts w:cstheme="minorHAnsi"/>
        </w:rPr>
        <w:t>to be face</w:t>
      </w:r>
      <w:r w:rsidR="001A3ACC" w:rsidRPr="008318A1">
        <w:rPr>
          <w:rFonts w:cstheme="minorHAnsi"/>
        </w:rPr>
        <w:t>d</w:t>
      </w:r>
      <w:r w:rsidRPr="008318A1">
        <w:rPr>
          <w:rFonts w:cstheme="minorHAnsi"/>
        </w:rPr>
        <w:t xml:space="preserve"> by V2G is not to do with the grid but with the vehicles, with there being a limited number of vehicles on the road that support V2G (Nissan Leaf) this greatly limits the number of people who </w:t>
      </w:r>
      <w:r w:rsidR="001A3ACC" w:rsidRPr="008318A1">
        <w:rPr>
          <w:rFonts w:cstheme="minorHAnsi"/>
        </w:rPr>
        <w:t>can</w:t>
      </w:r>
      <w:r w:rsidRPr="008318A1">
        <w:rPr>
          <w:rFonts w:cstheme="minorHAnsi"/>
        </w:rPr>
        <w:t xml:space="preserve"> use the V2G system</w:t>
      </w:r>
      <w:r w:rsidR="00AC7718" w:rsidRPr="008318A1">
        <w:rPr>
          <w:rFonts w:cstheme="minorHAnsi"/>
        </w:rPr>
        <w:t>. W</w:t>
      </w:r>
      <w:r w:rsidR="00DE4AE4" w:rsidRPr="008318A1">
        <w:rPr>
          <w:rFonts w:cstheme="minorHAnsi"/>
        </w:rPr>
        <w:t>ith this</w:t>
      </w:r>
      <w:r w:rsidR="00AC7718" w:rsidRPr="008318A1">
        <w:rPr>
          <w:rFonts w:cstheme="minorHAnsi"/>
        </w:rPr>
        <w:t xml:space="preserve"> being said</w:t>
      </w:r>
      <w:r w:rsidR="00DE4AE4" w:rsidRPr="008318A1">
        <w:rPr>
          <w:rFonts w:cstheme="minorHAnsi"/>
        </w:rPr>
        <w:t xml:space="preserve"> </w:t>
      </w:r>
      <w:r w:rsidR="005D2FAD" w:rsidRPr="008318A1">
        <w:rPr>
          <w:rFonts w:cstheme="minorHAnsi"/>
        </w:rPr>
        <w:t>companies</w:t>
      </w:r>
      <w:r w:rsidR="00DE4AE4" w:rsidRPr="008318A1">
        <w:rPr>
          <w:rFonts w:cstheme="minorHAnsi"/>
        </w:rPr>
        <w:t xml:space="preserve"> </w:t>
      </w:r>
      <w:r w:rsidR="00AC7718" w:rsidRPr="008318A1">
        <w:rPr>
          <w:rFonts w:cstheme="minorHAnsi"/>
        </w:rPr>
        <w:t>like</w:t>
      </w:r>
      <w:r w:rsidR="00DE4AE4" w:rsidRPr="008318A1">
        <w:rPr>
          <w:rFonts w:cstheme="minorHAnsi"/>
        </w:rPr>
        <w:t xml:space="preserve"> VW and tesla will be bringing out models with bi</w:t>
      </w:r>
      <w:r w:rsidR="001A3ACC" w:rsidRPr="008318A1">
        <w:rPr>
          <w:rFonts w:cstheme="minorHAnsi"/>
        </w:rPr>
        <w:t>-</w:t>
      </w:r>
      <w:r w:rsidR="00DE4AE4" w:rsidRPr="008318A1">
        <w:rPr>
          <w:rFonts w:cstheme="minorHAnsi"/>
        </w:rPr>
        <w:t>direction</w:t>
      </w:r>
      <w:r w:rsidR="00AC7718" w:rsidRPr="008318A1">
        <w:rPr>
          <w:rFonts w:cstheme="minorHAnsi"/>
        </w:rPr>
        <w:t>al</w:t>
      </w:r>
      <w:r w:rsidR="00DE4AE4" w:rsidRPr="008318A1">
        <w:rPr>
          <w:rFonts w:cstheme="minorHAnsi"/>
        </w:rPr>
        <w:t xml:space="preserve"> charging.</w:t>
      </w:r>
      <w:r w:rsidRPr="008318A1">
        <w:rPr>
          <w:rFonts w:cstheme="minorHAnsi"/>
        </w:rPr>
        <w:t xml:space="preserve"> (</w:t>
      </w:r>
      <w:r w:rsidR="00C245E8" w:rsidRPr="008318A1">
        <w:rPr>
          <w:rFonts w:cstheme="minorHAnsi"/>
        </w:rPr>
        <w:t xml:space="preserve">Lambert, 2020; </w:t>
      </w:r>
      <w:r w:rsidR="00BA5410" w:rsidRPr="008318A1">
        <w:rPr>
          <w:rFonts w:cstheme="minorHAnsi"/>
        </w:rPr>
        <w:t>Edelstein, 2021</w:t>
      </w:r>
      <w:r w:rsidR="00C245E8" w:rsidRPr="008318A1">
        <w:rPr>
          <w:rFonts w:cstheme="minorHAnsi"/>
        </w:rPr>
        <w:t xml:space="preserve">; </w:t>
      </w:r>
      <w:r w:rsidRPr="008318A1">
        <w:rPr>
          <w:rFonts w:cstheme="minorHAnsi"/>
        </w:rPr>
        <w:t>Ofgem, 2021; Pandy et al, 2015; Morash, 2013; Zhou &amp; Li, 2015; Kempton et al, 2001)</w:t>
      </w:r>
    </w:p>
    <w:p w14:paraId="02979154" w14:textId="38D9BFDB" w:rsidR="00D22C73" w:rsidRPr="008318A1" w:rsidRDefault="00D22C73" w:rsidP="00D22C73">
      <w:pPr>
        <w:rPr>
          <w:rFonts w:cstheme="minorHAnsi"/>
        </w:rPr>
      </w:pPr>
      <w:r w:rsidRPr="008318A1">
        <w:rPr>
          <w:rFonts w:cstheme="minorHAnsi"/>
        </w:rPr>
        <w:t xml:space="preserve">There are two main </w:t>
      </w:r>
      <w:r w:rsidR="00AC7718" w:rsidRPr="008318A1">
        <w:rPr>
          <w:rFonts w:cstheme="minorHAnsi"/>
        </w:rPr>
        <w:t>areas</w:t>
      </w:r>
      <w:r w:rsidRPr="008318A1">
        <w:rPr>
          <w:rFonts w:cstheme="minorHAnsi"/>
        </w:rPr>
        <w:t xml:space="preserve"> in which the V2G system affect</w:t>
      </w:r>
      <w:r w:rsidR="00AC7718" w:rsidRPr="008318A1">
        <w:rPr>
          <w:rFonts w:cstheme="minorHAnsi"/>
        </w:rPr>
        <w:t>s</w:t>
      </w:r>
      <w:r w:rsidRPr="008318A1">
        <w:rPr>
          <w:rFonts w:cstheme="minorHAnsi"/>
        </w:rPr>
        <w:t xml:space="preserve"> the user. The first </w:t>
      </w:r>
      <w:r w:rsidR="001A3ACC" w:rsidRPr="008318A1">
        <w:rPr>
          <w:rFonts w:cstheme="minorHAnsi"/>
        </w:rPr>
        <w:t>is</w:t>
      </w:r>
      <w:r w:rsidRPr="008318A1">
        <w:rPr>
          <w:rFonts w:cstheme="minorHAnsi"/>
        </w:rPr>
        <w:t xml:space="preserve"> the financial benefit</w:t>
      </w:r>
      <w:r w:rsidR="00AC7718" w:rsidRPr="008318A1">
        <w:rPr>
          <w:rFonts w:cstheme="minorHAnsi"/>
        </w:rPr>
        <w:t>s</w:t>
      </w:r>
      <w:r w:rsidRPr="008318A1">
        <w:rPr>
          <w:rFonts w:cstheme="minorHAnsi"/>
        </w:rPr>
        <w:t>, it has been estimated that a person can be paid 30p per kWh or £725 a year for allowing their car to be used for V2G. The second point is the charging and discharging of the vehicle and how this could prove to be burdensome for the user, with the vehicle being complete/partly discharged this creates a situation where the use</w:t>
      </w:r>
      <w:r w:rsidR="001A3ACC" w:rsidRPr="008318A1">
        <w:rPr>
          <w:rFonts w:cstheme="minorHAnsi"/>
        </w:rPr>
        <w:t>r</w:t>
      </w:r>
      <w:r w:rsidRPr="008318A1">
        <w:rPr>
          <w:rFonts w:cstheme="minorHAnsi"/>
        </w:rPr>
        <w:t xml:space="preserve"> will need to charge the vehicle more often. This problem has been addressed with the use of an app produced by Kaluza’s, this app allows the user to decide when they w</w:t>
      </w:r>
      <w:r w:rsidR="00AC7718" w:rsidRPr="008318A1">
        <w:rPr>
          <w:rFonts w:cstheme="minorHAnsi"/>
        </w:rPr>
        <w:t xml:space="preserve">ant </w:t>
      </w:r>
      <w:r w:rsidRPr="008318A1">
        <w:rPr>
          <w:rFonts w:cstheme="minorHAnsi"/>
        </w:rPr>
        <w:t>the vehicle to finish charging and allows them to know when the vehicle is providing/taking energy from the grid (Ofgem, 2021; Pandy et al, 2015; Morash, 2013; Zhou &amp; Li, 2015; Kempton et al, 2001).</w:t>
      </w:r>
    </w:p>
    <w:p w14:paraId="0BAEFCB0" w14:textId="7B0AD887" w:rsidR="00D22C73" w:rsidRPr="008318A1" w:rsidRDefault="00D22C73" w:rsidP="00D22C73">
      <w:pPr>
        <w:rPr>
          <w:rFonts w:cstheme="minorHAnsi"/>
        </w:rPr>
      </w:pPr>
      <w:r w:rsidRPr="008318A1">
        <w:rPr>
          <w:rFonts w:cstheme="minorHAnsi"/>
        </w:rPr>
        <w:t>Batteries also provide a problem for the integration of V2G into the automotive sector with the main issue being the obtaining of lithium. Lithium mining i</w:t>
      </w:r>
      <w:r w:rsidR="001A3ACC" w:rsidRPr="008318A1">
        <w:rPr>
          <w:rFonts w:cstheme="minorHAnsi"/>
        </w:rPr>
        <w:t>s</w:t>
      </w:r>
      <w:r w:rsidRPr="008318A1">
        <w:rPr>
          <w:rFonts w:cstheme="minorHAnsi"/>
        </w:rPr>
        <w:t xml:space="preserve"> extremely harmful to the environment, with the saturation of the ground with harmful chemicals the mining process has be</w:t>
      </w:r>
      <w:r w:rsidR="001A3ACC" w:rsidRPr="008318A1">
        <w:rPr>
          <w:rFonts w:cstheme="minorHAnsi"/>
        </w:rPr>
        <w:t>en</w:t>
      </w:r>
      <w:r w:rsidRPr="008318A1">
        <w:rPr>
          <w:rFonts w:cstheme="minorHAnsi"/>
        </w:rPr>
        <w:t xml:space="preserve"> found to poison key waterways polluting the soil and produc</w:t>
      </w:r>
      <w:r w:rsidR="001A3ACC" w:rsidRPr="008318A1">
        <w:rPr>
          <w:rFonts w:cstheme="minorHAnsi"/>
        </w:rPr>
        <w:t>ing</w:t>
      </w:r>
      <w:r w:rsidRPr="008318A1">
        <w:rPr>
          <w:rFonts w:cstheme="minorHAnsi"/>
        </w:rPr>
        <w:t xml:space="preserve"> air pollution. This can also be said for the mining of cobalt which makes use of child labour. To reduce the impact of mining methods </w:t>
      </w:r>
      <w:r w:rsidR="00D853DA" w:rsidRPr="008318A1">
        <w:rPr>
          <w:rFonts w:cstheme="minorHAnsi"/>
        </w:rPr>
        <w:t xml:space="preserve">harvesting </w:t>
      </w:r>
      <w:r w:rsidR="001A3ACC" w:rsidRPr="008318A1">
        <w:rPr>
          <w:rFonts w:cstheme="minorHAnsi"/>
        </w:rPr>
        <w:t xml:space="preserve">lithium from saltwater has been </w:t>
      </w:r>
      <w:r w:rsidRPr="008318A1">
        <w:rPr>
          <w:rFonts w:cstheme="minorHAnsi"/>
        </w:rPr>
        <w:t>looked into</w:t>
      </w:r>
      <w:r w:rsidR="001A3ACC" w:rsidRPr="008318A1">
        <w:rPr>
          <w:rFonts w:cstheme="minorHAnsi"/>
        </w:rPr>
        <w:t xml:space="preserve"> </w:t>
      </w:r>
      <w:r w:rsidRPr="008318A1">
        <w:rPr>
          <w:rFonts w:cstheme="minorHAnsi"/>
        </w:rPr>
        <w:t>(Katwala, 2018). Another problem faced with batter</w:t>
      </w:r>
      <w:r w:rsidR="001A3ACC" w:rsidRPr="008318A1">
        <w:rPr>
          <w:rFonts w:cstheme="minorHAnsi"/>
        </w:rPr>
        <w:t>ies</w:t>
      </w:r>
      <w:r w:rsidRPr="008318A1">
        <w:rPr>
          <w:rFonts w:cstheme="minorHAnsi"/>
        </w:rPr>
        <w:t xml:space="preserve"> is their longevity. </w:t>
      </w:r>
      <w:bookmarkStart w:id="19" w:name="_Hlk88229064"/>
      <w:r w:rsidRPr="008318A1">
        <w:rPr>
          <w:rFonts w:cstheme="minorHAnsi"/>
        </w:rPr>
        <w:t xml:space="preserve">This is reliant on the depth of discharge and the battery temperature when used, </w:t>
      </w:r>
      <w:bookmarkEnd w:id="19"/>
      <w:r w:rsidRPr="008318A1">
        <w:rPr>
          <w:rFonts w:cstheme="minorHAnsi"/>
        </w:rPr>
        <w:t>As the depth of discharge increase</w:t>
      </w:r>
      <w:r w:rsidR="00D853DA" w:rsidRPr="008318A1">
        <w:rPr>
          <w:rFonts w:cstheme="minorHAnsi"/>
        </w:rPr>
        <w:t>s</w:t>
      </w:r>
      <w:r w:rsidRPr="008318A1">
        <w:rPr>
          <w:rFonts w:cstheme="minorHAnsi"/>
        </w:rPr>
        <w:t xml:space="preserve"> and the rate of charge/discharge get</w:t>
      </w:r>
      <w:r w:rsidR="00D853DA" w:rsidRPr="008318A1">
        <w:rPr>
          <w:rFonts w:cstheme="minorHAnsi"/>
        </w:rPr>
        <w:t>s</w:t>
      </w:r>
      <w:r w:rsidRPr="008318A1">
        <w:rPr>
          <w:rFonts w:cstheme="minorHAnsi"/>
        </w:rPr>
        <w:t xml:space="preserve"> greater the hotter and more worn out the battery becomes</w:t>
      </w:r>
      <w:r w:rsidR="00D853DA" w:rsidRPr="008318A1">
        <w:rPr>
          <w:rFonts w:cstheme="minorHAnsi"/>
        </w:rPr>
        <w:t xml:space="preserve">; </w:t>
      </w:r>
      <w:r w:rsidRPr="008318A1">
        <w:rPr>
          <w:rFonts w:cstheme="minorHAnsi"/>
        </w:rPr>
        <w:t>this leads to a decrease in battery life and an increase in maintenance</w:t>
      </w:r>
      <w:r w:rsidR="00D853DA" w:rsidRPr="008318A1">
        <w:rPr>
          <w:rFonts w:cstheme="minorHAnsi"/>
        </w:rPr>
        <w:t xml:space="preserve"> </w:t>
      </w:r>
      <w:r w:rsidRPr="008318A1">
        <w:rPr>
          <w:rFonts w:cstheme="minorHAnsi"/>
        </w:rPr>
        <w:t xml:space="preserve">for the user of the vehicle (Pandy et al, 2015; Morash, 2013; Zhou &amp; Li, 2015; Kempton et al, 2001).  </w:t>
      </w:r>
    </w:p>
    <w:p w14:paraId="78B866B3" w14:textId="34E3D31C" w:rsidR="00664810" w:rsidRDefault="00664810">
      <w:r>
        <w:br w:type="page"/>
      </w:r>
    </w:p>
    <w:p w14:paraId="33D4D307" w14:textId="06B07DCD" w:rsidR="008C2B15" w:rsidRDefault="003464F0" w:rsidP="008C2B15">
      <w:pPr>
        <w:pStyle w:val="Heading1"/>
      </w:pPr>
      <w:bookmarkStart w:id="20" w:name="_Toc88299741"/>
      <w:r>
        <w:lastRenderedPageBreak/>
        <w:t>Conclusion</w:t>
      </w:r>
      <w:bookmarkEnd w:id="20"/>
      <w:r>
        <w:t xml:space="preserve"> </w:t>
      </w:r>
    </w:p>
    <w:p w14:paraId="3BD6D52C" w14:textId="77777777" w:rsidR="008C2B15" w:rsidRPr="008C2B15" w:rsidRDefault="008C2B15" w:rsidP="008C2B15"/>
    <w:p w14:paraId="1D7F3E2C" w14:textId="1E41A29A" w:rsidR="00664810" w:rsidRPr="008318A1" w:rsidRDefault="005D2FAD" w:rsidP="00664810">
      <w:pPr>
        <w:rPr>
          <w:rFonts w:cstheme="minorHAnsi"/>
        </w:rPr>
      </w:pPr>
      <w:r w:rsidRPr="008318A1">
        <w:rPr>
          <w:rFonts w:cstheme="minorHAnsi"/>
        </w:rPr>
        <w:t>T</w:t>
      </w:r>
      <w:r w:rsidR="004F53F5" w:rsidRPr="008318A1">
        <w:rPr>
          <w:rFonts w:cstheme="minorHAnsi"/>
        </w:rPr>
        <w:t xml:space="preserve">he </w:t>
      </w:r>
      <w:r w:rsidRPr="008318A1">
        <w:rPr>
          <w:rFonts w:cstheme="minorHAnsi"/>
        </w:rPr>
        <w:t xml:space="preserve">main problem with </w:t>
      </w:r>
      <w:r w:rsidR="004F53F5" w:rsidRPr="008318A1">
        <w:rPr>
          <w:rFonts w:cstheme="minorHAnsi"/>
        </w:rPr>
        <w:t xml:space="preserve">V2G </w:t>
      </w:r>
      <w:r w:rsidRPr="008318A1">
        <w:rPr>
          <w:rFonts w:cstheme="minorHAnsi"/>
        </w:rPr>
        <w:t xml:space="preserve">is the implementation of </w:t>
      </w:r>
      <w:r w:rsidR="004F53F5" w:rsidRPr="008318A1">
        <w:rPr>
          <w:rFonts w:cstheme="minorHAnsi"/>
        </w:rPr>
        <w:t xml:space="preserve">chargers up and down the UK. With the process costing £3,700, there were also issues with </w:t>
      </w:r>
      <w:r w:rsidR="00664810" w:rsidRPr="008318A1">
        <w:rPr>
          <w:rFonts w:cstheme="minorHAnsi"/>
        </w:rPr>
        <w:t>getting certification for chargers along with connecting them to various distribution networks. The cost of installation/grid modifications will drop as the number of users increase</w:t>
      </w:r>
      <w:r w:rsidR="004F53F5" w:rsidRPr="008318A1">
        <w:rPr>
          <w:rFonts w:cstheme="minorHAnsi"/>
        </w:rPr>
        <w:t xml:space="preserve"> along with the levels of mass production.</w:t>
      </w:r>
    </w:p>
    <w:p w14:paraId="3580D189" w14:textId="45FAFB23" w:rsidR="00664810" w:rsidRPr="008318A1" w:rsidRDefault="005D2FAD" w:rsidP="00664810">
      <w:pPr>
        <w:rPr>
          <w:rFonts w:cstheme="minorHAnsi"/>
        </w:rPr>
      </w:pPr>
      <w:r w:rsidRPr="008318A1">
        <w:rPr>
          <w:rFonts w:cstheme="minorHAnsi"/>
        </w:rPr>
        <w:t xml:space="preserve">A key problem with V2G is the </w:t>
      </w:r>
      <w:r w:rsidR="00664810" w:rsidRPr="008318A1">
        <w:rPr>
          <w:rFonts w:cstheme="minorHAnsi"/>
        </w:rPr>
        <w:t>automotive sector</w:t>
      </w:r>
      <w:r w:rsidR="004F53F5" w:rsidRPr="008318A1">
        <w:rPr>
          <w:rFonts w:cstheme="minorHAnsi"/>
        </w:rPr>
        <w:t xml:space="preserve">, </w:t>
      </w:r>
      <w:r w:rsidR="00664810" w:rsidRPr="008318A1">
        <w:rPr>
          <w:rFonts w:cstheme="minorHAnsi"/>
        </w:rPr>
        <w:t>specifically batteries. The V2G system involves repeat</w:t>
      </w:r>
      <w:r w:rsidR="004F53F5" w:rsidRPr="008318A1">
        <w:rPr>
          <w:rFonts w:cstheme="minorHAnsi"/>
        </w:rPr>
        <w:t xml:space="preserve">edly </w:t>
      </w:r>
      <w:r w:rsidR="00664810" w:rsidRPr="008318A1">
        <w:rPr>
          <w:rFonts w:cstheme="minorHAnsi"/>
        </w:rPr>
        <w:t>charging and discharging the vehicle</w:t>
      </w:r>
      <w:r w:rsidR="00915C58" w:rsidRPr="008318A1">
        <w:rPr>
          <w:rFonts w:cstheme="minorHAnsi"/>
        </w:rPr>
        <w:t>'</w:t>
      </w:r>
      <w:r w:rsidR="00664810" w:rsidRPr="008318A1">
        <w:rPr>
          <w:rFonts w:cstheme="minorHAnsi"/>
        </w:rPr>
        <w:t xml:space="preserve">s battery, </w:t>
      </w:r>
      <w:r w:rsidR="004F53F5" w:rsidRPr="008318A1">
        <w:rPr>
          <w:rFonts w:cstheme="minorHAnsi"/>
        </w:rPr>
        <w:t>this causes temperature increase and wear to the battery i</w:t>
      </w:r>
      <w:r w:rsidR="00B87F0F" w:rsidRPr="008318A1">
        <w:rPr>
          <w:rFonts w:cstheme="minorHAnsi"/>
        </w:rPr>
        <w:t xml:space="preserve">ts </w:t>
      </w:r>
      <w:proofErr w:type="spellStart"/>
      <w:r w:rsidR="00B87F0F" w:rsidRPr="008318A1">
        <w:rPr>
          <w:rFonts w:cstheme="minorHAnsi"/>
        </w:rPr>
        <w:t>self</w:t>
      </w:r>
      <w:r w:rsidRPr="008318A1">
        <w:rPr>
          <w:rFonts w:cstheme="minorHAnsi"/>
        </w:rPr>
        <w:t xml:space="preserve"> </w:t>
      </w:r>
      <w:r w:rsidR="00B87F0F" w:rsidRPr="008318A1">
        <w:rPr>
          <w:rFonts w:cstheme="minorHAnsi"/>
        </w:rPr>
        <w:t>due</w:t>
      </w:r>
      <w:proofErr w:type="spellEnd"/>
      <w:r w:rsidR="004F53F5" w:rsidRPr="008318A1">
        <w:rPr>
          <w:rFonts w:cstheme="minorHAnsi"/>
        </w:rPr>
        <w:t xml:space="preserve"> to the depth of discharge and rate of charge/discharge experienced by the battery. </w:t>
      </w:r>
      <w:r w:rsidR="00664810" w:rsidRPr="008318A1">
        <w:rPr>
          <w:rFonts w:cstheme="minorHAnsi"/>
        </w:rPr>
        <w:t xml:space="preserve">Due to this not only will the maintenance and cost </w:t>
      </w:r>
      <w:r w:rsidR="004F53F5" w:rsidRPr="008318A1">
        <w:rPr>
          <w:rFonts w:cstheme="minorHAnsi"/>
        </w:rPr>
        <w:t xml:space="preserve">to </w:t>
      </w:r>
      <w:r w:rsidR="00664810" w:rsidRPr="008318A1">
        <w:rPr>
          <w:rFonts w:cstheme="minorHAnsi"/>
        </w:rPr>
        <w:t xml:space="preserve">the user increase but also the need for </w:t>
      </w:r>
      <w:r w:rsidR="00915C58" w:rsidRPr="008318A1">
        <w:rPr>
          <w:rFonts w:cstheme="minorHAnsi"/>
        </w:rPr>
        <w:t xml:space="preserve">a </w:t>
      </w:r>
      <w:r w:rsidR="00664810" w:rsidRPr="008318A1">
        <w:rPr>
          <w:rFonts w:cstheme="minorHAnsi"/>
        </w:rPr>
        <w:t>new battery to be develop</w:t>
      </w:r>
      <w:r w:rsidR="00915C58" w:rsidRPr="008318A1">
        <w:rPr>
          <w:rFonts w:cstheme="minorHAnsi"/>
        </w:rPr>
        <w:t>ed</w:t>
      </w:r>
      <w:r w:rsidR="00664810" w:rsidRPr="008318A1">
        <w:rPr>
          <w:rFonts w:cstheme="minorHAnsi"/>
        </w:rPr>
        <w:t xml:space="preserve">, this proves a problem </w:t>
      </w:r>
      <w:r w:rsidR="004F53F5" w:rsidRPr="008318A1">
        <w:rPr>
          <w:rFonts w:cstheme="minorHAnsi"/>
        </w:rPr>
        <w:t>when considering the need for lithium/cobalt and how the substances are mined.</w:t>
      </w:r>
      <w:r w:rsidR="00664810" w:rsidRPr="008318A1">
        <w:rPr>
          <w:rFonts w:cstheme="minorHAnsi"/>
        </w:rPr>
        <w:t xml:space="preserve"> Mining these substances produce</w:t>
      </w:r>
      <w:r w:rsidR="004F53F5" w:rsidRPr="008318A1">
        <w:rPr>
          <w:rFonts w:cstheme="minorHAnsi"/>
        </w:rPr>
        <w:t>s</w:t>
      </w:r>
      <w:r w:rsidR="00664810" w:rsidRPr="008318A1">
        <w:rPr>
          <w:rFonts w:cstheme="minorHAnsi"/>
        </w:rPr>
        <w:t xml:space="preserve"> a large array of water, gr</w:t>
      </w:r>
      <w:r w:rsidR="004F53F5" w:rsidRPr="008318A1">
        <w:rPr>
          <w:rFonts w:cstheme="minorHAnsi"/>
        </w:rPr>
        <w:t>ound</w:t>
      </w:r>
      <w:r w:rsidR="00664810" w:rsidRPr="008318A1">
        <w:rPr>
          <w:rFonts w:cstheme="minorHAnsi"/>
        </w:rPr>
        <w:t xml:space="preserve"> and air pollution due to chemicals used, they also make use of child labour. Mining also c</w:t>
      </w:r>
      <w:r w:rsidR="004F53F5" w:rsidRPr="008318A1">
        <w:rPr>
          <w:rFonts w:cstheme="minorHAnsi"/>
        </w:rPr>
        <w:t xml:space="preserve">auses </w:t>
      </w:r>
      <w:r w:rsidR="00664810" w:rsidRPr="008318A1">
        <w:rPr>
          <w:rFonts w:cstheme="minorHAnsi"/>
        </w:rPr>
        <w:t>great problems for the local people around the mines</w:t>
      </w:r>
      <w:r w:rsidR="004F53F5" w:rsidRPr="008318A1">
        <w:rPr>
          <w:rFonts w:cstheme="minorHAnsi"/>
        </w:rPr>
        <w:t xml:space="preserve">, problems in </w:t>
      </w:r>
      <w:r w:rsidR="00664810" w:rsidRPr="008318A1">
        <w:rPr>
          <w:rFonts w:cstheme="minorHAnsi"/>
        </w:rPr>
        <w:t xml:space="preserve">farm irrigation </w:t>
      </w:r>
      <w:r w:rsidR="004F53F5" w:rsidRPr="008318A1">
        <w:rPr>
          <w:rFonts w:cstheme="minorHAnsi"/>
        </w:rPr>
        <w:t xml:space="preserve">due to the mining process requiring </w:t>
      </w:r>
      <w:r w:rsidR="00664810" w:rsidRPr="008318A1">
        <w:rPr>
          <w:rFonts w:cstheme="minorHAnsi"/>
        </w:rPr>
        <w:t>500,000 gallons of water per tonne of lithium</w:t>
      </w:r>
      <w:r w:rsidR="004F53F5" w:rsidRPr="008318A1">
        <w:rPr>
          <w:rFonts w:cstheme="minorHAnsi"/>
        </w:rPr>
        <w:t>;</w:t>
      </w:r>
      <w:r w:rsidR="00664810" w:rsidRPr="008318A1">
        <w:rPr>
          <w:rFonts w:cstheme="minorHAnsi"/>
        </w:rPr>
        <w:t xml:space="preserve"> </w:t>
      </w:r>
      <w:r w:rsidR="004F53F5" w:rsidRPr="008318A1">
        <w:rPr>
          <w:rFonts w:cstheme="minorHAnsi"/>
        </w:rPr>
        <w:t xml:space="preserve">along with </w:t>
      </w:r>
      <w:r w:rsidR="00664810" w:rsidRPr="008318A1">
        <w:rPr>
          <w:rFonts w:cstheme="minorHAnsi"/>
        </w:rPr>
        <w:t>the poisoning of livestock</w:t>
      </w:r>
      <w:r w:rsidR="004F53F5" w:rsidRPr="008318A1">
        <w:rPr>
          <w:rFonts w:cstheme="minorHAnsi"/>
        </w:rPr>
        <w:t xml:space="preserve"> and wildlife</w:t>
      </w:r>
      <w:r w:rsidR="00664810" w:rsidRPr="008318A1">
        <w:rPr>
          <w:rFonts w:cstheme="minorHAnsi"/>
        </w:rPr>
        <w:t>. All this makes the batteries used in EV/PHEV technological</w:t>
      </w:r>
      <w:r w:rsidR="004F53F5" w:rsidRPr="008318A1">
        <w:rPr>
          <w:rFonts w:cstheme="minorHAnsi"/>
        </w:rPr>
        <w:t>ly/environmentally inefficient</w:t>
      </w:r>
      <w:r w:rsidR="00664810" w:rsidRPr="008318A1">
        <w:rPr>
          <w:rFonts w:cstheme="minorHAnsi"/>
        </w:rPr>
        <w:t xml:space="preserve">. Progressions towards harvesting lithium from seawater may reduce this negative impact and help towards V2G being better </w:t>
      </w:r>
      <w:r w:rsidR="004F53F5" w:rsidRPr="008318A1">
        <w:rPr>
          <w:rFonts w:cstheme="minorHAnsi"/>
        </w:rPr>
        <w:t>implemented</w:t>
      </w:r>
      <w:r w:rsidR="00664810" w:rsidRPr="008318A1">
        <w:rPr>
          <w:rFonts w:cstheme="minorHAnsi"/>
        </w:rPr>
        <w:t xml:space="preserve"> in vehicles.</w:t>
      </w:r>
    </w:p>
    <w:p w14:paraId="75ED8A69" w14:textId="6A3EA733" w:rsidR="00664810" w:rsidRPr="008318A1" w:rsidRDefault="00664810" w:rsidP="00664810">
      <w:pPr>
        <w:rPr>
          <w:rFonts w:cstheme="minorHAnsi"/>
        </w:rPr>
      </w:pPr>
      <w:r w:rsidRPr="008318A1">
        <w:rPr>
          <w:rFonts w:cstheme="minorHAnsi"/>
        </w:rPr>
        <w:t>With all this being said the positives of V2G can be seen with it providing great support to the grid and even greater financial support to its users (£725 a year)</w:t>
      </w:r>
      <w:r w:rsidR="00DE4AE4" w:rsidRPr="008318A1">
        <w:rPr>
          <w:rFonts w:cstheme="minorHAnsi"/>
        </w:rPr>
        <w:t>, it is also being seen that companies like VW and Tesla are br</w:t>
      </w:r>
      <w:r w:rsidR="00915C58" w:rsidRPr="008318A1">
        <w:rPr>
          <w:rFonts w:cstheme="minorHAnsi"/>
        </w:rPr>
        <w:t>ing</w:t>
      </w:r>
      <w:r w:rsidR="00DE4AE4" w:rsidRPr="008318A1">
        <w:rPr>
          <w:rFonts w:cstheme="minorHAnsi"/>
        </w:rPr>
        <w:t>ing out models with bi</w:t>
      </w:r>
      <w:r w:rsidR="00915C58" w:rsidRPr="008318A1">
        <w:rPr>
          <w:rFonts w:cstheme="minorHAnsi"/>
        </w:rPr>
        <w:t>-</w:t>
      </w:r>
      <w:r w:rsidR="00DE4AE4" w:rsidRPr="008318A1">
        <w:rPr>
          <w:rFonts w:cstheme="minorHAnsi"/>
        </w:rPr>
        <w:t>directional charging. With this</w:t>
      </w:r>
      <w:r w:rsidR="00915C58" w:rsidRPr="008318A1">
        <w:rPr>
          <w:rFonts w:cstheme="minorHAnsi"/>
        </w:rPr>
        <w:t>,</w:t>
      </w:r>
      <w:r w:rsidR="00DE4AE4" w:rsidRPr="008318A1">
        <w:rPr>
          <w:rFonts w:cstheme="minorHAnsi"/>
        </w:rPr>
        <w:t xml:space="preserve"> </w:t>
      </w:r>
      <w:r w:rsidR="0085249E" w:rsidRPr="008318A1">
        <w:rPr>
          <w:rFonts w:cstheme="minorHAnsi"/>
        </w:rPr>
        <w:t>it</w:t>
      </w:r>
      <w:r w:rsidRPr="008318A1">
        <w:rPr>
          <w:rFonts w:cstheme="minorHAnsi"/>
        </w:rPr>
        <w:t xml:space="preserve"> </w:t>
      </w:r>
      <w:r w:rsidR="00B87F0F" w:rsidRPr="008318A1">
        <w:rPr>
          <w:rFonts w:cstheme="minorHAnsi"/>
        </w:rPr>
        <w:t>cannot</w:t>
      </w:r>
      <w:r w:rsidRPr="008318A1">
        <w:rPr>
          <w:rFonts w:cstheme="minorHAnsi"/>
        </w:rPr>
        <w:t xml:space="preserve"> be ignored the financial inefficiencies of the charging system compared to that of regular smart chargers along with the moral and technical issues with current batteries.</w:t>
      </w:r>
      <w:r w:rsidR="004F53F5" w:rsidRPr="008318A1">
        <w:rPr>
          <w:rFonts w:cstheme="minorHAnsi"/>
        </w:rPr>
        <w:t xml:space="preserve"> </w:t>
      </w:r>
      <w:r w:rsidRPr="008318A1">
        <w:rPr>
          <w:rFonts w:cstheme="minorHAnsi"/>
        </w:rPr>
        <w:t xml:space="preserve">From </w:t>
      </w:r>
      <w:r w:rsidR="00D85574" w:rsidRPr="008318A1">
        <w:rPr>
          <w:rFonts w:cstheme="minorHAnsi"/>
        </w:rPr>
        <w:t xml:space="preserve">all </w:t>
      </w:r>
      <w:r w:rsidRPr="008318A1">
        <w:rPr>
          <w:rFonts w:cstheme="minorHAnsi"/>
        </w:rPr>
        <w:t>this</w:t>
      </w:r>
      <w:r w:rsidR="004F53F5" w:rsidRPr="008318A1">
        <w:rPr>
          <w:rFonts w:cstheme="minorHAnsi"/>
        </w:rPr>
        <w:t>,</w:t>
      </w:r>
      <w:r w:rsidRPr="008318A1">
        <w:rPr>
          <w:rFonts w:cstheme="minorHAnsi"/>
        </w:rPr>
        <w:t xml:space="preserve"> i</w:t>
      </w:r>
      <w:r w:rsidR="00915C58" w:rsidRPr="008318A1">
        <w:rPr>
          <w:rFonts w:cstheme="minorHAnsi"/>
        </w:rPr>
        <w:t>t</w:t>
      </w:r>
      <w:r w:rsidRPr="008318A1">
        <w:rPr>
          <w:rFonts w:cstheme="minorHAnsi"/>
        </w:rPr>
        <w:t xml:space="preserve"> can be concluded that at </w:t>
      </w:r>
      <w:r w:rsidR="00915C58" w:rsidRPr="008318A1">
        <w:rPr>
          <w:rFonts w:cstheme="minorHAnsi"/>
        </w:rPr>
        <w:t xml:space="preserve">the </w:t>
      </w:r>
      <w:r w:rsidRPr="008318A1">
        <w:rPr>
          <w:rFonts w:cstheme="minorHAnsi"/>
        </w:rPr>
        <w:t xml:space="preserve">current time V2G would not be able to be </w:t>
      </w:r>
      <w:r w:rsidR="004F53F5" w:rsidRPr="008318A1">
        <w:rPr>
          <w:rFonts w:cstheme="minorHAnsi"/>
        </w:rPr>
        <w:t>implemented</w:t>
      </w:r>
      <w:r w:rsidRPr="008318A1">
        <w:rPr>
          <w:rFonts w:cstheme="minorHAnsi"/>
        </w:rPr>
        <w:t xml:space="preserve"> efficiently into everyday use/the grid due to the infancy of the V2G charging</w:t>
      </w:r>
      <w:r w:rsidR="00D85574" w:rsidRPr="008318A1">
        <w:rPr>
          <w:rFonts w:cstheme="minorHAnsi"/>
        </w:rPr>
        <w:t xml:space="preserve"> technology</w:t>
      </w:r>
      <w:r w:rsidRPr="008318A1">
        <w:rPr>
          <w:rFonts w:cstheme="minorHAnsi"/>
        </w:rPr>
        <w:t xml:space="preserve"> and the current </w:t>
      </w:r>
      <w:r w:rsidR="0085249E" w:rsidRPr="008318A1">
        <w:rPr>
          <w:rFonts w:cstheme="minorHAnsi"/>
        </w:rPr>
        <w:t>availability</w:t>
      </w:r>
      <w:r w:rsidR="004F53F5" w:rsidRPr="008318A1">
        <w:rPr>
          <w:rFonts w:cstheme="minorHAnsi"/>
        </w:rPr>
        <w:t>/morality</w:t>
      </w:r>
      <w:r w:rsidR="0085249E" w:rsidRPr="008318A1">
        <w:rPr>
          <w:rFonts w:cstheme="minorHAnsi"/>
        </w:rPr>
        <w:t xml:space="preserve"> of battery technology within the </w:t>
      </w:r>
      <w:r w:rsidRPr="008318A1">
        <w:rPr>
          <w:rFonts w:cstheme="minorHAnsi"/>
        </w:rPr>
        <w:t>automotive sector.</w:t>
      </w:r>
    </w:p>
    <w:p w14:paraId="6667247F" w14:textId="761F8EB6" w:rsidR="00664810" w:rsidRDefault="00664810">
      <w:r>
        <w:br w:type="page"/>
      </w:r>
    </w:p>
    <w:p w14:paraId="15585E26" w14:textId="707FE371" w:rsidR="003464F0" w:rsidRDefault="003464F0" w:rsidP="003464F0">
      <w:pPr>
        <w:pStyle w:val="Heading1"/>
      </w:pPr>
      <w:bookmarkStart w:id="21" w:name="_Toc88299742"/>
      <w:r>
        <w:lastRenderedPageBreak/>
        <w:t>References</w:t>
      </w:r>
      <w:bookmarkEnd w:id="21"/>
      <w:r>
        <w:t xml:space="preserve"> </w:t>
      </w:r>
    </w:p>
    <w:p w14:paraId="5000CB96" w14:textId="77777777" w:rsidR="002343E3" w:rsidRDefault="002343E3" w:rsidP="002343E3"/>
    <w:p w14:paraId="05F12288" w14:textId="77777777" w:rsidR="005672DD" w:rsidRPr="008D5A00" w:rsidRDefault="005672DD" w:rsidP="002343E3">
      <w:pPr>
        <w:rPr>
          <w:rFonts w:cstheme="minorHAnsi"/>
        </w:rPr>
      </w:pPr>
      <w:r w:rsidRPr="008D5A00">
        <w:rPr>
          <w:rFonts w:cstheme="minorHAnsi"/>
        </w:rPr>
        <w:t>BBC News (2021) UK fires up coal power plant as gas prices soar, Available at: https://www.bbc.co.uk/news/business-58469238 (Accessed: 19th November 2021).</w:t>
      </w:r>
    </w:p>
    <w:p w14:paraId="0EC66D89" w14:textId="77777777" w:rsidR="005672DD" w:rsidRPr="008D5A00" w:rsidRDefault="005672DD" w:rsidP="002343E3">
      <w:pPr>
        <w:rPr>
          <w:rFonts w:cstheme="minorHAnsi"/>
        </w:rPr>
      </w:pPr>
      <w:r w:rsidRPr="008D5A00">
        <w:rPr>
          <w:rFonts w:cstheme="minorHAnsi"/>
        </w:rPr>
        <w:t>Briones, A. Francfort, J. Heitmann, P. Schey, M. Schey. S &amp; Smart, J. (2012) Vehicle-to-Grid (V2G) Power Flow Regulations and Building Codes Review by the AVTA, n.a: INL Idaho National Laboratory.</w:t>
      </w:r>
    </w:p>
    <w:p w14:paraId="6D64E819" w14:textId="77777777" w:rsidR="005672DD" w:rsidRPr="008D5A00" w:rsidRDefault="005672DD" w:rsidP="002343E3">
      <w:pPr>
        <w:rPr>
          <w:rFonts w:cstheme="minorHAnsi"/>
        </w:rPr>
      </w:pPr>
      <w:r w:rsidRPr="008D5A00">
        <w:rPr>
          <w:rFonts w:cstheme="minorHAnsi"/>
        </w:rPr>
        <w:t>Edelstein, S. (2021) Mass-market VW EVs will have bidirectional charging starting in 2022, Available at: https://www.greencarreports.com/news/1131835_mass-market-vw-evs-will-have-bidirectional-charging-starting-in-2022 (Accessed: 19th November 2021).</w:t>
      </w:r>
    </w:p>
    <w:p w14:paraId="53290449" w14:textId="77777777" w:rsidR="005672DD" w:rsidRPr="008D5A00" w:rsidRDefault="005672DD" w:rsidP="002343E3">
      <w:pPr>
        <w:rPr>
          <w:rFonts w:cstheme="minorHAnsi"/>
        </w:rPr>
      </w:pPr>
      <w:r w:rsidRPr="008D5A00">
        <w:rPr>
          <w:rFonts w:cstheme="minorHAnsi"/>
        </w:rPr>
        <w:t>Jones, L. Lucas-Healey, K. Sturmberg, B. Temby, H &amp; Islam, M. (2021) The A to Z of V2G, n.a: The Australian National University.</w:t>
      </w:r>
    </w:p>
    <w:p w14:paraId="67965270" w14:textId="77777777" w:rsidR="005672DD" w:rsidRPr="008D5A00" w:rsidRDefault="005672DD" w:rsidP="002343E3">
      <w:pPr>
        <w:rPr>
          <w:rFonts w:cstheme="minorHAnsi"/>
        </w:rPr>
      </w:pPr>
      <w:r w:rsidRPr="008D5A00">
        <w:rPr>
          <w:rFonts w:cstheme="minorHAnsi"/>
        </w:rPr>
        <w:t>Katwala, A. (2018) The spiralling environmental cost of our lithium battery addiction, Available at: https://www.wired.co.uk/article/lithium-batteries-environment-impact (Accessed: 17th November 2021).</w:t>
      </w:r>
    </w:p>
    <w:p w14:paraId="0CE57E70" w14:textId="77777777" w:rsidR="005672DD" w:rsidRPr="008D5A00" w:rsidRDefault="005672DD" w:rsidP="002343E3">
      <w:pPr>
        <w:rPr>
          <w:rFonts w:cstheme="minorHAnsi"/>
        </w:rPr>
      </w:pPr>
      <w:r w:rsidRPr="008D5A00">
        <w:rPr>
          <w:rFonts w:cstheme="minorHAnsi"/>
        </w:rPr>
        <w:t>Kempton, W. Tomic, J. Letendre, S. Brooks, A &amp; Lipman, T. (2001) Vehicle-to-Grid power: Battery, Hybrid and Fuel Cell Vehicles as Resources for Distributed Electric Power in California, University of California: Inst. of Transportation Studies.</w:t>
      </w:r>
    </w:p>
    <w:p w14:paraId="5B3049CE" w14:textId="77777777" w:rsidR="005672DD" w:rsidRPr="008D5A00" w:rsidRDefault="005672DD" w:rsidP="002343E3">
      <w:pPr>
        <w:rPr>
          <w:rFonts w:cstheme="minorHAnsi"/>
        </w:rPr>
      </w:pPr>
      <w:r w:rsidRPr="008D5A00">
        <w:rPr>
          <w:rFonts w:cstheme="minorHAnsi"/>
        </w:rPr>
        <w:t>Lambert, F. (2020) Tesla quietly adds bidirectional charging capability for game-changing new features [Update], Available at: https://electrek.co/2020/05/19/tesla-bidirectional-charging-ready-game-changing-features/ (Accessed: 19th November 2021).</w:t>
      </w:r>
    </w:p>
    <w:p w14:paraId="668C49BD" w14:textId="77777777" w:rsidR="005672DD" w:rsidRPr="008D5A00" w:rsidRDefault="005672DD" w:rsidP="002343E3">
      <w:pPr>
        <w:rPr>
          <w:rFonts w:cstheme="minorHAnsi"/>
        </w:rPr>
      </w:pPr>
      <w:r w:rsidRPr="008D5A00">
        <w:rPr>
          <w:rFonts w:cstheme="minorHAnsi"/>
        </w:rPr>
        <w:t>Morash, S. (2013) Vehicle to Grid: Plugging in the Electric Vehicle, n.a: Vassar College.</w:t>
      </w:r>
    </w:p>
    <w:p w14:paraId="2EF5B2B3" w14:textId="77777777" w:rsidR="005672DD" w:rsidRPr="008D5A00" w:rsidRDefault="005672DD" w:rsidP="002343E3">
      <w:pPr>
        <w:rPr>
          <w:rFonts w:cstheme="minorHAnsi"/>
        </w:rPr>
      </w:pPr>
      <w:r w:rsidRPr="008D5A00">
        <w:rPr>
          <w:rFonts w:cstheme="minorHAnsi"/>
        </w:rPr>
        <w:t>ofgem (2021) Case Study (UK): Electric vehicle-to-grid (V2G) charging, Available at: https://www.ofgem.gov.uk/publications/case-study-uk-electric-vehicle-grid-v2g-charging (Accessed: 19th November 2021).</w:t>
      </w:r>
    </w:p>
    <w:p w14:paraId="22D54B1B" w14:textId="77777777" w:rsidR="005672DD" w:rsidRPr="008D5A00" w:rsidRDefault="005672DD" w:rsidP="002343E3">
      <w:pPr>
        <w:rPr>
          <w:rFonts w:cstheme="minorHAnsi"/>
        </w:rPr>
      </w:pPr>
      <w:r w:rsidRPr="008D5A00">
        <w:rPr>
          <w:rFonts w:cstheme="minorHAnsi"/>
        </w:rPr>
        <w:t>Panday, A. Agrawal, H.P &amp; Bansal, H.O. (2015) Integration of the Vehicle-to-Grid Technology, Pilani, India: Birla Institute of Technology and Science.</w:t>
      </w:r>
    </w:p>
    <w:p w14:paraId="6BAF089F" w14:textId="77777777" w:rsidR="005672DD" w:rsidRPr="008D5A00" w:rsidRDefault="005672DD" w:rsidP="002343E3">
      <w:pPr>
        <w:rPr>
          <w:rFonts w:cstheme="minorHAnsi"/>
        </w:rPr>
      </w:pPr>
      <w:r w:rsidRPr="008D5A00">
        <w:rPr>
          <w:rFonts w:cstheme="minorHAnsi"/>
        </w:rPr>
        <w:t>ResearchGate (2021) n.a, Available at: https://www.researchgate.net/figure/Average-UK-household-electricity-demand-against-time-of-day-for-weekdays-and-weekends-in_fig9_324141791 (Accessed: 19th November 2021).</w:t>
      </w:r>
    </w:p>
    <w:p w14:paraId="34EAB658" w14:textId="77777777" w:rsidR="005672DD" w:rsidRPr="008D5A00" w:rsidRDefault="005672DD" w:rsidP="002343E3">
      <w:pPr>
        <w:rPr>
          <w:rFonts w:cstheme="minorHAnsi"/>
        </w:rPr>
      </w:pPr>
      <w:r w:rsidRPr="008D5A00">
        <w:rPr>
          <w:rFonts w:cstheme="minorHAnsi"/>
        </w:rPr>
        <w:t>The Guardian (2021) Britain's last coal power stations to be paid huge sums to keep lights on, Available at: https://www.theguardian.com/business/2021/sep/13/britain-last-coal-power-stations-to-be-paid-huge-sums-to-keep-lights-on-record-energy-prices (Accessed: 19th November 2021).</w:t>
      </w:r>
    </w:p>
    <w:p w14:paraId="2B622E1A" w14:textId="77777777" w:rsidR="005672DD" w:rsidRPr="008D5A00" w:rsidRDefault="005672DD" w:rsidP="002343E3">
      <w:pPr>
        <w:rPr>
          <w:rFonts w:cstheme="minorHAnsi"/>
        </w:rPr>
      </w:pPr>
      <w:r w:rsidRPr="008D5A00">
        <w:rPr>
          <w:rFonts w:cstheme="minorHAnsi"/>
        </w:rPr>
        <w:t>Zhou, Y. Li, X. (2015) Vehicle to Grid Technology: A Review, China: Shenzhen Institutes of Advanced Technology.</w:t>
      </w:r>
    </w:p>
    <w:p w14:paraId="351E4E21" w14:textId="66A81B62" w:rsidR="00624272" w:rsidRDefault="00624272">
      <w:pPr>
        <w:rPr>
          <w:rFonts w:cstheme="minorHAnsi"/>
        </w:rPr>
      </w:pPr>
      <w:r>
        <w:rPr>
          <w:rFonts w:cstheme="minorHAnsi"/>
        </w:rPr>
        <w:br w:type="page"/>
      </w:r>
    </w:p>
    <w:p w14:paraId="5A2F5ECF" w14:textId="0EE6609F" w:rsidR="00624272" w:rsidRDefault="00624272" w:rsidP="00624272">
      <w:pPr>
        <w:pStyle w:val="Heading1"/>
      </w:pPr>
      <w:bookmarkStart w:id="22" w:name="_Toc88299743"/>
      <w:r>
        <w:lastRenderedPageBreak/>
        <w:t>Appen</w:t>
      </w:r>
      <w:r w:rsidR="004E78E5">
        <w:t>dix</w:t>
      </w:r>
      <w:r>
        <w:t xml:space="preserve"> A</w:t>
      </w:r>
      <w:r w:rsidR="00281A73">
        <w:t>: Charging Standards (Jones et al, 2021).</w:t>
      </w:r>
      <w:bookmarkEnd w:id="22"/>
    </w:p>
    <w:p w14:paraId="60F18A6D" w14:textId="77777777" w:rsidR="00624272" w:rsidRPr="00624272" w:rsidRDefault="00624272" w:rsidP="00624272"/>
    <w:tbl>
      <w:tblPr>
        <w:tblStyle w:val="TableGrid"/>
        <w:tblW w:w="0" w:type="auto"/>
        <w:tblLook w:val="04A0" w:firstRow="1" w:lastRow="0" w:firstColumn="1" w:lastColumn="0" w:noHBand="0" w:noVBand="1"/>
      </w:tblPr>
      <w:tblGrid>
        <w:gridCol w:w="2254"/>
        <w:gridCol w:w="2254"/>
        <w:gridCol w:w="2575"/>
        <w:gridCol w:w="1933"/>
      </w:tblGrid>
      <w:tr w:rsidR="00624272" w14:paraId="218DA039"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463D8D6A" w14:textId="77777777" w:rsidR="00624272" w:rsidRDefault="00624272" w:rsidP="00255334">
            <w:r>
              <w:t>Name</w:t>
            </w:r>
          </w:p>
        </w:tc>
        <w:tc>
          <w:tcPr>
            <w:tcW w:w="2254" w:type="dxa"/>
            <w:tcBorders>
              <w:top w:val="single" w:sz="4" w:space="0" w:color="auto"/>
              <w:left w:val="single" w:sz="4" w:space="0" w:color="auto"/>
              <w:bottom w:val="single" w:sz="4" w:space="0" w:color="auto"/>
              <w:right w:val="single" w:sz="4" w:space="0" w:color="auto"/>
            </w:tcBorders>
            <w:hideMark/>
          </w:tcPr>
          <w:p w14:paraId="426707C8" w14:textId="77777777" w:rsidR="00624272" w:rsidRDefault="00624272" w:rsidP="00255334">
            <w:r>
              <w:t xml:space="preserve">Standard </w:t>
            </w:r>
          </w:p>
        </w:tc>
        <w:tc>
          <w:tcPr>
            <w:tcW w:w="2575" w:type="dxa"/>
            <w:tcBorders>
              <w:top w:val="single" w:sz="4" w:space="0" w:color="auto"/>
              <w:left w:val="single" w:sz="4" w:space="0" w:color="auto"/>
              <w:bottom w:val="single" w:sz="4" w:space="0" w:color="auto"/>
              <w:right w:val="single" w:sz="4" w:space="0" w:color="auto"/>
            </w:tcBorders>
            <w:hideMark/>
          </w:tcPr>
          <w:p w14:paraId="05A24932" w14:textId="77777777" w:rsidR="00624272" w:rsidRDefault="00624272" w:rsidP="00255334">
            <w:r>
              <w:t>Location of Rectifier</w:t>
            </w:r>
          </w:p>
        </w:tc>
        <w:tc>
          <w:tcPr>
            <w:tcW w:w="1933" w:type="dxa"/>
            <w:tcBorders>
              <w:top w:val="single" w:sz="4" w:space="0" w:color="auto"/>
              <w:left w:val="single" w:sz="4" w:space="0" w:color="auto"/>
              <w:bottom w:val="single" w:sz="4" w:space="0" w:color="auto"/>
              <w:right w:val="single" w:sz="4" w:space="0" w:color="auto"/>
            </w:tcBorders>
            <w:hideMark/>
          </w:tcPr>
          <w:p w14:paraId="3DDEA5DB" w14:textId="77777777" w:rsidR="00624272" w:rsidRDefault="00624272" w:rsidP="00255334">
            <w:r>
              <w:t>Supports V2G</w:t>
            </w:r>
          </w:p>
        </w:tc>
      </w:tr>
      <w:tr w:rsidR="00624272" w14:paraId="0C03FBD1"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51486021" w14:textId="77777777" w:rsidR="00624272" w:rsidRDefault="00624272" w:rsidP="00255334">
            <w:r>
              <w:t>Type 1</w:t>
            </w:r>
          </w:p>
        </w:tc>
        <w:tc>
          <w:tcPr>
            <w:tcW w:w="2254" w:type="dxa"/>
            <w:tcBorders>
              <w:top w:val="single" w:sz="4" w:space="0" w:color="auto"/>
              <w:left w:val="single" w:sz="4" w:space="0" w:color="auto"/>
              <w:bottom w:val="single" w:sz="4" w:space="0" w:color="auto"/>
              <w:right w:val="single" w:sz="4" w:space="0" w:color="auto"/>
            </w:tcBorders>
            <w:hideMark/>
          </w:tcPr>
          <w:p w14:paraId="609CBF62" w14:textId="77777777" w:rsidR="00624272" w:rsidRDefault="00624272" w:rsidP="00255334">
            <w:r>
              <w:t>SAE J1772-2009</w:t>
            </w:r>
          </w:p>
        </w:tc>
        <w:tc>
          <w:tcPr>
            <w:tcW w:w="2575" w:type="dxa"/>
            <w:tcBorders>
              <w:top w:val="single" w:sz="4" w:space="0" w:color="auto"/>
              <w:left w:val="single" w:sz="4" w:space="0" w:color="auto"/>
              <w:bottom w:val="single" w:sz="4" w:space="0" w:color="auto"/>
              <w:right w:val="single" w:sz="4" w:space="0" w:color="auto"/>
            </w:tcBorders>
            <w:hideMark/>
          </w:tcPr>
          <w:p w14:paraId="7866F3EE" w14:textId="77777777" w:rsidR="00624272" w:rsidRDefault="00624272" w:rsidP="00255334">
            <w:r>
              <w:t>On-Board</w:t>
            </w:r>
          </w:p>
        </w:tc>
        <w:tc>
          <w:tcPr>
            <w:tcW w:w="1933" w:type="dxa"/>
            <w:tcBorders>
              <w:top w:val="single" w:sz="4" w:space="0" w:color="auto"/>
              <w:left w:val="single" w:sz="4" w:space="0" w:color="auto"/>
              <w:bottom w:val="single" w:sz="4" w:space="0" w:color="auto"/>
              <w:right w:val="single" w:sz="4" w:space="0" w:color="auto"/>
            </w:tcBorders>
            <w:hideMark/>
          </w:tcPr>
          <w:p w14:paraId="20A8EFCB" w14:textId="77777777" w:rsidR="00624272" w:rsidRDefault="00624272" w:rsidP="00255334">
            <w:r>
              <w:t>No</w:t>
            </w:r>
          </w:p>
        </w:tc>
      </w:tr>
      <w:tr w:rsidR="00624272" w14:paraId="31C483CD"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0FE035D4" w14:textId="77777777" w:rsidR="00624272" w:rsidRDefault="00624272" w:rsidP="00255334">
            <w:r>
              <w:t>CCS Combo 1</w:t>
            </w:r>
          </w:p>
        </w:tc>
        <w:tc>
          <w:tcPr>
            <w:tcW w:w="2254" w:type="dxa"/>
            <w:tcBorders>
              <w:top w:val="single" w:sz="4" w:space="0" w:color="auto"/>
              <w:left w:val="single" w:sz="4" w:space="0" w:color="auto"/>
              <w:bottom w:val="single" w:sz="4" w:space="0" w:color="auto"/>
              <w:right w:val="single" w:sz="4" w:space="0" w:color="auto"/>
            </w:tcBorders>
            <w:hideMark/>
          </w:tcPr>
          <w:p w14:paraId="277DC2A2" w14:textId="77777777" w:rsidR="00624272" w:rsidRDefault="00624272" w:rsidP="00255334">
            <w:r>
              <w:t>SAE J1772-2009</w:t>
            </w:r>
          </w:p>
        </w:tc>
        <w:tc>
          <w:tcPr>
            <w:tcW w:w="2575" w:type="dxa"/>
            <w:tcBorders>
              <w:top w:val="single" w:sz="4" w:space="0" w:color="auto"/>
              <w:left w:val="single" w:sz="4" w:space="0" w:color="auto"/>
              <w:bottom w:val="single" w:sz="4" w:space="0" w:color="auto"/>
              <w:right w:val="single" w:sz="4" w:space="0" w:color="auto"/>
            </w:tcBorders>
            <w:hideMark/>
          </w:tcPr>
          <w:p w14:paraId="1EA098AB" w14:textId="77777777" w:rsidR="00624272" w:rsidRDefault="00624272" w:rsidP="00255334">
            <w:r>
              <w:t xml:space="preserve">On-Board and Off-board </w:t>
            </w:r>
          </w:p>
        </w:tc>
        <w:tc>
          <w:tcPr>
            <w:tcW w:w="1933" w:type="dxa"/>
            <w:tcBorders>
              <w:top w:val="single" w:sz="4" w:space="0" w:color="auto"/>
              <w:left w:val="single" w:sz="4" w:space="0" w:color="auto"/>
              <w:bottom w:val="single" w:sz="4" w:space="0" w:color="auto"/>
              <w:right w:val="single" w:sz="4" w:space="0" w:color="auto"/>
            </w:tcBorders>
            <w:hideMark/>
          </w:tcPr>
          <w:p w14:paraId="120DAD78" w14:textId="77777777" w:rsidR="00624272" w:rsidRDefault="00624272" w:rsidP="00255334">
            <w:r>
              <w:t>No</w:t>
            </w:r>
          </w:p>
        </w:tc>
      </w:tr>
      <w:tr w:rsidR="00624272" w14:paraId="33B24001"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5B011395" w14:textId="77777777" w:rsidR="00624272" w:rsidRDefault="00624272" w:rsidP="00255334">
            <w:r>
              <w:t>Type 2, Mennekes</w:t>
            </w:r>
          </w:p>
        </w:tc>
        <w:tc>
          <w:tcPr>
            <w:tcW w:w="2254" w:type="dxa"/>
            <w:tcBorders>
              <w:top w:val="single" w:sz="4" w:space="0" w:color="auto"/>
              <w:left w:val="single" w:sz="4" w:space="0" w:color="auto"/>
              <w:bottom w:val="single" w:sz="4" w:space="0" w:color="auto"/>
              <w:right w:val="single" w:sz="4" w:space="0" w:color="auto"/>
            </w:tcBorders>
            <w:hideMark/>
          </w:tcPr>
          <w:p w14:paraId="5359193D" w14:textId="77777777" w:rsidR="00624272" w:rsidRDefault="00624272" w:rsidP="00255334">
            <w:r>
              <w:t>IEC 62196/SAE J3068</w:t>
            </w:r>
          </w:p>
        </w:tc>
        <w:tc>
          <w:tcPr>
            <w:tcW w:w="2575" w:type="dxa"/>
            <w:tcBorders>
              <w:top w:val="single" w:sz="4" w:space="0" w:color="auto"/>
              <w:left w:val="single" w:sz="4" w:space="0" w:color="auto"/>
              <w:bottom w:val="single" w:sz="4" w:space="0" w:color="auto"/>
              <w:right w:val="single" w:sz="4" w:space="0" w:color="auto"/>
            </w:tcBorders>
            <w:hideMark/>
          </w:tcPr>
          <w:p w14:paraId="1C2A1866" w14:textId="77777777" w:rsidR="00624272" w:rsidRDefault="00624272" w:rsidP="00255334">
            <w:r>
              <w:t>On-Board</w:t>
            </w:r>
          </w:p>
        </w:tc>
        <w:tc>
          <w:tcPr>
            <w:tcW w:w="1933" w:type="dxa"/>
            <w:tcBorders>
              <w:top w:val="single" w:sz="4" w:space="0" w:color="auto"/>
              <w:left w:val="single" w:sz="4" w:space="0" w:color="auto"/>
              <w:bottom w:val="single" w:sz="4" w:space="0" w:color="auto"/>
              <w:right w:val="single" w:sz="4" w:space="0" w:color="auto"/>
            </w:tcBorders>
            <w:hideMark/>
          </w:tcPr>
          <w:p w14:paraId="15F6AF5D" w14:textId="77777777" w:rsidR="00624272" w:rsidRDefault="00624272" w:rsidP="00255334">
            <w:r>
              <w:t>No</w:t>
            </w:r>
          </w:p>
        </w:tc>
      </w:tr>
      <w:tr w:rsidR="00624272" w14:paraId="41A95EDF"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584E2933" w14:textId="77777777" w:rsidR="00624272" w:rsidRDefault="00624272" w:rsidP="00255334">
            <w:r>
              <w:t>CCS Combo 2</w:t>
            </w:r>
          </w:p>
        </w:tc>
        <w:tc>
          <w:tcPr>
            <w:tcW w:w="2254" w:type="dxa"/>
            <w:tcBorders>
              <w:top w:val="single" w:sz="4" w:space="0" w:color="auto"/>
              <w:left w:val="single" w:sz="4" w:space="0" w:color="auto"/>
              <w:bottom w:val="single" w:sz="4" w:space="0" w:color="auto"/>
              <w:right w:val="single" w:sz="4" w:space="0" w:color="auto"/>
            </w:tcBorders>
            <w:hideMark/>
          </w:tcPr>
          <w:p w14:paraId="498F6444" w14:textId="77777777" w:rsidR="00624272" w:rsidRDefault="00624272" w:rsidP="00255334">
            <w:r>
              <w:t>IEC 62196</w:t>
            </w:r>
          </w:p>
        </w:tc>
        <w:tc>
          <w:tcPr>
            <w:tcW w:w="2575" w:type="dxa"/>
            <w:tcBorders>
              <w:top w:val="single" w:sz="4" w:space="0" w:color="auto"/>
              <w:left w:val="single" w:sz="4" w:space="0" w:color="auto"/>
              <w:bottom w:val="single" w:sz="4" w:space="0" w:color="auto"/>
              <w:right w:val="single" w:sz="4" w:space="0" w:color="auto"/>
            </w:tcBorders>
            <w:hideMark/>
          </w:tcPr>
          <w:p w14:paraId="1D065D45" w14:textId="77777777" w:rsidR="00624272" w:rsidRDefault="00624272" w:rsidP="00255334">
            <w:r>
              <w:t xml:space="preserve">On-Board and Off-board </w:t>
            </w:r>
          </w:p>
        </w:tc>
        <w:tc>
          <w:tcPr>
            <w:tcW w:w="1933" w:type="dxa"/>
            <w:tcBorders>
              <w:top w:val="single" w:sz="4" w:space="0" w:color="auto"/>
              <w:left w:val="single" w:sz="4" w:space="0" w:color="auto"/>
              <w:bottom w:val="single" w:sz="4" w:space="0" w:color="auto"/>
              <w:right w:val="single" w:sz="4" w:space="0" w:color="auto"/>
            </w:tcBorders>
            <w:hideMark/>
          </w:tcPr>
          <w:p w14:paraId="1834EE5F" w14:textId="77777777" w:rsidR="00624272" w:rsidRDefault="00624272" w:rsidP="00255334">
            <w:r>
              <w:t xml:space="preserve">No-Planned </w:t>
            </w:r>
          </w:p>
        </w:tc>
      </w:tr>
      <w:tr w:rsidR="00624272" w14:paraId="3F18581E"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19A958DF" w14:textId="77777777" w:rsidR="00624272" w:rsidRDefault="00624272" w:rsidP="00255334">
            <w:r>
              <w:t>CHAdeMO</w:t>
            </w:r>
          </w:p>
        </w:tc>
        <w:tc>
          <w:tcPr>
            <w:tcW w:w="2254" w:type="dxa"/>
            <w:tcBorders>
              <w:top w:val="single" w:sz="4" w:space="0" w:color="auto"/>
              <w:left w:val="single" w:sz="4" w:space="0" w:color="auto"/>
              <w:bottom w:val="single" w:sz="4" w:space="0" w:color="auto"/>
              <w:right w:val="single" w:sz="4" w:space="0" w:color="auto"/>
            </w:tcBorders>
            <w:hideMark/>
          </w:tcPr>
          <w:p w14:paraId="10C31DE9" w14:textId="77777777" w:rsidR="00624272" w:rsidRDefault="00624272" w:rsidP="00255334">
            <w:r>
              <w:t>C601, IEC62196</w:t>
            </w:r>
          </w:p>
        </w:tc>
        <w:tc>
          <w:tcPr>
            <w:tcW w:w="2575" w:type="dxa"/>
            <w:tcBorders>
              <w:top w:val="single" w:sz="4" w:space="0" w:color="auto"/>
              <w:left w:val="single" w:sz="4" w:space="0" w:color="auto"/>
              <w:bottom w:val="single" w:sz="4" w:space="0" w:color="auto"/>
              <w:right w:val="single" w:sz="4" w:space="0" w:color="auto"/>
            </w:tcBorders>
            <w:hideMark/>
          </w:tcPr>
          <w:p w14:paraId="285F1E48" w14:textId="77777777" w:rsidR="00624272" w:rsidRDefault="00624272" w:rsidP="00255334">
            <w:r>
              <w:t>On-Board</w:t>
            </w:r>
          </w:p>
        </w:tc>
        <w:tc>
          <w:tcPr>
            <w:tcW w:w="1933" w:type="dxa"/>
            <w:tcBorders>
              <w:top w:val="single" w:sz="4" w:space="0" w:color="auto"/>
              <w:left w:val="single" w:sz="4" w:space="0" w:color="auto"/>
              <w:bottom w:val="single" w:sz="4" w:space="0" w:color="auto"/>
              <w:right w:val="single" w:sz="4" w:space="0" w:color="auto"/>
            </w:tcBorders>
            <w:hideMark/>
          </w:tcPr>
          <w:p w14:paraId="64197131" w14:textId="77777777" w:rsidR="00624272" w:rsidRDefault="00624272" w:rsidP="00255334">
            <w:r>
              <w:t>Yes</w:t>
            </w:r>
          </w:p>
        </w:tc>
      </w:tr>
      <w:tr w:rsidR="00624272" w14:paraId="74173F05"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23F93F48" w14:textId="77777777" w:rsidR="00624272" w:rsidRDefault="00624272" w:rsidP="00255334">
            <w:r>
              <w:t>Guobiao</w:t>
            </w:r>
          </w:p>
        </w:tc>
        <w:tc>
          <w:tcPr>
            <w:tcW w:w="2254" w:type="dxa"/>
            <w:tcBorders>
              <w:top w:val="single" w:sz="4" w:space="0" w:color="auto"/>
              <w:left w:val="single" w:sz="4" w:space="0" w:color="auto"/>
              <w:bottom w:val="single" w:sz="4" w:space="0" w:color="auto"/>
              <w:right w:val="single" w:sz="4" w:space="0" w:color="auto"/>
            </w:tcBorders>
            <w:hideMark/>
          </w:tcPr>
          <w:p w14:paraId="2BFD7277" w14:textId="77777777" w:rsidR="00624272" w:rsidRDefault="00624272" w:rsidP="00255334">
            <w:r>
              <w:t>GB/T 20234</w:t>
            </w:r>
          </w:p>
        </w:tc>
        <w:tc>
          <w:tcPr>
            <w:tcW w:w="2575" w:type="dxa"/>
            <w:tcBorders>
              <w:top w:val="single" w:sz="4" w:space="0" w:color="auto"/>
              <w:left w:val="single" w:sz="4" w:space="0" w:color="auto"/>
              <w:bottom w:val="single" w:sz="4" w:space="0" w:color="auto"/>
              <w:right w:val="single" w:sz="4" w:space="0" w:color="auto"/>
            </w:tcBorders>
            <w:hideMark/>
          </w:tcPr>
          <w:p w14:paraId="351D19BF" w14:textId="77777777" w:rsidR="00624272" w:rsidRDefault="00624272" w:rsidP="00255334">
            <w:r>
              <w:t xml:space="preserve">On-Board and Off-board </w:t>
            </w:r>
          </w:p>
        </w:tc>
        <w:tc>
          <w:tcPr>
            <w:tcW w:w="1933" w:type="dxa"/>
            <w:tcBorders>
              <w:top w:val="single" w:sz="4" w:space="0" w:color="auto"/>
              <w:left w:val="single" w:sz="4" w:space="0" w:color="auto"/>
              <w:bottom w:val="single" w:sz="4" w:space="0" w:color="auto"/>
              <w:right w:val="single" w:sz="4" w:space="0" w:color="auto"/>
            </w:tcBorders>
            <w:hideMark/>
          </w:tcPr>
          <w:p w14:paraId="3871780C" w14:textId="77777777" w:rsidR="00624272" w:rsidRDefault="00624272" w:rsidP="00255334">
            <w:r>
              <w:t>No</w:t>
            </w:r>
          </w:p>
        </w:tc>
      </w:tr>
      <w:tr w:rsidR="00624272" w14:paraId="41E92E65" w14:textId="77777777" w:rsidTr="00255334">
        <w:tc>
          <w:tcPr>
            <w:tcW w:w="2254" w:type="dxa"/>
            <w:tcBorders>
              <w:top w:val="single" w:sz="4" w:space="0" w:color="auto"/>
              <w:left w:val="single" w:sz="4" w:space="0" w:color="auto"/>
              <w:bottom w:val="single" w:sz="4" w:space="0" w:color="auto"/>
              <w:right w:val="single" w:sz="4" w:space="0" w:color="auto"/>
            </w:tcBorders>
            <w:hideMark/>
          </w:tcPr>
          <w:p w14:paraId="3AD99AC7" w14:textId="77777777" w:rsidR="00624272" w:rsidRDefault="00624272" w:rsidP="00255334">
            <w:r>
              <w:t>Tesla</w:t>
            </w:r>
          </w:p>
        </w:tc>
        <w:tc>
          <w:tcPr>
            <w:tcW w:w="2254" w:type="dxa"/>
            <w:tcBorders>
              <w:top w:val="single" w:sz="4" w:space="0" w:color="auto"/>
              <w:left w:val="single" w:sz="4" w:space="0" w:color="auto"/>
              <w:bottom w:val="single" w:sz="4" w:space="0" w:color="auto"/>
              <w:right w:val="single" w:sz="4" w:space="0" w:color="auto"/>
            </w:tcBorders>
            <w:hideMark/>
          </w:tcPr>
          <w:p w14:paraId="491396CA" w14:textId="77777777" w:rsidR="00624272" w:rsidRDefault="00624272" w:rsidP="00255334">
            <w:r>
              <w:t>N/A</w:t>
            </w:r>
          </w:p>
        </w:tc>
        <w:tc>
          <w:tcPr>
            <w:tcW w:w="2575" w:type="dxa"/>
            <w:tcBorders>
              <w:top w:val="single" w:sz="4" w:space="0" w:color="auto"/>
              <w:left w:val="single" w:sz="4" w:space="0" w:color="auto"/>
              <w:bottom w:val="single" w:sz="4" w:space="0" w:color="auto"/>
              <w:right w:val="single" w:sz="4" w:space="0" w:color="auto"/>
            </w:tcBorders>
            <w:hideMark/>
          </w:tcPr>
          <w:p w14:paraId="0F8C9CB3" w14:textId="77777777" w:rsidR="00624272" w:rsidRDefault="00624272" w:rsidP="00255334">
            <w:r>
              <w:t xml:space="preserve">On-Board and Off-board </w:t>
            </w:r>
          </w:p>
        </w:tc>
        <w:tc>
          <w:tcPr>
            <w:tcW w:w="1933" w:type="dxa"/>
            <w:tcBorders>
              <w:top w:val="single" w:sz="4" w:space="0" w:color="auto"/>
              <w:left w:val="single" w:sz="4" w:space="0" w:color="auto"/>
              <w:bottom w:val="single" w:sz="4" w:space="0" w:color="auto"/>
              <w:right w:val="single" w:sz="4" w:space="0" w:color="auto"/>
            </w:tcBorders>
            <w:hideMark/>
          </w:tcPr>
          <w:p w14:paraId="20644649" w14:textId="77777777" w:rsidR="00624272" w:rsidRDefault="00624272" w:rsidP="00255334">
            <w:r>
              <w:t>No</w:t>
            </w:r>
          </w:p>
        </w:tc>
      </w:tr>
    </w:tbl>
    <w:p w14:paraId="7DD3ED25" w14:textId="77777777" w:rsidR="00624272" w:rsidRPr="00624272" w:rsidRDefault="00624272" w:rsidP="00624272"/>
    <w:sectPr w:rsidR="00624272" w:rsidRPr="00624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F5E12"/>
    <w:multiLevelType w:val="hybridMultilevel"/>
    <w:tmpl w:val="2C2C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06601"/>
    <w:multiLevelType w:val="hybridMultilevel"/>
    <w:tmpl w:val="F4C6F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74983"/>
    <w:multiLevelType w:val="hybridMultilevel"/>
    <w:tmpl w:val="C9EA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56AA4"/>
    <w:multiLevelType w:val="hybridMultilevel"/>
    <w:tmpl w:val="C2525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96521F"/>
    <w:multiLevelType w:val="hybridMultilevel"/>
    <w:tmpl w:val="193A4D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6324B4"/>
    <w:multiLevelType w:val="hybridMultilevel"/>
    <w:tmpl w:val="8FE61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2D4FD9"/>
    <w:multiLevelType w:val="hybridMultilevel"/>
    <w:tmpl w:val="00C8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CC1EDA"/>
    <w:multiLevelType w:val="hybridMultilevel"/>
    <w:tmpl w:val="81449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C765AD"/>
    <w:multiLevelType w:val="hybridMultilevel"/>
    <w:tmpl w:val="B232C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130356"/>
    <w:multiLevelType w:val="hybridMultilevel"/>
    <w:tmpl w:val="7944C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7"/>
  </w:num>
  <w:num w:numId="4">
    <w:abstractNumId w:val="9"/>
  </w:num>
  <w:num w:numId="5">
    <w:abstractNumId w:val="0"/>
  </w:num>
  <w:num w:numId="6">
    <w:abstractNumId w:val="4"/>
  </w:num>
  <w:num w:numId="7">
    <w:abstractNumId w:val="1"/>
  </w:num>
  <w:num w:numId="8">
    <w:abstractNumId w:val="3"/>
  </w:num>
  <w:num w:numId="9">
    <w:abstractNumId w:val="6"/>
  </w:num>
  <w:num w:numId="10">
    <w:abstractNumId w:val="6"/>
  </w:num>
  <w:num w:numId="11">
    <w:abstractNumId w:val="4"/>
    <w:lvlOverride w:ilvl="0">
      <w:startOverride w:val="1"/>
    </w:lvlOverride>
    <w:lvlOverride w:ilvl="1"/>
    <w:lvlOverride w:ilvl="2"/>
    <w:lvlOverride w:ilvl="3"/>
    <w:lvlOverride w:ilvl="4"/>
    <w:lvlOverride w:ilvl="5"/>
    <w:lvlOverride w:ilvl="6"/>
    <w:lvlOverride w:ilvl="7"/>
    <w:lvlOverride w:ilvl="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SyMLI0MzA0NjEwMjJS0lEKTi0uzszPAykwMqwFAITCboItAAAA"/>
  </w:docVars>
  <w:rsids>
    <w:rsidRoot w:val="00B16607"/>
    <w:rsid w:val="00012B69"/>
    <w:rsid w:val="0004617E"/>
    <w:rsid w:val="00073CD7"/>
    <w:rsid w:val="000749E7"/>
    <w:rsid w:val="000829A1"/>
    <w:rsid w:val="000C45BC"/>
    <w:rsid w:val="000D3012"/>
    <w:rsid w:val="00114D01"/>
    <w:rsid w:val="001926F8"/>
    <w:rsid w:val="001A3ACC"/>
    <w:rsid w:val="001D6203"/>
    <w:rsid w:val="002267A1"/>
    <w:rsid w:val="002343E3"/>
    <w:rsid w:val="0026665F"/>
    <w:rsid w:val="00281A73"/>
    <w:rsid w:val="002B7CAE"/>
    <w:rsid w:val="00300371"/>
    <w:rsid w:val="003041ED"/>
    <w:rsid w:val="003359E8"/>
    <w:rsid w:val="003464F0"/>
    <w:rsid w:val="00364FAA"/>
    <w:rsid w:val="003722BD"/>
    <w:rsid w:val="00376833"/>
    <w:rsid w:val="003A2D93"/>
    <w:rsid w:val="003B07F6"/>
    <w:rsid w:val="003D316C"/>
    <w:rsid w:val="003D54D8"/>
    <w:rsid w:val="0040746F"/>
    <w:rsid w:val="00416986"/>
    <w:rsid w:val="00466BB5"/>
    <w:rsid w:val="004D3366"/>
    <w:rsid w:val="004E78E5"/>
    <w:rsid w:val="004F53F5"/>
    <w:rsid w:val="00531813"/>
    <w:rsid w:val="005672DD"/>
    <w:rsid w:val="00570BDD"/>
    <w:rsid w:val="00587688"/>
    <w:rsid w:val="00597EAA"/>
    <w:rsid w:val="005D2FAD"/>
    <w:rsid w:val="005F7846"/>
    <w:rsid w:val="00624272"/>
    <w:rsid w:val="00664810"/>
    <w:rsid w:val="00686ABA"/>
    <w:rsid w:val="006B141E"/>
    <w:rsid w:val="00707739"/>
    <w:rsid w:val="0077193F"/>
    <w:rsid w:val="007B22D5"/>
    <w:rsid w:val="007B61F3"/>
    <w:rsid w:val="007D47D7"/>
    <w:rsid w:val="00821E73"/>
    <w:rsid w:val="008318A1"/>
    <w:rsid w:val="0085249E"/>
    <w:rsid w:val="00873E7E"/>
    <w:rsid w:val="00892421"/>
    <w:rsid w:val="008C2B15"/>
    <w:rsid w:val="008C2EB6"/>
    <w:rsid w:val="008D5A00"/>
    <w:rsid w:val="008D74C3"/>
    <w:rsid w:val="0091067D"/>
    <w:rsid w:val="00915C58"/>
    <w:rsid w:val="00932C76"/>
    <w:rsid w:val="009703E1"/>
    <w:rsid w:val="009A243A"/>
    <w:rsid w:val="009B7488"/>
    <w:rsid w:val="00A35936"/>
    <w:rsid w:val="00A64097"/>
    <w:rsid w:val="00A8141B"/>
    <w:rsid w:val="00AA7AC3"/>
    <w:rsid w:val="00AC4798"/>
    <w:rsid w:val="00AC7718"/>
    <w:rsid w:val="00AE3BE9"/>
    <w:rsid w:val="00B16607"/>
    <w:rsid w:val="00B87F0F"/>
    <w:rsid w:val="00BA5410"/>
    <w:rsid w:val="00BC2235"/>
    <w:rsid w:val="00BD607D"/>
    <w:rsid w:val="00C245E8"/>
    <w:rsid w:val="00C506CA"/>
    <w:rsid w:val="00C872E3"/>
    <w:rsid w:val="00CB0376"/>
    <w:rsid w:val="00CE4004"/>
    <w:rsid w:val="00D22C73"/>
    <w:rsid w:val="00D261D9"/>
    <w:rsid w:val="00D636BC"/>
    <w:rsid w:val="00D853DA"/>
    <w:rsid w:val="00D85574"/>
    <w:rsid w:val="00DC04A9"/>
    <w:rsid w:val="00DE4AE4"/>
    <w:rsid w:val="00E02FF8"/>
    <w:rsid w:val="00E208F8"/>
    <w:rsid w:val="00E239F8"/>
    <w:rsid w:val="00E83CB1"/>
    <w:rsid w:val="00EB0EBE"/>
    <w:rsid w:val="00ED00DC"/>
    <w:rsid w:val="00ED27F5"/>
    <w:rsid w:val="00EE7C1A"/>
    <w:rsid w:val="00F02476"/>
    <w:rsid w:val="00FE7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DA6C"/>
  <w15:chartTrackingRefBased/>
  <w15:docId w15:val="{257A195B-40A2-4DA7-9CE4-398B76DEB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7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30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93F"/>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7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3012"/>
    <w:pPr>
      <w:outlineLvl w:val="9"/>
    </w:pPr>
    <w:rPr>
      <w:lang w:val="en-US"/>
    </w:rPr>
  </w:style>
  <w:style w:type="paragraph" w:styleId="TOC1">
    <w:name w:val="toc 1"/>
    <w:basedOn w:val="Normal"/>
    <w:next w:val="Normal"/>
    <w:autoRedefine/>
    <w:uiPriority w:val="39"/>
    <w:unhideWhenUsed/>
    <w:rsid w:val="000D3012"/>
    <w:pPr>
      <w:spacing w:after="100"/>
    </w:pPr>
  </w:style>
  <w:style w:type="character" w:styleId="Hyperlink">
    <w:name w:val="Hyperlink"/>
    <w:basedOn w:val="DefaultParagraphFont"/>
    <w:uiPriority w:val="99"/>
    <w:unhideWhenUsed/>
    <w:rsid w:val="000D3012"/>
    <w:rPr>
      <w:color w:val="0563C1" w:themeColor="hyperlink"/>
      <w:u w:val="single"/>
    </w:rPr>
  </w:style>
  <w:style w:type="character" w:customStyle="1" w:styleId="Heading2Char">
    <w:name w:val="Heading 2 Char"/>
    <w:basedOn w:val="DefaultParagraphFont"/>
    <w:link w:val="Heading2"/>
    <w:uiPriority w:val="9"/>
    <w:rsid w:val="000D30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E3BE9"/>
    <w:pPr>
      <w:ind w:left="720"/>
      <w:contextualSpacing/>
    </w:pPr>
  </w:style>
  <w:style w:type="character" w:styleId="UnresolvedMention">
    <w:name w:val="Unresolved Mention"/>
    <w:basedOn w:val="DefaultParagraphFont"/>
    <w:uiPriority w:val="99"/>
    <w:semiHidden/>
    <w:unhideWhenUsed/>
    <w:rsid w:val="003A2D93"/>
    <w:rPr>
      <w:color w:val="605E5C"/>
      <w:shd w:val="clear" w:color="auto" w:fill="E1DFDD"/>
    </w:rPr>
  </w:style>
  <w:style w:type="table" w:styleId="TableGrid">
    <w:name w:val="Table Grid"/>
    <w:basedOn w:val="TableNormal"/>
    <w:uiPriority w:val="39"/>
    <w:rsid w:val="005F7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0746F"/>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9A243A"/>
    <w:pPr>
      <w:spacing w:after="100"/>
      <w:ind w:left="220"/>
    </w:pPr>
  </w:style>
  <w:style w:type="paragraph" w:styleId="TableofFigures">
    <w:name w:val="table of figures"/>
    <w:basedOn w:val="Normal"/>
    <w:next w:val="Normal"/>
    <w:uiPriority w:val="99"/>
    <w:unhideWhenUsed/>
    <w:rsid w:val="009A243A"/>
    <w:pPr>
      <w:spacing w:after="0"/>
    </w:pPr>
  </w:style>
  <w:style w:type="character" w:customStyle="1" w:styleId="Heading3Char">
    <w:name w:val="Heading 3 Char"/>
    <w:basedOn w:val="DefaultParagraphFont"/>
    <w:link w:val="Heading3"/>
    <w:uiPriority w:val="9"/>
    <w:rsid w:val="007719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D47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file:///D:\Documents\university\Year%203%202021-2022\Automotive%20Materials%20and%20Sustainability\Assginment\Automotive%20materials%20and%20Sustainability,%20V2G.%20Charles%20Sangster,%201902452.%20date,%2020.11.21.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D:\Documents\university\Year%203%202021-2022\Automotive%20Materials%20and%20Sustainability\Assginment\Automotive%20materials%20and%20Sustainability,%20V2G.%20Charles%20Sangster,%201902452.%20date,%2020.11.21.doc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Supplie (07/09/2021)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Power Supplie (07/09/202)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D5E-4ACB-8E83-55B8FA879F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D5E-4ACB-8E83-55B8FA879F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D5E-4ACB-8E83-55B8FA879F8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D5E-4ACB-8E83-55B8FA879F8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D5E-4ACB-8E83-55B8FA879F8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D5E-4ACB-8E83-55B8FA879F8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D5E-4ACB-8E83-55B8FA879F8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1D5E-4ACB-8E83-55B8FA879F8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71B7-49D9-AACB-4D52E48B25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Coal </c:v>
                </c:pt>
                <c:pt idx="1">
                  <c:v>Gas</c:v>
                </c:pt>
                <c:pt idx="2">
                  <c:v>Nuclear </c:v>
                </c:pt>
                <c:pt idx="3">
                  <c:v>Biomass</c:v>
                </c:pt>
                <c:pt idx="4">
                  <c:v>Other</c:v>
                </c:pt>
                <c:pt idx="5">
                  <c:v>Solar Photovoltaic </c:v>
                </c:pt>
                <c:pt idx="6">
                  <c:v>Wind</c:v>
                </c:pt>
                <c:pt idx="7">
                  <c:v>Hydroelectric</c:v>
                </c:pt>
                <c:pt idx="8">
                  <c:v>Energy from Overseas</c:v>
                </c:pt>
              </c:strCache>
            </c:strRef>
          </c:cat>
          <c:val>
            <c:numRef>
              <c:f>Sheet1!$B$2:$B$10</c:f>
              <c:numCache>
                <c:formatCode>General</c:formatCode>
                <c:ptCount val="9"/>
                <c:pt idx="0">
                  <c:v>2.2000000000000002</c:v>
                </c:pt>
                <c:pt idx="1">
                  <c:v>46.5</c:v>
                </c:pt>
                <c:pt idx="2">
                  <c:v>14</c:v>
                </c:pt>
                <c:pt idx="3">
                  <c:v>5</c:v>
                </c:pt>
                <c:pt idx="4">
                  <c:v>0.9</c:v>
                </c:pt>
                <c:pt idx="5">
                  <c:v>21</c:v>
                </c:pt>
                <c:pt idx="6">
                  <c:v>3</c:v>
                </c:pt>
                <c:pt idx="7">
                  <c:v>0.5</c:v>
                </c:pt>
                <c:pt idx="8">
                  <c:v>6.9</c:v>
                </c:pt>
              </c:numCache>
            </c:numRef>
          </c:val>
          <c:extLst>
            <c:ext xmlns:c16="http://schemas.microsoft.com/office/drawing/2014/chart" uri="{C3380CC4-5D6E-409C-BE32-E72D297353CC}">
              <c16:uniqueId val="{00000010-1D5E-4ACB-8E83-55B8FA879F8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435EC-4CF7-4416-998C-5ACFEFA59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14</Pages>
  <Words>3957</Words>
  <Characters>22557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sangster</dc:creator>
  <cp:keywords/>
  <dc:description/>
  <cp:lastModifiedBy>charles sangster</cp:lastModifiedBy>
  <cp:revision>121</cp:revision>
  <dcterms:created xsi:type="dcterms:W3CDTF">2021-10-21T09:42:00Z</dcterms:created>
  <dcterms:modified xsi:type="dcterms:W3CDTF">2021-11-20T11:22:00Z</dcterms:modified>
</cp:coreProperties>
</file>