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18F" w:rsidRDefault="00DC6986">
      <w:pPr>
        <w:rPr>
          <w:rFonts w:ascii="Tahoma" w:eastAsia="Tahoma" w:hAnsi="Tahoma" w:cs="Tahoma"/>
        </w:rPr>
      </w:pPr>
      <w:r>
        <w:rPr>
          <w:rFonts w:ascii="Tahoma" w:eastAsia="Tahoma" w:hAnsi="Tahoma" w:cs="Tahoma"/>
          <w:b/>
        </w:rPr>
        <w:t xml:space="preserve">Assignment Submission Form / </w:t>
      </w:r>
      <w:proofErr w:type="spellStart"/>
      <w:r>
        <w:rPr>
          <w:rFonts w:ascii="Tahoma" w:eastAsia="Tahoma" w:hAnsi="Tahoma" w:cs="Tahoma"/>
          <w:b/>
        </w:rPr>
        <w:t>Ffurflen</w:t>
      </w:r>
      <w:proofErr w:type="spellEnd"/>
      <w:r>
        <w:rPr>
          <w:rFonts w:ascii="Tahoma" w:eastAsia="Tahoma" w:hAnsi="Tahoma" w:cs="Tahoma"/>
          <w:b/>
        </w:rPr>
        <w:t xml:space="preserve"> </w:t>
      </w:r>
      <w:proofErr w:type="spellStart"/>
      <w:r>
        <w:rPr>
          <w:rFonts w:ascii="Tahoma" w:eastAsia="Tahoma" w:hAnsi="Tahoma" w:cs="Tahoma"/>
          <w:b/>
        </w:rPr>
        <w:t>Cyflwyno</w:t>
      </w:r>
      <w:proofErr w:type="spellEnd"/>
      <w:r>
        <w:rPr>
          <w:rFonts w:ascii="Tahoma" w:eastAsia="Tahoma" w:hAnsi="Tahoma" w:cs="Tahoma"/>
          <w:b/>
        </w:rPr>
        <w:t xml:space="preserve"> </w:t>
      </w:r>
      <w:proofErr w:type="spellStart"/>
      <w:r>
        <w:rPr>
          <w:rFonts w:ascii="Tahoma" w:eastAsia="Tahoma" w:hAnsi="Tahoma" w:cs="Tahoma"/>
          <w:b/>
        </w:rPr>
        <w:t>Aseiniad</w:t>
      </w:r>
      <w:proofErr w:type="spellEnd"/>
    </w:p>
    <w:p w:rsidR="00CF618F" w:rsidRDefault="00CF618F">
      <w:pPr>
        <w:rPr>
          <w:rFonts w:ascii="Tahoma" w:eastAsia="Tahoma" w:hAnsi="Tahoma" w:cs="Tahoma"/>
          <w:sz w:val="22"/>
          <w:szCs w:val="22"/>
        </w:rPr>
      </w:pPr>
    </w:p>
    <w:tbl>
      <w:tblPr>
        <w:tblStyle w:val="a"/>
        <w:tblW w:w="9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464"/>
      </w:tblGrid>
      <w:tr w:rsidR="00CF618F">
        <w:trPr>
          <w:trHeight w:val="4480"/>
        </w:trPr>
        <w:tc>
          <w:tcPr>
            <w:tcW w:w="9464" w:type="dxa"/>
          </w:tcPr>
          <w:p w:rsidR="00CF618F" w:rsidRDefault="00DC6986">
            <w:pPr>
              <w:spacing w:line="276" w:lineRule="auto"/>
              <w:rPr>
                <w:rFonts w:ascii="Tahoma" w:eastAsia="Tahoma" w:hAnsi="Tahoma" w:cs="Tahoma"/>
                <w:sz w:val="22"/>
                <w:szCs w:val="22"/>
              </w:rPr>
            </w:pPr>
            <w:r>
              <w:rPr>
                <w:rFonts w:ascii="Arial" w:eastAsia="Arial" w:hAnsi="Arial" w:cs="Arial"/>
                <w:b/>
                <w:color w:val="FFFFFF"/>
                <w:sz w:val="18"/>
                <w:szCs w:val="18"/>
                <w:shd w:val="clear" w:color="auto" w:fill="023B59"/>
              </w:rPr>
              <w:t>WALES ACADEMY FOR PROFESSIONAL PRACTICE AND APPLIED RESEARCH (WAPPAR)</w:t>
            </w:r>
            <w:r>
              <w:rPr>
                <w:rFonts w:ascii="Arial" w:eastAsia="Arial" w:hAnsi="Arial" w:cs="Arial"/>
                <w:b/>
                <w:sz w:val="18"/>
                <w:szCs w:val="18"/>
              </w:rPr>
              <w:t xml:space="preserve"> </w:t>
            </w:r>
            <w:r>
              <w:rPr>
                <w:rFonts w:ascii="Tahoma" w:eastAsia="Tahoma" w:hAnsi="Tahoma" w:cs="Tahoma"/>
                <w:b/>
                <w:sz w:val="22"/>
                <w:szCs w:val="22"/>
              </w:rPr>
              <w:t>Copy</w:t>
            </w:r>
          </w:p>
          <w:p w:rsidR="00CF618F" w:rsidRDefault="00CF618F">
            <w:pPr>
              <w:spacing w:line="331" w:lineRule="auto"/>
              <w:rPr>
                <w:rFonts w:ascii="Tahoma" w:eastAsia="Tahoma" w:hAnsi="Tahoma" w:cs="Tahoma"/>
                <w:sz w:val="22"/>
                <w:szCs w:val="22"/>
              </w:rPr>
            </w:pPr>
          </w:p>
          <w:p w:rsidR="00CF618F" w:rsidRDefault="00DC6986">
            <w:pPr>
              <w:spacing w:line="331" w:lineRule="auto"/>
              <w:rPr>
                <w:rFonts w:ascii="Arial" w:eastAsia="Arial" w:hAnsi="Arial" w:cs="Arial"/>
                <w:sz w:val="22"/>
                <w:szCs w:val="22"/>
              </w:rPr>
            </w:pPr>
            <w:r>
              <w:rPr>
                <w:rFonts w:ascii="Tahoma" w:eastAsia="Tahoma" w:hAnsi="Tahoma" w:cs="Tahoma"/>
                <w:sz w:val="22"/>
                <w:szCs w:val="22"/>
              </w:rPr>
              <w:t xml:space="preserve">Student Number:  </w:t>
            </w:r>
            <w:r>
              <w:rPr>
                <w:rFonts w:ascii="Arial" w:eastAsia="Arial" w:hAnsi="Arial" w:cs="Arial"/>
                <w:sz w:val="22"/>
                <w:szCs w:val="22"/>
              </w:rPr>
              <w:t>1712941</w:t>
            </w:r>
          </w:p>
          <w:p w:rsidR="00CF618F" w:rsidRDefault="00CF618F">
            <w:pPr>
              <w:spacing w:line="331" w:lineRule="auto"/>
              <w:rPr>
                <w:rFonts w:ascii="Calibri" w:eastAsia="Calibri" w:hAnsi="Calibri" w:cs="Calibri"/>
                <w:sz w:val="22"/>
                <w:szCs w:val="22"/>
              </w:rPr>
            </w:pPr>
          </w:p>
          <w:p w:rsidR="00CF618F" w:rsidRDefault="00DC6986">
            <w:pPr>
              <w:spacing w:line="331" w:lineRule="auto"/>
              <w:rPr>
                <w:rFonts w:ascii="Tahoma" w:eastAsia="Tahoma" w:hAnsi="Tahoma" w:cs="Tahoma"/>
                <w:sz w:val="22"/>
                <w:szCs w:val="22"/>
              </w:rPr>
            </w:pPr>
            <w:r>
              <w:rPr>
                <w:rFonts w:ascii="Tahoma" w:eastAsia="Tahoma" w:hAnsi="Tahoma" w:cs="Tahoma"/>
                <w:sz w:val="22"/>
                <w:szCs w:val="22"/>
              </w:rPr>
              <w:t xml:space="preserve">Student’s Name: Jeremy </w:t>
            </w:r>
            <w:proofErr w:type="spellStart"/>
            <w:r>
              <w:rPr>
                <w:rFonts w:ascii="Tahoma" w:eastAsia="Tahoma" w:hAnsi="Tahoma" w:cs="Tahoma"/>
                <w:sz w:val="22"/>
                <w:szCs w:val="22"/>
              </w:rPr>
              <w:t>Malessa</w:t>
            </w:r>
            <w:proofErr w:type="spellEnd"/>
            <w:r>
              <w:rPr>
                <w:rFonts w:ascii="Tahoma" w:eastAsia="Tahoma" w:hAnsi="Tahoma" w:cs="Tahoma"/>
                <w:sz w:val="22"/>
                <w:szCs w:val="22"/>
              </w:rPr>
              <w:t>-Thompson</w:t>
            </w:r>
          </w:p>
          <w:p w:rsidR="00CF618F" w:rsidRDefault="00CF618F">
            <w:pPr>
              <w:spacing w:line="331" w:lineRule="auto"/>
              <w:rPr>
                <w:rFonts w:ascii="Calibri" w:eastAsia="Calibri" w:hAnsi="Calibri" w:cs="Calibri"/>
                <w:sz w:val="22"/>
                <w:szCs w:val="22"/>
              </w:rPr>
            </w:pPr>
          </w:p>
          <w:p w:rsidR="00CF618F" w:rsidRDefault="00DC6986">
            <w:pPr>
              <w:spacing w:line="331" w:lineRule="auto"/>
              <w:rPr>
                <w:rFonts w:ascii="Tahoma" w:eastAsia="Tahoma" w:hAnsi="Tahoma" w:cs="Tahoma"/>
                <w:sz w:val="22"/>
                <w:szCs w:val="22"/>
              </w:rPr>
            </w:pPr>
            <w:r>
              <w:rPr>
                <w:rFonts w:ascii="Tahoma" w:eastAsia="Tahoma" w:hAnsi="Tahoma" w:cs="Tahoma"/>
                <w:sz w:val="22"/>
                <w:szCs w:val="22"/>
              </w:rPr>
              <w:t>Tutor Name: Dr Christine Davies</w:t>
            </w:r>
          </w:p>
          <w:p w:rsidR="00CF618F" w:rsidRDefault="00CF618F">
            <w:pPr>
              <w:spacing w:line="331" w:lineRule="auto"/>
              <w:rPr>
                <w:rFonts w:ascii="Calibri" w:eastAsia="Calibri" w:hAnsi="Calibri" w:cs="Calibri"/>
                <w:sz w:val="22"/>
                <w:szCs w:val="22"/>
              </w:rPr>
            </w:pPr>
          </w:p>
          <w:p w:rsidR="00CF618F" w:rsidRDefault="00DC6986">
            <w:pPr>
              <w:spacing w:line="331" w:lineRule="auto"/>
              <w:rPr>
                <w:rFonts w:ascii="Tahoma" w:eastAsia="Tahoma" w:hAnsi="Tahoma" w:cs="Tahoma"/>
                <w:sz w:val="22"/>
                <w:szCs w:val="22"/>
              </w:rPr>
            </w:pPr>
            <w:r>
              <w:rPr>
                <w:rFonts w:ascii="Tahoma" w:eastAsia="Tahoma" w:hAnsi="Tahoma" w:cs="Tahoma"/>
                <w:sz w:val="22"/>
                <w:szCs w:val="22"/>
              </w:rPr>
              <w:t>Assignment Title: Undertaking Research in Workplaces</w:t>
            </w:r>
          </w:p>
          <w:p w:rsidR="00CF618F" w:rsidRDefault="00CF618F">
            <w:pPr>
              <w:spacing w:line="331" w:lineRule="auto"/>
              <w:rPr>
                <w:rFonts w:ascii="Calibri" w:eastAsia="Calibri" w:hAnsi="Calibri" w:cs="Calibri"/>
                <w:sz w:val="22"/>
                <w:szCs w:val="22"/>
              </w:rPr>
            </w:pPr>
          </w:p>
          <w:p w:rsidR="00CF618F" w:rsidRDefault="00DC6986">
            <w:pPr>
              <w:spacing w:line="331" w:lineRule="auto"/>
              <w:rPr>
                <w:rFonts w:ascii="Tahoma" w:eastAsia="Tahoma" w:hAnsi="Tahoma" w:cs="Tahoma"/>
                <w:sz w:val="22"/>
                <w:szCs w:val="22"/>
              </w:rPr>
            </w:pPr>
            <w:r>
              <w:rPr>
                <w:rFonts w:ascii="Tahoma" w:eastAsia="Tahoma" w:hAnsi="Tahoma" w:cs="Tahoma"/>
                <w:sz w:val="22"/>
                <w:szCs w:val="22"/>
              </w:rPr>
              <w:t>Module Code: BMPF7005</w:t>
            </w:r>
          </w:p>
          <w:p w:rsidR="00CF618F" w:rsidRDefault="00CF618F">
            <w:pPr>
              <w:spacing w:line="331" w:lineRule="auto"/>
              <w:rPr>
                <w:rFonts w:ascii="Calibri" w:eastAsia="Calibri" w:hAnsi="Calibri" w:cs="Calibri"/>
                <w:sz w:val="22"/>
                <w:szCs w:val="22"/>
              </w:rPr>
            </w:pPr>
          </w:p>
          <w:p w:rsidR="00CF618F" w:rsidRDefault="00DC6986">
            <w:pPr>
              <w:spacing w:line="331" w:lineRule="auto"/>
              <w:rPr>
                <w:rFonts w:ascii="Tahoma" w:eastAsia="Tahoma" w:hAnsi="Tahoma" w:cs="Tahoma"/>
                <w:sz w:val="22"/>
                <w:szCs w:val="22"/>
              </w:rPr>
            </w:pPr>
            <w:r>
              <w:rPr>
                <w:rFonts w:ascii="Tahoma" w:eastAsia="Tahoma" w:hAnsi="Tahoma" w:cs="Tahoma"/>
                <w:sz w:val="22"/>
                <w:szCs w:val="22"/>
              </w:rPr>
              <w:t>Submission Date: 17th January 2020</w:t>
            </w:r>
          </w:p>
          <w:p w:rsidR="00CF618F" w:rsidRDefault="00CF618F">
            <w:pPr>
              <w:spacing w:line="276" w:lineRule="auto"/>
              <w:rPr>
                <w:rFonts w:ascii="Tahoma" w:eastAsia="Tahoma" w:hAnsi="Tahoma" w:cs="Tahoma"/>
                <w:sz w:val="22"/>
                <w:szCs w:val="22"/>
              </w:rPr>
            </w:pP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b/>
                <w:sz w:val="22"/>
                <w:szCs w:val="22"/>
              </w:rPr>
              <w:t>Your work will not be marked unless it is accompanied by this statement.</w:t>
            </w: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I confirm that this is my original work and that I have adhered to th</w:t>
            </w:r>
            <w:r>
              <w:rPr>
                <w:rFonts w:ascii="Tahoma" w:eastAsia="Tahoma" w:hAnsi="Tahoma" w:cs="Tahoma"/>
                <w:sz w:val="22"/>
                <w:szCs w:val="22"/>
              </w:rPr>
              <w:t xml:space="preserve">e University’s policy on plagiarism. </w:t>
            </w:r>
          </w:p>
          <w:p w:rsidR="00CF618F" w:rsidRDefault="00DC6986">
            <w:pPr>
              <w:rPr>
                <w:rFonts w:ascii="Tahoma" w:eastAsia="Tahoma" w:hAnsi="Tahoma" w:cs="Tahoma"/>
                <w:sz w:val="22"/>
                <w:szCs w:val="22"/>
              </w:rPr>
            </w:pPr>
            <w:r>
              <w:rPr>
                <w:rFonts w:ascii="Tahoma" w:eastAsia="Tahoma" w:hAnsi="Tahoma" w:cs="Tahoma"/>
                <w:sz w:val="22"/>
                <w:szCs w:val="22"/>
              </w:rPr>
              <w:t xml:space="preserve">Student’s Name: Jeremy </w:t>
            </w:r>
            <w:proofErr w:type="spellStart"/>
            <w:r>
              <w:rPr>
                <w:rFonts w:ascii="Tahoma" w:eastAsia="Tahoma" w:hAnsi="Tahoma" w:cs="Tahoma"/>
                <w:sz w:val="22"/>
                <w:szCs w:val="22"/>
              </w:rPr>
              <w:t>Malessa</w:t>
            </w:r>
            <w:proofErr w:type="spellEnd"/>
            <w:r>
              <w:rPr>
                <w:rFonts w:ascii="Tahoma" w:eastAsia="Tahoma" w:hAnsi="Tahoma" w:cs="Tahoma"/>
                <w:sz w:val="22"/>
                <w:szCs w:val="22"/>
              </w:rPr>
              <w:t xml:space="preserve">-Thompson </w:t>
            </w:r>
          </w:p>
          <w:p w:rsidR="00CF618F" w:rsidRDefault="00DC6986">
            <w:bookmarkStart w:id="0" w:name="_xm54l5hcdjow" w:colFirst="0" w:colLast="0"/>
            <w:bookmarkEnd w:id="0"/>
            <w:r>
              <w:rPr>
                <w:rFonts w:ascii="Tahoma" w:eastAsia="Tahoma" w:hAnsi="Tahoma" w:cs="Tahoma"/>
                <w:sz w:val="22"/>
                <w:szCs w:val="22"/>
              </w:rPr>
              <w:t xml:space="preserve">Signature: </w:t>
            </w:r>
            <w:r>
              <w:rPr>
                <w:rFonts w:ascii="Calibri" w:eastAsia="Calibri" w:hAnsi="Calibri" w:cs="Calibri"/>
                <w:noProof/>
                <w:sz w:val="22"/>
                <w:szCs w:val="22"/>
              </w:rPr>
              <w:drawing>
                <wp:inline distT="0" distB="0" distL="0" distR="0">
                  <wp:extent cx="3115056" cy="896368"/>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3115056" cy="896368"/>
                          </a:xfrm>
                          <a:prstGeom prst="rect">
                            <a:avLst/>
                          </a:prstGeom>
                          <a:ln/>
                        </pic:spPr>
                      </pic:pic>
                    </a:graphicData>
                  </a:graphic>
                </wp:inline>
              </w:drawing>
            </w:r>
          </w:p>
          <w:p w:rsidR="00CF618F" w:rsidRDefault="00CF618F">
            <w:pPr>
              <w:spacing w:line="276" w:lineRule="auto"/>
              <w:rPr>
                <w:rFonts w:ascii="Tahoma" w:eastAsia="Tahoma" w:hAnsi="Tahoma" w:cs="Tahoma"/>
                <w:sz w:val="22"/>
                <w:szCs w:val="22"/>
              </w:rPr>
            </w:pPr>
          </w:p>
          <w:p w:rsidR="00CF618F" w:rsidRDefault="00CF618F">
            <w:pPr>
              <w:spacing w:line="276" w:lineRule="auto"/>
              <w:rPr>
                <w:rFonts w:ascii="Tahoma" w:eastAsia="Tahoma" w:hAnsi="Tahoma" w:cs="Tahoma"/>
                <w:sz w:val="22"/>
                <w:szCs w:val="22"/>
              </w:rPr>
            </w:pPr>
          </w:p>
          <w:tbl>
            <w:tblPr>
              <w:tblStyle w:val="a0"/>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CF618F">
              <w:tc>
                <w:tcPr>
                  <w:tcW w:w="9067" w:type="dxa"/>
                </w:tcPr>
                <w:p w:rsidR="00CF618F" w:rsidRDefault="00DC6986">
                  <w:pPr>
                    <w:spacing w:line="276" w:lineRule="auto"/>
                    <w:rPr>
                      <w:rFonts w:ascii="Tahoma" w:eastAsia="Tahoma" w:hAnsi="Tahoma" w:cs="Tahoma"/>
                      <w:sz w:val="22"/>
                      <w:szCs w:val="22"/>
                    </w:rPr>
                  </w:pPr>
                  <w:r>
                    <w:rPr>
                      <w:rFonts w:ascii="Tahoma" w:eastAsia="Tahoma" w:hAnsi="Tahoma" w:cs="Tahoma"/>
                      <w:sz w:val="22"/>
                      <w:szCs w:val="22"/>
                    </w:rPr>
                    <w:t>WBL Staff only</w:t>
                  </w: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 xml:space="preserve">Received </w:t>
                  </w:r>
                  <w:proofErr w:type="spellStart"/>
                  <w:r>
                    <w:rPr>
                      <w:rFonts w:ascii="Tahoma" w:eastAsia="Tahoma" w:hAnsi="Tahoma" w:cs="Tahoma"/>
                      <w:sz w:val="22"/>
                      <w:szCs w:val="22"/>
                    </w:rPr>
                    <w:t>by:_____________________Date</w:t>
                  </w:r>
                  <w:proofErr w:type="spellEnd"/>
                  <w:r>
                    <w:rPr>
                      <w:rFonts w:ascii="Tahoma" w:eastAsia="Tahoma" w:hAnsi="Tahoma" w:cs="Tahoma"/>
                      <w:sz w:val="22"/>
                      <w:szCs w:val="22"/>
                    </w:rPr>
                    <w:t xml:space="preserve"> submitted:____________________</w:t>
                  </w:r>
                </w:p>
              </w:tc>
            </w:tr>
          </w:tbl>
          <w:p w:rsidR="00CF618F" w:rsidRDefault="00CF618F">
            <w:pPr>
              <w:spacing w:line="276" w:lineRule="auto"/>
              <w:rPr>
                <w:rFonts w:ascii="Tahoma" w:eastAsia="Tahoma" w:hAnsi="Tahoma" w:cs="Tahoma"/>
                <w:sz w:val="22"/>
                <w:szCs w:val="22"/>
              </w:rPr>
            </w:pPr>
          </w:p>
        </w:tc>
      </w:tr>
    </w:tbl>
    <w:p w:rsidR="00CF618F" w:rsidRDefault="00CF618F">
      <w:pPr>
        <w:tabs>
          <w:tab w:val="left" w:pos="981"/>
        </w:tabs>
      </w:pPr>
    </w:p>
    <w:p w:rsidR="00CF618F" w:rsidRDefault="00CF618F">
      <w:pPr>
        <w:tabs>
          <w:tab w:val="left" w:pos="981"/>
        </w:tabs>
      </w:pPr>
    </w:p>
    <w:tbl>
      <w:tblPr>
        <w:tblStyle w:val="a1"/>
        <w:tblW w:w="94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464"/>
      </w:tblGrid>
      <w:tr w:rsidR="00CF618F">
        <w:trPr>
          <w:trHeight w:val="3320"/>
        </w:trPr>
        <w:tc>
          <w:tcPr>
            <w:tcW w:w="9464" w:type="dxa"/>
          </w:tcPr>
          <w:p w:rsidR="00CF618F" w:rsidRDefault="00DC6986">
            <w:pPr>
              <w:spacing w:line="276" w:lineRule="auto"/>
              <w:rPr>
                <w:rFonts w:ascii="Tahoma" w:eastAsia="Tahoma" w:hAnsi="Tahoma" w:cs="Tahoma"/>
                <w:sz w:val="22"/>
                <w:szCs w:val="22"/>
              </w:rPr>
            </w:pPr>
            <w:r>
              <w:rPr>
                <w:rFonts w:ascii="Tahoma" w:eastAsia="Tahoma" w:hAnsi="Tahoma" w:cs="Tahoma"/>
                <w:b/>
                <w:sz w:val="22"/>
                <w:szCs w:val="22"/>
              </w:rPr>
              <w:t>Student Receipt</w:t>
            </w: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Student Number: ______________________________________________</w:t>
            </w: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Student’s Name: _______________________________________________</w:t>
            </w: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Tutor Name: _________________________________________________</w:t>
            </w: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Assignment Title: ______________________________________________</w:t>
            </w: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Module Code: __________________________________________________</w:t>
            </w:r>
          </w:p>
          <w:p w:rsidR="00CF618F" w:rsidRDefault="00CF618F">
            <w:pPr>
              <w:spacing w:line="276" w:lineRule="auto"/>
              <w:rPr>
                <w:rFonts w:ascii="Tahoma" w:eastAsia="Tahoma" w:hAnsi="Tahoma" w:cs="Tahoma"/>
                <w:sz w:val="22"/>
                <w:szCs w:val="22"/>
              </w:rPr>
            </w:pP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Submission Date: _____________________________________________</w:t>
            </w:r>
          </w:p>
          <w:p w:rsidR="00CF618F" w:rsidRDefault="00CF618F">
            <w:pPr>
              <w:spacing w:line="276" w:lineRule="auto"/>
              <w:rPr>
                <w:rFonts w:ascii="Tahoma" w:eastAsia="Tahoma" w:hAnsi="Tahoma" w:cs="Tahoma"/>
                <w:sz w:val="22"/>
                <w:szCs w:val="22"/>
              </w:rPr>
            </w:pPr>
          </w:p>
          <w:tbl>
            <w:tblPr>
              <w:tblStyle w:val="a2"/>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CF618F">
              <w:tc>
                <w:tcPr>
                  <w:tcW w:w="9067" w:type="dxa"/>
                </w:tcPr>
                <w:p w:rsidR="00CF618F" w:rsidRDefault="00DC6986">
                  <w:pPr>
                    <w:spacing w:line="276" w:lineRule="auto"/>
                    <w:rPr>
                      <w:rFonts w:ascii="Tahoma" w:eastAsia="Tahoma" w:hAnsi="Tahoma" w:cs="Tahoma"/>
                      <w:sz w:val="22"/>
                      <w:szCs w:val="22"/>
                    </w:rPr>
                  </w:pPr>
                  <w:r>
                    <w:rPr>
                      <w:rFonts w:ascii="Tahoma" w:eastAsia="Tahoma" w:hAnsi="Tahoma" w:cs="Tahoma"/>
                      <w:sz w:val="22"/>
                      <w:szCs w:val="22"/>
                    </w:rPr>
                    <w:t>WBL Staff only</w:t>
                  </w:r>
                </w:p>
                <w:p w:rsidR="00CF618F" w:rsidRDefault="00DC6986">
                  <w:pPr>
                    <w:spacing w:line="276" w:lineRule="auto"/>
                    <w:rPr>
                      <w:rFonts w:ascii="Tahoma" w:eastAsia="Tahoma" w:hAnsi="Tahoma" w:cs="Tahoma"/>
                      <w:sz w:val="22"/>
                      <w:szCs w:val="22"/>
                    </w:rPr>
                  </w:pPr>
                  <w:r>
                    <w:rPr>
                      <w:rFonts w:ascii="Tahoma" w:eastAsia="Tahoma" w:hAnsi="Tahoma" w:cs="Tahoma"/>
                      <w:sz w:val="22"/>
                      <w:szCs w:val="22"/>
                    </w:rPr>
                    <w:t xml:space="preserve">Received </w:t>
                  </w:r>
                  <w:proofErr w:type="spellStart"/>
                  <w:r>
                    <w:rPr>
                      <w:rFonts w:ascii="Tahoma" w:eastAsia="Tahoma" w:hAnsi="Tahoma" w:cs="Tahoma"/>
                      <w:sz w:val="22"/>
                      <w:szCs w:val="22"/>
                    </w:rPr>
                    <w:t>by:_____________________Date</w:t>
                  </w:r>
                  <w:proofErr w:type="spellEnd"/>
                  <w:r>
                    <w:rPr>
                      <w:rFonts w:ascii="Tahoma" w:eastAsia="Tahoma" w:hAnsi="Tahoma" w:cs="Tahoma"/>
                      <w:sz w:val="22"/>
                      <w:szCs w:val="22"/>
                    </w:rPr>
                    <w:t xml:space="preserve"> submitted:____________________</w:t>
                  </w:r>
                </w:p>
              </w:tc>
            </w:tr>
          </w:tbl>
          <w:p w:rsidR="00CF618F" w:rsidRDefault="00CF618F">
            <w:pPr>
              <w:spacing w:line="276" w:lineRule="auto"/>
              <w:rPr>
                <w:rFonts w:ascii="Tahoma" w:eastAsia="Tahoma" w:hAnsi="Tahoma" w:cs="Tahoma"/>
                <w:sz w:val="22"/>
                <w:szCs w:val="22"/>
              </w:rPr>
            </w:pPr>
          </w:p>
        </w:tc>
      </w:tr>
    </w:tbl>
    <w:p w:rsidR="00CF618F" w:rsidRDefault="00DC6986">
      <w:pPr>
        <w:rPr>
          <w:rFonts w:ascii="Tahoma" w:eastAsia="Tahoma" w:hAnsi="Tahoma" w:cs="Tahoma"/>
          <w:sz w:val="22"/>
          <w:szCs w:val="22"/>
        </w:rPr>
      </w:pPr>
      <w:r>
        <w:rPr>
          <w:rFonts w:ascii="Tahoma" w:eastAsia="Tahoma" w:hAnsi="Tahoma" w:cs="Tahoma"/>
          <w:sz w:val="22"/>
          <w:szCs w:val="22"/>
        </w:rPr>
        <w:t xml:space="preserve"> </w:t>
      </w: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CF618F">
      <w:pPr>
        <w:rPr>
          <w:rFonts w:ascii="Tahoma" w:eastAsia="Tahoma" w:hAnsi="Tahoma" w:cs="Tahoma"/>
          <w:sz w:val="22"/>
          <w:szCs w:val="22"/>
        </w:rPr>
      </w:pPr>
    </w:p>
    <w:p w:rsidR="00CF618F" w:rsidRDefault="00DC6986">
      <w:pPr>
        <w:spacing w:line="276" w:lineRule="auto"/>
        <w:rPr>
          <w:rFonts w:ascii="Arial" w:eastAsia="Arial" w:hAnsi="Arial" w:cs="Arial"/>
          <w:sz w:val="22"/>
          <w:szCs w:val="22"/>
          <w:u w:val="single"/>
        </w:rPr>
      </w:pPr>
      <w:r>
        <w:rPr>
          <w:rFonts w:ascii="Arial" w:eastAsia="Arial" w:hAnsi="Arial" w:cs="Arial"/>
          <w:b/>
          <w:sz w:val="20"/>
          <w:szCs w:val="20"/>
          <w:highlight w:val="white"/>
          <w:u w:val="single"/>
        </w:rPr>
        <w:t>Critically evaluate a range of methodological approaches, research designs, and research methods appropriate to gather data from work-based settings, with due consideration to research ethics and issues of insider research.</w:t>
      </w:r>
    </w:p>
    <w:p w:rsidR="00CF618F" w:rsidRDefault="00CF618F">
      <w:pPr>
        <w:spacing w:line="276" w:lineRule="auto"/>
        <w:rPr>
          <w:rFonts w:ascii="Arial" w:eastAsia="Arial" w:hAnsi="Arial" w:cs="Arial"/>
          <w:sz w:val="22"/>
          <w:szCs w:val="22"/>
          <w:u w:val="single"/>
        </w:rPr>
      </w:pPr>
    </w:p>
    <w:p w:rsidR="00CF618F" w:rsidRDefault="00DC6986">
      <w:pPr>
        <w:spacing w:line="276" w:lineRule="auto"/>
        <w:jc w:val="both"/>
        <w:rPr>
          <w:rFonts w:ascii="Arial" w:eastAsia="Arial" w:hAnsi="Arial" w:cs="Arial"/>
          <w:sz w:val="20"/>
          <w:szCs w:val="20"/>
          <w:u w:val="single"/>
        </w:rPr>
      </w:pPr>
      <w:r>
        <w:rPr>
          <w:rFonts w:ascii="Arial" w:eastAsia="Arial" w:hAnsi="Arial" w:cs="Arial"/>
          <w:sz w:val="20"/>
          <w:szCs w:val="20"/>
          <w:u w:val="single"/>
        </w:rPr>
        <w:t xml:space="preserve">Introduction </w:t>
      </w:r>
    </w:p>
    <w:p w:rsidR="00CF618F" w:rsidRDefault="00CF618F">
      <w:pPr>
        <w:spacing w:line="276" w:lineRule="auto"/>
        <w:jc w:val="both"/>
        <w:rPr>
          <w:rFonts w:ascii="Arial" w:eastAsia="Arial" w:hAnsi="Arial" w:cs="Arial"/>
          <w:sz w:val="20"/>
          <w:szCs w:val="20"/>
          <w:u w:val="single"/>
        </w:rPr>
      </w:pPr>
    </w:p>
    <w:p w:rsidR="00CF618F" w:rsidRDefault="00DC6986">
      <w:pPr>
        <w:spacing w:line="480" w:lineRule="auto"/>
        <w:jc w:val="both"/>
        <w:rPr>
          <w:rFonts w:ascii="Arial" w:eastAsia="Arial" w:hAnsi="Arial" w:cs="Arial"/>
          <w:sz w:val="20"/>
          <w:szCs w:val="20"/>
        </w:rPr>
      </w:pPr>
      <w:r>
        <w:rPr>
          <w:rFonts w:ascii="Arial" w:eastAsia="Arial" w:hAnsi="Arial" w:cs="Arial"/>
          <w:sz w:val="20"/>
          <w:szCs w:val="20"/>
        </w:rPr>
        <w:t>This essay aims to provide a balanced but critical review and evaluation of research methodologies based on undertaking research, the collection of data within an education setting. In addition, it is essential to reflect how research influences practice w</w:t>
      </w:r>
      <w:r>
        <w:rPr>
          <w:rFonts w:ascii="Arial" w:eastAsia="Arial" w:hAnsi="Arial" w:cs="Arial"/>
          <w:sz w:val="20"/>
          <w:szCs w:val="20"/>
        </w:rPr>
        <w:t>ithin my work-based setting, consider research design and methods and evaluate how these might inform or influence practice or understanding within my field of expertise. Based on my experience, I perceive myself to be a novice or emerging researcher, on a</w:t>
      </w:r>
      <w:r>
        <w:rPr>
          <w:rFonts w:ascii="Arial" w:eastAsia="Arial" w:hAnsi="Arial" w:cs="Arial"/>
          <w:sz w:val="20"/>
          <w:szCs w:val="20"/>
        </w:rPr>
        <w:t xml:space="preserve"> work-based learning journey. It is critical to acknowledge that undertaking a review of research theories, as a novice, presents challenges in that while it develops a new knowledge base I have distorted by exposure, limited experience and skills and acqu</w:t>
      </w:r>
      <w:r>
        <w:rPr>
          <w:rFonts w:ascii="Arial" w:eastAsia="Arial" w:hAnsi="Arial" w:cs="Arial"/>
          <w:sz w:val="20"/>
          <w:szCs w:val="20"/>
        </w:rPr>
        <w:t xml:space="preserve">ired knowledge in this field of study. In addition to this, prior learning and poorly framed prior experience of research, the influences of the teacher as a researcher as exemplified by </w:t>
      </w:r>
      <w:proofErr w:type="spellStart"/>
      <w:r>
        <w:rPr>
          <w:rFonts w:ascii="Arial" w:eastAsia="Arial" w:hAnsi="Arial" w:cs="Arial"/>
          <w:sz w:val="20"/>
          <w:szCs w:val="20"/>
          <w:highlight w:val="white"/>
        </w:rPr>
        <w:t>Hammersley</w:t>
      </w:r>
      <w:proofErr w:type="spellEnd"/>
      <w:r>
        <w:rPr>
          <w:rFonts w:ascii="Arial" w:eastAsia="Arial" w:hAnsi="Arial" w:cs="Arial"/>
          <w:sz w:val="20"/>
          <w:szCs w:val="20"/>
          <w:highlight w:val="white"/>
        </w:rPr>
        <w:t xml:space="preserve"> (1993) all indicate elements of being a novice in this fie</w:t>
      </w:r>
      <w:r>
        <w:rPr>
          <w:rFonts w:ascii="Arial" w:eastAsia="Arial" w:hAnsi="Arial" w:cs="Arial"/>
          <w:sz w:val="20"/>
          <w:szCs w:val="20"/>
          <w:highlight w:val="white"/>
        </w:rPr>
        <w:t>ld.</w:t>
      </w:r>
      <w:r>
        <w:rPr>
          <w:rFonts w:ascii="Arial" w:eastAsia="Arial" w:hAnsi="Arial" w:cs="Arial"/>
          <w:sz w:val="20"/>
          <w:szCs w:val="20"/>
        </w:rPr>
        <w:t xml:space="preserve"> This also means that I require relearning of research theory. This in itself presents challenges of not just embedding knowledge into long-term memory by revisiting, spacing and interleaving, but unpicking and unlearning (which is more complex) as pres</w:t>
      </w:r>
      <w:r>
        <w:rPr>
          <w:rFonts w:ascii="Arial" w:eastAsia="Arial" w:hAnsi="Arial" w:cs="Arial"/>
          <w:sz w:val="20"/>
          <w:szCs w:val="20"/>
        </w:rPr>
        <w:t xml:space="preserve">ented by Bjork and Bjork (2007) in their work on learning and performance.  </w:t>
      </w:r>
    </w:p>
    <w:p w:rsidR="00CF618F" w:rsidRDefault="00CF618F">
      <w:pPr>
        <w:spacing w:line="480" w:lineRule="auto"/>
        <w:jc w:val="both"/>
        <w:rPr>
          <w:rFonts w:ascii="Arial" w:eastAsia="Arial" w:hAnsi="Arial" w:cs="Arial"/>
          <w:sz w:val="20"/>
          <w:szCs w:val="20"/>
        </w:rPr>
      </w:pPr>
    </w:p>
    <w:p w:rsidR="00CF618F" w:rsidRDefault="00DC6986">
      <w:pPr>
        <w:spacing w:line="480" w:lineRule="auto"/>
        <w:jc w:val="both"/>
        <w:rPr>
          <w:rFonts w:ascii="Arial" w:eastAsia="Arial" w:hAnsi="Arial" w:cs="Arial"/>
          <w:sz w:val="20"/>
          <w:szCs w:val="20"/>
        </w:rPr>
      </w:pPr>
      <w:r>
        <w:rPr>
          <w:rFonts w:ascii="Arial" w:eastAsia="Arial" w:hAnsi="Arial" w:cs="Arial"/>
          <w:sz w:val="20"/>
          <w:szCs w:val="20"/>
        </w:rPr>
        <w:t>Notwithstanding the above, working within an educational setting where there is an assumption that research undertaken is part of the role of a teacher as exemplified in Educatio</w:t>
      </w:r>
      <w:r>
        <w:rPr>
          <w:rFonts w:ascii="Arial" w:eastAsia="Arial" w:hAnsi="Arial" w:cs="Arial"/>
          <w:sz w:val="20"/>
          <w:szCs w:val="20"/>
        </w:rPr>
        <w:t xml:space="preserve">n in Wales: Our National Mission </w:t>
      </w:r>
      <w:r>
        <w:rPr>
          <w:rFonts w:ascii="Arial" w:eastAsia="Arial" w:hAnsi="Arial" w:cs="Arial"/>
          <w:sz w:val="20"/>
          <w:szCs w:val="20"/>
          <w:highlight w:val="white"/>
        </w:rPr>
        <w:t>(</w:t>
      </w:r>
      <w:proofErr w:type="spellStart"/>
      <w:r>
        <w:rPr>
          <w:rFonts w:ascii="Arial" w:eastAsia="Arial" w:hAnsi="Arial" w:cs="Arial"/>
          <w:sz w:val="20"/>
          <w:szCs w:val="20"/>
          <w:highlight w:val="white"/>
        </w:rPr>
        <w:t>Gov.wales</w:t>
      </w:r>
      <w:proofErr w:type="spellEnd"/>
      <w:r>
        <w:rPr>
          <w:rFonts w:ascii="Arial" w:eastAsia="Arial" w:hAnsi="Arial" w:cs="Arial"/>
          <w:sz w:val="20"/>
          <w:szCs w:val="20"/>
          <w:highlight w:val="white"/>
        </w:rPr>
        <w:t>, 2020) and the associated work on workforce reform,</w:t>
      </w:r>
      <w:r>
        <w:rPr>
          <w:rFonts w:ascii="Arial" w:eastAsia="Arial" w:hAnsi="Arial" w:cs="Arial"/>
          <w:sz w:val="20"/>
          <w:szCs w:val="20"/>
        </w:rPr>
        <w:t xml:space="preserve"> presenting further practical and theoretical challenges. These challenges are about references made throughout this essay, implying knowledge formed from experi</w:t>
      </w:r>
      <w:r>
        <w:rPr>
          <w:rFonts w:ascii="Arial" w:eastAsia="Arial" w:hAnsi="Arial" w:cs="Arial"/>
          <w:sz w:val="20"/>
          <w:szCs w:val="20"/>
        </w:rPr>
        <w:t xml:space="preserve">ence or learning and prior learning preferences and bias to my context and experience.  </w:t>
      </w:r>
    </w:p>
    <w:p w:rsidR="00CF618F" w:rsidRDefault="00CF618F">
      <w:pPr>
        <w:spacing w:line="480" w:lineRule="auto"/>
        <w:jc w:val="both"/>
        <w:rPr>
          <w:rFonts w:ascii="Arial" w:eastAsia="Arial" w:hAnsi="Arial" w:cs="Arial"/>
          <w:sz w:val="20"/>
          <w:szCs w:val="20"/>
        </w:rPr>
      </w:pPr>
    </w:p>
    <w:p w:rsidR="00CF618F" w:rsidRDefault="00DC6986">
      <w:pPr>
        <w:spacing w:line="480" w:lineRule="auto"/>
        <w:jc w:val="both"/>
        <w:rPr>
          <w:rFonts w:ascii="Arial" w:eastAsia="Arial" w:hAnsi="Arial" w:cs="Arial"/>
          <w:sz w:val="20"/>
          <w:szCs w:val="20"/>
        </w:rPr>
      </w:pPr>
      <w:r>
        <w:rPr>
          <w:rFonts w:ascii="Arial" w:eastAsia="Arial" w:hAnsi="Arial" w:cs="Arial"/>
          <w:sz w:val="20"/>
          <w:szCs w:val="20"/>
        </w:rPr>
        <w:t>Research is identified as basic (fundamental) or applied research. Based on a limited encounter of research theory in education, much of this would be considered as a</w:t>
      </w:r>
      <w:r>
        <w:rPr>
          <w:rFonts w:ascii="Arial" w:eastAsia="Arial" w:hAnsi="Arial" w:cs="Arial"/>
          <w:sz w:val="20"/>
          <w:szCs w:val="20"/>
        </w:rPr>
        <w:t>pplied research, designed research to solve practical problems. Therefore, deeming my experience to date as being focused on improving pupils’ educational experiences and outcomes. Research, as a systematic investigation, is often defined as either applied</w:t>
      </w:r>
      <w:r>
        <w:rPr>
          <w:rFonts w:ascii="Arial" w:eastAsia="Arial" w:hAnsi="Arial" w:cs="Arial"/>
          <w:sz w:val="20"/>
          <w:szCs w:val="20"/>
        </w:rPr>
        <w:t xml:space="preserve"> or basic/fundamental. Although these are seen as intertwined </w:t>
      </w:r>
      <w:r>
        <w:rPr>
          <w:rFonts w:ascii="Arial" w:eastAsia="Arial" w:hAnsi="Arial" w:cs="Arial"/>
          <w:sz w:val="20"/>
          <w:szCs w:val="20"/>
          <w:highlight w:val="white"/>
        </w:rPr>
        <w:t>(</w:t>
      </w:r>
      <w:proofErr w:type="spellStart"/>
      <w:r>
        <w:rPr>
          <w:rFonts w:ascii="Arial" w:eastAsia="Arial" w:hAnsi="Arial" w:cs="Arial"/>
          <w:sz w:val="20"/>
          <w:szCs w:val="20"/>
          <w:highlight w:val="white"/>
        </w:rPr>
        <w:t>Palys</w:t>
      </w:r>
      <w:proofErr w:type="spellEnd"/>
      <w:r>
        <w:rPr>
          <w:rFonts w:ascii="Arial" w:eastAsia="Arial" w:hAnsi="Arial" w:cs="Arial"/>
          <w:sz w:val="20"/>
          <w:szCs w:val="20"/>
          <w:highlight w:val="white"/>
        </w:rPr>
        <w:t xml:space="preserve"> and Atchison, 2014)</w:t>
      </w:r>
      <w:r>
        <w:rPr>
          <w:rFonts w:ascii="Arial" w:eastAsia="Arial" w:hAnsi="Arial" w:cs="Arial"/>
          <w:sz w:val="20"/>
          <w:szCs w:val="20"/>
        </w:rPr>
        <w:t>, they can work in conjunction with the other. Basic research, although it does not have a social value provides a secure base for not only further basic research but c</w:t>
      </w:r>
      <w:r>
        <w:rPr>
          <w:rFonts w:ascii="Arial" w:eastAsia="Arial" w:hAnsi="Arial" w:cs="Arial"/>
          <w:sz w:val="20"/>
          <w:szCs w:val="20"/>
        </w:rPr>
        <w:t xml:space="preserve">an also act as a foundation for applied research which use is to solve real-life problems. </w:t>
      </w:r>
      <w:proofErr w:type="spellStart"/>
      <w:r>
        <w:rPr>
          <w:rFonts w:ascii="Arial" w:eastAsia="Arial" w:hAnsi="Arial" w:cs="Arial"/>
          <w:sz w:val="20"/>
          <w:szCs w:val="20"/>
        </w:rPr>
        <w:t>Palys</w:t>
      </w:r>
      <w:proofErr w:type="spellEnd"/>
      <w:r>
        <w:rPr>
          <w:rFonts w:ascii="Arial" w:eastAsia="Arial" w:hAnsi="Arial" w:cs="Arial"/>
          <w:sz w:val="20"/>
          <w:szCs w:val="20"/>
        </w:rPr>
        <w:t xml:space="preserve"> and Atchison (2014) present that there is no firm sequencing order between applied and basic research.</w:t>
      </w:r>
    </w:p>
    <w:p w:rsidR="00CF618F" w:rsidRDefault="00CF618F">
      <w:pPr>
        <w:shd w:val="clear" w:color="auto" w:fill="FFFFFF"/>
        <w:spacing w:line="480" w:lineRule="auto"/>
        <w:jc w:val="both"/>
        <w:rPr>
          <w:rFonts w:ascii="Arial" w:eastAsia="Arial" w:hAnsi="Arial" w:cs="Arial"/>
          <w:sz w:val="20"/>
          <w:szCs w:val="20"/>
          <w:highlight w:val="white"/>
        </w:rPr>
      </w:pPr>
    </w:p>
    <w:p w:rsidR="00CF618F" w:rsidRDefault="00DC6986">
      <w:pPr>
        <w:shd w:val="clear" w:color="auto" w:fill="FFFFFF"/>
        <w:spacing w:line="480" w:lineRule="auto"/>
        <w:jc w:val="both"/>
        <w:rPr>
          <w:rFonts w:ascii="Arial" w:eastAsia="Arial" w:hAnsi="Arial" w:cs="Arial"/>
          <w:sz w:val="20"/>
          <w:szCs w:val="20"/>
          <w:highlight w:val="white"/>
        </w:rPr>
      </w:pPr>
      <w:proofErr w:type="spellStart"/>
      <w:r>
        <w:rPr>
          <w:rFonts w:ascii="Arial" w:eastAsia="Arial" w:hAnsi="Arial" w:cs="Arial"/>
          <w:sz w:val="20"/>
          <w:szCs w:val="20"/>
        </w:rPr>
        <w:t>Easterby</w:t>
      </w:r>
      <w:proofErr w:type="spellEnd"/>
      <w:r>
        <w:rPr>
          <w:rFonts w:ascii="Arial" w:eastAsia="Arial" w:hAnsi="Arial" w:cs="Arial"/>
          <w:sz w:val="20"/>
          <w:szCs w:val="20"/>
        </w:rPr>
        <w:t>-Smith et al. (1991) presents the view that org</w:t>
      </w:r>
      <w:r>
        <w:rPr>
          <w:rFonts w:ascii="Arial" w:eastAsia="Arial" w:hAnsi="Arial" w:cs="Arial"/>
          <w:sz w:val="20"/>
          <w:szCs w:val="20"/>
        </w:rPr>
        <w:t xml:space="preserve">anisations 'only see research as valid if it leads to practical outcomes' therefore, using fundamental research and primary data provides truer research outcomes. However, it underplays the value of research based on prior research by literature review or </w:t>
      </w:r>
      <w:r>
        <w:rPr>
          <w:rFonts w:ascii="Arial" w:eastAsia="Arial" w:hAnsi="Arial" w:cs="Arial"/>
          <w:sz w:val="20"/>
          <w:szCs w:val="20"/>
        </w:rPr>
        <w:t>publication and meta-studies which is essential within my field of expertise, education, in what is described as discovery research</w:t>
      </w:r>
      <w:r>
        <w:rPr>
          <w:rFonts w:ascii="Arial" w:eastAsia="Arial" w:hAnsi="Arial" w:cs="Arial"/>
          <w:b/>
          <w:sz w:val="20"/>
          <w:szCs w:val="20"/>
        </w:rPr>
        <w:t>.</w:t>
      </w:r>
      <w:r>
        <w:rPr>
          <w:rFonts w:ascii="Arial" w:eastAsia="Arial" w:hAnsi="Arial" w:cs="Arial"/>
          <w:color w:val="4A86E8"/>
          <w:sz w:val="20"/>
          <w:szCs w:val="20"/>
        </w:rPr>
        <w:t xml:space="preserve"> </w:t>
      </w:r>
      <w:r>
        <w:rPr>
          <w:rFonts w:ascii="Arial" w:eastAsia="Arial" w:hAnsi="Arial" w:cs="Arial"/>
          <w:sz w:val="20"/>
          <w:szCs w:val="20"/>
        </w:rPr>
        <w:t xml:space="preserve">The idea from </w:t>
      </w:r>
      <w:proofErr w:type="spellStart"/>
      <w:r>
        <w:rPr>
          <w:rFonts w:ascii="Arial" w:eastAsia="Arial" w:hAnsi="Arial" w:cs="Arial"/>
          <w:sz w:val="20"/>
          <w:szCs w:val="20"/>
        </w:rPr>
        <w:t>Easterby</w:t>
      </w:r>
      <w:proofErr w:type="spellEnd"/>
      <w:r>
        <w:rPr>
          <w:rFonts w:ascii="Arial" w:eastAsia="Arial" w:hAnsi="Arial" w:cs="Arial"/>
          <w:sz w:val="20"/>
          <w:szCs w:val="20"/>
        </w:rPr>
        <w:t>-Smith et al. (1991) therefore supports the assertion that the use of mainly primary quantitative dat</w:t>
      </w:r>
      <w:r>
        <w:rPr>
          <w:rFonts w:ascii="Arial" w:eastAsia="Arial" w:hAnsi="Arial" w:cs="Arial"/>
          <w:sz w:val="20"/>
          <w:szCs w:val="20"/>
        </w:rPr>
        <w:t>a and collecting quantitative data through research, as opposed to using secondary data or qualitative data, is not only preferential but also holds greater validity.</w:t>
      </w:r>
      <w:r>
        <w:rPr>
          <w:rFonts w:ascii="Arial" w:eastAsia="Arial" w:hAnsi="Arial" w:cs="Arial"/>
          <w:sz w:val="20"/>
          <w:szCs w:val="20"/>
          <w:highlight w:val="white"/>
        </w:rPr>
        <w:t xml:space="preserve"> However, </w:t>
      </w:r>
      <w:proofErr w:type="spellStart"/>
      <w:r>
        <w:rPr>
          <w:rFonts w:ascii="Arial" w:eastAsia="Arial" w:hAnsi="Arial" w:cs="Arial"/>
          <w:sz w:val="20"/>
          <w:szCs w:val="20"/>
          <w:highlight w:val="white"/>
        </w:rPr>
        <w:t>Alvesson</w:t>
      </w:r>
      <w:proofErr w:type="spellEnd"/>
      <w:r>
        <w:rPr>
          <w:rFonts w:ascii="Arial" w:eastAsia="Arial" w:hAnsi="Arial" w:cs="Arial"/>
          <w:sz w:val="20"/>
          <w:szCs w:val="20"/>
          <w:highlight w:val="white"/>
        </w:rPr>
        <w:t xml:space="preserve"> and </w:t>
      </w:r>
      <w:proofErr w:type="spellStart"/>
      <w:r>
        <w:rPr>
          <w:rFonts w:ascii="Arial" w:eastAsia="Arial" w:hAnsi="Arial" w:cs="Arial"/>
          <w:sz w:val="20"/>
          <w:szCs w:val="20"/>
          <w:highlight w:val="white"/>
        </w:rPr>
        <w:t>Skoldberg</w:t>
      </w:r>
      <w:proofErr w:type="spellEnd"/>
      <w:r>
        <w:rPr>
          <w:rFonts w:ascii="Arial" w:eastAsia="Arial" w:hAnsi="Arial" w:cs="Arial"/>
          <w:sz w:val="20"/>
          <w:szCs w:val="20"/>
          <w:highlight w:val="white"/>
        </w:rPr>
        <w:t xml:space="preserve"> (2009), supported by Crotty, (2005) and </w:t>
      </w:r>
      <w:proofErr w:type="spellStart"/>
      <w:r>
        <w:rPr>
          <w:rFonts w:ascii="Arial" w:eastAsia="Arial" w:hAnsi="Arial" w:cs="Arial"/>
          <w:sz w:val="20"/>
          <w:szCs w:val="20"/>
          <w:highlight w:val="white"/>
        </w:rPr>
        <w:t>Gorard</w:t>
      </w:r>
      <w:proofErr w:type="spellEnd"/>
      <w:r>
        <w:rPr>
          <w:rFonts w:ascii="Arial" w:eastAsia="Arial" w:hAnsi="Arial" w:cs="Arial"/>
          <w:sz w:val="20"/>
          <w:szCs w:val="20"/>
          <w:highlight w:val="white"/>
        </w:rPr>
        <w:t xml:space="preserve"> (2013) bal</w:t>
      </w:r>
      <w:r>
        <w:rPr>
          <w:rFonts w:ascii="Arial" w:eastAsia="Arial" w:hAnsi="Arial" w:cs="Arial"/>
          <w:sz w:val="20"/>
          <w:szCs w:val="20"/>
          <w:highlight w:val="white"/>
        </w:rPr>
        <w:t xml:space="preserve">ance and challenge this view of objective, rational knowledge and argue that meaning and further research grows from social and constructionist perspectives that meaning can be constructed not just discovered. </w:t>
      </w:r>
    </w:p>
    <w:p w:rsidR="00CF618F" w:rsidRDefault="00CF618F">
      <w:pPr>
        <w:spacing w:line="480" w:lineRule="auto"/>
        <w:jc w:val="both"/>
        <w:rPr>
          <w:rFonts w:ascii="Arial" w:eastAsia="Arial" w:hAnsi="Arial" w:cs="Arial"/>
          <w:color w:val="4A86E8"/>
          <w:sz w:val="20"/>
          <w:szCs w:val="20"/>
          <w:highlight w:val="white"/>
        </w:rPr>
      </w:pPr>
    </w:p>
    <w:p w:rsidR="00CF618F" w:rsidRDefault="00DC6986">
      <w:pPr>
        <w:shd w:val="clear" w:color="auto" w:fill="FFFFFF"/>
        <w:spacing w:line="480" w:lineRule="auto"/>
        <w:jc w:val="both"/>
        <w:rPr>
          <w:rFonts w:ascii="Arial" w:eastAsia="Arial" w:hAnsi="Arial" w:cs="Arial"/>
          <w:color w:val="4A86E8"/>
          <w:sz w:val="20"/>
          <w:szCs w:val="20"/>
          <w:highlight w:val="white"/>
        </w:rPr>
      </w:pPr>
      <w:r>
        <w:rPr>
          <w:rFonts w:ascii="Arial" w:eastAsia="Arial" w:hAnsi="Arial" w:cs="Arial"/>
          <w:sz w:val="20"/>
          <w:szCs w:val="20"/>
          <w:highlight w:val="white"/>
        </w:rPr>
        <w:t xml:space="preserve">In the design and construction of research, </w:t>
      </w:r>
      <w:r>
        <w:rPr>
          <w:rFonts w:ascii="Arial" w:eastAsia="Arial" w:hAnsi="Arial" w:cs="Arial"/>
          <w:sz w:val="20"/>
          <w:szCs w:val="20"/>
          <w:highlight w:val="white"/>
        </w:rPr>
        <w:t xml:space="preserve">the researcher must consider the research paradigm. This is described in its purest form as "our way of understanding the reality of the world and studying it" Abdul </w:t>
      </w:r>
      <w:proofErr w:type="spellStart"/>
      <w:r>
        <w:rPr>
          <w:rFonts w:ascii="Arial" w:eastAsia="Arial" w:hAnsi="Arial" w:cs="Arial"/>
          <w:sz w:val="20"/>
          <w:szCs w:val="20"/>
          <w:highlight w:val="white"/>
        </w:rPr>
        <w:t>Rehman</w:t>
      </w:r>
      <w:proofErr w:type="spellEnd"/>
      <w:r>
        <w:rPr>
          <w:rFonts w:ascii="Arial" w:eastAsia="Arial" w:hAnsi="Arial" w:cs="Arial"/>
          <w:sz w:val="20"/>
          <w:szCs w:val="20"/>
          <w:highlight w:val="white"/>
        </w:rPr>
        <w:t xml:space="preserve">, </w:t>
      </w:r>
      <w:proofErr w:type="spellStart"/>
      <w:r>
        <w:rPr>
          <w:rFonts w:ascii="Arial" w:eastAsia="Arial" w:hAnsi="Arial" w:cs="Arial"/>
          <w:sz w:val="20"/>
          <w:szCs w:val="20"/>
          <w:highlight w:val="white"/>
        </w:rPr>
        <w:t>Adil</w:t>
      </w:r>
      <w:proofErr w:type="spellEnd"/>
      <w:r>
        <w:rPr>
          <w:rFonts w:ascii="Arial" w:eastAsia="Arial" w:hAnsi="Arial" w:cs="Arial"/>
          <w:sz w:val="20"/>
          <w:szCs w:val="20"/>
          <w:highlight w:val="white"/>
        </w:rPr>
        <w:t xml:space="preserve"> &amp; </w:t>
      </w:r>
      <w:proofErr w:type="spellStart"/>
      <w:r>
        <w:rPr>
          <w:rFonts w:ascii="Arial" w:eastAsia="Arial" w:hAnsi="Arial" w:cs="Arial"/>
          <w:sz w:val="20"/>
          <w:szCs w:val="20"/>
          <w:highlight w:val="white"/>
        </w:rPr>
        <w:t>Alharthi</w:t>
      </w:r>
      <w:proofErr w:type="spellEnd"/>
      <w:r>
        <w:rPr>
          <w:rFonts w:ascii="Arial" w:eastAsia="Arial" w:hAnsi="Arial" w:cs="Arial"/>
          <w:sz w:val="20"/>
          <w:szCs w:val="20"/>
          <w:highlight w:val="white"/>
        </w:rPr>
        <w:t xml:space="preserve">, Khalid. (2016). Understanding the theoretical framework, whether </w:t>
      </w:r>
      <w:r>
        <w:rPr>
          <w:rFonts w:ascii="Arial" w:eastAsia="Arial" w:hAnsi="Arial" w:cs="Arial"/>
          <w:sz w:val="20"/>
          <w:szCs w:val="20"/>
          <w:highlight w:val="white"/>
        </w:rPr>
        <w:t xml:space="preserve">this is Epistemology, Ontology, Methodology or method, is critical to effectively designing and undertaking valid research. Building from this understanding, the researcher must focus on the design of research: what is the purpose of the research? What is </w:t>
      </w:r>
      <w:r>
        <w:rPr>
          <w:rFonts w:ascii="Arial" w:eastAsia="Arial" w:hAnsi="Arial" w:cs="Arial"/>
          <w:sz w:val="20"/>
          <w:szCs w:val="20"/>
          <w:highlight w:val="white"/>
        </w:rPr>
        <w:t>the focus of the research? Moreover, what is the process of the research to be undertaken? The research paradigm encourages the researcher to build their research design through the following aspects: foci, ethics, background study, literature review (prio</w:t>
      </w:r>
      <w:r>
        <w:rPr>
          <w:rFonts w:ascii="Arial" w:eastAsia="Arial" w:hAnsi="Arial" w:cs="Arial"/>
          <w:sz w:val="20"/>
          <w:szCs w:val="20"/>
          <w:highlight w:val="white"/>
        </w:rPr>
        <w:t>r study or theory), methodology, practical considerations. While undertaking research design, it is important to consider the bias or the potential bias that a researcher either individually or as part of a team might hold. These personal biases are influe</w:t>
      </w:r>
      <w:r>
        <w:rPr>
          <w:rFonts w:ascii="Arial" w:eastAsia="Arial" w:hAnsi="Arial" w:cs="Arial"/>
          <w:sz w:val="20"/>
          <w:szCs w:val="20"/>
          <w:highlight w:val="white"/>
        </w:rPr>
        <w:t>nced by factors including but not exclusively: nationality, religion, education, prior experience, expertise in the field or discipline and experts as 'influencers'.</w:t>
      </w:r>
    </w:p>
    <w:p w:rsidR="00CF618F" w:rsidRDefault="00CF618F">
      <w:pPr>
        <w:shd w:val="clear" w:color="auto" w:fill="FFFFFF"/>
        <w:spacing w:line="432" w:lineRule="auto"/>
        <w:jc w:val="both"/>
        <w:rPr>
          <w:rFonts w:ascii="Arial" w:eastAsia="Arial" w:hAnsi="Arial" w:cs="Arial"/>
          <w:color w:val="4A86E8"/>
          <w:sz w:val="20"/>
          <w:szCs w:val="20"/>
          <w:highlight w:val="white"/>
        </w:rPr>
      </w:pPr>
    </w:p>
    <w:p w:rsidR="00CF618F" w:rsidRDefault="00CF618F">
      <w:pPr>
        <w:spacing w:line="276" w:lineRule="auto"/>
        <w:jc w:val="both"/>
        <w:rPr>
          <w:rFonts w:ascii="Arial" w:eastAsia="Arial" w:hAnsi="Arial" w:cs="Arial"/>
          <w:color w:val="4A86E8"/>
          <w:sz w:val="20"/>
          <w:szCs w:val="20"/>
          <w:highlight w:val="white"/>
        </w:rPr>
      </w:pPr>
    </w:p>
    <w:p w:rsidR="00CF618F" w:rsidRDefault="00DC6986">
      <w:pPr>
        <w:shd w:val="clear" w:color="auto" w:fill="FFFFFF"/>
        <w:spacing w:line="432" w:lineRule="auto"/>
        <w:jc w:val="both"/>
        <w:rPr>
          <w:rFonts w:ascii="Arial" w:eastAsia="Arial" w:hAnsi="Arial" w:cs="Arial"/>
          <w:color w:val="4A86E8"/>
          <w:sz w:val="20"/>
          <w:szCs w:val="20"/>
        </w:rPr>
      </w:pPr>
      <w:r>
        <w:rPr>
          <w:rFonts w:ascii="Arial" w:eastAsia="Arial" w:hAnsi="Arial" w:cs="Arial"/>
          <w:sz w:val="20"/>
          <w:szCs w:val="20"/>
          <w:highlight w:val="white"/>
        </w:rPr>
        <w:t>The Research Paradigm is constructed of three elements which are not hierarchical but an</w:t>
      </w:r>
      <w:r>
        <w:rPr>
          <w:rFonts w:ascii="Arial" w:eastAsia="Arial" w:hAnsi="Arial" w:cs="Arial"/>
          <w:sz w:val="20"/>
          <w:szCs w:val="20"/>
          <w:highlight w:val="white"/>
        </w:rPr>
        <w:t xml:space="preserve"> interlinked set of ideas, values or philosophies. Epistemology is the study of knowledge, perhaps elevated by its description as worthy knowledge. In addition to this, it is the identification of criteria used by researchers to classify what does and ther</w:t>
      </w:r>
      <w:r>
        <w:rPr>
          <w:rFonts w:ascii="Arial" w:eastAsia="Arial" w:hAnsi="Arial" w:cs="Arial"/>
          <w:sz w:val="20"/>
          <w:szCs w:val="20"/>
          <w:highlight w:val="white"/>
        </w:rPr>
        <w:t>efore what does not constitute knowledge (</w:t>
      </w:r>
      <w:proofErr w:type="spellStart"/>
      <w:r>
        <w:rPr>
          <w:rFonts w:ascii="Arial" w:eastAsia="Arial" w:hAnsi="Arial" w:cs="Arial"/>
          <w:sz w:val="20"/>
          <w:szCs w:val="20"/>
          <w:highlight w:val="white"/>
        </w:rPr>
        <w:t>Hallebone</w:t>
      </w:r>
      <w:proofErr w:type="spellEnd"/>
      <w:r>
        <w:rPr>
          <w:rFonts w:ascii="Arial" w:eastAsia="Arial" w:hAnsi="Arial" w:cs="Arial"/>
          <w:sz w:val="20"/>
          <w:szCs w:val="20"/>
          <w:highlight w:val="white"/>
        </w:rPr>
        <w:t>, E and Priest, J 2009).</w:t>
      </w:r>
      <w:r>
        <w:rPr>
          <w:rFonts w:ascii="Arial" w:eastAsia="Arial" w:hAnsi="Arial" w:cs="Arial"/>
          <w:color w:val="4A86E8"/>
          <w:sz w:val="20"/>
          <w:szCs w:val="20"/>
          <w:highlight w:val="white"/>
        </w:rPr>
        <w:t xml:space="preserve">  </w:t>
      </w:r>
      <w:r>
        <w:rPr>
          <w:rFonts w:ascii="Arial" w:eastAsia="Arial" w:hAnsi="Arial" w:cs="Arial"/>
          <w:sz w:val="20"/>
          <w:szCs w:val="20"/>
          <w:highlight w:val="white"/>
        </w:rPr>
        <w:t xml:space="preserve">Epistemology can be divided into two strands: Positivism and </w:t>
      </w:r>
      <w:proofErr w:type="spellStart"/>
      <w:r>
        <w:rPr>
          <w:rFonts w:ascii="Arial" w:eastAsia="Arial" w:hAnsi="Arial" w:cs="Arial"/>
          <w:sz w:val="20"/>
          <w:szCs w:val="20"/>
          <w:highlight w:val="white"/>
        </w:rPr>
        <w:t>Interpretivism</w:t>
      </w:r>
      <w:proofErr w:type="spellEnd"/>
      <w:r>
        <w:rPr>
          <w:rFonts w:ascii="Arial" w:eastAsia="Arial" w:hAnsi="Arial" w:cs="Arial"/>
          <w:sz w:val="20"/>
          <w:szCs w:val="20"/>
          <w:highlight w:val="white"/>
        </w:rPr>
        <w:t>. Positivism is commonly associated with quantitative research and experiments, associated with things t</w:t>
      </w:r>
      <w:r>
        <w:rPr>
          <w:rFonts w:ascii="Arial" w:eastAsia="Arial" w:hAnsi="Arial" w:cs="Arial"/>
          <w:sz w:val="20"/>
          <w:szCs w:val="20"/>
          <w:highlight w:val="white"/>
        </w:rPr>
        <w:t xml:space="preserve">hat can be observed and measured in what may have traditionally been deemed to be more scientific. Whereas, </w:t>
      </w:r>
      <w:proofErr w:type="spellStart"/>
      <w:r>
        <w:rPr>
          <w:rFonts w:ascii="Arial" w:eastAsia="Arial" w:hAnsi="Arial" w:cs="Arial"/>
          <w:sz w:val="20"/>
          <w:szCs w:val="20"/>
          <w:highlight w:val="white"/>
        </w:rPr>
        <w:t>interpretivism</w:t>
      </w:r>
      <w:proofErr w:type="spellEnd"/>
      <w:r>
        <w:rPr>
          <w:rFonts w:ascii="Arial" w:eastAsia="Arial" w:hAnsi="Arial" w:cs="Arial"/>
          <w:sz w:val="20"/>
          <w:szCs w:val="20"/>
          <w:highlight w:val="white"/>
        </w:rPr>
        <w:t xml:space="preserve"> suggests knowledge is subjective, based on a cultural and historical understanding focusing on people's experiences. </w:t>
      </w:r>
      <w:proofErr w:type="spellStart"/>
      <w:r>
        <w:rPr>
          <w:rFonts w:ascii="Arial" w:eastAsia="Arial" w:hAnsi="Arial" w:cs="Arial"/>
          <w:sz w:val="20"/>
          <w:szCs w:val="20"/>
          <w:highlight w:val="white"/>
        </w:rPr>
        <w:t>Interpretivism</w:t>
      </w:r>
      <w:proofErr w:type="spellEnd"/>
      <w:r>
        <w:rPr>
          <w:rFonts w:ascii="Arial" w:eastAsia="Arial" w:hAnsi="Arial" w:cs="Arial"/>
          <w:sz w:val="20"/>
          <w:szCs w:val="20"/>
          <w:highlight w:val="white"/>
        </w:rPr>
        <w:t xml:space="preserve"> i</w:t>
      </w:r>
      <w:r>
        <w:rPr>
          <w:rFonts w:ascii="Arial" w:eastAsia="Arial" w:hAnsi="Arial" w:cs="Arial"/>
          <w:sz w:val="20"/>
          <w:szCs w:val="20"/>
          <w:highlight w:val="white"/>
        </w:rPr>
        <w:t xml:space="preserve">ndicates that research is linked to the values and beliefs of the person designing and undertaking it and therefore is likely to impact on its design, undertaking, analysis and reporting of the research. </w:t>
      </w:r>
      <w:r>
        <w:rPr>
          <w:rFonts w:ascii="Arial" w:eastAsia="Arial" w:hAnsi="Arial" w:cs="Arial"/>
          <w:sz w:val="20"/>
          <w:szCs w:val="20"/>
        </w:rPr>
        <w:t>Furthermore, epistemology can be further divided int</w:t>
      </w:r>
      <w:r>
        <w:rPr>
          <w:rFonts w:ascii="Arial" w:eastAsia="Arial" w:hAnsi="Arial" w:cs="Arial"/>
          <w:sz w:val="20"/>
          <w:szCs w:val="20"/>
        </w:rPr>
        <w:t>o four areas, Intuitive, Authoritarian, Logical and Empirical.</w:t>
      </w:r>
    </w:p>
    <w:p w:rsidR="00CF618F" w:rsidRDefault="00CF618F">
      <w:pPr>
        <w:shd w:val="clear" w:color="auto" w:fill="FFFFFF"/>
        <w:spacing w:line="432" w:lineRule="auto"/>
        <w:jc w:val="both"/>
        <w:rPr>
          <w:rFonts w:ascii="Arial" w:eastAsia="Arial" w:hAnsi="Arial" w:cs="Arial"/>
          <w:sz w:val="20"/>
          <w:szCs w:val="20"/>
          <w:highlight w:val="white"/>
        </w:rPr>
      </w:pPr>
    </w:p>
    <w:p w:rsidR="00CF618F" w:rsidRDefault="00DC6986">
      <w:pPr>
        <w:shd w:val="clear" w:color="auto" w:fill="FFFFFF"/>
        <w:spacing w:line="432" w:lineRule="auto"/>
        <w:jc w:val="both"/>
        <w:rPr>
          <w:rFonts w:ascii="Arial" w:eastAsia="Arial" w:hAnsi="Arial" w:cs="Arial"/>
          <w:sz w:val="20"/>
          <w:szCs w:val="20"/>
          <w:highlight w:val="white"/>
        </w:rPr>
      </w:pPr>
      <w:r>
        <w:rPr>
          <w:rFonts w:ascii="Arial" w:eastAsia="Arial" w:hAnsi="Arial" w:cs="Arial"/>
          <w:sz w:val="20"/>
          <w:szCs w:val="20"/>
          <w:highlight w:val="white"/>
        </w:rPr>
        <w:t>Another part of the research paradigm is ontology; this is a simplified form of what constitutes reality but also how we understand existence.</w:t>
      </w:r>
      <w:r>
        <w:rPr>
          <w:rFonts w:ascii="Arial" w:eastAsia="Arial" w:hAnsi="Arial" w:cs="Arial"/>
          <w:color w:val="4A86E8"/>
          <w:sz w:val="20"/>
          <w:szCs w:val="20"/>
          <w:highlight w:val="white"/>
        </w:rPr>
        <w:t xml:space="preserve"> </w:t>
      </w:r>
      <w:r>
        <w:rPr>
          <w:rFonts w:ascii="Arial" w:eastAsia="Arial" w:hAnsi="Arial" w:cs="Arial"/>
          <w:sz w:val="20"/>
          <w:szCs w:val="20"/>
          <w:highlight w:val="white"/>
        </w:rPr>
        <w:t>Simplistically this is what we consider to be rea</w:t>
      </w:r>
      <w:r>
        <w:rPr>
          <w:rFonts w:ascii="Arial" w:eastAsia="Arial" w:hAnsi="Arial" w:cs="Arial"/>
          <w:sz w:val="20"/>
          <w:szCs w:val="20"/>
          <w:highlight w:val="white"/>
        </w:rPr>
        <w:t>l, the study of the science or being (</w:t>
      </w:r>
      <w:proofErr w:type="spellStart"/>
      <w:r>
        <w:rPr>
          <w:rFonts w:ascii="Arial" w:eastAsia="Arial" w:hAnsi="Arial" w:cs="Arial"/>
          <w:sz w:val="20"/>
          <w:szCs w:val="20"/>
          <w:highlight w:val="white"/>
        </w:rPr>
        <w:t>Blaikie</w:t>
      </w:r>
      <w:proofErr w:type="spellEnd"/>
      <w:r>
        <w:rPr>
          <w:rFonts w:ascii="Arial" w:eastAsia="Arial" w:hAnsi="Arial" w:cs="Arial"/>
          <w:sz w:val="20"/>
          <w:szCs w:val="20"/>
          <w:highlight w:val="white"/>
        </w:rPr>
        <w:t>, N 2010)</w:t>
      </w:r>
      <w:r>
        <w:rPr>
          <w:rFonts w:ascii="Arial" w:eastAsia="Arial" w:hAnsi="Arial" w:cs="Arial"/>
          <w:b/>
          <w:sz w:val="20"/>
          <w:szCs w:val="20"/>
          <w:highlight w:val="white"/>
        </w:rPr>
        <w:t xml:space="preserve">. </w:t>
      </w:r>
      <w:r>
        <w:rPr>
          <w:rFonts w:ascii="Arial" w:eastAsia="Arial" w:hAnsi="Arial" w:cs="Arial"/>
          <w:sz w:val="20"/>
          <w:szCs w:val="20"/>
          <w:highlight w:val="white"/>
        </w:rPr>
        <w:t xml:space="preserve"> Ontology can be further broken down into two areas - objectivism, a reality that is objective, and should be viewed independently of other external factors and subjectivism being that reality is subjective and should not be viewed independently of experie</w:t>
      </w:r>
      <w:r>
        <w:rPr>
          <w:rFonts w:ascii="Arial" w:eastAsia="Arial" w:hAnsi="Arial" w:cs="Arial"/>
          <w:sz w:val="20"/>
          <w:szCs w:val="20"/>
          <w:highlight w:val="white"/>
        </w:rPr>
        <w:t xml:space="preserve">nce, viewpoints or other factors.   </w:t>
      </w:r>
    </w:p>
    <w:p w:rsidR="00CF618F" w:rsidRDefault="00CF618F">
      <w:pPr>
        <w:spacing w:line="276" w:lineRule="auto"/>
        <w:jc w:val="both"/>
        <w:rPr>
          <w:rFonts w:ascii="Arial" w:eastAsia="Arial" w:hAnsi="Arial" w:cs="Arial"/>
          <w:color w:val="4A86E8"/>
          <w:sz w:val="20"/>
          <w:szCs w:val="20"/>
          <w:highlight w:val="white"/>
        </w:rPr>
      </w:pPr>
    </w:p>
    <w:p w:rsidR="00CF618F" w:rsidRDefault="00DC6986">
      <w:pPr>
        <w:shd w:val="clear" w:color="auto" w:fill="FFFFFF"/>
        <w:spacing w:line="432" w:lineRule="auto"/>
        <w:jc w:val="both"/>
        <w:rPr>
          <w:rFonts w:ascii="Arial" w:eastAsia="Arial" w:hAnsi="Arial" w:cs="Arial"/>
          <w:sz w:val="20"/>
          <w:szCs w:val="20"/>
          <w:highlight w:val="white"/>
        </w:rPr>
      </w:pPr>
      <w:r>
        <w:rPr>
          <w:rFonts w:ascii="Arial" w:eastAsia="Arial" w:hAnsi="Arial" w:cs="Arial"/>
          <w:sz w:val="20"/>
          <w:szCs w:val="20"/>
          <w:highlight w:val="white"/>
        </w:rPr>
        <w:t>In research design, consideration and mitigation against these factors, or even awareness may reduce their perceived impact on the study. The final piece of the research paradigm is methodology. This is not to be taken</w:t>
      </w:r>
      <w:r>
        <w:rPr>
          <w:rFonts w:ascii="Arial" w:eastAsia="Arial" w:hAnsi="Arial" w:cs="Arial"/>
          <w:sz w:val="20"/>
          <w:szCs w:val="20"/>
          <w:highlight w:val="white"/>
        </w:rPr>
        <w:t xml:space="preserve"> simply as the method of the study that is being undertaken but is a deep consideration of the reason for the research, the selection of methods and subsequent data collection.</w:t>
      </w:r>
    </w:p>
    <w:p w:rsidR="00CF618F" w:rsidRDefault="00CF618F">
      <w:pPr>
        <w:shd w:val="clear" w:color="auto" w:fill="FFFFFF"/>
        <w:spacing w:line="432" w:lineRule="auto"/>
        <w:jc w:val="both"/>
        <w:rPr>
          <w:rFonts w:ascii="Arial" w:eastAsia="Arial" w:hAnsi="Arial" w:cs="Arial"/>
          <w:sz w:val="20"/>
          <w:szCs w:val="20"/>
          <w:highlight w:val="white"/>
        </w:rPr>
      </w:pPr>
    </w:p>
    <w:p w:rsidR="00CF618F" w:rsidRDefault="00DC6986">
      <w:pPr>
        <w:spacing w:line="276" w:lineRule="auto"/>
        <w:jc w:val="both"/>
        <w:rPr>
          <w:rFonts w:ascii="Arial" w:eastAsia="Arial" w:hAnsi="Arial" w:cs="Arial"/>
          <w:sz w:val="20"/>
          <w:szCs w:val="20"/>
          <w:highlight w:val="white"/>
          <w:u w:val="single"/>
        </w:rPr>
      </w:pPr>
      <w:r>
        <w:rPr>
          <w:rFonts w:ascii="Arial" w:eastAsia="Arial" w:hAnsi="Arial" w:cs="Arial"/>
          <w:sz w:val="20"/>
          <w:szCs w:val="20"/>
          <w:highlight w:val="white"/>
          <w:u w:val="single"/>
        </w:rPr>
        <w:t xml:space="preserve">Methodologies </w:t>
      </w:r>
    </w:p>
    <w:p w:rsidR="00CF618F" w:rsidRDefault="00CF618F">
      <w:pPr>
        <w:spacing w:line="276" w:lineRule="auto"/>
        <w:jc w:val="both"/>
        <w:rPr>
          <w:rFonts w:ascii="Arial" w:eastAsia="Arial" w:hAnsi="Arial" w:cs="Arial"/>
          <w:sz w:val="20"/>
          <w:szCs w:val="20"/>
          <w:highlight w:val="white"/>
          <w:u w:val="singl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 xml:space="preserve">Methodologies provide the theoretical framework for research. </w:t>
      </w:r>
      <w:r>
        <w:rPr>
          <w:rFonts w:ascii="Arial" w:eastAsia="Arial" w:hAnsi="Arial" w:cs="Arial"/>
          <w:sz w:val="20"/>
          <w:szCs w:val="20"/>
          <w:highlight w:val="white"/>
        </w:rPr>
        <w:t xml:space="preserve">These are built on a researcher’s experience and are more than just a simple methodology selection process; highlighting the creativity of the project and or the researcher. The methodology undertaken with rigour captures the philosophical, conceptual and </w:t>
      </w:r>
      <w:r>
        <w:rPr>
          <w:rFonts w:ascii="Arial" w:eastAsia="Arial" w:hAnsi="Arial" w:cs="Arial"/>
          <w:sz w:val="20"/>
          <w:szCs w:val="20"/>
          <w:highlight w:val="white"/>
        </w:rPr>
        <w:t>contextual perspectives including justification and approaches (Costley, Elliott and Gibbs, 2013). Only once methodology is determined should research methods and the tools of gathering data be considered. Methodologies are categorised into two types, quan</w:t>
      </w:r>
      <w:r>
        <w:rPr>
          <w:rFonts w:ascii="Arial" w:eastAsia="Arial" w:hAnsi="Arial" w:cs="Arial"/>
          <w:sz w:val="20"/>
          <w:szCs w:val="20"/>
          <w:highlight w:val="white"/>
        </w:rPr>
        <w:t>titative and qualitative, with a third classification being referred to as a mixed method. Mixed method, in a simplistic form, is the combination of quantitative and qualitative methods. While these are defined and often categorised explicitly, overlap and</w:t>
      </w:r>
      <w:r>
        <w:rPr>
          <w:rFonts w:ascii="Arial" w:eastAsia="Arial" w:hAnsi="Arial" w:cs="Arial"/>
          <w:sz w:val="20"/>
          <w:szCs w:val="20"/>
          <w:highlight w:val="white"/>
        </w:rPr>
        <w:t xml:space="preserve"> interplay is dependent on the structure or design of the research.</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Quantitative research focuses on data as counts or numbers and has a numerical value attached to it. Quantitative data is often linked to deductive research and starts with a hypothesis r</w:t>
      </w:r>
      <w:r>
        <w:rPr>
          <w:rFonts w:ascii="Arial" w:eastAsia="Arial" w:hAnsi="Arial" w:cs="Arial"/>
          <w:sz w:val="20"/>
          <w:szCs w:val="20"/>
          <w:highlight w:val="white"/>
        </w:rPr>
        <w:t xml:space="preserve">ather than a question and is aimed at testing theory and generally uses the following for data collection: survey, structured interview, experiment, content analysis as methods of data collection with outcomes and results focusing on causality. </w:t>
      </w:r>
    </w:p>
    <w:p w:rsidR="00CF618F" w:rsidRDefault="00CF618F">
      <w:pPr>
        <w:spacing w:line="276" w:lineRule="auto"/>
        <w:jc w:val="both"/>
        <w:rPr>
          <w:rFonts w:ascii="Arial" w:eastAsia="Arial" w:hAnsi="Arial" w:cs="Arial"/>
          <w:sz w:val="20"/>
          <w:szCs w:val="20"/>
          <w:highlight w:val="white"/>
        </w:rPr>
      </w:pPr>
    </w:p>
    <w:p w:rsidR="00CF618F" w:rsidRDefault="00CF618F">
      <w:pPr>
        <w:spacing w:line="276"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Qualitative methodology focuses on collecting data through narrative and observation and is often the preferred methodology within my field of expertise, education. This is an inductive approach focusing on creating new information, having looked at either</w:t>
      </w:r>
      <w:r>
        <w:rPr>
          <w:rFonts w:ascii="Arial" w:eastAsia="Arial" w:hAnsi="Arial" w:cs="Arial"/>
          <w:sz w:val="20"/>
          <w:szCs w:val="20"/>
          <w:highlight w:val="white"/>
        </w:rPr>
        <w:t xml:space="preserve"> new phenomena or phenomena from a different angle. This would use data collection methods including interview, dialogue/narrative, focus group, observation, case study*, action research*, diary/log* or visual methods*. There are of course aspects which ma</w:t>
      </w:r>
      <w:r>
        <w:rPr>
          <w:rFonts w:ascii="Arial" w:eastAsia="Arial" w:hAnsi="Arial" w:cs="Arial"/>
          <w:sz w:val="20"/>
          <w:szCs w:val="20"/>
          <w:highlight w:val="white"/>
        </w:rPr>
        <w:t xml:space="preserve">y be used both as qualitative and quantitative tools. (*These may include more than one approach within the method).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u w:val="single"/>
        </w:rPr>
        <w:t>Research Design</w:t>
      </w:r>
      <w:r>
        <w:rPr>
          <w:rFonts w:ascii="Arial" w:eastAsia="Arial" w:hAnsi="Arial" w:cs="Arial"/>
          <w:sz w:val="20"/>
          <w:szCs w:val="20"/>
          <w:highlight w:val="white"/>
        </w:rPr>
        <w:t xml:space="preserve"> </w:t>
      </w:r>
    </w:p>
    <w:p w:rsidR="00CF618F" w:rsidRDefault="00CF618F">
      <w:pPr>
        <w:spacing w:line="276" w:lineRule="auto"/>
        <w:jc w:val="both"/>
        <w:rPr>
          <w:rFonts w:ascii="Arial" w:eastAsia="Arial" w:hAnsi="Arial" w:cs="Arial"/>
          <w:sz w:val="20"/>
          <w:szCs w:val="20"/>
          <w:highlight w:val="white"/>
          <w:u w:val="singl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 xml:space="preserve">The starting point for research design is the question or problem that requires consideration. Jones (2015) is evident </w:t>
      </w:r>
      <w:r>
        <w:rPr>
          <w:rFonts w:ascii="Arial" w:eastAsia="Arial" w:hAnsi="Arial" w:cs="Arial"/>
          <w:sz w:val="20"/>
          <w:szCs w:val="20"/>
          <w:highlight w:val="white"/>
        </w:rPr>
        <w:t xml:space="preserve">in suggesting that questions must be clear, purposeful, well designed with focus, and these are central to any coherent research proposal. Considering, evaluating and refining the research question or topic is critical. Detailed review at this stage helps </w:t>
      </w:r>
      <w:r>
        <w:rPr>
          <w:rFonts w:ascii="Arial" w:eastAsia="Arial" w:hAnsi="Arial" w:cs="Arial"/>
          <w:sz w:val="20"/>
          <w:szCs w:val="20"/>
          <w:highlight w:val="white"/>
        </w:rPr>
        <w:t>identify the type of research journey that you are likely to embark upon. This is underpinned by the literature review, prior experience in the area or discipline and an understanding of what is already known. Building from this a plan of the research cons</w:t>
      </w:r>
      <w:r>
        <w:rPr>
          <w:rFonts w:ascii="Arial" w:eastAsia="Arial" w:hAnsi="Arial" w:cs="Arial"/>
          <w:sz w:val="20"/>
          <w:szCs w:val="20"/>
          <w:highlight w:val="white"/>
        </w:rPr>
        <w:t xml:space="preserve">idering Who? Where? What? When? and How? can be undertaken </w:t>
      </w:r>
      <w:proofErr w:type="spellStart"/>
      <w:r>
        <w:rPr>
          <w:rFonts w:ascii="Arial" w:eastAsia="Arial" w:hAnsi="Arial" w:cs="Arial"/>
          <w:sz w:val="20"/>
          <w:szCs w:val="20"/>
          <w:highlight w:val="white"/>
        </w:rPr>
        <w:t>Alvesson</w:t>
      </w:r>
      <w:proofErr w:type="spellEnd"/>
      <w:r>
        <w:rPr>
          <w:rFonts w:ascii="Arial" w:eastAsia="Arial" w:hAnsi="Arial" w:cs="Arial"/>
          <w:sz w:val="20"/>
          <w:szCs w:val="20"/>
          <w:highlight w:val="white"/>
        </w:rPr>
        <w:t xml:space="preserve"> and Sandberg (2013). Additionally, asking why this research question is to be undertaken adds value to new research design thinking. These elements build the basis for a research proposal.</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Acting as a researcher requires a set of skills in deciphering what methods to use in data collection. Unpicking quantitative, qualitative or mixed-method approaches can be complicated. Further to this consideration of audience and timescale become facto</w:t>
      </w:r>
      <w:r>
        <w:rPr>
          <w:rFonts w:ascii="Arial" w:eastAsia="Arial" w:hAnsi="Arial" w:cs="Arial"/>
          <w:sz w:val="20"/>
          <w:szCs w:val="20"/>
          <w:highlight w:val="white"/>
        </w:rPr>
        <w:t>rs in deciding the methods to adopt while considering how best to answer the research question. Nuances within the method(s) selected could provide different types of data. A survey might provide quantitative data on the Likert scale but equally may provid</w:t>
      </w:r>
      <w:r>
        <w:rPr>
          <w:rFonts w:ascii="Arial" w:eastAsia="Arial" w:hAnsi="Arial" w:cs="Arial"/>
          <w:sz w:val="20"/>
          <w:szCs w:val="20"/>
          <w:highlight w:val="white"/>
        </w:rPr>
        <w:t>e data that is qualitative from an extended or non-scaled response.</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Frequently, through my work within education, I have undertaken data collection for research with sample sizes that are too small or that lack the necessary robustness of questioning or p</w:t>
      </w:r>
      <w:r>
        <w:rPr>
          <w:rFonts w:ascii="Arial" w:eastAsia="Arial" w:hAnsi="Arial" w:cs="Arial"/>
          <w:sz w:val="20"/>
          <w:szCs w:val="20"/>
          <w:highlight w:val="white"/>
        </w:rPr>
        <w:t>rovide samples that are not representative. As a novice or emerging researcher, I had never previously considered design nor the scientific and theoretical structure of research and the use of research methods, often assuming an approach without sufficient</w:t>
      </w:r>
      <w:r>
        <w:rPr>
          <w:rFonts w:ascii="Arial" w:eastAsia="Arial" w:hAnsi="Arial" w:cs="Arial"/>
          <w:sz w:val="20"/>
          <w:szCs w:val="20"/>
          <w:highlight w:val="white"/>
        </w:rPr>
        <w:t xml:space="preserve"> subject knowledge. This has been through both data collection that I have conducted or through my teaching of some of the data collection methods I will go on to highlight. This has led to a number of deeply rooted misconceptions in my practice but also i</w:t>
      </w:r>
      <w:r>
        <w:rPr>
          <w:rFonts w:ascii="Arial" w:eastAsia="Arial" w:hAnsi="Arial" w:cs="Arial"/>
          <w:sz w:val="20"/>
          <w:szCs w:val="20"/>
          <w:highlight w:val="white"/>
        </w:rPr>
        <w:t>n my teaching. Therefore, the idea of untrained or unsupported 'researchers' within my field of expertise (education) identifies a risk that data collected, analysed or reported may not stand up to academic scrutiny, either by other professionals within th</w:t>
      </w:r>
      <w:r>
        <w:rPr>
          <w:rFonts w:ascii="Arial" w:eastAsia="Arial" w:hAnsi="Arial" w:cs="Arial"/>
          <w:sz w:val="20"/>
          <w:szCs w:val="20"/>
          <w:highlight w:val="white"/>
        </w:rPr>
        <w:t xml:space="preserve">e field or skilled researchers. It is presenting the critical question: </w:t>
      </w:r>
      <w:r>
        <w:rPr>
          <w:rFonts w:ascii="Arial" w:eastAsia="Arial" w:hAnsi="Arial" w:cs="Arial"/>
          <w:b/>
          <w:sz w:val="20"/>
          <w:szCs w:val="20"/>
          <w:highlight w:val="white"/>
        </w:rPr>
        <w:t>How does research sit within a school and educational context? Furthermore, can teachers be teachers but also researchers or are these more exclusive domains?</w:t>
      </w:r>
    </w:p>
    <w:p w:rsidR="00CF618F" w:rsidRDefault="00CF618F">
      <w:pPr>
        <w:shd w:val="clear" w:color="auto" w:fill="FFFFFF"/>
        <w:spacing w:line="432" w:lineRule="auto"/>
        <w:jc w:val="both"/>
        <w:rPr>
          <w:rFonts w:ascii="Arial" w:eastAsia="Arial" w:hAnsi="Arial" w:cs="Arial"/>
          <w:color w:val="4A86E8"/>
          <w:sz w:val="20"/>
          <w:szCs w:val="20"/>
          <w:highlight w:val="white"/>
        </w:rPr>
      </w:pPr>
    </w:p>
    <w:p w:rsidR="00CF618F" w:rsidRDefault="00DC6986">
      <w:pPr>
        <w:shd w:val="clear" w:color="auto" w:fill="FFFFFF"/>
        <w:spacing w:line="432" w:lineRule="auto"/>
        <w:jc w:val="both"/>
        <w:rPr>
          <w:rFonts w:ascii="Arial" w:eastAsia="Arial" w:hAnsi="Arial" w:cs="Arial"/>
          <w:color w:val="4A86E8"/>
          <w:sz w:val="20"/>
          <w:szCs w:val="20"/>
          <w:highlight w:val="white"/>
        </w:rPr>
      </w:pPr>
      <w:r>
        <w:rPr>
          <w:rFonts w:ascii="Arial" w:eastAsia="Arial" w:hAnsi="Arial" w:cs="Arial"/>
          <w:sz w:val="20"/>
          <w:szCs w:val="20"/>
          <w:highlight w:val="white"/>
        </w:rPr>
        <w:t>Refocusing the process o</w:t>
      </w:r>
      <w:r>
        <w:rPr>
          <w:rFonts w:ascii="Arial" w:eastAsia="Arial" w:hAnsi="Arial" w:cs="Arial"/>
          <w:sz w:val="20"/>
          <w:szCs w:val="20"/>
          <w:highlight w:val="white"/>
        </w:rPr>
        <w:t>f research as building knowledge and finding things out, is influenced by many factors as described by the research paradigm. The quality and validity of research is underpinned and influenced by the researcher’s understanding of the above and this impacts</w:t>
      </w:r>
      <w:r>
        <w:rPr>
          <w:rFonts w:ascii="Arial" w:eastAsia="Arial" w:hAnsi="Arial" w:cs="Arial"/>
          <w:sz w:val="20"/>
          <w:szCs w:val="20"/>
          <w:highlight w:val="white"/>
        </w:rPr>
        <w:t xml:space="preserve"> on all parts of the research</w:t>
      </w:r>
      <w:r>
        <w:rPr>
          <w:rFonts w:ascii="Arial" w:eastAsia="Arial" w:hAnsi="Arial" w:cs="Arial"/>
          <w:color w:val="4A86E8"/>
          <w:sz w:val="20"/>
          <w:szCs w:val="20"/>
          <w:highlight w:val="white"/>
        </w:rPr>
        <w:t xml:space="preserve"> </w:t>
      </w:r>
      <w:r>
        <w:rPr>
          <w:rFonts w:ascii="Arial" w:eastAsia="Arial" w:hAnsi="Arial" w:cs="Arial"/>
          <w:sz w:val="20"/>
          <w:szCs w:val="20"/>
          <w:highlight w:val="white"/>
        </w:rPr>
        <w:t>design, its undertaking and ultimately its reporting.</w:t>
      </w:r>
      <w:r>
        <w:rPr>
          <w:rFonts w:ascii="Arial" w:eastAsia="Arial" w:hAnsi="Arial" w:cs="Arial"/>
          <w:color w:val="4A86E8"/>
          <w:sz w:val="20"/>
          <w:szCs w:val="20"/>
          <w:highlight w:val="white"/>
        </w:rPr>
        <w:t xml:space="preserve"> </w:t>
      </w:r>
    </w:p>
    <w:p w:rsidR="00CF618F" w:rsidRDefault="00CF618F">
      <w:pPr>
        <w:spacing w:line="480" w:lineRule="auto"/>
        <w:jc w:val="both"/>
        <w:rPr>
          <w:rFonts w:ascii="Arial" w:eastAsia="Arial" w:hAnsi="Arial" w:cs="Arial"/>
          <w:color w:val="4A86E8"/>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b/>
          <w:sz w:val="20"/>
          <w:szCs w:val="20"/>
          <w:highlight w:val="white"/>
          <w:u w:val="single"/>
        </w:rPr>
        <w:t>Ethics in Research</w:t>
      </w:r>
      <w:r>
        <w:rPr>
          <w:rFonts w:ascii="Arial" w:eastAsia="Arial" w:hAnsi="Arial" w:cs="Arial"/>
          <w:sz w:val="20"/>
          <w:szCs w:val="20"/>
          <w:highlight w:val="white"/>
        </w:rPr>
        <w:t xml:space="preserve">  </w:t>
      </w: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At the point of design, once a question or questions have been developed but perhaps not finalised, having considered methodologies and methods, ethi</w:t>
      </w:r>
      <w:r>
        <w:rPr>
          <w:rFonts w:ascii="Arial" w:eastAsia="Arial" w:hAnsi="Arial" w:cs="Arial"/>
          <w:sz w:val="20"/>
          <w:szCs w:val="20"/>
          <w:highlight w:val="white"/>
        </w:rPr>
        <w:t xml:space="preserve">cs must be submitted. </w:t>
      </w:r>
      <w:proofErr w:type="spellStart"/>
      <w:r>
        <w:rPr>
          <w:rFonts w:ascii="Arial" w:eastAsia="Arial" w:hAnsi="Arial" w:cs="Arial"/>
          <w:sz w:val="20"/>
          <w:szCs w:val="20"/>
          <w:highlight w:val="white"/>
        </w:rPr>
        <w:t>Tthe</w:t>
      </w:r>
      <w:proofErr w:type="spellEnd"/>
      <w:r>
        <w:rPr>
          <w:rFonts w:ascii="Arial" w:eastAsia="Arial" w:hAnsi="Arial" w:cs="Arial"/>
          <w:sz w:val="20"/>
          <w:szCs w:val="20"/>
          <w:highlight w:val="white"/>
        </w:rPr>
        <w:t xml:space="preserve"> 'who' or 'what' is being studied and 'who' is undertaking the research are key to successful consideration of the ethical implications. When conducting studies that involve people, further consideration of the perspective of the </w:t>
      </w:r>
      <w:r>
        <w:rPr>
          <w:rFonts w:ascii="Arial" w:eastAsia="Arial" w:hAnsi="Arial" w:cs="Arial"/>
          <w:sz w:val="20"/>
          <w:szCs w:val="20"/>
          <w:highlight w:val="white"/>
        </w:rPr>
        <w:t>person or persons involved in the study is vital. This would include identifying their risk and vulnerabilities, their acceptance or use within the research project, the selection process of this and any exit strategy either during or at the end of the res</w:t>
      </w:r>
      <w:r>
        <w:rPr>
          <w:rFonts w:ascii="Arial" w:eastAsia="Arial" w:hAnsi="Arial" w:cs="Arial"/>
          <w:sz w:val="20"/>
          <w:szCs w:val="20"/>
          <w:highlight w:val="white"/>
        </w:rPr>
        <w:t>earch. This may include a support mechanism for both the participant and the researcher to mitigate foreseeable or known risks. This should be considered in conjunction with institutional or organisational rules, regulations and governance.</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 xml:space="preserve">Therefore, it </w:t>
      </w:r>
      <w:r>
        <w:rPr>
          <w:rFonts w:ascii="Arial" w:eastAsia="Arial" w:hAnsi="Arial" w:cs="Arial"/>
          <w:sz w:val="20"/>
          <w:szCs w:val="20"/>
          <w:highlight w:val="white"/>
        </w:rPr>
        <w:t xml:space="preserve">could be argued that research ethics goes beyond ethical considerations and must also consider broader risk and risk assessment structures as part of the ethical considerations of research. </w:t>
      </w:r>
      <w:proofErr w:type="spellStart"/>
      <w:r>
        <w:rPr>
          <w:rFonts w:ascii="Arial" w:eastAsia="Arial" w:hAnsi="Arial" w:cs="Arial"/>
          <w:sz w:val="20"/>
          <w:szCs w:val="20"/>
          <w:highlight w:val="white"/>
        </w:rPr>
        <w:t>Choen</w:t>
      </w:r>
      <w:proofErr w:type="spellEnd"/>
      <w:r>
        <w:rPr>
          <w:rFonts w:ascii="Arial" w:eastAsia="Arial" w:hAnsi="Arial" w:cs="Arial"/>
          <w:sz w:val="20"/>
          <w:szCs w:val="20"/>
          <w:highlight w:val="white"/>
        </w:rPr>
        <w:t xml:space="preserve">, </w:t>
      </w:r>
      <w:proofErr w:type="spellStart"/>
      <w:r>
        <w:rPr>
          <w:rFonts w:ascii="Arial" w:eastAsia="Arial" w:hAnsi="Arial" w:cs="Arial"/>
          <w:sz w:val="20"/>
          <w:szCs w:val="20"/>
          <w:highlight w:val="white"/>
        </w:rPr>
        <w:t>Manion</w:t>
      </w:r>
      <w:proofErr w:type="spellEnd"/>
      <w:r>
        <w:rPr>
          <w:rFonts w:ascii="Arial" w:eastAsia="Arial" w:hAnsi="Arial" w:cs="Arial"/>
          <w:sz w:val="20"/>
          <w:szCs w:val="20"/>
          <w:highlight w:val="white"/>
        </w:rPr>
        <w:t xml:space="preserve"> and Morrison (2018) support the above view, clarifyi</w:t>
      </w:r>
      <w:r>
        <w:rPr>
          <w:rFonts w:ascii="Arial" w:eastAsia="Arial" w:hAnsi="Arial" w:cs="Arial"/>
          <w:sz w:val="20"/>
          <w:szCs w:val="20"/>
          <w:highlight w:val="white"/>
        </w:rPr>
        <w:t xml:space="preserve">ng that ethics is about good and right, with strong links to the overall conduct of a researcher’s work. This links to deontological ethics’ three questions, doing the right thing, consequences of our actions, and our virtues as exemplified by Punch and </w:t>
      </w:r>
      <w:proofErr w:type="spellStart"/>
      <w:r>
        <w:rPr>
          <w:rFonts w:ascii="Arial" w:eastAsia="Arial" w:hAnsi="Arial" w:cs="Arial"/>
          <w:sz w:val="20"/>
          <w:szCs w:val="20"/>
          <w:highlight w:val="white"/>
        </w:rPr>
        <w:t>Oa</w:t>
      </w:r>
      <w:r>
        <w:rPr>
          <w:rFonts w:ascii="Arial" w:eastAsia="Arial" w:hAnsi="Arial" w:cs="Arial"/>
          <w:sz w:val="20"/>
          <w:szCs w:val="20"/>
          <w:highlight w:val="white"/>
        </w:rPr>
        <w:t>ncea</w:t>
      </w:r>
      <w:proofErr w:type="spellEnd"/>
      <w:r>
        <w:rPr>
          <w:rFonts w:ascii="Arial" w:eastAsia="Arial" w:hAnsi="Arial" w:cs="Arial"/>
          <w:sz w:val="20"/>
          <w:szCs w:val="20"/>
          <w:highlight w:val="white"/>
        </w:rPr>
        <w:t xml:space="preserve"> (2014).</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This would be considered in addition to regulations and stipulations from research commissioners, research bodies, the code of conduct of institutions, local, national and international frameworks and legislation including the British Educati</w:t>
      </w:r>
      <w:r>
        <w:rPr>
          <w:rFonts w:ascii="Arial" w:eastAsia="Arial" w:hAnsi="Arial" w:cs="Arial"/>
          <w:sz w:val="20"/>
          <w:szCs w:val="20"/>
          <w:highlight w:val="white"/>
        </w:rPr>
        <w:t>onal Research Association guidance (BERA) (2018). Within my current professional field, this may include frameworks provided by the University of Wales Trinity Saint David (UWTSD), by Welsh Government including frameworks around curriculum design, the Nati</w:t>
      </w:r>
      <w:r>
        <w:rPr>
          <w:rFonts w:ascii="Arial" w:eastAsia="Arial" w:hAnsi="Arial" w:cs="Arial"/>
          <w:sz w:val="20"/>
          <w:szCs w:val="20"/>
          <w:highlight w:val="white"/>
        </w:rPr>
        <w:t>onal Approach to Professional Learning (NAPL) and the National Approach to Lead Enquiry NALE within schools. At a local level within my school, it would be adherence to legislations such as General Data Protection Regulation 2018 (GDPR) focusing on the law</w:t>
      </w:r>
      <w:r>
        <w:rPr>
          <w:rFonts w:ascii="Arial" w:eastAsia="Arial" w:hAnsi="Arial" w:cs="Arial"/>
          <w:sz w:val="20"/>
          <w:szCs w:val="20"/>
          <w:highlight w:val="white"/>
        </w:rPr>
        <w:t xml:space="preserve">ful basis for the collection and storing of data.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With specific reference to GDPR, this provides the researcher with clear responsibilities on how to obtain, manage and handle personal data. Through appropriate use of data, it enables research to be con</w:t>
      </w:r>
      <w:r>
        <w:rPr>
          <w:rFonts w:ascii="Arial" w:eastAsia="Arial" w:hAnsi="Arial" w:cs="Arial"/>
          <w:sz w:val="20"/>
          <w:szCs w:val="20"/>
          <w:highlight w:val="white"/>
        </w:rPr>
        <w:t>ducted in a way that treats the information collected and participants with honesty and respect. Within my profession, nearly all research and data collection is undertaken on a voluntary basis, with consent and exit mechanisms. This is slightly complicate</w:t>
      </w:r>
      <w:r>
        <w:rPr>
          <w:rFonts w:ascii="Arial" w:eastAsia="Arial" w:hAnsi="Arial" w:cs="Arial"/>
          <w:sz w:val="20"/>
          <w:szCs w:val="20"/>
          <w:highlight w:val="white"/>
        </w:rPr>
        <w:t xml:space="preserve">d in working with children and young people, but Bridges and </w:t>
      </w:r>
      <w:proofErr w:type="spellStart"/>
      <w:r>
        <w:rPr>
          <w:rFonts w:ascii="Arial" w:eastAsia="Arial" w:hAnsi="Arial" w:cs="Arial"/>
          <w:sz w:val="20"/>
          <w:szCs w:val="20"/>
          <w:highlight w:val="white"/>
        </w:rPr>
        <w:t>Mcnamee</w:t>
      </w:r>
      <w:proofErr w:type="spellEnd"/>
      <w:r>
        <w:rPr>
          <w:rFonts w:ascii="Arial" w:eastAsia="Arial" w:hAnsi="Arial" w:cs="Arial"/>
          <w:sz w:val="20"/>
          <w:szCs w:val="20"/>
          <w:highlight w:val="white"/>
        </w:rPr>
        <w:t xml:space="preserve"> (2002) advocates processes for consent or assent. Appropriate consent must always be provided, and the ability to withdraw must be offered, but within the research design, it must be clea</w:t>
      </w:r>
      <w:r>
        <w:rPr>
          <w:rFonts w:ascii="Arial" w:eastAsia="Arial" w:hAnsi="Arial" w:cs="Arial"/>
          <w:sz w:val="20"/>
          <w:szCs w:val="20"/>
          <w:highlight w:val="white"/>
        </w:rPr>
        <w:t>r who is able to consent. This is whether it is parental consent, child or young person consent or both. Where the parent provides the consent, it is still vital that children provide assent. The age at which a child or young person could consent with or w</w:t>
      </w:r>
      <w:r>
        <w:rPr>
          <w:rFonts w:ascii="Arial" w:eastAsia="Arial" w:hAnsi="Arial" w:cs="Arial"/>
          <w:sz w:val="20"/>
          <w:szCs w:val="20"/>
          <w:highlight w:val="white"/>
        </w:rPr>
        <w:t>ithout parental consent may be governed by local or national legislation.</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If during the research, consent becomes invalid due to unforeseen factors or new risks present, consent/assent must be re-sought. The details of consent should identify how information is protected, the level of confidentiality, and whether the information</w:t>
      </w:r>
      <w:r>
        <w:rPr>
          <w:rFonts w:ascii="Arial" w:eastAsia="Arial" w:hAnsi="Arial" w:cs="Arial"/>
          <w:sz w:val="20"/>
          <w:szCs w:val="20"/>
          <w:highlight w:val="white"/>
        </w:rPr>
        <w:t xml:space="preserve">, researcher or participant is anonymous. Again if changes occur, consent and risk needs to be </w:t>
      </w:r>
      <w:proofErr w:type="spellStart"/>
      <w:r>
        <w:rPr>
          <w:rFonts w:ascii="Arial" w:eastAsia="Arial" w:hAnsi="Arial" w:cs="Arial"/>
          <w:sz w:val="20"/>
          <w:szCs w:val="20"/>
          <w:highlight w:val="white"/>
        </w:rPr>
        <w:t>reevaluated</w:t>
      </w:r>
      <w:proofErr w:type="spellEnd"/>
      <w:r>
        <w:rPr>
          <w:rFonts w:ascii="Arial" w:eastAsia="Arial" w:hAnsi="Arial" w:cs="Arial"/>
          <w:sz w:val="20"/>
          <w:szCs w:val="20"/>
          <w:highlight w:val="white"/>
        </w:rPr>
        <w:t>.</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Data storage in line with GDPR has become an increasingly complex issue. How long is information stored, where it is stored, and for what purpose i</w:t>
      </w:r>
      <w:r>
        <w:rPr>
          <w:rFonts w:ascii="Arial" w:eastAsia="Arial" w:hAnsi="Arial" w:cs="Arial"/>
          <w:sz w:val="20"/>
          <w:szCs w:val="20"/>
          <w:highlight w:val="white"/>
        </w:rPr>
        <w:t xml:space="preserve">t is stored? This presents an issue for both anonymised and non-anonymised data. Therefore, part of the research design and risk management process must consider and agree on this, and this would be good practice. Where anonymised data, pseudonyms </w:t>
      </w:r>
      <w:proofErr w:type="spellStart"/>
      <w:r>
        <w:rPr>
          <w:rFonts w:ascii="Arial" w:eastAsia="Arial" w:hAnsi="Arial" w:cs="Arial"/>
          <w:sz w:val="20"/>
          <w:szCs w:val="20"/>
          <w:highlight w:val="white"/>
        </w:rPr>
        <w:t>Skanfors</w:t>
      </w:r>
      <w:proofErr w:type="spellEnd"/>
      <w:r>
        <w:rPr>
          <w:rFonts w:ascii="Arial" w:eastAsia="Arial" w:hAnsi="Arial" w:cs="Arial"/>
          <w:sz w:val="20"/>
          <w:szCs w:val="20"/>
          <w:highlight w:val="white"/>
        </w:rPr>
        <w:t xml:space="preserve"> (2009) or information is held, there should be a transparent process to protect data beyond the consent provided by the participant. Only through this clarity of data security can informed consent be provided. In data collection with no anonymity, this is</w:t>
      </w:r>
      <w:r>
        <w:rPr>
          <w:rFonts w:ascii="Arial" w:eastAsia="Arial" w:hAnsi="Arial" w:cs="Arial"/>
          <w:sz w:val="20"/>
          <w:szCs w:val="20"/>
          <w:highlight w:val="white"/>
        </w:rPr>
        <w:t xml:space="preserve"> a more complex issue.  Within education, data retention is set and managed by schools as data processors or controllers with clear parameters; this would also apply to research undertaken within my organisation. However, with published work removal after </w:t>
      </w:r>
      <w:r>
        <w:rPr>
          <w:rFonts w:ascii="Arial" w:eastAsia="Arial" w:hAnsi="Arial" w:cs="Arial"/>
          <w:sz w:val="20"/>
          <w:szCs w:val="20"/>
          <w:highlight w:val="white"/>
        </w:rPr>
        <w:t>a given time may be difficult. An example of this would be a report with media, or that uses visual research methods that has a retention period for the data to be held for a few years.</w:t>
      </w:r>
    </w:p>
    <w:p w:rsidR="00CF618F" w:rsidRDefault="00CF618F">
      <w:pPr>
        <w:spacing w:line="276"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u w:val="single"/>
        </w:rPr>
      </w:pPr>
      <w:r>
        <w:rPr>
          <w:rFonts w:ascii="Arial" w:eastAsia="Arial" w:hAnsi="Arial" w:cs="Arial"/>
          <w:sz w:val="20"/>
          <w:szCs w:val="20"/>
          <w:highlight w:val="white"/>
        </w:rPr>
        <w:t>There are also ethical and risk-based processes undertaken in the del</w:t>
      </w:r>
      <w:r>
        <w:rPr>
          <w:rFonts w:ascii="Arial" w:eastAsia="Arial" w:hAnsi="Arial" w:cs="Arial"/>
          <w:sz w:val="20"/>
          <w:szCs w:val="20"/>
          <w:highlight w:val="white"/>
        </w:rPr>
        <w:t xml:space="preserve">ivery of the research itself. These include but are not exclusive to the location and times that the research is undertaken and would also include the axiology of the researcher </w:t>
      </w:r>
      <w:proofErr w:type="spellStart"/>
      <w:r>
        <w:rPr>
          <w:rFonts w:ascii="Arial" w:eastAsia="Arial" w:hAnsi="Arial" w:cs="Arial"/>
          <w:sz w:val="20"/>
          <w:szCs w:val="20"/>
          <w:highlight w:val="white"/>
        </w:rPr>
        <w:t>O'leary</w:t>
      </w:r>
      <w:proofErr w:type="spellEnd"/>
      <w:r>
        <w:rPr>
          <w:rFonts w:ascii="Arial" w:eastAsia="Arial" w:hAnsi="Arial" w:cs="Arial"/>
          <w:sz w:val="20"/>
          <w:szCs w:val="20"/>
          <w:highlight w:val="white"/>
        </w:rPr>
        <w:t xml:space="preserve"> (2010). Therefore, having considered the ethics but more broadly, the </w:t>
      </w:r>
      <w:r>
        <w:rPr>
          <w:rFonts w:ascii="Arial" w:eastAsia="Arial" w:hAnsi="Arial" w:cs="Arial"/>
          <w:sz w:val="20"/>
          <w:szCs w:val="20"/>
          <w:highlight w:val="white"/>
        </w:rPr>
        <w:t>risk analysis for research, I would suggest that these form part of any submission alongside the approved ethics paperwork. This would mitigate against any abuse of research as identified by Frankfort-</w:t>
      </w:r>
      <w:proofErr w:type="spellStart"/>
      <w:r>
        <w:rPr>
          <w:rFonts w:ascii="Arial" w:eastAsia="Arial" w:hAnsi="Arial" w:cs="Arial"/>
          <w:sz w:val="20"/>
          <w:szCs w:val="20"/>
          <w:highlight w:val="white"/>
        </w:rPr>
        <w:t>Nachmias</w:t>
      </w:r>
      <w:proofErr w:type="spellEnd"/>
      <w:r>
        <w:rPr>
          <w:rFonts w:ascii="Arial" w:eastAsia="Arial" w:hAnsi="Arial" w:cs="Arial"/>
          <w:sz w:val="20"/>
          <w:szCs w:val="20"/>
          <w:highlight w:val="white"/>
        </w:rPr>
        <w:t xml:space="preserve"> (1992) and </w:t>
      </w:r>
      <w:proofErr w:type="spellStart"/>
      <w:r>
        <w:rPr>
          <w:rFonts w:ascii="Arial" w:eastAsia="Arial" w:hAnsi="Arial" w:cs="Arial"/>
          <w:sz w:val="20"/>
          <w:szCs w:val="20"/>
          <w:highlight w:val="white"/>
        </w:rPr>
        <w:t>Ruane</w:t>
      </w:r>
      <w:proofErr w:type="spellEnd"/>
      <w:r>
        <w:rPr>
          <w:rFonts w:ascii="Arial" w:eastAsia="Arial" w:hAnsi="Arial" w:cs="Arial"/>
          <w:sz w:val="20"/>
          <w:szCs w:val="20"/>
          <w:highlight w:val="white"/>
        </w:rPr>
        <w:t xml:space="preserve"> (2005).</w:t>
      </w:r>
    </w:p>
    <w:p w:rsidR="00CF618F" w:rsidRDefault="00CF618F">
      <w:pPr>
        <w:spacing w:line="276" w:lineRule="auto"/>
        <w:jc w:val="both"/>
        <w:rPr>
          <w:rFonts w:ascii="Arial" w:eastAsia="Arial" w:hAnsi="Arial" w:cs="Arial"/>
          <w:sz w:val="20"/>
          <w:szCs w:val="20"/>
          <w:highlight w:val="white"/>
        </w:rPr>
      </w:pPr>
    </w:p>
    <w:p w:rsidR="00CF618F" w:rsidRDefault="00DC6986">
      <w:pPr>
        <w:spacing w:line="276" w:lineRule="auto"/>
        <w:jc w:val="both"/>
        <w:rPr>
          <w:rFonts w:ascii="Arial" w:eastAsia="Arial" w:hAnsi="Arial" w:cs="Arial"/>
          <w:sz w:val="20"/>
          <w:szCs w:val="20"/>
          <w:highlight w:val="white"/>
        </w:rPr>
      </w:pPr>
      <w:r>
        <w:rPr>
          <w:rFonts w:ascii="Arial" w:eastAsia="Arial" w:hAnsi="Arial" w:cs="Arial"/>
          <w:sz w:val="20"/>
          <w:szCs w:val="20"/>
          <w:highlight w:val="white"/>
          <w:u w:val="single"/>
        </w:rPr>
        <w:t>Research Methods</w:t>
      </w:r>
      <w:r>
        <w:rPr>
          <w:rFonts w:ascii="Arial" w:eastAsia="Arial" w:hAnsi="Arial" w:cs="Arial"/>
          <w:sz w:val="20"/>
          <w:szCs w:val="20"/>
          <w:highlight w:val="white"/>
        </w:rPr>
        <w:t xml:space="preserve"> </w:t>
      </w:r>
    </w:p>
    <w:p w:rsidR="00CF618F" w:rsidRDefault="00CF618F">
      <w:pPr>
        <w:spacing w:line="276"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Undertaking any research requires a method or methods to collect data; these are built from the researcher’s understanding of methodologies. Methods vary depending on several factors which will have been drawn out and identified through the research design</w:t>
      </w:r>
      <w:r>
        <w:rPr>
          <w:rFonts w:ascii="Arial" w:eastAsia="Arial" w:hAnsi="Arial" w:cs="Arial"/>
          <w:sz w:val="20"/>
          <w:szCs w:val="20"/>
          <w:highlight w:val="white"/>
        </w:rPr>
        <w:t xml:space="preserve"> process. Planning research within an educational setting means that my focus will be on methods commonly used within educational research.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u w:val="single"/>
        </w:rPr>
      </w:pPr>
      <w:r>
        <w:rPr>
          <w:rFonts w:ascii="Arial" w:eastAsia="Arial" w:hAnsi="Arial" w:cs="Arial"/>
          <w:sz w:val="20"/>
          <w:szCs w:val="20"/>
          <w:highlight w:val="white"/>
          <w:u w:val="single"/>
        </w:rPr>
        <w:t xml:space="preserve">Interviews including Focus groups </w:t>
      </w: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Interviews and focus groups can draw from the participants’ perspective, Patton</w:t>
      </w:r>
      <w:r>
        <w:rPr>
          <w:rFonts w:ascii="Arial" w:eastAsia="Arial" w:hAnsi="Arial" w:cs="Arial"/>
          <w:sz w:val="20"/>
          <w:szCs w:val="20"/>
          <w:highlight w:val="white"/>
        </w:rPr>
        <w:t xml:space="preserve"> (2002). These allow reflection and opinions on existing projects and concepts, the verification of findings with other methods, including more in-depth exploration. However, interviews and focus groups do not come without risk. The risks presented include</w:t>
      </w:r>
      <w:r>
        <w:rPr>
          <w:rFonts w:ascii="Arial" w:eastAsia="Arial" w:hAnsi="Arial" w:cs="Arial"/>
          <w:sz w:val="20"/>
          <w:szCs w:val="20"/>
          <w:highlight w:val="white"/>
        </w:rPr>
        <w:t xml:space="preserve"> cognitive shut-down during the interview or focus groups due to stress. This shut-down highlighted in work by psychologists in other disciplines, including Peters (2011). Therefore reducing stress should be a design and ethical consideration. It is also e</w:t>
      </w:r>
      <w:r>
        <w:rPr>
          <w:rFonts w:ascii="Arial" w:eastAsia="Arial" w:hAnsi="Arial" w:cs="Arial"/>
          <w:sz w:val="20"/>
          <w:szCs w:val="20"/>
          <w:highlight w:val="white"/>
        </w:rPr>
        <w:t>ssential to identify whether the interview or focus group is representative of the proposed study. Often the time and resource for interviews and focus groups make them an expensive option both in research duration and funding.</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In further identifying redu</w:t>
      </w:r>
      <w:r>
        <w:rPr>
          <w:rFonts w:ascii="Arial" w:eastAsia="Arial" w:hAnsi="Arial" w:cs="Arial"/>
          <w:sz w:val="20"/>
          <w:szCs w:val="20"/>
          <w:highlight w:val="white"/>
        </w:rPr>
        <w:t>cing risk factors, the researcher should consider the use of probes or other visual tools to support the focus group or interview process. This can provoke thoughts or memories that allow a greater depth of answer to be developed. Probes to open the discus</w:t>
      </w:r>
      <w:r>
        <w:rPr>
          <w:rFonts w:ascii="Arial" w:eastAsia="Arial" w:hAnsi="Arial" w:cs="Arial"/>
          <w:sz w:val="20"/>
          <w:szCs w:val="20"/>
          <w:highlight w:val="white"/>
        </w:rPr>
        <w:t xml:space="preserve">sion and prevent it from 'going cold' can enable rich discovery of information, and the provision of rich experience/data. Dawson (2013) </w:t>
      </w:r>
      <w:proofErr w:type="spellStart"/>
      <w:r>
        <w:rPr>
          <w:rFonts w:ascii="Arial" w:eastAsia="Arial" w:hAnsi="Arial" w:cs="Arial"/>
          <w:sz w:val="20"/>
          <w:szCs w:val="20"/>
          <w:highlight w:val="white"/>
        </w:rPr>
        <w:t>Rapley</w:t>
      </w:r>
      <w:proofErr w:type="spellEnd"/>
      <w:r>
        <w:rPr>
          <w:rFonts w:ascii="Arial" w:eastAsia="Arial" w:hAnsi="Arial" w:cs="Arial"/>
          <w:sz w:val="20"/>
          <w:szCs w:val="20"/>
          <w:highlight w:val="white"/>
        </w:rPr>
        <w:t xml:space="preserve"> (2001) and </w:t>
      </w:r>
      <w:proofErr w:type="spellStart"/>
      <w:r>
        <w:rPr>
          <w:rFonts w:ascii="Arial" w:eastAsia="Arial" w:hAnsi="Arial" w:cs="Arial"/>
          <w:sz w:val="20"/>
          <w:szCs w:val="20"/>
          <w:highlight w:val="white"/>
        </w:rPr>
        <w:t>Kreuger</w:t>
      </w:r>
      <w:proofErr w:type="spellEnd"/>
      <w:r>
        <w:rPr>
          <w:rFonts w:ascii="Arial" w:eastAsia="Arial" w:hAnsi="Arial" w:cs="Arial"/>
          <w:sz w:val="20"/>
          <w:szCs w:val="20"/>
          <w:highlight w:val="white"/>
        </w:rPr>
        <w:t xml:space="preserve"> (1998).</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The use and trialling of questions before a full study reduces the chance that the i</w:t>
      </w:r>
      <w:r>
        <w:rPr>
          <w:rFonts w:ascii="Arial" w:eastAsia="Arial" w:hAnsi="Arial" w:cs="Arial"/>
          <w:sz w:val="20"/>
          <w:szCs w:val="20"/>
          <w:highlight w:val="white"/>
        </w:rPr>
        <w:t>nformation gathered doesn’t meet the needs of the study.  It also allows the identification of a response type, whether on a Likert scale or a short or long narrative answer. Much of this will depend upon the type and nature of interviews decided.</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There a</w:t>
      </w:r>
      <w:r>
        <w:rPr>
          <w:rFonts w:ascii="Arial" w:eastAsia="Arial" w:hAnsi="Arial" w:cs="Arial"/>
          <w:sz w:val="20"/>
          <w:szCs w:val="20"/>
          <w:highlight w:val="white"/>
        </w:rPr>
        <w:t xml:space="preserve">re three types of interviews, classified as unstructured, semi-structured, and structured Ennis and Chen (2012). Unstructured interviews require high levels of trust, but there is a high risk of the interview going off-piste, reducing the amount of useful </w:t>
      </w:r>
      <w:r>
        <w:rPr>
          <w:rFonts w:ascii="Arial" w:eastAsia="Arial" w:hAnsi="Arial" w:cs="Arial"/>
          <w:sz w:val="20"/>
          <w:szCs w:val="20"/>
          <w:highlight w:val="white"/>
        </w:rPr>
        <w:t xml:space="preserve">data collected. Semi-structured are the most common type of interview used, pre-planned with the option to explore themes as they arise. These are most successful with a clear guide, and the interviewer is skilful enough to adapt this to cover all themes. </w:t>
      </w:r>
      <w:r>
        <w:rPr>
          <w:rFonts w:ascii="Arial" w:eastAsia="Arial" w:hAnsi="Arial" w:cs="Arial"/>
          <w:sz w:val="20"/>
          <w:szCs w:val="20"/>
          <w:highlight w:val="white"/>
        </w:rPr>
        <w:t>This is very dependent on the interviewer holding the following skills; Rapport, flexibility, proper subject knowledge to steer the conversation, appropriate probes and gestures. Finally, the last type of interview is structured. More common in market rese</w:t>
      </w:r>
      <w:r>
        <w:rPr>
          <w:rFonts w:ascii="Arial" w:eastAsia="Arial" w:hAnsi="Arial" w:cs="Arial"/>
          <w:sz w:val="20"/>
          <w:szCs w:val="20"/>
          <w:highlight w:val="white"/>
        </w:rPr>
        <w:t xml:space="preserve">arch, probes would not be suitable in this interview type, but this type of interview is used for large samples as the data collected is often simpler to analyse and compare Berg BL (1998).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 xml:space="preserve">With interviews, there are considerations around recording and </w:t>
      </w:r>
      <w:r>
        <w:rPr>
          <w:rFonts w:ascii="Arial" w:eastAsia="Arial" w:hAnsi="Arial" w:cs="Arial"/>
          <w:sz w:val="20"/>
          <w:szCs w:val="20"/>
          <w:highlight w:val="white"/>
        </w:rPr>
        <w:t>transcribing, how this is undertaken and stored concerning GDPR 2018. Within an education setting, there are also issues to consider around selecting the interviewer. Hierarchy or line management responsibility can sometimes provide stifled or limited resp</w:t>
      </w:r>
      <w:r>
        <w:rPr>
          <w:rFonts w:ascii="Arial" w:eastAsia="Arial" w:hAnsi="Arial" w:cs="Arial"/>
          <w:sz w:val="20"/>
          <w:szCs w:val="20"/>
          <w:highlight w:val="white"/>
        </w:rPr>
        <w:t>onses and therefore using researchers/facilitator from outside the organisation may provide better data and would not inhibit contribution to question design or probe uses.</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 xml:space="preserve">Perhaps one of the most misused terms in educational research has been the use of </w:t>
      </w:r>
      <w:r>
        <w:rPr>
          <w:rFonts w:ascii="Arial" w:eastAsia="Arial" w:hAnsi="Arial" w:cs="Arial"/>
          <w:sz w:val="20"/>
          <w:szCs w:val="20"/>
          <w:highlight w:val="white"/>
        </w:rPr>
        <w:t xml:space="preserve">surveys. Teachers, including myself, wanting to collect quantitative data, use these as a go-to often without due consideration. Having identified my previous misuse of surveys using the definition as provided by Check and </w:t>
      </w:r>
      <w:proofErr w:type="spellStart"/>
      <w:r>
        <w:rPr>
          <w:rFonts w:ascii="Arial" w:eastAsia="Arial" w:hAnsi="Arial" w:cs="Arial"/>
          <w:sz w:val="20"/>
          <w:szCs w:val="20"/>
          <w:highlight w:val="white"/>
        </w:rPr>
        <w:t>Schutt</w:t>
      </w:r>
      <w:proofErr w:type="spellEnd"/>
      <w:r>
        <w:rPr>
          <w:rFonts w:ascii="Arial" w:eastAsia="Arial" w:hAnsi="Arial" w:cs="Arial"/>
          <w:sz w:val="20"/>
          <w:szCs w:val="20"/>
          <w:highlight w:val="white"/>
        </w:rPr>
        <w:t xml:space="preserve"> (2012) with many surveys c</w:t>
      </w:r>
      <w:r>
        <w:rPr>
          <w:rFonts w:ascii="Arial" w:eastAsia="Arial" w:hAnsi="Arial" w:cs="Arial"/>
          <w:sz w:val="20"/>
          <w:szCs w:val="20"/>
          <w:highlight w:val="white"/>
        </w:rPr>
        <w:t>onstructed of closed questions or scales questions, with limited more open or freestyling questions. Although surveys can be used for qualitative data, without good questioning, these can then become hard to code. Surveys do allow the collection of large a</w:t>
      </w:r>
      <w:r>
        <w:rPr>
          <w:rFonts w:ascii="Arial" w:eastAsia="Arial" w:hAnsi="Arial" w:cs="Arial"/>
          <w:sz w:val="20"/>
          <w:szCs w:val="20"/>
          <w:highlight w:val="white"/>
        </w:rPr>
        <w:t>mounts of data from large groups. The number of participants must be fully considered and also the implications of administering, including whether to post, phone, undertake in person or undertake online. It is also essential to recognise that a survey cap</w:t>
      </w:r>
      <w:r>
        <w:rPr>
          <w:rFonts w:ascii="Arial" w:eastAsia="Arial" w:hAnsi="Arial" w:cs="Arial"/>
          <w:sz w:val="20"/>
          <w:szCs w:val="20"/>
          <w:highlight w:val="white"/>
        </w:rPr>
        <w:t>tures just a point in time. One way to manage the effective deployment of a survey is to pilot first. Again the research needs to have skills in question development, and this is for several reasons, including that focus is on the intended purpose of the r</w:t>
      </w:r>
      <w:r>
        <w:rPr>
          <w:rFonts w:ascii="Arial" w:eastAsia="Arial" w:hAnsi="Arial" w:cs="Arial"/>
          <w:sz w:val="20"/>
          <w:szCs w:val="20"/>
          <w:highlight w:val="white"/>
        </w:rPr>
        <w:t xml:space="preserve">esearch enquiry, that correlation between multiple questions and that functional analysis of these answers demonstrate stronger validity in findings.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In considering the risks during collection, a person's body language may skew responses, the use of le</w:t>
      </w:r>
      <w:r>
        <w:rPr>
          <w:rFonts w:ascii="Arial" w:eastAsia="Arial" w:hAnsi="Arial" w:cs="Arial"/>
          <w:sz w:val="20"/>
          <w:szCs w:val="20"/>
          <w:highlight w:val="white"/>
        </w:rPr>
        <w:t>ading questions, wordy or poorly constructed questions and two questions in one. It is also important that if using a Likert Scale, the location of positive and or negative and whether this is recorded left to right or vice-versa and the size of the scale.</w:t>
      </w:r>
      <w:r>
        <w:rPr>
          <w:rFonts w:ascii="Arial" w:eastAsia="Arial" w:hAnsi="Arial" w:cs="Arial"/>
          <w:sz w:val="20"/>
          <w:szCs w:val="20"/>
          <w:highlight w:val="white"/>
        </w:rPr>
        <w:t xml:space="preserve"> It is essential to recognise and show consideration to the flaws within all scaling options. The final consideration is the response rate, and whether a low response makes the survey statistically less useful, this has been a common issue with survey usag</w:t>
      </w:r>
      <w:r>
        <w:rPr>
          <w:rFonts w:ascii="Arial" w:eastAsia="Arial" w:hAnsi="Arial" w:cs="Arial"/>
          <w:sz w:val="20"/>
          <w:szCs w:val="20"/>
          <w:highlight w:val="white"/>
        </w:rPr>
        <w:t>e in my current setting, making the drawing of themes and data less reliable.</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Another method of research that I am familiar with through my work setting is case studies. The purpose of the case study is to create a deep understanding of the area being res</w:t>
      </w:r>
      <w:r>
        <w:rPr>
          <w:rFonts w:ascii="Arial" w:eastAsia="Arial" w:hAnsi="Arial" w:cs="Arial"/>
          <w:sz w:val="20"/>
          <w:szCs w:val="20"/>
          <w:highlight w:val="white"/>
        </w:rPr>
        <w:t>earched until understanding is formed Simons (2009). Further to this, Stake (1995) describe that case studies allows the researcher to see the research in its completeness, allowing this to be viewed from a range of angles.</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Case Studies are seen as qualit</w:t>
      </w:r>
      <w:r>
        <w:rPr>
          <w:rFonts w:ascii="Arial" w:eastAsia="Arial" w:hAnsi="Arial" w:cs="Arial"/>
          <w:sz w:val="20"/>
          <w:szCs w:val="20"/>
          <w:highlight w:val="white"/>
        </w:rPr>
        <w:t>ative in their nature and output. They can be seen as too broad and as a result, have been additionally classified as a bounded case study (Stakes, 1995)  or not to provide additional focus or references for researchers using case study as a method. Disadv</w:t>
      </w:r>
      <w:r>
        <w:rPr>
          <w:rFonts w:ascii="Arial" w:eastAsia="Arial" w:hAnsi="Arial" w:cs="Arial"/>
          <w:sz w:val="20"/>
          <w:szCs w:val="20"/>
          <w:highlight w:val="white"/>
        </w:rPr>
        <w:t>antages of case studies are the limitations to draw or generalise findings. Case studies have many common similarities and links to the method of action research. Case studies allow a range of methods to be deployed and require a high level of researcher s</w:t>
      </w:r>
      <w:r>
        <w:rPr>
          <w:rFonts w:ascii="Arial" w:eastAsia="Arial" w:hAnsi="Arial" w:cs="Arial"/>
          <w:sz w:val="20"/>
          <w:szCs w:val="20"/>
          <w:highlight w:val="white"/>
        </w:rPr>
        <w:t>kill and discipline. It draws on other methods, including observations. Observation as an ethnography allows the study in a real-life context, helping to understand behaviour, developing social understanding creating rich observational information.  Althou</w:t>
      </w:r>
      <w:r>
        <w:rPr>
          <w:rFonts w:ascii="Arial" w:eastAsia="Arial" w:hAnsi="Arial" w:cs="Arial"/>
          <w:sz w:val="20"/>
          <w:szCs w:val="20"/>
          <w:highlight w:val="white"/>
        </w:rPr>
        <w:t xml:space="preserve">gh the analysis of observation and data recording can be time-consuming and provide information overload for some researchers, observation can also be affected by the positionality of the researcher.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Due to the nature of case studies embedding other meth</w:t>
      </w:r>
      <w:r>
        <w:rPr>
          <w:rFonts w:ascii="Arial" w:eastAsia="Arial" w:hAnsi="Arial" w:cs="Arial"/>
          <w:sz w:val="20"/>
          <w:szCs w:val="20"/>
          <w:highlight w:val="white"/>
        </w:rPr>
        <w:t xml:space="preserve">ods, an emerging type of method is visual methods </w:t>
      </w:r>
      <w:proofErr w:type="spellStart"/>
      <w:r>
        <w:rPr>
          <w:rFonts w:ascii="Arial" w:eastAsia="Arial" w:hAnsi="Arial" w:cs="Arial"/>
          <w:sz w:val="20"/>
          <w:szCs w:val="20"/>
          <w:highlight w:val="white"/>
        </w:rPr>
        <w:t>MacPhail</w:t>
      </w:r>
      <w:proofErr w:type="spellEnd"/>
      <w:r>
        <w:rPr>
          <w:rFonts w:ascii="Arial" w:eastAsia="Arial" w:hAnsi="Arial" w:cs="Arial"/>
          <w:sz w:val="20"/>
          <w:szCs w:val="20"/>
          <w:highlight w:val="white"/>
        </w:rPr>
        <w:t xml:space="preserve"> and </w:t>
      </w:r>
      <w:proofErr w:type="spellStart"/>
      <w:r>
        <w:rPr>
          <w:rFonts w:ascii="Arial" w:eastAsia="Arial" w:hAnsi="Arial" w:cs="Arial"/>
          <w:sz w:val="20"/>
          <w:szCs w:val="20"/>
          <w:highlight w:val="white"/>
        </w:rPr>
        <w:t>Kinchin</w:t>
      </w:r>
      <w:proofErr w:type="spellEnd"/>
      <w:r>
        <w:rPr>
          <w:rFonts w:ascii="Arial" w:eastAsia="Arial" w:hAnsi="Arial" w:cs="Arial"/>
          <w:sz w:val="20"/>
          <w:szCs w:val="20"/>
          <w:highlight w:val="white"/>
        </w:rPr>
        <w:t xml:space="preserve"> (2004). This is particularly pertinent within an educational setting working with children, but these can also be used with other individuals or groups. Visual methods include mind-maps</w:t>
      </w:r>
      <w:r>
        <w:rPr>
          <w:rFonts w:ascii="Arial" w:eastAsia="Arial" w:hAnsi="Arial" w:cs="Arial"/>
          <w:sz w:val="20"/>
          <w:szCs w:val="20"/>
          <w:highlight w:val="white"/>
        </w:rPr>
        <w:t xml:space="preserve">, photos, videos, human interaction, drawing, and role-plays some of these are suggested by </w:t>
      </w:r>
      <w:proofErr w:type="spellStart"/>
      <w:r>
        <w:rPr>
          <w:rFonts w:ascii="Arial" w:eastAsia="Arial" w:hAnsi="Arial" w:cs="Arial"/>
          <w:sz w:val="20"/>
          <w:szCs w:val="20"/>
          <w:highlight w:val="white"/>
        </w:rPr>
        <w:t>Tisdall</w:t>
      </w:r>
      <w:proofErr w:type="spellEnd"/>
      <w:r>
        <w:rPr>
          <w:rFonts w:ascii="Arial" w:eastAsia="Arial" w:hAnsi="Arial" w:cs="Arial"/>
          <w:sz w:val="20"/>
          <w:szCs w:val="20"/>
          <w:highlight w:val="white"/>
        </w:rPr>
        <w:t>, Davies and Gallagher (2009). Using these may be about responding to questioning or for the participant is collecting information. As an emerging method gro</w:t>
      </w:r>
      <w:r>
        <w:rPr>
          <w:rFonts w:ascii="Arial" w:eastAsia="Arial" w:hAnsi="Arial" w:cs="Arial"/>
          <w:sz w:val="20"/>
          <w:szCs w:val="20"/>
          <w:highlight w:val="white"/>
        </w:rPr>
        <w:t>wn from anthropology and sociology (</w:t>
      </w:r>
      <w:proofErr w:type="spellStart"/>
      <w:r>
        <w:rPr>
          <w:rFonts w:ascii="Arial" w:eastAsia="Arial" w:hAnsi="Arial" w:cs="Arial"/>
          <w:sz w:val="20"/>
          <w:szCs w:val="20"/>
          <w:highlight w:val="white"/>
        </w:rPr>
        <w:t>Glaw</w:t>
      </w:r>
      <w:proofErr w:type="spellEnd"/>
      <w:r>
        <w:rPr>
          <w:rFonts w:ascii="Arial" w:eastAsia="Arial" w:hAnsi="Arial" w:cs="Arial"/>
          <w:sz w:val="20"/>
          <w:szCs w:val="20"/>
          <w:highlight w:val="white"/>
        </w:rPr>
        <w:t xml:space="preserve"> et al., 2017) their foundation sits within the use of other methods.</w:t>
      </w:r>
    </w:p>
    <w:p w:rsidR="00CF618F" w:rsidRDefault="00CF618F">
      <w:pPr>
        <w:spacing w:line="276" w:lineRule="auto"/>
        <w:jc w:val="both"/>
        <w:rPr>
          <w:rFonts w:ascii="Arial" w:eastAsia="Arial" w:hAnsi="Arial" w:cs="Arial"/>
          <w:sz w:val="20"/>
          <w:szCs w:val="20"/>
          <w:highlight w:val="white"/>
        </w:rPr>
      </w:pPr>
    </w:p>
    <w:p w:rsidR="00CF618F" w:rsidRDefault="00DC6986">
      <w:pPr>
        <w:spacing w:line="276" w:lineRule="auto"/>
        <w:jc w:val="both"/>
        <w:rPr>
          <w:rFonts w:ascii="Arial" w:eastAsia="Arial" w:hAnsi="Arial" w:cs="Arial"/>
          <w:sz w:val="20"/>
          <w:szCs w:val="20"/>
          <w:highlight w:val="white"/>
          <w:u w:val="single"/>
        </w:rPr>
      </w:pPr>
      <w:r>
        <w:rPr>
          <w:rFonts w:ascii="Arial" w:eastAsia="Arial" w:hAnsi="Arial" w:cs="Arial"/>
          <w:sz w:val="20"/>
          <w:szCs w:val="20"/>
          <w:highlight w:val="white"/>
          <w:u w:val="single"/>
        </w:rPr>
        <w:t xml:space="preserve">Insider Research </w:t>
      </w:r>
    </w:p>
    <w:p w:rsidR="00CF618F" w:rsidRDefault="00CF618F">
      <w:pPr>
        <w:spacing w:line="276" w:lineRule="auto"/>
        <w:jc w:val="both"/>
        <w:rPr>
          <w:rFonts w:ascii="Arial" w:eastAsia="Arial" w:hAnsi="Arial" w:cs="Arial"/>
          <w:color w:val="4A86E8"/>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Before concluding, it is also essential to reflect on the implications of insider research (Merton, 1972). I believe that while it is crucial to recognise insider and outsider researcher, further distinctions are required. This distinction is around the br</w:t>
      </w:r>
      <w:r>
        <w:rPr>
          <w:rFonts w:ascii="Arial" w:eastAsia="Arial" w:hAnsi="Arial" w:cs="Arial"/>
          <w:sz w:val="20"/>
          <w:szCs w:val="20"/>
          <w:highlight w:val="white"/>
        </w:rPr>
        <w:t>oader function of the researcher within an organisation; positionality. The first type is a researcher whose role within an organisation is as a researcher or an organisation that solely conducts research demonstrating a higher level of expert status withi</w:t>
      </w:r>
      <w:r>
        <w:rPr>
          <w:rFonts w:ascii="Arial" w:eastAsia="Arial" w:hAnsi="Arial" w:cs="Arial"/>
          <w:sz w:val="20"/>
          <w:szCs w:val="20"/>
          <w:highlight w:val="white"/>
        </w:rPr>
        <w:t>n the field or discipline, and also within the field of research. The second is where a novice or emerging researcher undertakes research within an organisation with limited research background as an internal worker with the primary function not being rese</w:t>
      </w:r>
      <w:r>
        <w:rPr>
          <w:rFonts w:ascii="Arial" w:eastAsia="Arial" w:hAnsi="Arial" w:cs="Arial"/>
          <w:sz w:val="20"/>
          <w:szCs w:val="20"/>
          <w:highlight w:val="white"/>
        </w:rPr>
        <w:t>arch, or that research is not a core component of the organisation.</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Both of these types of researchers present advantages and disadvantages. Often in both these groups, there is strong professional/subject/disciplinary knowledge, there may be access to pr</w:t>
      </w:r>
      <w:r>
        <w:rPr>
          <w:rFonts w:ascii="Arial" w:eastAsia="Arial" w:hAnsi="Arial" w:cs="Arial"/>
          <w:sz w:val="20"/>
          <w:szCs w:val="20"/>
          <w:highlight w:val="white"/>
        </w:rPr>
        <w:t xml:space="preserve">evious research information, access to teams to support research and access to specialist equipment. This would contribute to research capital. However, there are also disadvantages with some risks to objectivity, predetermined thinking, although, through </w:t>
      </w:r>
      <w:r>
        <w:rPr>
          <w:rFonts w:ascii="Arial" w:eastAsia="Arial" w:hAnsi="Arial" w:cs="Arial"/>
          <w:sz w:val="20"/>
          <w:szCs w:val="20"/>
          <w:highlight w:val="white"/>
        </w:rPr>
        <w:t xml:space="preserve">appropriate ethical and risk consideration, the risks should be mitigated. Further factors that present risks include the position held within the organisation, any responsibility to funders or funding, pressure to deliver results and products which limit </w:t>
      </w:r>
      <w:r>
        <w:rPr>
          <w:rFonts w:ascii="Arial" w:eastAsia="Arial" w:hAnsi="Arial" w:cs="Arial"/>
          <w:sz w:val="20"/>
          <w:szCs w:val="20"/>
          <w:highlight w:val="white"/>
        </w:rPr>
        <w:t>the depth and quality of research.  However, perhaps the biggest challenge is knowledge of research, research design and professional experience. This would be a particular issue for researchers who are on work-based learning routes without detailed resear</w:t>
      </w:r>
      <w:r>
        <w:rPr>
          <w:rFonts w:ascii="Arial" w:eastAsia="Arial" w:hAnsi="Arial" w:cs="Arial"/>
          <w:sz w:val="20"/>
          <w:szCs w:val="20"/>
          <w:highlight w:val="white"/>
        </w:rPr>
        <w:t xml:space="preserve">ch design teaching.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While all of these factors are worthy of consideration and reflection, often these can be missed when designing and conducting research unless specific reference is made. I recognise the following in my inexperience as an emerging re</w:t>
      </w:r>
      <w:r>
        <w:rPr>
          <w:rFonts w:ascii="Arial" w:eastAsia="Arial" w:hAnsi="Arial" w:cs="Arial"/>
          <w:sz w:val="20"/>
          <w:szCs w:val="20"/>
          <w:highlight w:val="white"/>
        </w:rPr>
        <w:t xml:space="preserve">searcher and my ontological beliefs about the way I interpret issues, research design and desired outcome. This links to the complexity of </w:t>
      </w:r>
      <w:proofErr w:type="spellStart"/>
      <w:r>
        <w:rPr>
          <w:rFonts w:ascii="Arial" w:eastAsia="Arial" w:hAnsi="Arial" w:cs="Arial"/>
          <w:sz w:val="20"/>
          <w:szCs w:val="20"/>
          <w:highlight w:val="white"/>
        </w:rPr>
        <w:t>interpretivism</w:t>
      </w:r>
      <w:proofErr w:type="spellEnd"/>
      <w:r>
        <w:rPr>
          <w:rFonts w:ascii="Arial" w:eastAsia="Arial" w:hAnsi="Arial" w:cs="Arial"/>
          <w:sz w:val="20"/>
          <w:szCs w:val="20"/>
          <w:highlight w:val="white"/>
        </w:rPr>
        <w:t xml:space="preserve"> and has previously been developed and referenced for age and gender issues when undertaking research (</w:t>
      </w:r>
      <w:r>
        <w:rPr>
          <w:rFonts w:ascii="Arial" w:eastAsia="Arial" w:hAnsi="Arial" w:cs="Arial"/>
          <w:sz w:val="20"/>
          <w:szCs w:val="20"/>
          <w:highlight w:val="white"/>
        </w:rPr>
        <w:t xml:space="preserve">Burton et al. 2014). However, I assert that this equality applies to insider researcher experience and interpretation issues both at design and when undertaking research. This may lead to low quality or statistically unimportant work being highlighted and </w:t>
      </w:r>
      <w:r>
        <w:rPr>
          <w:rFonts w:ascii="Arial" w:eastAsia="Arial" w:hAnsi="Arial" w:cs="Arial"/>
          <w:sz w:val="20"/>
          <w:szCs w:val="20"/>
          <w:highlight w:val="white"/>
        </w:rPr>
        <w:t xml:space="preserve">misused as an evidence base. These are only likely to become highlighted should proper instruction and supervision be in place, perhaps even to the point of mentorship. </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u w:val="single"/>
        </w:rPr>
      </w:pPr>
      <w:r>
        <w:rPr>
          <w:rFonts w:ascii="Arial" w:eastAsia="Arial" w:hAnsi="Arial" w:cs="Arial"/>
          <w:sz w:val="20"/>
          <w:szCs w:val="20"/>
          <w:highlight w:val="white"/>
          <w:u w:val="single"/>
        </w:rPr>
        <w:t>Conclusion</w:t>
      </w:r>
    </w:p>
    <w:p w:rsidR="00CF618F" w:rsidRDefault="00DC6986">
      <w:pPr>
        <w:spacing w:line="480" w:lineRule="auto"/>
        <w:jc w:val="both"/>
        <w:rPr>
          <w:rFonts w:ascii="Arial" w:eastAsia="Arial" w:hAnsi="Arial" w:cs="Arial"/>
          <w:sz w:val="20"/>
          <w:szCs w:val="20"/>
          <w:highlight w:val="white"/>
        </w:rPr>
      </w:pPr>
      <w:r>
        <w:rPr>
          <w:rFonts w:ascii="Arial" w:eastAsia="Arial" w:hAnsi="Arial" w:cs="Arial"/>
          <w:sz w:val="20"/>
          <w:szCs w:val="20"/>
          <w:highlight w:val="white"/>
        </w:rPr>
        <w:t>In researching this essay, considering philosophy, ethics, design, methodo</w:t>
      </w:r>
      <w:r>
        <w:rPr>
          <w:rFonts w:ascii="Arial" w:eastAsia="Arial" w:hAnsi="Arial" w:cs="Arial"/>
          <w:sz w:val="20"/>
          <w:szCs w:val="20"/>
          <w:highlight w:val="white"/>
        </w:rPr>
        <w:t>logies and methods, I have highlighted my own experience and inexperience as a researcher. Knowledge builds understanding, but this must be linked to skills and experience. In taking my research forward, I must use and build on knowledge gained through stu</w:t>
      </w:r>
      <w:r>
        <w:rPr>
          <w:rFonts w:ascii="Arial" w:eastAsia="Arial" w:hAnsi="Arial" w:cs="Arial"/>
          <w:sz w:val="20"/>
          <w:szCs w:val="20"/>
          <w:highlight w:val="white"/>
        </w:rPr>
        <w:t>dy and apply to appropriate experience; this is inverse to the work-based route, which used the experience to demonstrate knowledge acquisition. In planning my project, knowledge development will be critical to building my skills as a researcher, work to d</w:t>
      </w:r>
      <w:r>
        <w:rPr>
          <w:rFonts w:ascii="Arial" w:eastAsia="Arial" w:hAnsi="Arial" w:cs="Arial"/>
          <w:sz w:val="20"/>
          <w:szCs w:val="20"/>
          <w:highlight w:val="white"/>
        </w:rPr>
        <w:t>eadlines, details, finding space and managing timescales (Hart, 2005). Initially, my research design, based on prior experience, will look at primary data, with field literature reviews within an educational setting.</w:t>
      </w:r>
    </w:p>
    <w:p w:rsidR="00CF618F" w:rsidRDefault="00CF618F">
      <w:pPr>
        <w:spacing w:line="480" w:lineRule="auto"/>
        <w:jc w:val="both"/>
        <w:rPr>
          <w:rFonts w:ascii="Arial" w:eastAsia="Arial" w:hAnsi="Arial" w:cs="Arial"/>
          <w:sz w:val="20"/>
          <w:szCs w:val="20"/>
          <w:highlight w:val="white"/>
        </w:rPr>
      </w:pPr>
    </w:p>
    <w:p w:rsidR="00CF618F" w:rsidRDefault="00DC6986">
      <w:pPr>
        <w:spacing w:line="480" w:lineRule="auto"/>
        <w:jc w:val="both"/>
        <w:rPr>
          <w:rFonts w:ascii="Arial" w:eastAsia="Arial" w:hAnsi="Arial" w:cs="Arial"/>
          <w:sz w:val="20"/>
          <w:szCs w:val="20"/>
          <w:highlight w:val="white"/>
        </w:rPr>
      </w:pPr>
      <w:bookmarkStart w:id="1" w:name="_gjdgxs" w:colFirst="0" w:colLast="0"/>
      <w:bookmarkEnd w:id="1"/>
      <w:r>
        <w:rPr>
          <w:rFonts w:ascii="Arial" w:eastAsia="Arial" w:hAnsi="Arial" w:cs="Arial"/>
          <w:sz w:val="20"/>
          <w:szCs w:val="20"/>
          <w:highlight w:val="white"/>
        </w:rPr>
        <w:t xml:space="preserve">Currently working and having had some </w:t>
      </w:r>
      <w:r>
        <w:rPr>
          <w:rFonts w:ascii="Arial" w:eastAsia="Arial" w:hAnsi="Arial" w:cs="Arial"/>
          <w:sz w:val="20"/>
          <w:szCs w:val="20"/>
          <w:highlight w:val="white"/>
        </w:rPr>
        <w:t>research practice, I need to revisit legacy theoretical underpinning and knowledge. In evaluating methods, I have had to reconsider, relearn them in the context of becoming a better researcher. My understanding and misconceptions have been challenged so th</w:t>
      </w:r>
      <w:r>
        <w:rPr>
          <w:rFonts w:ascii="Arial" w:eastAsia="Arial" w:hAnsi="Arial" w:cs="Arial"/>
          <w:sz w:val="20"/>
          <w:szCs w:val="20"/>
          <w:highlight w:val="white"/>
        </w:rPr>
        <w:t>at selection and outcomes are better considered. It has developed an understanding of the importance of questioning and question writing, refining my skills in this area. Further to this, I have also had to consider implications around ethics legislation a</w:t>
      </w:r>
      <w:r>
        <w:rPr>
          <w:rFonts w:ascii="Arial" w:eastAsia="Arial" w:hAnsi="Arial" w:cs="Arial"/>
          <w:sz w:val="20"/>
          <w:szCs w:val="20"/>
          <w:highlight w:val="white"/>
        </w:rPr>
        <w:t xml:space="preserve">nd placing realistic time and sample size considerations on the research I wish to undertake. In conducting this, I need to apply this learning while recognising my </w:t>
      </w:r>
      <w:proofErr w:type="spellStart"/>
      <w:r>
        <w:rPr>
          <w:rFonts w:ascii="Arial" w:eastAsia="Arial" w:hAnsi="Arial" w:cs="Arial"/>
          <w:sz w:val="20"/>
          <w:szCs w:val="20"/>
          <w:highlight w:val="white"/>
        </w:rPr>
        <w:t>noviceness</w:t>
      </w:r>
      <w:proofErr w:type="spellEnd"/>
      <w:r>
        <w:rPr>
          <w:rFonts w:ascii="Arial" w:eastAsia="Arial" w:hAnsi="Arial" w:cs="Arial"/>
          <w:sz w:val="20"/>
          <w:szCs w:val="20"/>
          <w:highlight w:val="white"/>
        </w:rPr>
        <w:t>, my insider-researcher bias, understanding that research is not pivotal to my ro</w:t>
      </w:r>
      <w:r>
        <w:rPr>
          <w:rFonts w:ascii="Arial" w:eastAsia="Arial" w:hAnsi="Arial" w:cs="Arial"/>
          <w:sz w:val="20"/>
          <w:szCs w:val="20"/>
          <w:highlight w:val="white"/>
        </w:rPr>
        <w:t>le or function within the organisation but is crucial that it is undertaken appropriately and competently.</w:t>
      </w:r>
    </w:p>
    <w:p w:rsidR="00CF618F" w:rsidRDefault="00DC6986">
      <w:pPr>
        <w:spacing w:line="480" w:lineRule="auto"/>
        <w:jc w:val="both"/>
        <w:rPr>
          <w:rFonts w:ascii="Arial" w:eastAsia="Arial" w:hAnsi="Arial" w:cs="Arial"/>
          <w:b/>
          <w:sz w:val="20"/>
          <w:szCs w:val="20"/>
          <w:highlight w:val="white"/>
          <w:u w:val="single"/>
        </w:rPr>
      </w:pPr>
      <w:r>
        <w:rPr>
          <w:rFonts w:ascii="Arial" w:eastAsia="Arial" w:hAnsi="Arial" w:cs="Arial"/>
          <w:b/>
          <w:sz w:val="20"/>
          <w:szCs w:val="20"/>
          <w:highlight w:val="white"/>
          <w:u w:val="single"/>
        </w:rPr>
        <w:t>Word Count 4484</w:t>
      </w:r>
    </w:p>
    <w:p w:rsidR="00CF618F" w:rsidRDefault="00DC6986" w:rsidP="0018121B">
      <w:pPr>
        <w:spacing w:line="480" w:lineRule="auto"/>
        <w:jc w:val="both"/>
        <w:rPr>
          <w:rFonts w:ascii="Arial" w:eastAsia="Arial" w:hAnsi="Arial" w:cs="Arial"/>
          <w:sz w:val="22"/>
          <w:szCs w:val="22"/>
          <w:highlight w:val="white"/>
          <w:u w:val="single"/>
        </w:rPr>
      </w:pPr>
      <w:r>
        <w:rPr>
          <w:rFonts w:ascii="Arial" w:eastAsia="Arial" w:hAnsi="Arial" w:cs="Arial"/>
          <w:sz w:val="22"/>
          <w:szCs w:val="22"/>
          <w:highlight w:val="white"/>
          <w:u w:val="single"/>
        </w:rPr>
        <w:t>Reference List (Harvard Style)</w:t>
      </w:r>
    </w:p>
    <w:p w:rsidR="00CF618F" w:rsidRDefault="00CF618F">
      <w:pPr>
        <w:spacing w:line="360" w:lineRule="auto"/>
        <w:rPr>
          <w:rFonts w:ascii="Arial" w:eastAsia="Arial" w:hAnsi="Arial" w:cs="Arial"/>
          <w:sz w:val="22"/>
          <w:szCs w:val="22"/>
          <w:highlight w:val="white"/>
          <w:u w:val="singl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D.umn.edu. (2020). [online] Available at: https://www.d.umn.edu/cla/faculty/jhamlin/4111/2111-home/CD/TheoryClass/Readings/MertonKnowledge.pdf [Accessed 14. 12  2019].</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Abdul </w:t>
      </w:r>
      <w:proofErr w:type="spellStart"/>
      <w:r>
        <w:rPr>
          <w:rFonts w:ascii="Arial" w:eastAsia="Arial" w:hAnsi="Arial" w:cs="Arial"/>
          <w:sz w:val="22"/>
          <w:szCs w:val="22"/>
          <w:highlight w:val="white"/>
        </w:rPr>
        <w:t>Rehman</w:t>
      </w:r>
      <w:proofErr w:type="spellEnd"/>
      <w:r>
        <w:rPr>
          <w:rFonts w:ascii="Arial" w:eastAsia="Arial" w:hAnsi="Arial" w:cs="Arial"/>
          <w:sz w:val="22"/>
          <w:szCs w:val="22"/>
          <w:highlight w:val="white"/>
        </w:rPr>
        <w:t xml:space="preserve">, </w:t>
      </w:r>
      <w:proofErr w:type="spellStart"/>
      <w:r>
        <w:rPr>
          <w:rFonts w:ascii="Arial" w:eastAsia="Arial" w:hAnsi="Arial" w:cs="Arial"/>
          <w:sz w:val="22"/>
          <w:szCs w:val="22"/>
          <w:highlight w:val="white"/>
        </w:rPr>
        <w:t>Adil</w:t>
      </w:r>
      <w:proofErr w:type="spellEnd"/>
      <w:r>
        <w:rPr>
          <w:rFonts w:ascii="Arial" w:eastAsia="Arial" w:hAnsi="Arial" w:cs="Arial"/>
          <w:sz w:val="22"/>
          <w:szCs w:val="22"/>
          <w:highlight w:val="white"/>
        </w:rPr>
        <w:t xml:space="preserve"> &amp; </w:t>
      </w:r>
      <w:proofErr w:type="spellStart"/>
      <w:r>
        <w:rPr>
          <w:rFonts w:ascii="Arial" w:eastAsia="Arial" w:hAnsi="Arial" w:cs="Arial"/>
          <w:sz w:val="22"/>
          <w:szCs w:val="22"/>
          <w:highlight w:val="white"/>
        </w:rPr>
        <w:t>Alharthi</w:t>
      </w:r>
      <w:proofErr w:type="spellEnd"/>
      <w:r>
        <w:rPr>
          <w:rFonts w:ascii="Arial" w:eastAsia="Arial" w:hAnsi="Arial" w:cs="Arial"/>
          <w:sz w:val="22"/>
          <w:szCs w:val="22"/>
          <w:highlight w:val="white"/>
        </w:rPr>
        <w:t>, Khalid. (2016). An introduction to research paradigms. 3</w:t>
      </w:r>
      <w:r>
        <w:rPr>
          <w:rFonts w:ascii="Arial" w:eastAsia="Arial" w:hAnsi="Arial" w:cs="Arial"/>
          <w:sz w:val="22"/>
          <w:szCs w:val="22"/>
          <w:highlight w:val="white"/>
        </w:rPr>
        <w:t xml:space="preserve">. </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Alvesson</w:t>
      </w:r>
      <w:proofErr w:type="spellEnd"/>
      <w:r>
        <w:rPr>
          <w:rFonts w:ascii="Arial" w:eastAsia="Arial" w:hAnsi="Arial" w:cs="Arial"/>
          <w:sz w:val="22"/>
          <w:szCs w:val="22"/>
          <w:highlight w:val="white"/>
        </w:rPr>
        <w:t xml:space="preserve">, M. and Sandburg, J. (2013) </w:t>
      </w:r>
      <w:r>
        <w:rPr>
          <w:rFonts w:ascii="Arial" w:eastAsia="Arial" w:hAnsi="Arial" w:cs="Arial"/>
          <w:i/>
          <w:sz w:val="22"/>
          <w:szCs w:val="22"/>
          <w:highlight w:val="white"/>
        </w:rPr>
        <w:t>Constructing Research Questions: Doing Interesting Research</w:t>
      </w:r>
      <w:r>
        <w:rPr>
          <w:rFonts w:ascii="Arial" w:eastAsia="Arial" w:hAnsi="Arial" w:cs="Arial"/>
          <w:sz w:val="22"/>
          <w:szCs w:val="22"/>
          <w:highlight w:val="white"/>
        </w:rPr>
        <w:t>. London: Sage.</w:t>
      </w:r>
    </w:p>
    <w:p w:rsidR="00CF618F" w:rsidRDefault="00CF618F">
      <w:pPr>
        <w:shd w:val="clear" w:color="auto" w:fill="FFFFFF"/>
        <w:spacing w:line="360" w:lineRule="auto"/>
        <w:jc w:val="both"/>
        <w:rPr>
          <w:rFonts w:ascii="Arial" w:eastAsia="Arial" w:hAnsi="Arial" w:cs="Arial"/>
          <w:sz w:val="22"/>
          <w:szCs w:val="22"/>
          <w:highlight w:val="white"/>
        </w:rPr>
      </w:pPr>
    </w:p>
    <w:p w:rsidR="00CF618F" w:rsidRDefault="00DC6986">
      <w:pPr>
        <w:shd w:val="clear" w:color="auto" w:fill="FFFFFF"/>
        <w:spacing w:line="360" w:lineRule="auto"/>
        <w:jc w:val="both"/>
        <w:rPr>
          <w:rFonts w:ascii="Arial" w:eastAsia="Arial" w:hAnsi="Arial" w:cs="Arial"/>
          <w:sz w:val="22"/>
          <w:szCs w:val="22"/>
          <w:highlight w:val="white"/>
        </w:rPr>
      </w:pPr>
      <w:proofErr w:type="spellStart"/>
      <w:r>
        <w:rPr>
          <w:rFonts w:ascii="Arial" w:eastAsia="Arial" w:hAnsi="Arial" w:cs="Arial"/>
          <w:sz w:val="22"/>
          <w:szCs w:val="22"/>
          <w:highlight w:val="white"/>
        </w:rPr>
        <w:t>Alvesson</w:t>
      </w:r>
      <w:proofErr w:type="spellEnd"/>
      <w:r>
        <w:rPr>
          <w:rFonts w:ascii="Arial" w:eastAsia="Arial" w:hAnsi="Arial" w:cs="Arial"/>
          <w:sz w:val="22"/>
          <w:szCs w:val="22"/>
          <w:highlight w:val="white"/>
        </w:rPr>
        <w:t xml:space="preserve">, M. and </w:t>
      </w:r>
      <w:proofErr w:type="spellStart"/>
      <w:r>
        <w:rPr>
          <w:rFonts w:ascii="Arial" w:eastAsia="Arial" w:hAnsi="Arial" w:cs="Arial"/>
          <w:sz w:val="22"/>
          <w:szCs w:val="22"/>
          <w:highlight w:val="white"/>
        </w:rPr>
        <w:t>Skoldberg</w:t>
      </w:r>
      <w:proofErr w:type="spellEnd"/>
      <w:r>
        <w:rPr>
          <w:rFonts w:ascii="Arial" w:eastAsia="Arial" w:hAnsi="Arial" w:cs="Arial"/>
          <w:sz w:val="22"/>
          <w:szCs w:val="22"/>
          <w:highlight w:val="white"/>
        </w:rPr>
        <w:t xml:space="preserve">, K. (2009) </w:t>
      </w:r>
      <w:r>
        <w:rPr>
          <w:rFonts w:ascii="Arial" w:eastAsia="Arial" w:hAnsi="Arial" w:cs="Arial"/>
          <w:i/>
          <w:sz w:val="22"/>
          <w:szCs w:val="22"/>
          <w:highlight w:val="white"/>
        </w:rPr>
        <w:t>Reflexive Methodology: New vistas for qualitative Research.</w:t>
      </w:r>
      <w:r>
        <w:rPr>
          <w:rFonts w:ascii="Arial" w:eastAsia="Arial" w:hAnsi="Arial" w:cs="Arial"/>
          <w:sz w:val="22"/>
          <w:szCs w:val="22"/>
          <w:highlight w:val="white"/>
        </w:rPr>
        <w:t xml:space="preserve"> London: Sage.</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Berg, B.L. (2004) </w:t>
      </w:r>
      <w:r>
        <w:rPr>
          <w:rFonts w:ascii="Arial" w:eastAsia="Arial" w:hAnsi="Arial" w:cs="Arial"/>
          <w:i/>
          <w:sz w:val="22"/>
          <w:szCs w:val="22"/>
          <w:highlight w:val="white"/>
        </w:rPr>
        <w:t>Qualitat</w:t>
      </w:r>
      <w:r>
        <w:rPr>
          <w:rFonts w:ascii="Arial" w:eastAsia="Arial" w:hAnsi="Arial" w:cs="Arial"/>
          <w:i/>
          <w:sz w:val="22"/>
          <w:szCs w:val="22"/>
          <w:highlight w:val="white"/>
        </w:rPr>
        <w:t>ive Research Methods for the Social Sciences</w:t>
      </w:r>
      <w:r>
        <w:rPr>
          <w:rFonts w:ascii="Arial" w:eastAsia="Arial" w:hAnsi="Arial" w:cs="Arial"/>
          <w:sz w:val="22"/>
          <w:szCs w:val="22"/>
          <w:highlight w:val="white"/>
        </w:rPr>
        <w:t xml:space="preserve">, Boston, MA: </w:t>
      </w:r>
      <w:proofErr w:type="spellStart"/>
      <w:r>
        <w:rPr>
          <w:rFonts w:ascii="Arial" w:eastAsia="Arial" w:hAnsi="Arial" w:cs="Arial"/>
          <w:sz w:val="22"/>
          <w:szCs w:val="22"/>
          <w:highlight w:val="white"/>
        </w:rPr>
        <w:t>Allyn</w:t>
      </w:r>
      <w:proofErr w:type="spellEnd"/>
      <w:r>
        <w:rPr>
          <w:rFonts w:ascii="Arial" w:eastAsia="Arial" w:hAnsi="Arial" w:cs="Arial"/>
          <w:sz w:val="22"/>
          <w:szCs w:val="22"/>
          <w:highlight w:val="white"/>
        </w:rPr>
        <w:t xml:space="preserve"> and Bacon. </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Blaikie</w:t>
      </w:r>
      <w:proofErr w:type="spellEnd"/>
      <w:r>
        <w:rPr>
          <w:rFonts w:ascii="Arial" w:eastAsia="Arial" w:hAnsi="Arial" w:cs="Arial"/>
          <w:sz w:val="22"/>
          <w:szCs w:val="22"/>
          <w:highlight w:val="white"/>
        </w:rPr>
        <w:t>, N. (2010)</w:t>
      </w:r>
      <w:r>
        <w:rPr>
          <w:rFonts w:ascii="Arial" w:eastAsia="Arial" w:hAnsi="Arial" w:cs="Arial"/>
          <w:i/>
          <w:sz w:val="22"/>
          <w:szCs w:val="22"/>
          <w:highlight w:val="white"/>
        </w:rPr>
        <w:t xml:space="preserve"> Designing Social Research</w:t>
      </w:r>
      <w:r>
        <w:rPr>
          <w:rFonts w:ascii="Arial" w:eastAsia="Arial" w:hAnsi="Arial" w:cs="Arial"/>
          <w:sz w:val="22"/>
          <w:szCs w:val="22"/>
          <w:highlight w:val="white"/>
        </w:rPr>
        <w:t>.  Polity Press</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Bjork, E. and Bjork, R. (2007). </w:t>
      </w:r>
      <w:r>
        <w:rPr>
          <w:rFonts w:ascii="Arial" w:eastAsia="Arial" w:hAnsi="Arial" w:cs="Arial"/>
          <w:i/>
          <w:sz w:val="22"/>
          <w:szCs w:val="22"/>
          <w:highlight w:val="white"/>
        </w:rPr>
        <w:t>Memory</w:t>
      </w:r>
      <w:r>
        <w:rPr>
          <w:rFonts w:ascii="Arial" w:eastAsia="Arial" w:hAnsi="Arial" w:cs="Arial"/>
          <w:sz w:val="22"/>
          <w:szCs w:val="22"/>
          <w:highlight w:val="white"/>
        </w:rPr>
        <w:t>. Amsterdam [etc.]: Elsevier.</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Bridges, D., and </w:t>
      </w:r>
      <w:proofErr w:type="spellStart"/>
      <w:r>
        <w:rPr>
          <w:rFonts w:ascii="Arial" w:eastAsia="Arial" w:hAnsi="Arial" w:cs="Arial"/>
          <w:sz w:val="22"/>
          <w:szCs w:val="22"/>
          <w:highlight w:val="white"/>
        </w:rPr>
        <w:t>Mcnamee</w:t>
      </w:r>
      <w:proofErr w:type="spellEnd"/>
      <w:r>
        <w:rPr>
          <w:rFonts w:ascii="Arial" w:eastAsia="Arial" w:hAnsi="Arial" w:cs="Arial"/>
          <w:sz w:val="22"/>
          <w:szCs w:val="22"/>
          <w:highlight w:val="white"/>
        </w:rPr>
        <w:t xml:space="preserve">, M. (2002). </w:t>
      </w:r>
      <w:r>
        <w:rPr>
          <w:rFonts w:ascii="Arial" w:eastAsia="Arial" w:hAnsi="Arial" w:cs="Arial"/>
          <w:i/>
          <w:sz w:val="22"/>
          <w:szCs w:val="22"/>
          <w:highlight w:val="white"/>
        </w:rPr>
        <w:t>Ethics and Educational Research</w:t>
      </w:r>
      <w:r>
        <w:rPr>
          <w:rFonts w:ascii="Arial" w:eastAsia="Arial" w:hAnsi="Arial" w:cs="Arial"/>
          <w:sz w:val="22"/>
          <w:szCs w:val="22"/>
          <w:highlight w:val="white"/>
        </w:rPr>
        <w:t>. London: Blackwell.</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British Educational Research Association (BERA) (2011) </w:t>
      </w:r>
      <w:r>
        <w:rPr>
          <w:rFonts w:ascii="Arial" w:eastAsia="Arial" w:hAnsi="Arial" w:cs="Arial"/>
          <w:i/>
          <w:sz w:val="22"/>
          <w:szCs w:val="22"/>
          <w:highlight w:val="white"/>
        </w:rPr>
        <w:t xml:space="preserve">Ethical Guidelines for Educational Research.  </w:t>
      </w:r>
      <w:r>
        <w:rPr>
          <w:rFonts w:ascii="Arial" w:eastAsia="Arial" w:hAnsi="Arial" w:cs="Arial"/>
          <w:sz w:val="22"/>
          <w:szCs w:val="22"/>
          <w:highlight w:val="white"/>
        </w:rPr>
        <w:t>London: BERA. Available from:</w:t>
      </w:r>
      <w:hyperlink r:id="rId7">
        <w:r>
          <w:rPr>
            <w:rFonts w:ascii="Arial" w:eastAsia="Arial" w:hAnsi="Arial" w:cs="Arial"/>
            <w:sz w:val="22"/>
            <w:szCs w:val="22"/>
            <w:highlight w:val="white"/>
          </w:rPr>
          <w:t xml:space="preserve"> https://www.bera.ac.uk/wp-content/uploads/2018/06/BERA-Ethical-Guidelines-for-Educational-Research_4thEdn_2018.pdf?noredirect=1</w:t>
        </w:r>
      </w:hyperlink>
      <w:r>
        <w:rPr>
          <w:rFonts w:ascii="Arial" w:eastAsia="Arial" w:hAnsi="Arial" w:cs="Arial"/>
          <w:sz w:val="22"/>
          <w:szCs w:val="22"/>
          <w:highlight w:val="white"/>
        </w:rPr>
        <w:t>.</w:t>
      </w:r>
      <w:r w:rsidR="0018121B" w:rsidRPr="0018121B">
        <w:rPr>
          <w:rFonts w:ascii="Arial" w:eastAsia="Arial" w:hAnsi="Arial" w:cs="Arial"/>
          <w:sz w:val="22"/>
          <w:szCs w:val="22"/>
          <w:highlight w:val="white"/>
        </w:rPr>
        <w:t xml:space="preserve"> </w:t>
      </w:r>
      <w:r w:rsidR="0018121B">
        <w:rPr>
          <w:rFonts w:ascii="Arial" w:eastAsia="Arial" w:hAnsi="Arial" w:cs="Arial"/>
          <w:sz w:val="22"/>
          <w:szCs w:val="22"/>
          <w:highlight w:val="white"/>
        </w:rPr>
        <w:t>[Accessed 14. 12  2019].</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Burton, N. et al. (2014) </w:t>
      </w:r>
      <w:r>
        <w:rPr>
          <w:rFonts w:ascii="Arial" w:eastAsia="Arial" w:hAnsi="Arial" w:cs="Arial"/>
          <w:i/>
          <w:sz w:val="22"/>
          <w:szCs w:val="22"/>
          <w:highlight w:val="white"/>
        </w:rPr>
        <w:t>Doing your Education Resea</w:t>
      </w:r>
      <w:r>
        <w:rPr>
          <w:rFonts w:ascii="Arial" w:eastAsia="Arial" w:hAnsi="Arial" w:cs="Arial"/>
          <w:i/>
          <w:sz w:val="22"/>
          <w:szCs w:val="22"/>
          <w:highlight w:val="white"/>
        </w:rPr>
        <w:t xml:space="preserve">rch Project. </w:t>
      </w:r>
      <w:r>
        <w:rPr>
          <w:rFonts w:ascii="Arial" w:eastAsia="Arial" w:hAnsi="Arial" w:cs="Arial"/>
          <w:sz w:val="22"/>
          <w:szCs w:val="22"/>
          <w:highlight w:val="white"/>
        </w:rPr>
        <w:t>London: Sage.</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rPr>
      </w:pPr>
      <w:r>
        <w:rPr>
          <w:rFonts w:ascii="Arial" w:eastAsia="Arial" w:hAnsi="Arial" w:cs="Arial"/>
          <w:sz w:val="22"/>
          <w:szCs w:val="22"/>
        </w:rPr>
        <w:t xml:space="preserve">Check J, </w:t>
      </w:r>
      <w:proofErr w:type="spellStart"/>
      <w:r>
        <w:rPr>
          <w:rFonts w:ascii="Arial" w:eastAsia="Arial" w:hAnsi="Arial" w:cs="Arial"/>
          <w:sz w:val="22"/>
          <w:szCs w:val="22"/>
        </w:rPr>
        <w:t>Schutt</w:t>
      </w:r>
      <w:proofErr w:type="spellEnd"/>
      <w:r>
        <w:rPr>
          <w:rFonts w:ascii="Arial" w:eastAsia="Arial" w:hAnsi="Arial" w:cs="Arial"/>
          <w:sz w:val="22"/>
          <w:szCs w:val="22"/>
        </w:rPr>
        <w:t xml:space="preserve"> R. K. (2012) </w:t>
      </w:r>
      <w:r>
        <w:rPr>
          <w:rFonts w:ascii="Arial" w:eastAsia="Arial" w:hAnsi="Arial" w:cs="Arial"/>
          <w:i/>
          <w:sz w:val="22"/>
          <w:szCs w:val="22"/>
        </w:rPr>
        <w:t>Research methods in education</w:t>
      </w:r>
      <w:r>
        <w:rPr>
          <w:rFonts w:ascii="Arial" w:eastAsia="Arial" w:hAnsi="Arial" w:cs="Arial"/>
          <w:sz w:val="22"/>
          <w:szCs w:val="22"/>
        </w:rPr>
        <w:t>. Thousand Oaks, CA: Sage Publications</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Cohen, L, </w:t>
      </w:r>
      <w:proofErr w:type="spellStart"/>
      <w:r>
        <w:rPr>
          <w:rFonts w:ascii="Arial" w:eastAsia="Arial" w:hAnsi="Arial" w:cs="Arial"/>
          <w:sz w:val="22"/>
          <w:szCs w:val="22"/>
          <w:highlight w:val="white"/>
        </w:rPr>
        <w:t>Manion</w:t>
      </w:r>
      <w:proofErr w:type="spellEnd"/>
      <w:r>
        <w:rPr>
          <w:rFonts w:ascii="Arial" w:eastAsia="Arial" w:hAnsi="Arial" w:cs="Arial"/>
          <w:sz w:val="22"/>
          <w:szCs w:val="22"/>
          <w:highlight w:val="white"/>
        </w:rPr>
        <w:t xml:space="preserve">, L. and Morrison, K. (2018) </w:t>
      </w:r>
      <w:r>
        <w:rPr>
          <w:rFonts w:ascii="Arial" w:eastAsia="Arial" w:hAnsi="Arial" w:cs="Arial"/>
          <w:i/>
          <w:sz w:val="22"/>
          <w:szCs w:val="22"/>
          <w:highlight w:val="white"/>
        </w:rPr>
        <w:t>Research Methods in Education</w:t>
      </w:r>
      <w:r>
        <w:rPr>
          <w:rFonts w:ascii="Arial" w:eastAsia="Arial" w:hAnsi="Arial" w:cs="Arial"/>
          <w:sz w:val="22"/>
          <w:szCs w:val="22"/>
          <w:highlight w:val="white"/>
        </w:rPr>
        <w:t>. 8th ed. London: Routledge.</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rPr>
      </w:pPr>
      <w:r>
        <w:rPr>
          <w:rFonts w:ascii="Arial" w:eastAsia="Arial" w:hAnsi="Arial" w:cs="Arial"/>
          <w:sz w:val="22"/>
          <w:szCs w:val="22"/>
        </w:rPr>
        <w:t xml:space="preserve">Costley, Elliott &amp; Gibbs. </w:t>
      </w:r>
      <w:r>
        <w:rPr>
          <w:rFonts w:ascii="Arial" w:eastAsia="Arial" w:hAnsi="Arial" w:cs="Arial"/>
          <w:sz w:val="22"/>
          <w:szCs w:val="22"/>
        </w:rPr>
        <w:t xml:space="preserve">(2010) </w:t>
      </w:r>
      <w:r>
        <w:rPr>
          <w:rFonts w:ascii="Arial" w:eastAsia="Arial" w:hAnsi="Arial" w:cs="Arial"/>
          <w:i/>
          <w:sz w:val="22"/>
          <w:szCs w:val="22"/>
        </w:rPr>
        <w:t xml:space="preserve">Doing Work Based Research: Approaches to Enquiry for Insider-Researchers. </w:t>
      </w:r>
      <w:r>
        <w:rPr>
          <w:rFonts w:ascii="Arial" w:eastAsia="Arial" w:hAnsi="Arial" w:cs="Arial"/>
          <w:sz w:val="22"/>
          <w:szCs w:val="22"/>
        </w:rPr>
        <w:t>Sage Publications</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Crotty, M. (2005) </w:t>
      </w:r>
      <w:r>
        <w:rPr>
          <w:rFonts w:ascii="Arial" w:eastAsia="Arial" w:hAnsi="Arial" w:cs="Arial"/>
          <w:i/>
          <w:sz w:val="22"/>
          <w:szCs w:val="22"/>
          <w:highlight w:val="white"/>
        </w:rPr>
        <w:t>The Foundations of Social Research: Meaning and Perspective in the Research Process</w:t>
      </w:r>
      <w:r>
        <w:rPr>
          <w:rFonts w:ascii="Arial" w:eastAsia="Arial" w:hAnsi="Arial" w:cs="Arial"/>
          <w:sz w:val="22"/>
          <w:szCs w:val="22"/>
          <w:highlight w:val="white"/>
        </w:rPr>
        <w:t>. London: Sage.</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color w:val="222222"/>
          <w:sz w:val="22"/>
          <w:szCs w:val="22"/>
          <w:highlight w:val="yellow"/>
        </w:rPr>
      </w:pPr>
      <w:r>
        <w:rPr>
          <w:rFonts w:ascii="Arial" w:eastAsia="Arial" w:hAnsi="Arial" w:cs="Arial"/>
          <w:color w:val="222222"/>
          <w:sz w:val="22"/>
          <w:szCs w:val="22"/>
          <w:highlight w:val="white"/>
        </w:rPr>
        <w:t xml:space="preserve">Dawson, C. (2013). </w:t>
      </w:r>
      <w:r>
        <w:rPr>
          <w:rFonts w:ascii="Arial" w:eastAsia="Arial" w:hAnsi="Arial" w:cs="Arial"/>
          <w:i/>
          <w:color w:val="222222"/>
          <w:sz w:val="22"/>
          <w:szCs w:val="22"/>
          <w:highlight w:val="white"/>
        </w:rPr>
        <w:t>Introduction to research methods</w:t>
      </w:r>
      <w:r>
        <w:rPr>
          <w:rFonts w:ascii="Arial" w:eastAsia="Arial" w:hAnsi="Arial" w:cs="Arial"/>
          <w:color w:val="222222"/>
          <w:sz w:val="22"/>
          <w:szCs w:val="22"/>
          <w:highlight w:val="white"/>
        </w:rPr>
        <w:t>. Oxford: How To Books.</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yellow"/>
        </w:rPr>
      </w:pPr>
      <w:proofErr w:type="spellStart"/>
      <w:r>
        <w:rPr>
          <w:rFonts w:ascii="Arial" w:eastAsia="Arial" w:hAnsi="Arial" w:cs="Arial"/>
          <w:sz w:val="22"/>
          <w:szCs w:val="22"/>
          <w:highlight w:val="white"/>
        </w:rPr>
        <w:t>Easterby</w:t>
      </w:r>
      <w:proofErr w:type="spellEnd"/>
      <w:r>
        <w:rPr>
          <w:rFonts w:ascii="Arial" w:eastAsia="Arial" w:hAnsi="Arial" w:cs="Arial"/>
          <w:sz w:val="22"/>
          <w:szCs w:val="22"/>
          <w:highlight w:val="white"/>
        </w:rPr>
        <w:t xml:space="preserve">-Smith, M., Thorpe, R. and Jackson, P. (1991). </w:t>
      </w:r>
      <w:r>
        <w:rPr>
          <w:rFonts w:ascii="Arial" w:eastAsia="Arial" w:hAnsi="Arial" w:cs="Arial"/>
          <w:i/>
          <w:sz w:val="22"/>
          <w:szCs w:val="22"/>
          <w:highlight w:val="white"/>
        </w:rPr>
        <w:t>Management and research: An introduction</w:t>
      </w:r>
      <w:r>
        <w:rPr>
          <w:rFonts w:ascii="Arial" w:eastAsia="Arial" w:hAnsi="Arial" w:cs="Arial"/>
          <w:sz w:val="22"/>
          <w:szCs w:val="22"/>
          <w:highlight w:val="white"/>
        </w:rPr>
        <w:t>. Los Angeles [etc.]: Sage.</w:t>
      </w:r>
    </w:p>
    <w:p w:rsidR="00CF618F" w:rsidRDefault="00CF618F">
      <w:pPr>
        <w:shd w:val="clear" w:color="auto" w:fill="FFFFFF"/>
        <w:spacing w:line="360" w:lineRule="auto"/>
        <w:rPr>
          <w:rFonts w:ascii="Arial" w:eastAsia="Arial" w:hAnsi="Arial" w:cs="Arial"/>
          <w:sz w:val="22"/>
          <w:szCs w:val="22"/>
          <w:highlight w:val="yellow"/>
        </w:rPr>
      </w:pPr>
    </w:p>
    <w:p w:rsidR="00CF618F" w:rsidRDefault="00DC6986">
      <w:pPr>
        <w:shd w:val="clear" w:color="auto" w:fill="FFFFFF"/>
        <w:spacing w:line="360" w:lineRule="auto"/>
        <w:rPr>
          <w:rFonts w:ascii="Arial" w:eastAsia="Arial" w:hAnsi="Arial" w:cs="Arial"/>
          <w:sz w:val="22"/>
          <w:szCs w:val="22"/>
        </w:rPr>
      </w:pPr>
      <w:r>
        <w:rPr>
          <w:rFonts w:ascii="Arial" w:eastAsia="Arial" w:hAnsi="Arial" w:cs="Arial"/>
          <w:sz w:val="22"/>
          <w:szCs w:val="22"/>
        </w:rPr>
        <w:t>Ennis, C. D., &amp; Chen, S. (2012). Chapter 16: Interviews and focus groups. In K. Armour &amp; D. Macdonald (Eds.), Research methods in physical education and youth sport (pp. 217-236). New York: Routledge.</w:t>
      </w:r>
    </w:p>
    <w:p w:rsidR="00CF618F" w:rsidRDefault="00CF618F">
      <w:pPr>
        <w:shd w:val="clear" w:color="auto" w:fill="FFFFFF"/>
        <w:spacing w:line="360" w:lineRule="auto"/>
        <w:rPr>
          <w:rFonts w:ascii="Arial" w:eastAsia="Arial" w:hAnsi="Arial" w:cs="Arial"/>
          <w:sz w:val="22"/>
          <w:szCs w:val="22"/>
          <w:highlight w:val="yellow"/>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Frankfort-</w:t>
      </w:r>
      <w:proofErr w:type="spellStart"/>
      <w:r>
        <w:rPr>
          <w:rFonts w:ascii="Arial" w:eastAsia="Arial" w:hAnsi="Arial" w:cs="Arial"/>
          <w:sz w:val="22"/>
          <w:szCs w:val="22"/>
          <w:highlight w:val="white"/>
        </w:rPr>
        <w:t>Nachmias</w:t>
      </w:r>
      <w:proofErr w:type="spellEnd"/>
      <w:r>
        <w:rPr>
          <w:rFonts w:ascii="Arial" w:eastAsia="Arial" w:hAnsi="Arial" w:cs="Arial"/>
          <w:sz w:val="22"/>
          <w:szCs w:val="22"/>
          <w:highlight w:val="white"/>
        </w:rPr>
        <w:t xml:space="preserve">, C. and </w:t>
      </w:r>
      <w:proofErr w:type="spellStart"/>
      <w:r>
        <w:rPr>
          <w:rFonts w:ascii="Arial" w:eastAsia="Arial" w:hAnsi="Arial" w:cs="Arial"/>
          <w:sz w:val="22"/>
          <w:szCs w:val="22"/>
          <w:highlight w:val="white"/>
        </w:rPr>
        <w:t>Nachmias</w:t>
      </w:r>
      <w:proofErr w:type="spellEnd"/>
      <w:r>
        <w:rPr>
          <w:rFonts w:ascii="Arial" w:eastAsia="Arial" w:hAnsi="Arial" w:cs="Arial"/>
          <w:sz w:val="22"/>
          <w:szCs w:val="22"/>
          <w:highlight w:val="white"/>
        </w:rPr>
        <w:t xml:space="preserve">, D. (1992) </w:t>
      </w:r>
      <w:r>
        <w:rPr>
          <w:rFonts w:ascii="Arial" w:eastAsia="Arial" w:hAnsi="Arial" w:cs="Arial"/>
          <w:i/>
          <w:sz w:val="22"/>
          <w:szCs w:val="22"/>
          <w:highlight w:val="white"/>
        </w:rPr>
        <w:t>Researc</w:t>
      </w:r>
      <w:r>
        <w:rPr>
          <w:rFonts w:ascii="Arial" w:eastAsia="Arial" w:hAnsi="Arial" w:cs="Arial"/>
          <w:i/>
          <w:sz w:val="22"/>
          <w:szCs w:val="22"/>
          <w:highlight w:val="white"/>
        </w:rPr>
        <w:t>h Methods in Social Sciences</w:t>
      </w:r>
      <w:r>
        <w:rPr>
          <w:rFonts w:ascii="Arial" w:eastAsia="Arial" w:hAnsi="Arial" w:cs="Arial"/>
          <w:sz w:val="22"/>
          <w:szCs w:val="22"/>
          <w:highlight w:val="white"/>
        </w:rPr>
        <w:t xml:space="preserve"> [online]. London: Edward Arnold. [Accessed 01.12.2019].</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GDPR (2018) </w:t>
      </w:r>
      <w:r>
        <w:rPr>
          <w:rFonts w:ascii="Arial" w:eastAsia="Arial" w:hAnsi="Arial" w:cs="Arial"/>
          <w:i/>
          <w:sz w:val="22"/>
          <w:szCs w:val="22"/>
          <w:highlight w:val="white"/>
        </w:rPr>
        <w:t xml:space="preserve">Guide to the General Data Protection Regulation. </w:t>
      </w:r>
      <w:r>
        <w:rPr>
          <w:rFonts w:ascii="Arial" w:eastAsia="Arial" w:hAnsi="Arial" w:cs="Arial"/>
          <w:sz w:val="22"/>
          <w:szCs w:val="22"/>
          <w:highlight w:val="white"/>
        </w:rPr>
        <w:t>Available from:</w:t>
      </w:r>
      <w:hyperlink r:id="rId8">
        <w:r>
          <w:rPr>
            <w:rFonts w:ascii="Arial" w:eastAsia="Arial" w:hAnsi="Arial" w:cs="Arial"/>
            <w:sz w:val="22"/>
            <w:szCs w:val="22"/>
            <w:highlight w:val="white"/>
          </w:rPr>
          <w:t xml:space="preserve"> https://ico.org.uk/for-organisations/guide-to-data-protection/guide-to-the-general-data-protection-regulation-gdpr/</w:t>
        </w:r>
      </w:hyperlink>
      <w:r>
        <w:rPr>
          <w:rFonts w:ascii="Arial" w:eastAsia="Arial" w:hAnsi="Arial" w:cs="Arial"/>
          <w:sz w:val="22"/>
          <w:szCs w:val="22"/>
          <w:highlight w:val="white"/>
        </w:rPr>
        <w:t>.[Accessed 12.12 2020].</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Gorard</w:t>
      </w:r>
      <w:proofErr w:type="spellEnd"/>
      <w:r>
        <w:rPr>
          <w:rFonts w:ascii="Arial" w:eastAsia="Arial" w:hAnsi="Arial" w:cs="Arial"/>
          <w:sz w:val="22"/>
          <w:szCs w:val="22"/>
          <w:highlight w:val="white"/>
        </w:rPr>
        <w:t xml:space="preserve">, S. (2013) </w:t>
      </w:r>
      <w:r>
        <w:rPr>
          <w:rFonts w:ascii="Arial" w:eastAsia="Arial" w:hAnsi="Arial" w:cs="Arial"/>
          <w:i/>
          <w:sz w:val="22"/>
          <w:szCs w:val="22"/>
          <w:highlight w:val="white"/>
        </w:rPr>
        <w:t>Research design: creating robust approaches for the soci</w:t>
      </w:r>
      <w:r>
        <w:rPr>
          <w:rFonts w:ascii="Arial" w:eastAsia="Arial" w:hAnsi="Arial" w:cs="Arial"/>
          <w:i/>
          <w:sz w:val="22"/>
          <w:szCs w:val="22"/>
          <w:highlight w:val="white"/>
        </w:rPr>
        <w:t>al sciences</w:t>
      </w:r>
      <w:r>
        <w:rPr>
          <w:rFonts w:ascii="Arial" w:eastAsia="Arial" w:hAnsi="Arial" w:cs="Arial"/>
          <w:sz w:val="22"/>
          <w:szCs w:val="22"/>
          <w:highlight w:val="white"/>
        </w:rPr>
        <w:t>. London: Sage</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Gov.wales</w:t>
      </w:r>
      <w:proofErr w:type="spellEnd"/>
      <w:r>
        <w:rPr>
          <w:rFonts w:ascii="Arial" w:eastAsia="Arial" w:hAnsi="Arial" w:cs="Arial"/>
          <w:sz w:val="22"/>
          <w:szCs w:val="22"/>
          <w:highlight w:val="white"/>
        </w:rPr>
        <w:t>. (2020). [online] Available at: https://gov.wales/sites/default/files/publications/2018-03/education-in-wales-our-national-mission.pdf [Accessed 12.12 2020].</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Hallebone</w:t>
      </w:r>
      <w:proofErr w:type="spellEnd"/>
      <w:r>
        <w:rPr>
          <w:rFonts w:ascii="Arial" w:eastAsia="Arial" w:hAnsi="Arial" w:cs="Arial"/>
          <w:sz w:val="22"/>
          <w:szCs w:val="22"/>
          <w:highlight w:val="white"/>
        </w:rPr>
        <w:t xml:space="preserve">, E. &amp;  Priest, J. (2009) </w:t>
      </w:r>
      <w:r>
        <w:rPr>
          <w:rFonts w:ascii="Arial" w:eastAsia="Arial" w:hAnsi="Arial" w:cs="Arial"/>
          <w:i/>
          <w:sz w:val="22"/>
          <w:szCs w:val="22"/>
          <w:highlight w:val="white"/>
        </w:rPr>
        <w:t>Business and Management R</w:t>
      </w:r>
      <w:r>
        <w:rPr>
          <w:rFonts w:ascii="Arial" w:eastAsia="Arial" w:hAnsi="Arial" w:cs="Arial"/>
          <w:i/>
          <w:sz w:val="22"/>
          <w:szCs w:val="22"/>
          <w:highlight w:val="white"/>
        </w:rPr>
        <w:t xml:space="preserve">esearch: Paradigms and Practices. </w:t>
      </w:r>
      <w:r>
        <w:rPr>
          <w:rFonts w:ascii="Arial" w:eastAsia="Arial" w:hAnsi="Arial" w:cs="Arial"/>
          <w:sz w:val="22"/>
          <w:szCs w:val="22"/>
          <w:highlight w:val="white"/>
        </w:rPr>
        <w:t xml:space="preserve"> Palgrave: Macmillan</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Hammersley</w:t>
      </w:r>
      <w:proofErr w:type="spellEnd"/>
      <w:r>
        <w:rPr>
          <w:rFonts w:ascii="Arial" w:eastAsia="Arial" w:hAnsi="Arial" w:cs="Arial"/>
          <w:sz w:val="22"/>
          <w:szCs w:val="22"/>
          <w:highlight w:val="white"/>
        </w:rPr>
        <w:t xml:space="preserve">, M. (1993). On the Teacher as Researcher. </w:t>
      </w:r>
      <w:r>
        <w:rPr>
          <w:rFonts w:ascii="Arial" w:eastAsia="Arial" w:hAnsi="Arial" w:cs="Arial"/>
          <w:i/>
          <w:sz w:val="22"/>
          <w:szCs w:val="22"/>
          <w:highlight w:val="white"/>
        </w:rPr>
        <w:t>Educational Action Research</w:t>
      </w:r>
      <w:r>
        <w:rPr>
          <w:rFonts w:ascii="Arial" w:eastAsia="Arial" w:hAnsi="Arial" w:cs="Arial"/>
          <w:sz w:val="22"/>
          <w:szCs w:val="22"/>
          <w:highlight w:val="white"/>
        </w:rPr>
        <w:t>, 1(3)</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Hart, C. (2005) </w:t>
      </w:r>
      <w:r>
        <w:rPr>
          <w:rFonts w:ascii="Arial" w:eastAsia="Arial" w:hAnsi="Arial" w:cs="Arial"/>
          <w:i/>
          <w:sz w:val="22"/>
          <w:szCs w:val="22"/>
          <w:highlight w:val="white"/>
        </w:rPr>
        <w:t>Doing your masters dissertation</w:t>
      </w:r>
      <w:r>
        <w:rPr>
          <w:rFonts w:ascii="Arial" w:eastAsia="Arial" w:hAnsi="Arial" w:cs="Arial"/>
          <w:sz w:val="22"/>
          <w:szCs w:val="22"/>
          <w:highlight w:val="white"/>
        </w:rPr>
        <w:t>. London: Sage.</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Jones, M. (2015) </w:t>
      </w:r>
      <w:r>
        <w:rPr>
          <w:rFonts w:ascii="Arial" w:eastAsia="Arial" w:hAnsi="Arial" w:cs="Arial"/>
          <w:i/>
          <w:sz w:val="22"/>
          <w:szCs w:val="22"/>
          <w:highlight w:val="white"/>
        </w:rPr>
        <w:t>Writing a Research Proposal.</w:t>
      </w:r>
      <w:r>
        <w:rPr>
          <w:rFonts w:ascii="Arial" w:eastAsia="Arial" w:hAnsi="Arial" w:cs="Arial"/>
          <w:sz w:val="22"/>
          <w:szCs w:val="22"/>
          <w:highlight w:val="white"/>
        </w:rPr>
        <w:t xml:space="preserve"> In</w:t>
      </w:r>
      <w:r>
        <w:rPr>
          <w:rFonts w:ascii="Arial" w:eastAsia="Arial" w:hAnsi="Arial" w:cs="Arial"/>
          <w:sz w:val="22"/>
          <w:szCs w:val="22"/>
          <w:highlight w:val="white"/>
        </w:rPr>
        <w:t xml:space="preserve"> Butt, G. (</w:t>
      </w:r>
      <w:proofErr w:type="spellStart"/>
      <w:r>
        <w:rPr>
          <w:rFonts w:ascii="Arial" w:eastAsia="Arial" w:hAnsi="Arial" w:cs="Arial"/>
          <w:sz w:val="22"/>
          <w:szCs w:val="22"/>
          <w:highlight w:val="white"/>
        </w:rPr>
        <w:t>ed</w:t>
      </w:r>
      <w:proofErr w:type="spellEnd"/>
      <w:r>
        <w:rPr>
          <w:rFonts w:ascii="Arial" w:eastAsia="Arial" w:hAnsi="Arial" w:cs="Arial"/>
          <w:sz w:val="22"/>
          <w:szCs w:val="22"/>
          <w:highlight w:val="white"/>
        </w:rPr>
        <w:t xml:space="preserve">) (2015) </w:t>
      </w:r>
      <w:r>
        <w:rPr>
          <w:rFonts w:ascii="Arial" w:eastAsia="Arial" w:hAnsi="Arial" w:cs="Arial"/>
          <w:i/>
          <w:sz w:val="22"/>
          <w:szCs w:val="22"/>
          <w:highlight w:val="white"/>
        </w:rPr>
        <w:t>Masterclass in Geography Education: Transforming Teaching and Learning.</w:t>
      </w:r>
      <w:r>
        <w:rPr>
          <w:rFonts w:ascii="Arial" w:eastAsia="Arial" w:hAnsi="Arial" w:cs="Arial"/>
          <w:sz w:val="22"/>
          <w:szCs w:val="22"/>
          <w:highlight w:val="white"/>
        </w:rPr>
        <w:t xml:space="preserve"> United Kingdom: Bloomsbury Academic.</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Krueger, R. (1998). </w:t>
      </w:r>
      <w:r>
        <w:rPr>
          <w:rFonts w:ascii="Arial" w:eastAsia="Arial" w:hAnsi="Arial" w:cs="Arial"/>
          <w:i/>
          <w:sz w:val="22"/>
          <w:szCs w:val="22"/>
          <w:highlight w:val="white"/>
        </w:rPr>
        <w:t>Developing questions for focus groups</w:t>
      </w:r>
      <w:r>
        <w:rPr>
          <w:rFonts w:ascii="Arial" w:eastAsia="Arial" w:hAnsi="Arial" w:cs="Arial"/>
          <w:sz w:val="22"/>
          <w:szCs w:val="22"/>
          <w:highlight w:val="white"/>
        </w:rPr>
        <w:t>. Thousand Oaks, CA: SAGE.</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MacPhail</w:t>
      </w:r>
      <w:proofErr w:type="spellEnd"/>
      <w:r>
        <w:rPr>
          <w:rFonts w:ascii="Arial" w:eastAsia="Arial" w:hAnsi="Arial" w:cs="Arial"/>
          <w:sz w:val="22"/>
          <w:szCs w:val="22"/>
          <w:highlight w:val="white"/>
        </w:rPr>
        <w:t xml:space="preserve">, A, Kirk, D &amp; </w:t>
      </w:r>
      <w:proofErr w:type="spellStart"/>
      <w:r>
        <w:rPr>
          <w:rFonts w:ascii="Arial" w:eastAsia="Arial" w:hAnsi="Arial" w:cs="Arial"/>
          <w:sz w:val="22"/>
          <w:szCs w:val="22"/>
          <w:highlight w:val="white"/>
        </w:rPr>
        <w:t>Kinchin</w:t>
      </w:r>
      <w:proofErr w:type="spellEnd"/>
      <w:r>
        <w:rPr>
          <w:rFonts w:ascii="Arial" w:eastAsia="Arial" w:hAnsi="Arial" w:cs="Arial"/>
          <w:sz w:val="22"/>
          <w:szCs w:val="22"/>
          <w:highlight w:val="white"/>
        </w:rPr>
        <w:t xml:space="preserve">, G 2004, 'Sport education: promoting team affiliation through physical education', </w:t>
      </w:r>
      <w:r>
        <w:rPr>
          <w:rFonts w:ascii="Arial" w:eastAsia="Arial" w:hAnsi="Arial" w:cs="Arial"/>
          <w:i/>
          <w:sz w:val="22"/>
          <w:szCs w:val="22"/>
          <w:highlight w:val="white"/>
        </w:rPr>
        <w:t>Journal of Teaching in Physical Education</w:t>
      </w:r>
      <w:r>
        <w:rPr>
          <w:rFonts w:ascii="Arial" w:eastAsia="Arial" w:hAnsi="Arial" w:cs="Arial"/>
          <w:sz w:val="22"/>
          <w:szCs w:val="22"/>
          <w:highlight w:val="white"/>
        </w:rPr>
        <w:t xml:space="preserve">, vol. 23, no. 2, pp. 106-122. </w:t>
      </w:r>
      <w:hyperlink r:id="rId9">
        <w:r>
          <w:rPr>
            <w:rFonts w:ascii="Arial" w:eastAsia="Arial" w:hAnsi="Arial" w:cs="Arial"/>
            <w:sz w:val="22"/>
            <w:szCs w:val="22"/>
            <w:highlight w:val="white"/>
            <w:u w:val="single"/>
          </w:rPr>
          <w:t>https://doi.o</w:t>
        </w:r>
        <w:r>
          <w:rPr>
            <w:rFonts w:ascii="Arial" w:eastAsia="Arial" w:hAnsi="Arial" w:cs="Arial"/>
            <w:sz w:val="22"/>
            <w:szCs w:val="22"/>
            <w:highlight w:val="white"/>
            <w:u w:val="single"/>
          </w:rPr>
          <w:t>rg/10.1123/jtpe.23.2.106</w:t>
        </w:r>
      </w:hyperlink>
      <w:r>
        <w:rPr>
          <w:rFonts w:ascii="Arial" w:eastAsia="Arial" w:hAnsi="Arial" w:cs="Arial"/>
          <w:sz w:val="22"/>
          <w:szCs w:val="22"/>
          <w:highlight w:val="white"/>
        </w:rPr>
        <w:t xml:space="preserve"> [Accessed 08 12 2019].</w:t>
      </w:r>
    </w:p>
    <w:p w:rsidR="00CF618F" w:rsidRDefault="00CF618F">
      <w:pPr>
        <w:shd w:val="clear" w:color="auto" w:fill="FFFFFF"/>
        <w:spacing w:line="360" w:lineRule="auto"/>
        <w:rPr>
          <w:rFonts w:ascii="Arial" w:eastAsia="Arial" w:hAnsi="Arial" w:cs="Arial"/>
          <w:color w:val="666666"/>
          <w:sz w:val="22"/>
          <w:szCs w:val="22"/>
          <w:highlight w:val="white"/>
        </w:rPr>
      </w:pPr>
    </w:p>
    <w:p w:rsidR="00CF618F" w:rsidRDefault="00DC6986">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O’Leary, Z. (2004) </w:t>
      </w:r>
      <w:r>
        <w:rPr>
          <w:rFonts w:ascii="Arial" w:eastAsia="Arial" w:hAnsi="Arial" w:cs="Arial"/>
          <w:i/>
          <w:sz w:val="22"/>
          <w:szCs w:val="22"/>
          <w:highlight w:val="white"/>
        </w:rPr>
        <w:t>The Essential Guide To Doing Research</w:t>
      </w:r>
      <w:r>
        <w:rPr>
          <w:rFonts w:ascii="Arial" w:eastAsia="Arial" w:hAnsi="Arial" w:cs="Arial"/>
          <w:sz w:val="22"/>
          <w:szCs w:val="22"/>
          <w:highlight w:val="white"/>
        </w:rPr>
        <w:t>. London: Sage.</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rPr>
      </w:pPr>
      <w:r>
        <w:rPr>
          <w:rFonts w:ascii="Arial" w:eastAsia="Arial" w:hAnsi="Arial" w:cs="Arial"/>
          <w:sz w:val="22"/>
          <w:szCs w:val="22"/>
          <w:highlight w:val="white"/>
        </w:rPr>
        <w:t xml:space="preserve">Punch, K. F. and </w:t>
      </w:r>
      <w:proofErr w:type="spellStart"/>
      <w:r>
        <w:rPr>
          <w:rFonts w:ascii="Arial" w:eastAsia="Arial" w:hAnsi="Arial" w:cs="Arial"/>
          <w:sz w:val="22"/>
          <w:szCs w:val="22"/>
          <w:highlight w:val="white"/>
        </w:rPr>
        <w:t>Oancea</w:t>
      </w:r>
      <w:proofErr w:type="spellEnd"/>
      <w:r>
        <w:rPr>
          <w:rFonts w:ascii="Arial" w:eastAsia="Arial" w:hAnsi="Arial" w:cs="Arial"/>
          <w:sz w:val="22"/>
          <w:szCs w:val="22"/>
          <w:highlight w:val="white"/>
        </w:rPr>
        <w:t xml:space="preserve">, A. E. (2014) </w:t>
      </w:r>
      <w:r>
        <w:rPr>
          <w:rFonts w:ascii="Arial" w:eastAsia="Arial" w:hAnsi="Arial" w:cs="Arial"/>
          <w:i/>
          <w:sz w:val="22"/>
          <w:szCs w:val="22"/>
          <w:highlight w:val="white"/>
        </w:rPr>
        <w:t>Introduction to research methods in Education</w:t>
      </w:r>
      <w:r>
        <w:rPr>
          <w:rFonts w:ascii="Arial" w:eastAsia="Arial" w:hAnsi="Arial" w:cs="Arial"/>
          <w:sz w:val="22"/>
          <w:szCs w:val="22"/>
          <w:highlight w:val="white"/>
        </w:rPr>
        <w:t xml:space="preserve">. United Kingdom: Sage Publications. Sandy Q. Qu </w:t>
      </w:r>
      <w:hyperlink r:id="rId10">
        <w:r>
          <w:rPr>
            <w:rFonts w:ascii="Arial" w:eastAsia="Arial" w:hAnsi="Arial" w:cs="Arial"/>
            <w:sz w:val="22"/>
            <w:szCs w:val="22"/>
            <w:highlight w:val="white"/>
          </w:rPr>
          <w:t xml:space="preserve"> </w:t>
        </w:r>
      </w:hyperlink>
    </w:p>
    <w:p w:rsidR="00CF618F" w:rsidRDefault="00CF618F">
      <w:pPr>
        <w:spacing w:line="360" w:lineRule="auto"/>
        <w:rPr>
          <w:rFonts w:ascii="Arial" w:eastAsia="Arial" w:hAnsi="Arial" w:cs="Arial"/>
          <w:sz w:val="22"/>
          <w:szCs w:val="22"/>
        </w:rPr>
      </w:pPr>
    </w:p>
    <w:p w:rsidR="00CF618F" w:rsidRDefault="00DC6986">
      <w:pPr>
        <w:shd w:val="clear" w:color="auto" w:fill="FFFFFF"/>
        <w:spacing w:line="360" w:lineRule="auto"/>
        <w:jc w:val="both"/>
        <w:rPr>
          <w:rFonts w:ascii="Arial" w:eastAsia="Arial" w:hAnsi="Arial" w:cs="Arial"/>
          <w:sz w:val="22"/>
          <w:szCs w:val="22"/>
        </w:rPr>
      </w:pPr>
      <w:r>
        <w:rPr>
          <w:rFonts w:ascii="Arial" w:eastAsia="Arial" w:hAnsi="Arial" w:cs="Arial"/>
          <w:sz w:val="22"/>
          <w:szCs w:val="22"/>
          <w:highlight w:val="white"/>
        </w:rPr>
        <w:t>Patton, M. Q. (2002). Qualitative Research &amp; Evaluation Methods. 3rd edition. Sage Publications, Inc.</w:t>
      </w:r>
    </w:p>
    <w:p w:rsidR="00CF618F" w:rsidRDefault="00CF618F">
      <w:pPr>
        <w:spacing w:line="360" w:lineRule="auto"/>
        <w:rPr>
          <w:rFonts w:ascii="Arial" w:eastAsia="Arial" w:hAnsi="Arial" w:cs="Arial"/>
          <w:sz w:val="22"/>
          <w:szCs w:val="22"/>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Palys</w:t>
      </w:r>
      <w:proofErr w:type="spellEnd"/>
      <w:r>
        <w:rPr>
          <w:rFonts w:ascii="Arial" w:eastAsia="Arial" w:hAnsi="Arial" w:cs="Arial"/>
          <w:sz w:val="22"/>
          <w:szCs w:val="22"/>
          <w:highlight w:val="white"/>
        </w:rPr>
        <w:t xml:space="preserve">, T. and Atchison, C. (2014). </w:t>
      </w:r>
      <w:r>
        <w:rPr>
          <w:rFonts w:ascii="Arial" w:eastAsia="Arial" w:hAnsi="Arial" w:cs="Arial"/>
          <w:i/>
          <w:sz w:val="22"/>
          <w:szCs w:val="22"/>
          <w:highlight w:val="white"/>
        </w:rPr>
        <w:t>Research dec</w:t>
      </w:r>
      <w:r>
        <w:rPr>
          <w:rFonts w:ascii="Arial" w:eastAsia="Arial" w:hAnsi="Arial" w:cs="Arial"/>
          <w:i/>
          <w:sz w:val="22"/>
          <w:szCs w:val="22"/>
          <w:highlight w:val="white"/>
        </w:rPr>
        <w:t>isions</w:t>
      </w:r>
      <w:r>
        <w:rPr>
          <w:rFonts w:ascii="Arial" w:eastAsia="Arial" w:hAnsi="Arial" w:cs="Arial"/>
          <w:sz w:val="22"/>
          <w:szCs w:val="22"/>
          <w:highlight w:val="white"/>
        </w:rPr>
        <w:t>. Toronto: Nelson Education.</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yellow"/>
        </w:rPr>
      </w:pPr>
      <w:r>
        <w:rPr>
          <w:rFonts w:ascii="Arial" w:eastAsia="Arial" w:hAnsi="Arial" w:cs="Arial"/>
          <w:sz w:val="22"/>
          <w:szCs w:val="22"/>
          <w:highlight w:val="white"/>
        </w:rPr>
        <w:t>Peters, S. (2011). The chimp paradox. London: Vermilion.</w:t>
      </w:r>
    </w:p>
    <w:p w:rsidR="00CF618F" w:rsidRDefault="00CF618F">
      <w:pPr>
        <w:shd w:val="clear" w:color="auto" w:fill="FFFFFF"/>
        <w:spacing w:line="360" w:lineRule="auto"/>
        <w:rPr>
          <w:rFonts w:ascii="Arial" w:eastAsia="Arial" w:hAnsi="Arial" w:cs="Arial"/>
          <w:sz w:val="22"/>
          <w:szCs w:val="22"/>
          <w:highlight w:val="yellow"/>
        </w:rPr>
      </w:pPr>
    </w:p>
    <w:p w:rsidR="00CF618F" w:rsidRDefault="00DC6986">
      <w:pPr>
        <w:shd w:val="clear" w:color="auto" w:fill="FFFFFF"/>
        <w:spacing w:line="360" w:lineRule="auto"/>
        <w:rPr>
          <w:rFonts w:ascii="Arial" w:eastAsia="Arial" w:hAnsi="Arial" w:cs="Arial"/>
          <w:sz w:val="22"/>
          <w:szCs w:val="22"/>
        </w:rPr>
      </w:pPr>
      <w:proofErr w:type="spellStart"/>
      <w:r>
        <w:rPr>
          <w:rFonts w:ascii="Arial" w:eastAsia="Arial" w:hAnsi="Arial" w:cs="Arial"/>
          <w:sz w:val="22"/>
          <w:szCs w:val="22"/>
        </w:rPr>
        <w:t>Rapley</w:t>
      </w:r>
      <w:proofErr w:type="spellEnd"/>
      <w:r>
        <w:rPr>
          <w:rFonts w:ascii="Arial" w:eastAsia="Arial" w:hAnsi="Arial" w:cs="Arial"/>
          <w:sz w:val="22"/>
          <w:szCs w:val="22"/>
        </w:rPr>
        <w:t>, Timothy. (2001). The art(</w:t>
      </w:r>
      <w:proofErr w:type="spellStart"/>
      <w:r>
        <w:rPr>
          <w:rFonts w:ascii="Arial" w:eastAsia="Arial" w:hAnsi="Arial" w:cs="Arial"/>
          <w:sz w:val="22"/>
          <w:szCs w:val="22"/>
        </w:rPr>
        <w:t>Fumess</w:t>
      </w:r>
      <w:proofErr w:type="spellEnd"/>
      <w:r>
        <w:rPr>
          <w:rFonts w:ascii="Arial" w:eastAsia="Arial" w:hAnsi="Arial" w:cs="Arial"/>
          <w:sz w:val="22"/>
          <w:szCs w:val="22"/>
        </w:rPr>
        <w:t>) of open-ended interviewing: some considerations on analysing interviews. Qualitative Research - QUAL RES. 1. 303-323. 10.</w:t>
      </w:r>
      <w:r>
        <w:rPr>
          <w:rFonts w:ascii="Arial" w:eastAsia="Arial" w:hAnsi="Arial" w:cs="Arial"/>
          <w:sz w:val="22"/>
          <w:szCs w:val="22"/>
        </w:rPr>
        <w:t xml:space="preserve">1177/146879410100100303. </w:t>
      </w:r>
    </w:p>
    <w:p w:rsidR="00CF618F" w:rsidRDefault="00CF618F">
      <w:pPr>
        <w:shd w:val="clear" w:color="auto" w:fill="FFFFFF"/>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Ruane</w:t>
      </w:r>
      <w:proofErr w:type="spellEnd"/>
      <w:r>
        <w:rPr>
          <w:rFonts w:ascii="Arial" w:eastAsia="Arial" w:hAnsi="Arial" w:cs="Arial"/>
          <w:sz w:val="22"/>
          <w:szCs w:val="22"/>
          <w:highlight w:val="white"/>
        </w:rPr>
        <w:t xml:space="preserve">, J.M. (2005) </w:t>
      </w:r>
      <w:r>
        <w:rPr>
          <w:rFonts w:ascii="Arial" w:eastAsia="Arial" w:hAnsi="Arial" w:cs="Arial"/>
          <w:i/>
          <w:sz w:val="22"/>
          <w:szCs w:val="22"/>
          <w:highlight w:val="white"/>
        </w:rPr>
        <w:t>Essentials of Research Methods: A guide to social science research</w:t>
      </w:r>
      <w:r>
        <w:rPr>
          <w:rFonts w:ascii="Arial" w:eastAsia="Arial" w:hAnsi="Arial" w:cs="Arial"/>
          <w:sz w:val="22"/>
          <w:szCs w:val="22"/>
          <w:highlight w:val="white"/>
        </w:rPr>
        <w:t xml:space="preserve"> [online]. Oxford: Blackwell. [Accessed 08 12 2019].</w:t>
      </w:r>
    </w:p>
    <w:p w:rsidR="00CF618F" w:rsidRDefault="00CF618F">
      <w:pPr>
        <w:spacing w:line="360" w:lineRule="auto"/>
        <w:rPr>
          <w:rFonts w:ascii="Arial" w:eastAsia="Arial" w:hAnsi="Arial" w:cs="Arial"/>
          <w:sz w:val="22"/>
          <w:szCs w:val="22"/>
          <w:highlight w:val="white"/>
        </w:rPr>
      </w:pPr>
    </w:p>
    <w:p w:rsidR="00CF618F" w:rsidRDefault="00DC6986">
      <w:pPr>
        <w:shd w:val="clear" w:color="auto" w:fill="FFFFFF"/>
        <w:spacing w:before="120" w:line="360" w:lineRule="auto"/>
        <w:rPr>
          <w:rFonts w:ascii="Arial" w:eastAsia="Arial" w:hAnsi="Arial" w:cs="Arial"/>
          <w:sz w:val="22"/>
          <w:szCs w:val="22"/>
          <w:highlight w:val="white"/>
        </w:rPr>
      </w:pPr>
      <w:r>
        <w:rPr>
          <w:rFonts w:ascii="Arial" w:eastAsia="Arial" w:hAnsi="Arial" w:cs="Arial"/>
          <w:sz w:val="22"/>
          <w:szCs w:val="22"/>
          <w:highlight w:val="white"/>
        </w:rPr>
        <w:t xml:space="preserve">Simons, H. (2009) </w:t>
      </w:r>
      <w:r>
        <w:rPr>
          <w:rFonts w:ascii="Arial" w:eastAsia="Arial" w:hAnsi="Arial" w:cs="Arial"/>
          <w:i/>
          <w:sz w:val="22"/>
          <w:szCs w:val="22"/>
          <w:highlight w:val="white"/>
        </w:rPr>
        <w:t>Case Study Research in Practice</w:t>
      </w:r>
      <w:r>
        <w:rPr>
          <w:rFonts w:ascii="Arial" w:eastAsia="Arial" w:hAnsi="Arial" w:cs="Arial"/>
          <w:sz w:val="22"/>
          <w:szCs w:val="22"/>
          <w:highlight w:val="white"/>
        </w:rPr>
        <w:t xml:space="preserve">. London: Sage. </w:t>
      </w:r>
    </w:p>
    <w:p w:rsidR="00CF618F" w:rsidRDefault="00DC6986">
      <w:pPr>
        <w:shd w:val="clear" w:color="auto" w:fill="FFFFFF"/>
        <w:spacing w:before="120" w:line="360" w:lineRule="auto"/>
        <w:rPr>
          <w:rFonts w:ascii="Arial" w:eastAsia="Arial" w:hAnsi="Arial" w:cs="Arial"/>
          <w:sz w:val="22"/>
          <w:szCs w:val="22"/>
          <w:highlight w:val="white"/>
        </w:rPr>
      </w:pPr>
      <w:r>
        <w:rPr>
          <w:rFonts w:ascii="Arial" w:eastAsia="Arial" w:hAnsi="Arial" w:cs="Arial"/>
          <w:sz w:val="22"/>
          <w:szCs w:val="22"/>
          <w:highlight w:val="white"/>
        </w:rPr>
        <w:t xml:space="preserve">Stake, R.E. (1995) </w:t>
      </w:r>
      <w:r>
        <w:rPr>
          <w:rFonts w:ascii="Arial" w:eastAsia="Arial" w:hAnsi="Arial" w:cs="Arial"/>
          <w:i/>
          <w:sz w:val="22"/>
          <w:szCs w:val="22"/>
          <w:highlight w:val="white"/>
        </w:rPr>
        <w:t>The Art of Case Study Research</w:t>
      </w:r>
      <w:r>
        <w:rPr>
          <w:rFonts w:ascii="Arial" w:eastAsia="Arial" w:hAnsi="Arial" w:cs="Arial"/>
          <w:sz w:val="22"/>
          <w:szCs w:val="22"/>
          <w:highlight w:val="white"/>
        </w:rPr>
        <w:t xml:space="preserve"> [online]. Thousand Oaks Ca: Sage. [Accessed 18 December 2019].</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Skånfors</w:t>
      </w:r>
      <w:proofErr w:type="spellEnd"/>
      <w:r>
        <w:rPr>
          <w:rFonts w:ascii="Arial" w:eastAsia="Arial" w:hAnsi="Arial" w:cs="Arial"/>
          <w:sz w:val="22"/>
          <w:szCs w:val="22"/>
          <w:highlight w:val="white"/>
        </w:rPr>
        <w:t xml:space="preserve">, L., </w:t>
      </w:r>
      <w:proofErr w:type="spellStart"/>
      <w:r>
        <w:rPr>
          <w:rFonts w:ascii="Arial" w:eastAsia="Arial" w:hAnsi="Arial" w:cs="Arial"/>
          <w:sz w:val="22"/>
          <w:szCs w:val="22"/>
          <w:highlight w:val="white"/>
        </w:rPr>
        <w:t>Löfdahl</w:t>
      </w:r>
      <w:proofErr w:type="spellEnd"/>
      <w:r>
        <w:rPr>
          <w:rFonts w:ascii="Arial" w:eastAsia="Arial" w:hAnsi="Arial" w:cs="Arial"/>
          <w:sz w:val="22"/>
          <w:szCs w:val="22"/>
          <w:highlight w:val="white"/>
        </w:rPr>
        <w:t xml:space="preserve">, A. and </w:t>
      </w:r>
      <w:proofErr w:type="spellStart"/>
      <w:r>
        <w:rPr>
          <w:rFonts w:ascii="Arial" w:eastAsia="Arial" w:hAnsi="Arial" w:cs="Arial"/>
          <w:sz w:val="22"/>
          <w:szCs w:val="22"/>
          <w:highlight w:val="white"/>
        </w:rPr>
        <w:t>Hägglund</w:t>
      </w:r>
      <w:proofErr w:type="spellEnd"/>
      <w:r>
        <w:rPr>
          <w:rFonts w:ascii="Arial" w:eastAsia="Arial" w:hAnsi="Arial" w:cs="Arial"/>
          <w:sz w:val="22"/>
          <w:szCs w:val="22"/>
          <w:highlight w:val="white"/>
        </w:rPr>
        <w:t xml:space="preserve">, S. (2009). hidden spaces and places in the preschool. </w:t>
      </w:r>
      <w:r>
        <w:rPr>
          <w:rFonts w:ascii="Arial" w:eastAsia="Arial" w:hAnsi="Arial" w:cs="Arial"/>
          <w:i/>
          <w:sz w:val="22"/>
          <w:szCs w:val="22"/>
          <w:highlight w:val="white"/>
        </w:rPr>
        <w:t>Journal of Early Childhood Research</w:t>
      </w:r>
      <w:r>
        <w:rPr>
          <w:rFonts w:ascii="Arial" w:eastAsia="Arial" w:hAnsi="Arial" w:cs="Arial"/>
          <w:sz w:val="22"/>
          <w:szCs w:val="22"/>
          <w:highlight w:val="white"/>
        </w:rPr>
        <w:t>, 7</w:t>
      </w:r>
    </w:p>
    <w:p w:rsidR="00CF618F" w:rsidRDefault="00CF618F">
      <w:pPr>
        <w:spacing w:line="360" w:lineRule="auto"/>
        <w:rPr>
          <w:rFonts w:ascii="Arial" w:eastAsia="Arial" w:hAnsi="Arial" w:cs="Arial"/>
          <w:sz w:val="22"/>
          <w:szCs w:val="22"/>
          <w:highlight w:val="white"/>
        </w:rPr>
      </w:pPr>
    </w:p>
    <w:p w:rsidR="00CF618F" w:rsidRDefault="00DC6986">
      <w:pPr>
        <w:spacing w:line="360" w:lineRule="auto"/>
        <w:rPr>
          <w:rFonts w:ascii="Arial" w:eastAsia="Arial" w:hAnsi="Arial" w:cs="Arial"/>
          <w:sz w:val="22"/>
          <w:szCs w:val="22"/>
          <w:highlight w:val="white"/>
        </w:rPr>
      </w:pPr>
      <w:proofErr w:type="spellStart"/>
      <w:r>
        <w:rPr>
          <w:rFonts w:ascii="Arial" w:eastAsia="Arial" w:hAnsi="Arial" w:cs="Arial"/>
          <w:sz w:val="22"/>
          <w:szCs w:val="22"/>
          <w:highlight w:val="white"/>
        </w:rPr>
        <w:t>Tisdall</w:t>
      </w:r>
      <w:proofErr w:type="spellEnd"/>
      <w:r>
        <w:rPr>
          <w:rFonts w:ascii="Arial" w:eastAsia="Arial" w:hAnsi="Arial" w:cs="Arial"/>
          <w:sz w:val="22"/>
          <w:szCs w:val="22"/>
          <w:highlight w:val="white"/>
        </w:rPr>
        <w:t xml:space="preserve">, E., Davis, J. and </w:t>
      </w:r>
      <w:r>
        <w:rPr>
          <w:rFonts w:ascii="Arial" w:eastAsia="Arial" w:hAnsi="Arial" w:cs="Arial"/>
          <w:sz w:val="22"/>
          <w:szCs w:val="22"/>
          <w:highlight w:val="white"/>
        </w:rPr>
        <w:t xml:space="preserve">Gallagher, M. (2009). </w:t>
      </w:r>
      <w:r>
        <w:rPr>
          <w:rFonts w:ascii="Arial" w:eastAsia="Arial" w:hAnsi="Arial" w:cs="Arial"/>
          <w:i/>
          <w:sz w:val="22"/>
          <w:szCs w:val="22"/>
          <w:highlight w:val="white"/>
        </w:rPr>
        <w:t>Researching with children and young people</w:t>
      </w:r>
      <w:r>
        <w:rPr>
          <w:rFonts w:ascii="Arial" w:eastAsia="Arial" w:hAnsi="Arial" w:cs="Arial"/>
          <w:sz w:val="22"/>
          <w:szCs w:val="22"/>
          <w:highlight w:val="white"/>
        </w:rPr>
        <w:t>. Los Angeles: SAGE.</w:t>
      </w:r>
    </w:p>
    <w:sectPr w:rsidR="00CF618F">
      <w:headerReference w:type="even" r:id="rId11"/>
      <w:footerReference w:type="even" r:id="rId12"/>
      <w:footerReference w:type="default" r:id="rId13"/>
      <w:headerReference w:type="first" r:id="rId14"/>
      <w:footerReference w:type="first" r:id="rId15"/>
      <w:pgSz w:w="11906" w:h="16838"/>
      <w:pgMar w:top="964" w:right="1440" w:bottom="964"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6986" w:rsidRDefault="00DC6986">
      <w:r>
        <w:separator/>
      </w:r>
    </w:p>
  </w:endnote>
  <w:endnote w:type="continuationSeparator" w:id="0">
    <w:p w:rsidR="00DC6986" w:rsidRDefault="00DC69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618F" w:rsidRDefault="00CF618F">
    <w:pPr>
      <w:pBdr>
        <w:top w:val="nil"/>
        <w:left w:val="nil"/>
        <w:bottom w:val="nil"/>
        <w:right w:val="nil"/>
        <w:between w:val="nil"/>
      </w:pBdr>
      <w:tabs>
        <w:tab w:val="center" w:pos="4153"/>
        <w:tab w:val="right" w:pos="830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618F" w:rsidRDefault="00CF618F">
    <w:pPr>
      <w:pBdr>
        <w:top w:val="nil"/>
        <w:left w:val="nil"/>
        <w:bottom w:val="nil"/>
        <w:right w:val="nil"/>
        <w:between w:val="nil"/>
      </w:pBdr>
      <w:tabs>
        <w:tab w:val="center" w:pos="4153"/>
        <w:tab w:val="right" w:pos="830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618F" w:rsidRDefault="00CF618F">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6986" w:rsidRDefault="00DC6986">
      <w:r>
        <w:separator/>
      </w:r>
    </w:p>
  </w:footnote>
  <w:footnote w:type="continuationSeparator" w:id="0">
    <w:p w:rsidR="00DC6986" w:rsidRDefault="00DC69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618F" w:rsidRDefault="00CF618F">
    <w:pPr>
      <w:pBdr>
        <w:top w:val="nil"/>
        <w:left w:val="nil"/>
        <w:bottom w:val="nil"/>
        <w:right w:val="nil"/>
        <w:between w:val="nil"/>
      </w:pBdr>
      <w:tabs>
        <w:tab w:val="center" w:pos="4153"/>
        <w:tab w:val="right" w:pos="830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618F" w:rsidRDefault="00CF618F">
    <w:pPr>
      <w:pBdr>
        <w:top w:val="nil"/>
        <w:left w:val="nil"/>
        <w:bottom w:val="nil"/>
        <w:right w:val="nil"/>
        <w:between w:val="nil"/>
      </w:pBdr>
      <w:tabs>
        <w:tab w:val="center" w:pos="4153"/>
        <w:tab w:val="right" w:pos="830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18F"/>
    <w:rsid w:val="0018121B"/>
    <w:rsid w:val="00CF618F"/>
    <w:rsid w:val="00DC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ED8F3F"/>
  <w15:docId w15:val="{EDAA41C8-8121-4B1F-BAA3-98F8D3961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guide-to-the-general-data-protection-regulation-gdpr/"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bera.ac.uk/wp-content/uploads/2018/06/BERA-Ethical-Guidelines-for-Educational-Research_4thEdn_2018.pdf?noredirect=1"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yperlink" Target="https://www.researchgate.net/publication/227430203_The_qualitative_research_interview" TargetMode="External"/><Relationship Id="rId4" Type="http://schemas.openxmlformats.org/officeDocument/2006/relationships/footnotes" Target="footnotes.xml"/><Relationship Id="rId9" Type="http://schemas.openxmlformats.org/officeDocument/2006/relationships/hyperlink" Target="https://doi.org/10.1123/jtpe.23.2.106"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5390</Words>
  <Characters>30727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dcterms:created xsi:type="dcterms:W3CDTF">2020-01-14T08:59:00Z</dcterms:created>
</cp:coreProperties>
</file>