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3CFB0" w14:textId="77777777" w:rsidR="00002062" w:rsidRDefault="00002062">
      <w:pPr>
        <w:jc w:val="center"/>
        <w:rPr>
          <w:b/>
          <w:sz w:val="32"/>
        </w:rPr>
      </w:pPr>
    </w:p>
    <w:p w14:paraId="62B37B33" w14:textId="77777777" w:rsidR="00002062" w:rsidRDefault="00002062">
      <w:pPr>
        <w:jc w:val="center"/>
        <w:rPr>
          <w:b/>
          <w:sz w:val="32"/>
        </w:rPr>
      </w:pPr>
    </w:p>
    <w:p w14:paraId="1A8A371C" w14:textId="77777777" w:rsidR="00002062" w:rsidRDefault="00002062">
      <w:pPr>
        <w:jc w:val="center"/>
        <w:rPr>
          <w:b/>
          <w:sz w:val="32"/>
        </w:rPr>
      </w:pPr>
    </w:p>
    <w:p w14:paraId="4370F002" w14:textId="77777777" w:rsidR="00002062" w:rsidRDefault="00002062">
      <w:pPr>
        <w:jc w:val="center"/>
        <w:rPr>
          <w:b/>
          <w:sz w:val="32"/>
        </w:rPr>
      </w:pPr>
    </w:p>
    <w:p w14:paraId="4814EBF1" w14:textId="4820B01C" w:rsidR="00AE3996" w:rsidRPr="00524C19" w:rsidRDefault="00C8499A" w:rsidP="00524C19">
      <w:pPr>
        <w:pStyle w:val="NormalWeb"/>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                                            </w:t>
      </w:r>
      <w:r w:rsidR="00AE3996" w:rsidRPr="00524C19">
        <w:rPr>
          <w:rFonts w:ascii="Arial" w:hAnsi="Arial" w:cs="Arial"/>
          <w:color w:val="000000" w:themeColor="text1"/>
          <w:sz w:val="22"/>
          <w:szCs w:val="22"/>
        </w:rPr>
        <w:t>Assignment 2 Report</w:t>
      </w:r>
      <w:r>
        <w:rPr>
          <w:rFonts w:ascii="Arial" w:hAnsi="Arial" w:cs="Arial"/>
          <w:color w:val="000000" w:themeColor="text1"/>
          <w:sz w:val="22"/>
          <w:szCs w:val="22"/>
        </w:rPr>
        <w:t xml:space="preserve"> </w:t>
      </w:r>
    </w:p>
    <w:p w14:paraId="65AC5C88" w14:textId="77777777" w:rsidR="00AE3996"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Name: Hazel Rodriguez</w:t>
      </w:r>
      <w:r w:rsidRPr="00524C19">
        <w:rPr>
          <w:rFonts w:ascii="Arial" w:hAnsi="Arial" w:cs="Arial"/>
          <w:color w:val="000000" w:themeColor="text1"/>
          <w:sz w:val="22"/>
          <w:szCs w:val="22"/>
        </w:rPr>
        <w:br/>
        <w:t>Student Number: 2430331</w:t>
      </w:r>
      <w:r w:rsidRPr="00524C19">
        <w:rPr>
          <w:rFonts w:ascii="Arial" w:hAnsi="Arial" w:cs="Arial"/>
          <w:color w:val="000000" w:themeColor="text1"/>
          <w:sz w:val="22"/>
          <w:szCs w:val="22"/>
        </w:rPr>
        <w:br/>
        <w:t>Module Code: LCHS4010</w:t>
      </w:r>
      <w:r w:rsidRPr="00524C19">
        <w:rPr>
          <w:rFonts w:ascii="Arial" w:hAnsi="Arial" w:cs="Arial"/>
          <w:color w:val="000000" w:themeColor="text1"/>
          <w:sz w:val="22"/>
          <w:szCs w:val="22"/>
        </w:rPr>
        <w:br/>
        <w:t>Date: 08/12/2025</w:t>
      </w:r>
    </w:p>
    <w:p w14:paraId="403007C8" w14:textId="77777777" w:rsidR="00524C19" w:rsidRDefault="00524C19" w:rsidP="00524C19">
      <w:pPr>
        <w:pStyle w:val="NormalWeb"/>
        <w:spacing w:line="360" w:lineRule="auto"/>
        <w:rPr>
          <w:rFonts w:ascii="Arial" w:hAnsi="Arial" w:cs="Arial"/>
          <w:color w:val="000000" w:themeColor="text1"/>
          <w:sz w:val="22"/>
          <w:szCs w:val="22"/>
        </w:rPr>
      </w:pPr>
    </w:p>
    <w:p w14:paraId="6AA06CF3" w14:textId="77777777" w:rsidR="00524C19" w:rsidRDefault="00524C19" w:rsidP="00524C19">
      <w:pPr>
        <w:pStyle w:val="NormalWeb"/>
        <w:spacing w:line="360" w:lineRule="auto"/>
        <w:rPr>
          <w:rFonts w:ascii="Arial" w:hAnsi="Arial" w:cs="Arial"/>
          <w:color w:val="000000" w:themeColor="text1"/>
          <w:sz w:val="22"/>
          <w:szCs w:val="22"/>
        </w:rPr>
      </w:pPr>
    </w:p>
    <w:p w14:paraId="0C8B395A" w14:textId="77777777" w:rsidR="00524C19" w:rsidRDefault="00524C19" w:rsidP="00524C19">
      <w:pPr>
        <w:pStyle w:val="NormalWeb"/>
        <w:spacing w:line="360" w:lineRule="auto"/>
        <w:rPr>
          <w:rFonts w:ascii="Arial" w:hAnsi="Arial" w:cs="Arial"/>
          <w:color w:val="000000" w:themeColor="text1"/>
          <w:sz w:val="22"/>
          <w:szCs w:val="22"/>
        </w:rPr>
      </w:pPr>
    </w:p>
    <w:p w14:paraId="00CAF2C6" w14:textId="77777777" w:rsidR="00524C19" w:rsidRDefault="00524C19" w:rsidP="00524C19">
      <w:pPr>
        <w:pStyle w:val="NormalWeb"/>
        <w:spacing w:line="360" w:lineRule="auto"/>
        <w:rPr>
          <w:rFonts w:ascii="Arial" w:hAnsi="Arial" w:cs="Arial"/>
          <w:color w:val="000000" w:themeColor="text1"/>
          <w:sz w:val="22"/>
          <w:szCs w:val="22"/>
        </w:rPr>
      </w:pPr>
    </w:p>
    <w:p w14:paraId="425E31D4" w14:textId="77777777" w:rsidR="00524C19" w:rsidRDefault="00524C19" w:rsidP="00524C19">
      <w:pPr>
        <w:pStyle w:val="NormalWeb"/>
        <w:spacing w:line="360" w:lineRule="auto"/>
        <w:rPr>
          <w:rFonts w:ascii="Arial" w:hAnsi="Arial" w:cs="Arial"/>
          <w:color w:val="000000" w:themeColor="text1"/>
          <w:sz w:val="22"/>
          <w:szCs w:val="22"/>
        </w:rPr>
      </w:pPr>
    </w:p>
    <w:p w14:paraId="50E29C38" w14:textId="77777777" w:rsidR="00524C19" w:rsidRDefault="00524C19" w:rsidP="00524C19">
      <w:pPr>
        <w:pStyle w:val="NormalWeb"/>
        <w:spacing w:line="360" w:lineRule="auto"/>
        <w:rPr>
          <w:rFonts w:ascii="Arial" w:hAnsi="Arial" w:cs="Arial"/>
          <w:color w:val="000000" w:themeColor="text1"/>
          <w:sz w:val="22"/>
          <w:szCs w:val="22"/>
        </w:rPr>
      </w:pPr>
    </w:p>
    <w:p w14:paraId="4ABC0E65" w14:textId="77777777" w:rsidR="00524C19" w:rsidRDefault="00524C19" w:rsidP="00524C19">
      <w:pPr>
        <w:pStyle w:val="NormalWeb"/>
        <w:spacing w:line="360" w:lineRule="auto"/>
        <w:rPr>
          <w:rFonts w:ascii="Arial" w:hAnsi="Arial" w:cs="Arial"/>
          <w:color w:val="000000" w:themeColor="text1"/>
          <w:sz w:val="22"/>
          <w:szCs w:val="22"/>
        </w:rPr>
      </w:pPr>
    </w:p>
    <w:p w14:paraId="119C9DFD" w14:textId="77777777" w:rsidR="00524C19" w:rsidRDefault="00524C19" w:rsidP="00524C19">
      <w:pPr>
        <w:pStyle w:val="NormalWeb"/>
        <w:spacing w:line="360" w:lineRule="auto"/>
        <w:rPr>
          <w:rFonts w:ascii="Arial" w:hAnsi="Arial" w:cs="Arial"/>
          <w:color w:val="000000" w:themeColor="text1"/>
          <w:sz w:val="22"/>
          <w:szCs w:val="22"/>
        </w:rPr>
      </w:pPr>
    </w:p>
    <w:p w14:paraId="152EA6D7" w14:textId="77777777" w:rsidR="00524C19" w:rsidRDefault="00524C19" w:rsidP="00524C19">
      <w:pPr>
        <w:pStyle w:val="NormalWeb"/>
        <w:spacing w:line="360" w:lineRule="auto"/>
        <w:rPr>
          <w:rFonts w:ascii="Arial" w:hAnsi="Arial" w:cs="Arial"/>
          <w:color w:val="000000" w:themeColor="text1"/>
          <w:sz w:val="22"/>
          <w:szCs w:val="22"/>
        </w:rPr>
      </w:pPr>
    </w:p>
    <w:p w14:paraId="3A8DC308" w14:textId="77777777" w:rsidR="00A76CD5" w:rsidRDefault="00A76CD5" w:rsidP="00524C19">
      <w:pPr>
        <w:pStyle w:val="NormalWeb"/>
        <w:spacing w:line="360" w:lineRule="auto"/>
        <w:rPr>
          <w:rFonts w:ascii="Arial" w:hAnsi="Arial" w:cs="Arial"/>
          <w:color w:val="000000" w:themeColor="text1"/>
          <w:sz w:val="22"/>
          <w:szCs w:val="22"/>
        </w:rPr>
      </w:pPr>
    </w:p>
    <w:p w14:paraId="1DD05925" w14:textId="77777777" w:rsidR="00FA67C2" w:rsidRDefault="00FA67C2" w:rsidP="00524C19">
      <w:pPr>
        <w:pStyle w:val="NormalWeb"/>
        <w:spacing w:line="360" w:lineRule="auto"/>
        <w:rPr>
          <w:rFonts w:ascii="Arial" w:hAnsi="Arial" w:cs="Arial"/>
          <w:color w:val="000000" w:themeColor="text1"/>
          <w:sz w:val="22"/>
          <w:szCs w:val="22"/>
        </w:rPr>
      </w:pPr>
    </w:p>
    <w:p w14:paraId="030F79B4" w14:textId="77777777" w:rsidR="00FA67C2" w:rsidRPr="00524C19" w:rsidRDefault="00FA67C2" w:rsidP="00524C19">
      <w:pPr>
        <w:pStyle w:val="NormalWeb"/>
        <w:spacing w:line="360" w:lineRule="auto"/>
        <w:rPr>
          <w:rFonts w:ascii="Arial" w:hAnsi="Arial" w:cs="Arial"/>
          <w:color w:val="000000" w:themeColor="text1"/>
          <w:sz w:val="22"/>
          <w:szCs w:val="22"/>
        </w:rPr>
      </w:pPr>
    </w:p>
    <w:p w14:paraId="2066C166" w14:textId="77777777" w:rsidR="00AE3996" w:rsidRPr="00524C19" w:rsidRDefault="00AE3996" w:rsidP="00524C19">
      <w:pPr>
        <w:numPr>
          <w:ilvl w:val="0"/>
          <w:numId w:val="7"/>
        </w:numPr>
        <w:spacing w:before="100" w:beforeAutospacing="1" w:after="100" w:afterAutospacing="1" w:line="360" w:lineRule="auto"/>
        <w:rPr>
          <w:rFonts w:eastAsia="Times New Roman"/>
          <w:color w:val="000000" w:themeColor="text1"/>
        </w:rPr>
      </w:pPr>
      <w:r w:rsidRPr="00524C19">
        <w:rPr>
          <w:rFonts w:eastAsia="Times New Roman"/>
          <w:color w:val="000000" w:themeColor="text1"/>
        </w:rPr>
        <w:lastRenderedPageBreak/>
        <w:t>Introduction</w:t>
      </w:r>
    </w:p>
    <w:p w14:paraId="2116206D" w14:textId="3F69084B"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 xml:space="preserve">This </w:t>
      </w:r>
      <w:r w:rsidR="00FB2D22">
        <w:rPr>
          <w:rFonts w:ascii="Arial" w:hAnsi="Arial" w:cs="Arial"/>
          <w:color w:val="000000" w:themeColor="text1"/>
          <w:sz w:val="22"/>
          <w:szCs w:val="22"/>
        </w:rPr>
        <w:t>assignment</w:t>
      </w:r>
      <w:r w:rsidRPr="00524C19">
        <w:rPr>
          <w:rFonts w:ascii="Arial" w:hAnsi="Arial" w:cs="Arial"/>
          <w:color w:val="000000" w:themeColor="text1"/>
          <w:sz w:val="22"/>
          <w:szCs w:val="22"/>
        </w:rPr>
        <w:t xml:space="preserve"> is aimed at health and social care professionals working with adults aged 65 and over who are living in dementia care homes</w:t>
      </w:r>
      <w:r w:rsidR="00FB2D22">
        <w:rPr>
          <w:rFonts w:ascii="Arial" w:hAnsi="Arial" w:cs="Arial"/>
          <w:color w:val="000000" w:themeColor="text1"/>
          <w:sz w:val="22"/>
          <w:szCs w:val="22"/>
        </w:rPr>
        <w:t xml:space="preserve"> or nursing homes</w:t>
      </w:r>
      <w:r w:rsidRPr="00524C19">
        <w:rPr>
          <w:rFonts w:ascii="Arial" w:hAnsi="Arial" w:cs="Arial"/>
          <w:color w:val="000000" w:themeColor="text1"/>
          <w:sz w:val="22"/>
          <w:szCs w:val="22"/>
        </w:rPr>
        <w:t>. Dementia is a progressive condition that affects cognitive functioning, emotional regulation and behaviour, often resulting in psychological distress for individuals and significant challenges for care staff. Older adults living in residential care may experience confusion, anxiety, depression, loss of identity and social isolation, all of which can negatively impact their quality of life.</w:t>
      </w:r>
    </w:p>
    <w:p w14:paraId="68E6BC2E"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Psychological theories provide a valuable framework for understanding how ageing, cognitive decline and environmental factors influence behaviour and emotional wellbeing. When these theories are applied effectively, they can guide professionals in delivering compassionate, person-centred care that supports both psychological and emotional needs. This report critically explores two key psychological theories relevant to adult development and health behaviour: Erikson’s Psychosocial Theory and Maslow’s Hierarchy of Needs. The report examines how these theories apply to adults aged 65 and over and evaluates how they can be used in practice within dementia care homes to support residents experiencing psychological health conditions.</w:t>
      </w:r>
    </w:p>
    <w:p w14:paraId="76CE0E98" w14:textId="77777777" w:rsidR="00AE3996" w:rsidRPr="00524C19" w:rsidRDefault="00AE3996" w:rsidP="00524C19">
      <w:pPr>
        <w:numPr>
          <w:ilvl w:val="0"/>
          <w:numId w:val="8"/>
        </w:numPr>
        <w:spacing w:before="100" w:beforeAutospacing="1" w:after="100" w:afterAutospacing="1" w:line="360" w:lineRule="auto"/>
        <w:rPr>
          <w:rFonts w:eastAsia="Times New Roman"/>
          <w:color w:val="000000" w:themeColor="text1"/>
        </w:rPr>
      </w:pPr>
      <w:r w:rsidRPr="00524C19">
        <w:rPr>
          <w:rFonts w:eastAsia="Times New Roman"/>
          <w:color w:val="000000" w:themeColor="text1"/>
        </w:rPr>
        <w:t>Detailed Overview of Two Psychological Theories</w:t>
      </w:r>
    </w:p>
    <w:p w14:paraId="15404598" w14:textId="77777777" w:rsidR="00311C6B" w:rsidRDefault="00AE3996">
      <w:pPr>
        <w:rPr>
          <w:rFonts w:eastAsia="Times New Roman"/>
          <w:sz w:val="24"/>
          <w:szCs w:val="24"/>
        </w:rPr>
      </w:pPr>
      <w:r w:rsidRPr="00524C19">
        <w:rPr>
          <w:color w:val="000000" w:themeColor="text1"/>
        </w:rPr>
        <w:t xml:space="preserve">2.1 </w:t>
      </w:r>
      <w:r w:rsidR="00311C6B">
        <w:rPr>
          <w:rFonts w:eastAsia="Times New Roman"/>
        </w:rPr>
        <w:t xml:space="preserve">The Psychosocial Theory of Erikson </w:t>
      </w:r>
      <w:r w:rsidR="00311C6B">
        <w:rPr>
          <w:rFonts w:eastAsia="Times New Roman"/>
        </w:rPr>
        <w:br/>
        <w:t xml:space="preserve">A core psychological conflict that needs to be addressed </w:t>
      </w:r>
      <w:proofErr w:type="spellStart"/>
      <w:r w:rsidR="00311C6B">
        <w:rPr>
          <w:rFonts w:eastAsia="Times New Roman"/>
        </w:rPr>
        <w:t>characterises</w:t>
      </w:r>
      <w:proofErr w:type="spellEnd"/>
      <w:r w:rsidR="00311C6B">
        <w:rPr>
          <w:rFonts w:eastAsia="Times New Roman"/>
        </w:rPr>
        <w:t xml:space="preserve"> each of the eight stages in Erik Erikson's lifetime theory of psychosocial development. The last stage, Integrity vs Despair, takes place in later adulthood, usually starting at age 65 (Erikson, 1963). People consider their connections, accomplishments, and life experiences at this phase.</w:t>
      </w:r>
    </w:p>
    <w:p w14:paraId="20C1834E" w14:textId="5DBAA3AC" w:rsidR="00AE3996" w:rsidRPr="00524C19" w:rsidRDefault="00AE3996" w:rsidP="00311C6B">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A sense of integrity develops when older adults are able to accept their lives as meaningful and worthwhile. This can lead to feelings of peace, wisdom and acceptance of mortality. In contrast, despair may occur when individuals experience regret, dissatisfaction or a belief that life opportunities were missed. Despair is often associated with fear of death, depression and emotional distress.</w:t>
      </w:r>
    </w:p>
    <w:p w14:paraId="3AD714BD"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 xml:space="preserve">Key components of this stage include life review, emotional reflection, identity maintenance and acceptance of ageing and mortality. For older adults living in dementia </w:t>
      </w:r>
      <w:r w:rsidRPr="00524C19">
        <w:rPr>
          <w:rFonts w:ascii="Arial" w:hAnsi="Arial" w:cs="Arial"/>
          <w:color w:val="000000" w:themeColor="text1"/>
          <w:sz w:val="22"/>
          <w:szCs w:val="22"/>
        </w:rPr>
        <w:lastRenderedPageBreak/>
        <w:t>care homes, successfully resolving this stage can be particularly challenging. Cognitive impairment, memory loss, reduced independence and limited social interaction may disrupt life review processes and contribute to feelings of hopelessness and loss of identity.</w:t>
      </w:r>
    </w:p>
    <w:p w14:paraId="6843627C"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Despite these challenges, Erikson’s theory remains highly relevant for adults aged 65 and over. Supporting residents to maintain dignity, express emotions and engage in meaningful reflection can help promote a sense of integrity, even when cognitive abilities are declining.</w:t>
      </w:r>
    </w:p>
    <w:p w14:paraId="462469EB" w14:textId="77777777" w:rsidR="00DB1D9B" w:rsidRDefault="00AE3996">
      <w:pPr>
        <w:rPr>
          <w:rFonts w:eastAsia="Times New Roman"/>
        </w:rPr>
      </w:pPr>
      <w:r w:rsidRPr="00524C19">
        <w:rPr>
          <w:color w:val="000000" w:themeColor="text1"/>
        </w:rPr>
        <w:t xml:space="preserve">2.2 </w:t>
      </w:r>
      <w:r w:rsidR="00DB1D9B">
        <w:rPr>
          <w:rFonts w:eastAsia="Times New Roman"/>
        </w:rPr>
        <w:t xml:space="preserve">The Hierarchy of Needs by Maslow </w:t>
      </w:r>
    </w:p>
    <w:p w14:paraId="69DC9B23" w14:textId="0833CBF7" w:rsidR="00DB1D9B" w:rsidRDefault="00DB1D9B">
      <w:pPr>
        <w:rPr>
          <w:rFonts w:eastAsia="Times New Roman"/>
          <w:sz w:val="24"/>
          <w:szCs w:val="24"/>
        </w:rPr>
      </w:pPr>
      <w:r>
        <w:rPr>
          <w:rFonts w:eastAsia="Times New Roman"/>
        </w:rPr>
        <w:br/>
        <w:t xml:space="preserve">According to Maslow's Hierarchy of wants, a theory of motivation, human </w:t>
      </w:r>
      <w:proofErr w:type="spellStart"/>
      <w:r>
        <w:rPr>
          <w:rFonts w:eastAsia="Times New Roman"/>
        </w:rPr>
        <w:t>behaviour</w:t>
      </w:r>
      <w:proofErr w:type="spellEnd"/>
      <w:r>
        <w:rPr>
          <w:rFonts w:eastAsia="Times New Roman"/>
        </w:rPr>
        <w:t xml:space="preserve"> is shaped by a hierarchy of wants that must be met (Maslow, 1943). The concept is divided into five levels: self-actualization, esteem, safety and security, love and belonging, and physiological needs.</w:t>
      </w:r>
    </w:p>
    <w:p w14:paraId="6023D82E" w14:textId="6DD409DD" w:rsidR="00AE3996" w:rsidRPr="004F1BC3" w:rsidRDefault="004F1BC3" w:rsidP="004F1BC3">
      <w:pPr>
        <w:rPr>
          <w:rFonts w:eastAsia="Times New Roman"/>
          <w:sz w:val="24"/>
          <w:szCs w:val="24"/>
        </w:rPr>
      </w:pPr>
      <w:r>
        <w:rPr>
          <w:rFonts w:eastAsia="Times New Roman"/>
        </w:rPr>
        <w:t xml:space="preserve">Basic necessities including food, drink, sleep, and personal hygiene are examples of physiological needs. </w:t>
      </w:r>
      <w:r w:rsidR="00AE3996" w:rsidRPr="00524C19">
        <w:rPr>
          <w:color w:val="000000" w:themeColor="text1"/>
        </w:rPr>
        <w:t>Safety needs involve protection from harm, stability and predictability. Love and belonging refer to social relationships, emotional connection and a sense of community. Esteem needs relate to self-respect, recognition and dignity, while self-actualisation involves achieving personal fulfilment and meaning.</w:t>
      </w:r>
    </w:p>
    <w:p w14:paraId="5A295532"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For adults aged 65 and over living in dementia care homes, many of these needs must be met through the support of care staff. Dementia can significantly reduce independence, making individuals more vulnerable when their needs are unmet. Maslow’s theory is particularly useful in understanding how unmet needs may manifest as behavioural distress, agitation or withdrawal in people living with dementia.</w:t>
      </w:r>
    </w:p>
    <w:p w14:paraId="32ECABDB" w14:textId="3C89CAC6" w:rsidR="002378AB" w:rsidRPr="002378AB" w:rsidRDefault="002378AB" w:rsidP="002378AB">
      <w:pPr>
        <w:pStyle w:val="ListParagraph"/>
        <w:numPr>
          <w:ilvl w:val="0"/>
          <w:numId w:val="8"/>
        </w:numPr>
        <w:rPr>
          <w:rFonts w:eastAsia="Times New Roman"/>
        </w:rPr>
      </w:pPr>
      <w:r w:rsidRPr="002378AB">
        <w:rPr>
          <w:rFonts w:eastAsia="Times New Roman"/>
        </w:rPr>
        <w:t xml:space="preserve">Use in the Context of Health and Social Care </w:t>
      </w:r>
    </w:p>
    <w:p w14:paraId="0E0C256A" w14:textId="3AB75559" w:rsidR="002378AB" w:rsidRPr="0081511B" w:rsidRDefault="002378AB" w:rsidP="0081511B">
      <w:pPr>
        <w:rPr>
          <w:rFonts w:eastAsia="Times New Roman"/>
          <w:sz w:val="24"/>
          <w:szCs w:val="24"/>
        </w:rPr>
      </w:pPr>
      <w:r w:rsidRPr="0081511B">
        <w:rPr>
          <w:rFonts w:eastAsia="Times New Roman"/>
        </w:rPr>
        <w:t xml:space="preserve">3.1 Using Erikson's Psychosocial Theory in Assisted Living Facilities </w:t>
      </w:r>
      <w:r w:rsidRPr="0081511B">
        <w:rPr>
          <w:rFonts w:eastAsia="Times New Roman"/>
        </w:rPr>
        <w:br/>
        <w:t>Health and social care workers can better comprehend the emotional experiences of elderly people with dementia by using Erikson's theory.</w:t>
      </w:r>
    </w:p>
    <w:p w14:paraId="22BC974A" w14:textId="321295DE"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Residents may experience despair due to memory loss, confusion and fear of losing their identity. Emotional reactions such as depression, anxiety, withdrawal or distress can often be linked to unresolved psychosocial conflict in later life.</w:t>
      </w:r>
    </w:p>
    <w:p w14:paraId="264D0E3B" w14:textId="77777777" w:rsidR="00201C8A" w:rsidRDefault="007F49F2" w:rsidP="00201C8A">
      <w:pPr>
        <w:rPr>
          <w:rFonts w:eastAsia="Times New Roman"/>
          <w:sz w:val="24"/>
          <w:szCs w:val="24"/>
        </w:rPr>
      </w:pPr>
      <w:r>
        <w:rPr>
          <w:rFonts w:eastAsia="Times New Roman"/>
        </w:rPr>
        <w:lastRenderedPageBreak/>
        <w:t xml:space="preserve">Erikson's theory is practically applied in dementia care facilities through recollection therapy, which motivates people to </w:t>
      </w:r>
      <w:r w:rsidR="00AE3996" w:rsidRPr="00524C19">
        <w:rPr>
          <w:color w:val="000000" w:themeColor="text1"/>
        </w:rPr>
        <w:t xml:space="preserve"> reflect on past experiences using familiar objects, photographs, music or storytelling (Woods et al., 2018). Life review activities can support emotional expression and reinforce a sense of identity. Allowing residents to make </w:t>
      </w:r>
      <w:r w:rsidR="00201C8A">
        <w:rPr>
          <w:rFonts w:eastAsia="Times New Roman"/>
        </w:rPr>
        <w:t xml:space="preserve">Simple decisions like what to wear or eat can also support dignity and </w:t>
      </w:r>
      <w:r w:rsidR="00201C8A">
        <w:rPr>
          <w:rFonts w:eastAsia="Times New Roman"/>
          <w:sz w:val="24"/>
          <w:szCs w:val="24"/>
        </w:rPr>
        <w:t xml:space="preserve">autonomy </w:t>
      </w:r>
    </w:p>
    <w:p w14:paraId="25C9E647" w14:textId="2F59E258" w:rsidR="00AE3996" w:rsidRPr="00201C8A" w:rsidRDefault="00AE3996" w:rsidP="00201C8A">
      <w:pPr>
        <w:rPr>
          <w:rFonts w:eastAsia="Times New Roman"/>
          <w:sz w:val="24"/>
          <w:szCs w:val="24"/>
        </w:rPr>
      </w:pPr>
      <w:r w:rsidRPr="00524C19">
        <w:rPr>
          <w:color w:val="000000" w:themeColor="text1"/>
        </w:rPr>
        <w:t>Building consistent, trusting relationships between staff and residents is essential. Familiar carers can provide emotional security and help residents feel valued and understood. These approaches can reduce feelings of despair and support psychological wellbeing, even in the later stages of dementia.</w:t>
      </w:r>
    </w:p>
    <w:p w14:paraId="4D93EB30"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However, a limitation of Erikson’s theory is that severe cognitive impairment may restrict an individual’s ability to engage in meaningful reflection. Professionals must therefore adapt interventions to suit the person’s cognitive abilities and focus on emotional validation rather than verbal reflection alone.</w:t>
      </w:r>
    </w:p>
    <w:p w14:paraId="7CE81A98" w14:textId="77777777" w:rsidR="00363D14" w:rsidRDefault="00AE3996" w:rsidP="00363D14">
      <w:pPr>
        <w:rPr>
          <w:rFonts w:eastAsia="Times New Roman"/>
        </w:rPr>
      </w:pPr>
      <w:r w:rsidRPr="00524C19">
        <w:rPr>
          <w:color w:val="000000" w:themeColor="text1"/>
        </w:rPr>
        <w:t xml:space="preserve">3.2 </w:t>
      </w:r>
      <w:r w:rsidR="00363D14">
        <w:rPr>
          <w:rFonts w:eastAsia="Times New Roman"/>
        </w:rPr>
        <w:t xml:space="preserve">Using Maslow's Hierarchy of Needs in Assisted Living Facilities </w:t>
      </w:r>
    </w:p>
    <w:p w14:paraId="5E6D2E69" w14:textId="3E3E73AA" w:rsidR="00AE3996" w:rsidRPr="00363D14" w:rsidRDefault="00363D14" w:rsidP="00363D14">
      <w:pPr>
        <w:rPr>
          <w:rFonts w:eastAsia="Times New Roman"/>
          <w:sz w:val="24"/>
          <w:szCs w:val="24"/>
        </w:rPr>
      </w:pPr>
      <w:r>
        <w:rPr>
          <w:rFonts w:eastAsia="Times New Roman"/>
        </w:rPr>
        <w:br/>
        <w:t>A methodical framework for determining and meeting the requirements of residents suffering from dementia is provided by Maslow's Hierarchy of requirements.</w:t>
      </w:r>
      <w:r w:rsidR="00AE3996" w:rsidRPr="00524C19">
        <w:rPr>
          <w:color w:val="000000" w:themeColor="text1"/>
        </w:rPr>
        <w:t xml:space="preserve"> Care professionals must ensure that lower-level needs are consistently met before higher-level psychological needs can be addressed.</w:t>
      </w:r>
    </w:p>
    <w:p w14:paraId="1D9A5DF8"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Meeting physiological needs involves ensuring adequate nutrition, hydration, pain management, rest and personal hygiene. Safety needs can be supported through fall prevention strategies, clear signage, structured routines and a calm, predictable environment. Social needs can be addressed by encouraging family involvement, group activities and positive staff-resident interactions.</w:t>
      </w:r>
    </w:p>
    <w:p w14:paraId="4613B52E"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Esteem needs are supported by treating residents with respect, acknowledging personal achievements and promoting independence where possible. Although self-actualisation may be limited in advanced dementia, meaningful activities such as music therapy, art, gardening or spiritual practices can still provide purpose and enjoyment.</w:t>
      </w:r>
    </w:p>
    <w:p w14:paraId="7D1A877D"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A limitation of Maslow’s theory is its rigid hierarchical structure, which may not fully reflect the complex and fluctuating needs of people with dementia. Nevertheless, the model remains a useful guide for identifying unmet needs that may contribute to behavioural distress.</w:t>
      </w:r>
    </w:p>
    <w:p w14:paraId="7DCCC82F"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lastRenderedPageBreak/>
        <w:t>3.3 Challenges for Health and Social Care Professionals</w:t>
      </w:r>
    </w:p>
    <w:p w14:paraId="3428A3FE"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Applying psychological theories in dementia care settings presents several challenges. Communication difficulties are common, particularly as dementia progresses. Behavioural symptoms such as aggression, agitation or wandering can be distressing for both residents and staff. Additional challenges include time constraints, staff shortages, emotional burnout and the presence of multiple comorbidities such as depression or anxiety.</w:t>
      </w:r>
    </w:p>
    <w:p w14:paraId="162816ED"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Cultural and language differences may also affect communication and understanding, while high workloads can limit opportunities for person-centred interventions.</w:t>
      </w:r>
    </w:p>
    <w:p w14:paraId="1B0438CC" w14:textId="77777777" w:rsidR="00AE3996" w:rsidRPr="00524C19" w:rsidRDefault="00AE3996" w:rsidP="00524C19">
      <w:pPr>
        <w:pStyle w:val="NormalWeb"/>
        <w:spacing w:line="360" w:lineRule="auto"/>
        <w:rPr>
          <w:rFonts w:ascii="Arial" w:hAnsi="Arial" w:cs="Arial"/>
          <w:color w:val="000000" w:themeColor="text1"/>
          <w:sz w:val="22"/>
          <w:szCs w:val="22"/>
        </w:rPr>
      </w:pPr>
      <w:r w:rsidRPr="00524C19">
        <w:rPr>
          <w:rFonts w:ascii="Arial" w:hAnsi="Arial" w:cs="Arial"/>
          <w:color w:val="000000" w:themeColor="text1"/>
          <w:sz w:val="22"/>
          <w:szCs w:val="22"/>
        </w:rPr>
        <w:t>3.4 Strategies to Manage These Challenges</w:t>
      </w:r>
    </w:p>
    <w:p w14:paraId="333D3D9B" w14:textId="62F38D56" w:rsidR="00551FE4" w:rsidRPr="004411DA" w:rsidRDefault="00551FE4" w:rsidP="004411DA">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t>To address the challenges faced by health and social care professionals when applying psychological theories in dementia care homes, a range of supportive and adaptive strategies can be implemented. Clear and compassionate communication is essential, particularly as cognitive decline can limit residents’ ability to understand complex language. Professionals should use short sentences, visual cues and reassuring body language to reduce anxiety and promote trust. This approach supports emotional wellbeing and helps prevent behavioural distress.</w:t>
      </w:r>
    </w:p>
    <w:p w14:paraId="4740A119" w14:textId="31B0AECC" w:rsidR="00551FE4" w:rsidRPr="004411DA" w:rsidRDefault="00551FE4" w:rsidP="004411DA">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t>Person-centred care is a key strategy for managing psychological and behavioural challenges. Kitwood (1997) emphasises the importance of recognising the individual beyond the dementia diagnosis. Care plans should be tailored to residents’ life histories, preferences and remaining abilities, which aligns closely with Erikson’s focus on identity and Maslow’s emphasis on unmet needs. Consistency in staffing is also vital, as familiar carers can enhance feelings of safety and belonging, reducing confusion and agitation.</w:t>
      </w:r>
    </w:p>
    <w:p w14:paraId="2BB6AF30" w14:textId="12571441" w:rsidR="00551FE4" w:rsidRPr="004411DA" w:rsidRDefault="00551FE4" w:rsidP="004411DA">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t>Environmental adaptations further support effective care. Clear signage, appropriate lighting, reduced noise levels and structured routines help residents feel secure and oriented. These adaptations directly support Maslow’s safety needs and can reduce behaviours such as wandering or aggression. When challenging behaviour occurs, de-escalation techniques should be prioritised over restrictive practices.</w:t>
      </w:r>
    </w:p>
    <w:p w14:paraId="2B1478F4" w14:textId="0ED812D4" w:rsidR="00551FE4" w:rsidRPr="004411DA" w:rsidRDefault="00551FE4" w:rsidP="004411DA">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t>Additional Strategies to Support Professional Practice</w:t>
      </w:r>
    </w:p>
    <w:p w14:paraId="467C5CC2" w14:textId="622E8FE4" w:rsidR="00551FE4" w:rsidRPr="004411DA" w:rsidRDefault="00551FE4" w:rsidP="004411DA">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lastRenderedPageBreak/>
        <w:t>In addition to the strategies outlined above, emotional support for staff is essential to ensure sustainable, high-quality care. Working in dementia care environments can be emotionally demanding, increasing the risk of stress and burnout. Regular supervision, reflective practice sessions and access to mental health support can help professionals manage emotional strain and maintain compassionate care.</w:t>
      </w:r>
    </w:p>
    <w:p w14:paraId="7B680A10" w14:textId="2F52F81E" w:rsidR="00551FE4" w:rsidRPr="004411DA" w:rsidRDefault="00551FE4" w:rsidP="004411DA">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t>Ongoing training and professional development also play a crucial role. Training in dementia awareness, communication techniques, psychological theories and behaviour management equips staff with the skills needed to respond effectively to residents’ needs. This knowledge allows professionals to apply Erikson’s and Maslow’s theories flexibly, adapting interventions to suit different stages of dementia.</w:t>
      </w:r>
    </w:p>
    <w:p w14:paraId="5ED1932E" w14:textId="62E8A9C7" w:rsidR="00E261F7" w:rsidRPr="00E261F7" w:rsidRDefault="00551FE4" w:rsidP="00E261F7">
      <w:pPr>
        <w:pStyle w:val="NormalWeb"/>
        <w:spacing w:line="360" w:lineRule="auto"/>
        <w:rPr>
          <w:rFonts w:ascii="Arial" w:hAnsi="Arial" w:cs="Arial"/>
          <w:color w:val="000000" w:themeColor="text1"/>
          <w:sz w:val="22"/>
          <w:szCs w:val="22"/>
        </w:rPr>
      </w:pPr>
      <w:r w:rsidRPr="004411DA">
        <w:rPr>
          <w:rFonts w:ascii="Arial" w:hAnsi="Arial" w:cs="Arial"/>
          <w:color w:val="000000" w:themeColor="text1"/>
          <w:sz w:val="22"/>
          <w:szCs w:val="22"/>
        </w:rPr>
        <w:t>Collaboration with families and multidisciplinary teams further strengthens care delivery. Family members can provide valuable insight into residents’ past experiences, preferences and coping strategies, supporting life review and meaningful engagement. Working alongside psychologists, nurses and social workers ensures a holistic approach that addresses psychological, emotional and social needs. By combining theory-informed practice, staff wellbeing initiatives and collaborative care, professionals can better manage challenges and enhance the quality of life for older adults living with dementia.</w:t>
      </w:r>
    </w:p>
    <w:p w14:paraId="41179831" w14:textId="6702EA5B" w:rsidR="00AE3996" w:rsidRPr="00524C19" w:rsidRDefault="00AE3996" w:rsidP="00F879E0">
      <w:pPr>
        <w:spacing w:before="100" w:beforeAutospacing="1" w:after="100" w:afterAutospacing="1" w:line="360" w:lineRule="auto"/>
        <w:rPr>
          <w:rFonts w:eastAsia="Times New Roman"/>
          <w:color w:val="000000" w:themeColor="text1"/>
        </w:rPr>
      </w:pPr>
      <w:r w:rsidRPr="00524C19">
        <w:rPr>
          <w:rFonts w:eastAsia="Times New Roman"/>
          <w:color w:val="000000" w:themeColor="text1"/>
        </w:rPr>
        <w:t>Conclusion</w:t>
      </w:r>
    </w:p>
    <w:p w14:paraId="0607A237" w14:textId="12C61AA7" w:rsidR="00E261F7" w:rsidRDefault="00A44F67" w:rsidP="00E261F7">
      <w:pPr>
        <w:rPr>
          <w:rFonts w:eastAsia="Times New Roman"/>
          <w:sz w:val="24"/>
          <w:szCs w:val="24"/>
        </w:rPr>
      </w:pPr>
      <w:r>
        <w:rPr>
          <w:rFonts w:eastAsia="Times New Roman"/>
        </w:rPr>
        <w:t xml:space="preserve">Maslow's Hierarchy of Needs and Erikson's Psychosocial Theory offer important insights into the </w:t>
      </w:r>
      <w:proofErr w:type="spellStart"/>
      <w:r>
        <w:rPr>
          <w:rFonts w:eastAsia="Times New Roman"/>
        </w:rPr>
        <w:t>behavioural</w:t>
      </w:r>
      <w:proofErr w:type="spellEnd"/>
      <w:r>
        <w:rPr>
          <w:rFonts w:eastAsia="Times New Roman"/>
        </w:rPr>
        <w:t>, psychological, and emotional needs of persons 65 and older residing in dementia care facilities.</w:t>
      </w:r>
      <w:r w:rsidR="00AE3996" w:rsidRPr="00524C19">
        <w:rPr>
          <w:color w:val="000000" w:themeColor="text1"/>
        </w:rPr>
        <w:t xml:space="preserve"> When applied thoughtfully, these theories support person-centred approaches that promote dignity, emotional security and wellbeing. Although cognitive decline presents limitations, adapting theory-based interventions allows professionals to deliver compassionate and effective care. Integrating psychological theory into practice strengthens professional decision-making and contributes to improved quality of life for</w:t>
      </w:r>
      <w:r w:rsidR="00D22EDC">
        <w:rPr>
          <w:color w:val="000000" w:themeColor="text1"/>
        </w:rPr>
        <w:t xml:space="preserve"> the</w:t>
      </w:r>
      <w:r w:rsidR="00AE3996" w:rsidRPr="00524C19">
        <w:rPr>
          <w:color w:val="000000" w:themeColor="text1"/>
        </w:rPr>
        <w:t xml:space="preserve"> </w:t>
      </w:r>
      <w:r w:rsidR="00D22EDC">
        <w:rPr>
          <w:color w:val="000000" w:themeColor="text1"/>
        </w:rPr>
        <w:t>elderly</w:t>
      </w:r>
      <w:r w:rsidR="00AE3996" w:rsidRPr="00524C19">
        <w:rPr>
          <w:color w:val="000000" w:themeColor="text1"/>
        </w:rPr>
        <w:t xml:space="preserve"> with dementia.</w:t>
      </w:r>
    </w:p>
    <w:p w14:paraId="754AA2AE" w14:textId="77777777" w:rsidR="00E261F7" w:rsidRPr="00E261F7" w:rsidRDefault="00E261F7" w:rsidP="00E261F7">
      <w:pPr>
        <w:rPr>
          <w:rFonts w:eastAsia="Times New Roman"/>
          <w:sz w:val="24"/>
          <w:szCs w:val="24"/>
        </w:rPr>
      </w:pPr>
    </w:p>
    <w:p w14:paraId="4BE1249D" w14:textId="77777777" w:rsidR="00E261F7" w:rsidRDefault="00E261F7" w:rsidP="00FA67C2">
      <w:pPr>
        <w:spacing w:before="100" w:beforeAutospacing="1" w:after="100" w:afterAutospacing="1" w:line="360" w:lineRule="auto"/>
        <w:rPr>
          <w:rFonts w:eastAsia="Times New Roman"/>
          <w:color w:val="000000" w:themeColor="text1"/>
        </w:rPr>
      </w:pPr>
    </w:p>
    <w:p w14:paraId="047A4D00" w14:textId="77777777" w:rsidR="00E261F7" w:rsidRDefault="00E261F7" w:rsidP="00FA67C2">
      <w:pPr>
        <w:spacing w:before="100" w:beforeAutospacing="1" w:after="100" w:afterAutospacing="1" w:line="360" w:lineRule="auto"/>
        <w:rPr>
          <w:rFonts w:eastAsia="Times New Roman"/>
          <w:color w:val="000000" w:themeColor="text1"/>
        </w:rPr>
      </w:pPr>
    </w:p>
    <w:p w14:paraId="5DB0BF12" w14:textId="39B1AE4D" w:rsidR="00AE3996" w:rsidRPr="00524C19" w:rsidRDefault="00AE3996" w:rsidP="00FA67C2">
      <w:pPr>
        <w:spacing w:before="100" w:beforeAutospacing="1" w:after="100" w:afterAutospacing="1" w:line="360" w:lineRule="auto"/>
        <w:rPr>
          <w:rFonts w:eastAsia="Times New Roman"/>
          <w:color w:val="000000" w:themeColor="text1"/>
        </w:rPr>
      </w:pPr>
      <w:r w:rsidRPr="00524C19">
        <w:rPr>
          <w:rFonts w:eastAsia="Times New Roman"/>
          <w:color w:val="000000" w:themeColor="text1"/>
        </w:rPr>
        <w:lastRenderedPageBreak/>
        <w:t>References</w:t>
      </w:r>
    </w:p>
    <w:p w14:paraId="609EFA3E" w14:textId="77777777" w:rsidR="00AE3996" w:rsidRPr="00F67310" w:rsidRDefault="00AE3996" w:rsidP="00524C19">
      <w:pPr>
        <w:pStyle w:val="NormalWeb"/>
        <w:spacing w:line="360" w:lineRule="auto"/>
        <w:rPr>
          <w:rFonts w:ascii="Arial" w:hAnsi="Arial" w:cs="Arial"/>
          <w:i/>
          <w:iCs/>
          <w:color w:val="000000" w:themeColor="text1"/>
          <w:sz w:val="22"/>
          <w:szCs w:val="22"/>
        </w:rPr>
      </w:pPr>
      <w:r w:rsidRPr="00F67310">
        <w:rPr>
          <w:rFonts w:ascii="Arial" w:hAnsi="Arial" w:cs="Arial"/>
          <w:i/>
          <w:iCs/>
          <w:color w:val="000000" w:themeColor="text1"/>
          <w:sz w:val="22"/>
          <w:szCs w:val="22"/>
        </w:rPr>
        <w:t>Erikson, E.H. (1963). Childhood and Society. New York: W.W. Norton.</w:t>
      </w:r>
    </w:p>
    <w:p w14:paraId="4DF2FB28" w14:textId="77777777" w:rsidR="00AE3996" w:rsidRPr="00F67310" w:rsidRDefault="00AE3996" w:rsidP="00524C19">
      <w:pPr>
        <w:pStyle w:val="NormalWeb"/>
        <w:spacing w:line="360" w:lineRule="auto"/>
        <w:rPr>
          <w:rFonts w:ascii="Arial" w:hAnsi="Arial" w:cs="Arial"/>
          <w:i/>
          <w:iCs/>
          <w:color w:val="000000" w:themeColor="text1"/>
          <w:sz w:val="22"/>
          <w:szCs w:val="22"/>
        </w:rPr>
      </w:pPr>
      <w:r w:rsidRPr="00F67310">
        <w:rPr>
          <w:rFonts w:ascii="Arial" w:hAnsi="Arial" w:cs="Arial"/>
          <w:i/>
          <w:iCs/>
          <w:color w:val="000000" w:themeColor="text1"/>
          <w:sz w:val="22"/>
          <w:szCs w:val="22"/>
        </w:rPr>
        <w:t>Maslow, A.H. (1943). A Theory of Human Motivation. Psychological Review, 50(4), pp.370–396.</w:t>
      </w:r>
    </w:p>
    <w:p w14:paraId="7D9A172D" w14:textId="77777777" w:rsidR="00AE3996" w:rsidRPr="00F67310" w:rsidRDefault="00AE3996" w:rsidP="00524C19">
      <w:pPr>
        <w:pStyle w:val="NormalWeb"/>
        <w:spacing w:line="360" w:lineRule="auto"/>
        <w:rPr>
          <w:rFonts w:ascii="Arial" w:hAnsi="Arial" w:cs="Arial"/>
          <w:i/>
          <w:iCs/>
          <w:color w:val="000000" w:themeColor="text1"/>
          <w:sz w:val="22"/>
          <w:szCs w:val="22"/>
        </w:rPr>
      </w:pPr>
      <w:r w:rsidRPr="00F67310">
        <w:rPr>
          <w:rFonts w:ascii="Arial" w:hAnsi="Arial" w:cs="Arial"/>
          <w:i/>
          <w:iCs/>
          <w:color w:val="000000" w:themeColor="text1"/>
          <w:sz w:val="22"/>
          <w:szCs w:val="22"/>
        </w:rPr>
        <w:t>Woods, B., O’Philbin, L., Farrell, E., Spector, A. and Orrell, M. (2018). Reminiscence therapy for dementia. Cochrane Database of Systematic Reviews.</w:t>
      </w:r>
    </w:p>
    <w:p w14:paraId="1B781DE6" w14:textId="77777777" w:rsidR="00AE3996" w:rsidRPr="00F67310" w:rsidRDefault="00AE3996" w:rsidP="00524C19">
      <w:pPr>
        <w:pStyle w:val="NormalWeb"/>
        <w:spacing w:line="360" w:lineRule="auto"/>
        <w:rPr>
          <w:rFonts w:ascii="Arial" w:hAnsi="Arial" w:cs="Arial"/>
          <w:i/>
          <w:iCs/>
          <w:color w:val="000000" w:themeColor="text1"/>
          <w:sz w:val="22"/>
          <w:szCs w:val="22"/>
        </w:rPr>
      </w:pPr>
      <w:r w:rsidRPr="00F67310">
        <w:rPr>
          <w:rFonts w:ascii="Arial" w:hAnsi="Arial" w:cs="Arial"/>
          <w:i/>
          <w:iCs/>
          <w:color w:val="000000" w:themeColor="text1"/>
          <w:sz w:val="22"/>
          <w:szCs w:val="22"/>
        </w:rPr>
        <w:t>Kitwood, T. (1997). Dementia Reconsidered: The Person Comes First. Buckingham: Open University Press.</w:t>
      </w:r>
    </w:p>
    <w:p w14:paraId="6A1FC077" w14:textId="77777777" w:rsidR="00AE3996" w:rsidRPr="00F67310" w:rsidRDefault="00AE3996" w:rsidP="00524C19">
      <w:pPr>
        <w:pStyle w:val="NormalWeb"/>
        <w:spacing w:line="360" w:lineRule="auto"/>
        <w:rPr>
          <w:rFonts w:ascii="Arial" w:hAnsi="Arial" w:cs="Arial"/>
          <w:i/>
          <w:iCs/>
          <w:color w:val="000000" w:themeColor="text1"/>
          <w:sz w:val="22"/>
          <w:szCs w:val="22"/>
        </w:rPr>
      </w:pPr>
      <w:r w:rsidRPr="00F67310">
        <w:rPr>
          <w:rFonts w:ascii="Arial" w:hAnsi="Arial" w:cs="Arial"/>
          <w:i/>
          <w:iCs/>
          <w:color w:val="000000" w:themeColor="text1"/>
          <w:sz w:val="22"/>
          <w:szCs w:val="22"/>
        </w:rPr>
        <w:t>Age UK (2023). Later Life in the UK: Statistics.</w:t>
      </w:r>
    </w:p>
    <w:p w14:paraId="5F27931C" w14:textId="77777777" w:rsidR="00AE3996" w:rsidRPr="00F67310" w:rsidRDefault="00AE3996" w:rsidP="00524C19">
      <w:pPr>
        <w:pStyle w:val="NormalWeb"/>
        <w:spacing w:line="360" w:lineRule="auto"/>
        <w:rPr>
          <w:rFonts w:ascii="Arial" w:hAnsi="Arial" w:cs="Arial"/>
          <w:i/>
          <w:iCs/>
          <w:color w:val="000000" w:themeColor="text1"/>
          <w:sz w:val="22"/>
          <w:szCs w:val="22"/>
        </w:rPr>
      </w:pPr>
      <w:r w:rsidRPr="00F67310">
        <w:rPr>
          <w:rFonts w:ascii="Arial" w:hAnsi="Arial" w:cs="Arial"/>
          <w:i/>
          <w:iCs/>
          <w:color w:val="000000" w:themeColor="text1"/>
          <w:sz w:val="22"/>
          <w:szCs w:val="22"/>
        </w:rPr>
        <w:t>NICE (2022). Dementia: Assessment, Management and Support for People Living with Dementia and Their Carers.</w:t>
      </w:r>
    </w:p>
    <w:p w14:paraId="507B5CDA" w14:textId="2D2A9F30" w:rsidR="00002062" w:rsidRPr="00F67310" w:rsidRDefault="00002062" w:rsidP="00524C19">
      <w:pPr>
        <w:spacing w:line="360" w:lineRule="auto"/>
        <w:rPr>
          <w:i/>
          <w:iCs/>
          <w:color w:val="000000" w:themeColor="text1"/>
        </w:rPr>
      </w:pPr>
    </w:p>
    <w:sectPr w:rsidR="00002062" w:rsidRPr="00F67310">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AEE5E" w14:textId="77777777" w:rsidR="007C5FB9" w:rsidRDefault="007C5FB9" w:rsidP="00A76CD5">
      <w:pPr>
        <w:spacing w:after="0" w:line="240" w:lineRule="auto"/>
      </w:pPr>
      <w:r>
        <w:separator/>
      </w:r>
    </w:p>
  </w:endnote>
  <w:endnote w:type="continuationSeparator" w:id="0">
    <w:p w14:paraId="077C1794" w14:textId="77777777" w:rsidR="007C5FB9" w:rsidRDefault="007C5FB9" w:rsidP="00A7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8492669"/>
      <w:docPartObj>
        <w:docPartGallery w:val="Page Numbers (Bottom of Page)"/>
        <w:docPartUnique/>
      </w:docPartObj>
    </w:sdtPr>
    <w:sdtEndPr>
      <w:rPr>
        <w:rStyle w:val="PageNumber"/>
      </w:rPr>
    </w:sdtEndPr>
    <w:sdtContent>
      <w:p w14:paraId="2D2F5F0E" w14:textId="7BDED6C4" w:rsidR="00A76CD5" w:rsidRDefault="00A76CD5" w:rsidP="00B65A28">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16056987" w14:textId="77777777" w:rsidR="00A76CD5" w:rsidRDefault="00A76CD5" w:rsidP="00A76C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3058017"/>
      <w:docPartObj>
        <w:docPartGallery w:val="Page Numbers (Bottom of Page)"/>
        <w:docPartUnique/>
      </w:docPartObj>
    </w:sdtPr>
    <w:sdtEndPr>
      <w:rPr>
        <w:rStyle w:val="PageNumber"/>
      </w:rPr>
    </w:sdtEndPr>
    <w:sdtContent>
      <w:p w14:paraId="7CC5024C" w14:textId="1731BAA5" w:rsidR="00A76CD5" w:rsidRDefault="00A76CD5" w:rsidP="00B65A28">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6</w:t>
        </w:r>
        <w:r>
          <w:rPr>
            <w:rStyle w:val="PageNumber"/>
          </w:rPr>
          <w:fldChar w:fldCharType="end"/>
        </w:r>
      </w:p>
    </w:sdtContent>
  </w:sdt>
  <w:p w14:paraId="7D517765" w14:textId="77777777" w:rsidR="00A76CD5" w:rsidRDefault="00A76CD5" w:rsidP="00A76C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D5097" w14:textId="77777777" w:rsidR="007C5FB9" w:rsidRDefault="007C5FB9" w:rsidP="00A76CD5">
      <w:pPr>
        <w:spacing w:after="0" w:line="240" w:lineRule="auto"/>
      </w:pPr>
      <w:r>
        <w:separator/>
      </w:r>
    </w:p>
  </w:footnote>
  <w:footnote w:type="continuationSeparator" w:id="0">
    <w:p w14:paraId="5348EAE2" w14:textId="77777777" w:rsidR="007C5FB9" w:rsidRDefault="007C5FB9" w:rsidP="00A76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1A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F423E0"/>
    <w:multiLevelType w:val="singleLevel"/>
    <w:tmpl w:val="D0A62B40"/>
    <w:lvl w:ilvl="0">
      <w:start w:val="1"/>
      <w:numFmt w:val="decimal"/>
      <w:lvlRestart w:val="0"/>
      <w:pStyle w:val="ListNumber"/>
      <w:lvlText w:val="%1."/>
      <w:lvlJc w:val="left"/>
      <w:pPr>
        <w:tabs>
          <w:tab w:val="num" w:pos="360"/>
        </w:tabs>
        <w:ind w:left="360" w:hanging="360"/>
      </w:pPr>
    </w:lvl>
  </w:abstractNum>
  <w:abstractNum w:abstractNumId="2" w15:restartNumberingAfterBreak="0">
    <w:nsid w:val="25BA1749"/>
    <w:multiLevelType w:val="singleLevel"/>
    <w:tmpl w:val="F3EAFDEC"/>
    <w:lvl w:ilvl="0">
      <w:start w:val="1"/>
      <w:numFmt w:val="bullet"/>
      <w:lvlRestart w:val="0"/>
      <w:pStyle w:val="ListBullet3"/>
      <w:lvlText w:val=""/>
      <w:lvlJc w:val="left"/>
      <w:pPr>
        <w:tabs>
          <w:tab w:val="num" w:pos="1080"/>
        </w:tabs>
        <w:ind w:left="1080" w:hanging="360"/>
      </w:pPr>
      <w:rPr>
        <w:rFonts w:ascii="Symbol" w:hAnsi="Symbol" w:hint="default"/>
      </w:rPr>
    </w:lvl>
  </w:abstractNum>
  <w:abstractNum w:abstractNumId="3" w15:restartNumberingAfterBreak="0">
    <w:nsid w:val="261D557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E3123A"/>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B267E6"/>
    <w:multiLevelType w:val="singleLevel"/>
    <w:tmpl w:val="38441652"/>
    <w:lvl w:ilvl="0">
      <w:start w:val="1"/>
      <w:numFmt w:val="decimal"/>
      <w:lvlRestart w:val="0"/>
      <w:pStyle w:val="ListNumber2"/>
      <w:lvlText w:val="%1."/>
      <w:lvlJc w:val="left"/>
      <w:pPr>
        <w:tabs>
          <w:tab w:val="num" w:pos="720"/>
        </w:tabs>
        <w:ind w:left="720" w:hanging="360"/>
      </w:pPr>
    </w:lvl>
  </w:abstractNum>
  <w:abstractNum w:abstractNumId="6" w15:restartNumberingAfterBreak="0">
    <w:nsid w:val="49E23769"/>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0453D2"/>
    <w:multiLevelType w:val="singleLevel"/>
    <w:tmpl w:val="29761A62"/>
    <w:lvl w:ilvl="0">
      <w:start w:val="1"/>
      <w:numFmt w:val="bullet"/>
      <w:lvlRestart w:val="0"/>
      <w:pStyle w:val="ListBullet"/>
      <w:lvlText w:val=""/>
      <w:lvlJc w:val="left"/>
      <w:pPr>
        <w:tabs>
          <w:tab w:val="num" w:pos="360"/>
        </w:tabs>
        <w:ind w:left="360" w:hanging="360"/>
      </w:pPr>
      <w:rPr>
        <w:rFonts w:ascii="Symbol" w:hAnsi="Symbol" w:hint="default"/>
      </w:rPr>
    </w:lvl>
  </w:abstractNum>
  <w:abstractNum w:abstractNumId="8" w15:restartNumberingAfterBreak="0">
    <w:nsid w:val="609174E3"/>
    <w:multiLevelType w:val="singleLevel"/>
    <w:tmpl w:val="3D1EFFD4"/>
    <w:lvl w:ilvl="0">
      <w:start w:val="1"/>
      <w:numFmt w:val="bullet"/>
      <w:lvlRestart w:val="0"/>
      <w:pStyle w:val="ListBullet2"/>
      <w:lvlText w:val=""/>
      <w:lvlJc w:val="left"/>
      <w:pPr>
        <w:tabs>
          <w:tab w:val="num" w:pos="720"/>
        </w:tabs>
        <w:ind w:left="720" w:hanging="360"/>
      </w:pPr>
      <w:rPr>
        <w:rFonts w:ascii="Symbol" w:hAnsi="Symbol" w:hint="default"/>
      </w:rPr>
    </w:lvl>
  </w:abstractNum>
  <w:abstractNum w:abstractNumId="9" w15:restartNumberingAfterBreak="0">
    <w:nsid w:val="68DA4C05"/>
    <w:multiLevelType w:val="singleLevel"/>
    <w:tmpl w:val="FB12693A"/>
    <w:lvl w:ilvl="0">
      <w:start w:val="1"/>
      <w:numFmt w:val="decimal"/>
      <w:lvlRestart w:val="0"/>
      <w:pStyle w:val="ListNumber3"/>
      <w:lvlText w:val="%1."/>
      <w:lvlJc w:val="left"/>
      <w:pPr>
        <w:tabs>
          <w:tab w:val="num" w:pos="1080"/>
        </w:tabs>
        <w:ind w:left="1080" w:hanging="360"/>
      </w:pPr>
    </w:lvl>
  </w:abstractNum>
  <w:abstractNum w:abstractNumId="10" w15:restartNumberingAfterBreak="0">
    <w:nsid w:val="766C64D5"/>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9946706">
    <w:abstractNumId w:val="7"/>
  </w:num>
  <w:num w:numId="2" w16cid:durableId="246305611">
    <w:abstractNumId w:val="8"/>
  </w:num>
  <w:num w:numId="3" w16cid:durableId="2112579336">
    <w:abstractNumId w:val="2"/>
  </w:num>
  <w:num w:numId="4" w16cid:durableId="742532103">
    <w:abstractNumId w:val="1"/>
  </w:num>
  <w:num w:numId="5" w16cid:durableId="1482775047">
    <w:abstractNumId w:val="5"/>
  </w:num>
  <w:num w:numId="6" w16cid:durableId="452673353">
    <w:abstractNumId w:val="9"/>
  </w:num>
  <w:num w:numId="7" w16cid:durableId="1133863383">
    <w:abstractNumId w:val="0"/>
  </w:num>
  <w:num w:numId="8" w16cid:durableId="2120880041">
    <w:abstractNumId w:val="6"/>
  </w:num>
  <w:num w:numId="9" w16cid:durableId="363216570">
    <w:abstractNumId w:val="10"/>
  </w:num>
  <w:num w:numId="10" w16cid:durableId="1598824213">
    <w:abstractNumId w:val="3"/>
  </w:num>
  <w:num w:numId="11" w16cid:durableId="19695810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bordersDoNotSurroundHeader/>
  <w:bordersDoNotSurroundFooter/>
  <w:proofState w:spelling="clean" w:grammar="clean"/>
  <w:defaultTabStop w:val="720"/>
  <w:drawingGridHorizontalSpacing w:val="110"/>
  <w:drawingGridVerticalSpacing w:val="156"/>
  <w:displayHorizontalDrawingGridEvery w:val="0"/>
  <w:characterSpacingControl w:val="doNotCompress"/>
  <w:savePreviewPicture/>
  <w:footnotePr>
    <w:footnote w:id="-1"/>
    <w:footnote w:id="0"/>
  </w:footnotePr>
  <w:endnotePr>
    <w:endnote w:id="-1"/>
    <w:endnote w:id="0"/>
  </w:endnotePr>
  <w:compat>
    <w:spaceForUL/>
    <w:growAutofit/>
    <w:useFELayout/>
    <w:compatSetting w:name="compatibilityMode" w:uri="http://schemas.microsoft.com/office/word" w:val="14"/>
    <w:compatSetting w:name="useWord2013TrackBottomHyphenation" w:uri="http://schemas.microsoft.com/office/word" w:val="1"/>
  </w:compat>
  <w:rsids>
    <w:rsidRoot w:val="00002062"/>
    <w:rsid w:val="00002062"/>
    <w:rsid w:val="000178F3"/>
    <w:rsid w:val="00047783"/>
    <w:rsid w:val="000F24C8"/>
    <w:rsid w:val="00201C8A"/>
    <w:rsid w:val="002378AB"/>
    <w:rsid w:val="002D0350"/>
    <w:rsid w:val="002F177D"/>
    <w:rsid w:val="00311C6B"/>
    <w:rsid w:val="00363D14"/>
    <w:rsid w:val="00391D9A"/>
    <w:rsid w:val="004411DA"/>
    <w:rsid w:val="004F1BC3"/>
    <w:rsid w:val="00524C19"/>
    <w:rsid w:val="00551FE4"/>
    <w:rsid w:val="007C5FB9"/>
    <w:rsid w:val="007F49F2"/>
    <w:rsid w:val="0081511B"/>
    <w:rsid w:val="00851FD1"/>
    <w:rsid w:val="00A44F67"/>
    <w:rsid w:val="00A76CD5"/>
    <w:rsid w:val="00AE3996"/>
    <w:rsid w:val="00C16E4A"/>
    <w:rsid w:val="00C5562D"/>
    <w:rsid w:val="00C8499A"/>
    <w:rsid w:val="00CF3627"/>
    <w:rsid w:val="00D22EDC"/>
    <w:rsid w:val="00DB1D9B"/>
    <w:rsid w:val="00E11306"/>
    <w:rsid w:val="00E261F7"/>
    <w:rsid w:val="00EA24E7"/>
    <w:rsid w:val="00F0342C"/>
    <w:rsid w:val="00F67310"/>
    <w:rsid w:val="00F879E0"/>
    <w:rsid w:val="00FA67C2"/>
    <w:rsid w:val="00FB2D22"/>
    <w:rsid w:val="00FD1FD2"/>
  </w:rsids>
  <m:mathPr>
    <m:mathFont m:val="Cambria Math"/>
    <m:brkBin m:val="before"/>
    <m:brkBinSub m:val="--"/>
    <m:smallFrac/>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2085A05C"/>
  <w15:docId w15:val="{372A2E06-E470-1340-BB84-91E5970F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Arial" w:eastAsia="MS Mincho" w:hAnsi="Arial" w:cs="Arial"/>
      <w:sz w:val="22"/>
      <w:szCs w:val="22"/>
      <w:lang w:eastAsia="en-US"/>
    </w:rPr>
  </w:style>
  <w:style w:type="paragraph" w:styleId="Heading1">
    <w:name w:val="heading 1"/>
    <w:basedOn w:val="Normal"/>
    <w:next w:val="Normal"/>
    <w:uiPriority w:val="9"/>
    <w:qFormat/>
    <w:pPr>
      <w:keepNext/>
      <w:keepLines/>
      <w:spacing w:before="480" w:after="0"/>
      <w:outlineLvl w:val="0"/>
    </w:pPr>
    <w:rPr>
      <w:rFonts w:ascii="Calibri" w:eastAsia="MS Gothic" w:hAnsi="Calibri" w:cs="Times New Roman"/>
      <w:b/>
      <w:bCs/>
      <w:color w:val="365F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MS Gothic" w:hAnsi="Calibri" w:cs="Times New Roman"/>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MS Gothic" w:hAnsi="Calibri" w:cs="Times New Roman"/>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MS Gothic" w:hAnsi="Calibri" w:cs="Times New Roman"/>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MS Gothic" w:hAnsi="Calibri" w:cs="Times New Roman"/>
      <w:color w:val="243F60"/>
    </w:rPr>
  </w:style>
  <w:style w:type="paragraph" w:styleId="Heading6">
    <w:name w:val="heading 6"/>
    <w:basedOn w:val="Normal"/>
    <w:next w:val="Normal"/>
    <w:uiPriority w:val="9"/>
    <w:semiHidden/>
    <w:unhideWhenUsed/>
    <w:qFormat/>
    <w:pPr>
      <w:keepNext/>
      <w:keepLines/>
      <w:spacing w:before="200" w:after="0"/>
      <w:outlineLvl w:val="5"/>
    </w:pPr>
    <w:rPr>
      <w:rFonts w:ascii="Calibri" w:eastAsia="MS Gothic" w:hAnsi="Calibri" w:cs="Times New Roman"/>
      <w:i/>
      <w:iCs/>
      <w:color w:val="243F60"/>
    </w:rPr>
  </w:style>
  <w:style w:type="paragraph" w:styleId="Heading7">
    <w:name w:val="heading 7"/>
    <w:basedOn w:val="Normal"/>
    <w:next w:val="Normal"/>
    <w:pPr>
      <w:keepNext/>
      <w:keepLines/>
      <w:spacing w:before="200" w:after="0"/>
      <w:outlineLvl w:val="6"/>
    </w:pPr>
    <w:rPr>
      <w:rFonts w:ascii="Calibri" w:eastAsia="MS Gothic" w:hAnsi="Calibri" w:cs="Times New Roman"/>
      <w:i/>
      <w:iCs/>
      <w:color w:val="404040"/>
    </w:rPr>
  </w:style>
  <w:style w:type="paragraph" w:styleId="Heading8">
    <w:name w:val="heading 8"/>
    <w:basedOn w:val="Normal"/>
    <w:next w:val="Normal"/>
    <w:pPr>
      <w:keepNext/>
      <w:keepLines/>
      <w:spacing w:before="200" w:after="0"/>
      <w:outlineLvl w:val="7"/>
    </w:pPr>
    <w:rPr>
      <w:rFonts w:ascii="Calibri" w:eastAsia="MS Gothic" w:hAnsi="Calibri" w:cs="Times New Roman"/>
      <w:color w:val="4F81BD"/>
      <w:sz w:val="20"/>
      <w:szCs w:val="20"/>
    </w:rPr>
  </w:style>
  <w:style w:type="paragraph" w:styleId="Heading9">
    <w:name w:val="heading 9"/>
    <w:basedOn w:val="Normal"/>
    <w:next w:val="Normal"/>
    <w:pPr>
      <w:keepNext/>
      <w:keepLines/>
      <w:spacing w:before="200" w:after="0"/>
      <w:outlineLvl w:val="8"/>
    </w:pPr>
    <w:rPr>
      <w:rFonts w:ascii="Calibri" w:eastAsia="MS Gothic" w:hAnsi="Calibri"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 w:type="paragraph" w:customStyle="1" w:styleId="NoSpacing1">
    <w:name w:val="No Spacing1"/>
    <w:rPr>
      <w:rFonts w:ascii="Cambria" w:eastAsia="MS Mincho" w:hAnsi="Cambria" w:cs="Arial"/>
      <w:sz w:val="22"/>
      <w:szCs w:val="22"/>
      <w:lang w:eastAsia="en-US"/>
    </w:rPr>
  </w:style>
  <w:style w:type="paragraph" w:styleId="Title">
    <w:name w:val="Title"/>
    <w:basedOn w:val="Normal"/>
    <w:next w:val="Normal"/>
    <w:uiPriority w:val="10"/>
    <w:qFormat/>
    <w:pPr>
      <w:pBdr>
        <w:bottom w:val="single" w:sz="8" w:space="4" w:color="4F81BD"/>
      </w:pBdr>
      <w:spacing w:after="300" w:line="240" w:lineRule="auto"/>
      <w:contextualSpacing/>
    </w:pPr>
    <w:rPr>
      <w:rFonts w:ascii="Calibri" w:eastAsia="MS Gothic" w:hAnsi="Calibri" w:cs="Times New Roman"/>
      <w:color w:val="17365D"/>
      <w:spacing w:val="5"/>
      <w:kern w:val="28"/>
      <w:sz w:val="52"/>
      <w:szCs w:val="52"/>
    </w:rPr>
  </w:style>
  <w:style w:type="paragraph" w:styleId="Subtitle">
    <w:name w:val="Subtitle"/>
    <w:basedOn w:val="Normal"/>
    <w:next w:val="Normal"/>
    <w:uiPriority w:val="11"/>
    <w:qFormat/>
    <w:rPr>
      <w:rFonts w:ascii="Calibri" w:eastAsia="MS Gothic" w:hAnsi="Calibri" w:cs="Times New Roman"/>
      <w:i/>
      <w:iCs/>
      <w:color w:val="4F81BD"/>
      <w:spacing w:val="15"/>
      <w:sz w:val="24"/>
      <w:szCs w:val="24"/>
    </w:rPr>
  </w:style>
  <w:style w:type="paragraph" w:customStyle="1" w:styleId="ListParagraph1">
    <w:name w:val="List Paragraph1"/>
    <w:basedOn w:val="Normal"/>
    <w:pPr>
      <w:ind w:left="720"/>
      <w:contextualSpacing/>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List">
    <w:name w:val="List"/>
    <w:basedOn w:val="Normal"/>
    <w:pPr>
      <w:ind w:left="360" w:hanging="360"/>
      <w:contextualSpacing/>
    </w:pPr>
  </w:style>
  <w:style w:type="paragraph" w:styleId="List2">
    <w:name w:val="List 2"/>
    <w:basedOn w:val="Normal"/>
    <w:pPr>
      <w:ind w:left="720" w:hanging="360"/>
      <w:contextualSpacing/>
    </w:pPr>
  </w:style>
  <w:style w:type="paragraph" w:styleId="List3">
    <w:name w:val="List 3"/>
    <w:basedOn w:val="Normal"/>
    <w:pPr>
      <w:ind w:left="1080" w:hanging="360"/>
      <w:contextualSpacing/>
    </w:pPr>
  </w:style>
  <w:style w:type="paragraph" w:styleId="ListBullet">
    <w:name w:val="List Bullet"/>
    <w:basedOn w:val="Normal"/>
    <w:pPr>
      <w:numPr>
        <w:numId w:val="1"/>
      </w:numPr>
      <w:contextualSpacing/>
    </w:pPr>
  </w:style>
  <w:style w:type="paragraph" w:styleId="ListBullet2">
    <w:name w:val="List Bullet 2"/>
    <w:basedOn w:val="Normal"/>
    <w:pPr>
      <w:numPr>
        <w:numId w:val="2"/>
      </w:numPr>
      <w:contextualSpacing/>
    </w:pPr>
  </w:style>
  <w:style w:type="paragraph" w:styleId="ListBullet3">
    <w:name w:val="List Bullet 3"/>
    <w:basedOn w:val="Normal"/>
    <w:pPr>
      <w:numPr>
        <w:numId w:val="3"/>
      </w:numPr>
      <w:contextualSpacing/>
    </w:pPr>
  </w:style>
  <w:style w:type="paragraph" w:styleId="ListNumber">
    <w:name w:val="List Number"/>
    <w:basedOn w:val="Normal"/>
    <w:pPr>
      <w:numPr>
        <w:numId w:val="4"/>
      </w:numPr>
      <w:contextualSpacing/>
    </w:pPr>
  </w:style>
  <w:style w:type="paragraph" w:styleId="ListNumber2">
    <w:name w:val="List Number 2"/>
    <w:basedOn w:val="Normal"/>
    <w:pPr>
      <w:numPr>
        <w:numId w:val="5"/>
      </w:numPr>
      <w:contextualSpacing/>
    </w:pPr>
  </w:style>
  <w:style w:type="paragraph" w:styleId="ListNumber3">
    <w:name w:val="List Number 3"/>
    <w:basedOn w:val="Normal"/>
    <w:pPr>
      <w:numPr>
        <w:numId w:val="6"/>
      </w:numPr>
      <w:contextualSpacing/>
    </w:pPr>
  </w:style>
  <w:style w:type="paragraph" w:styleId="ListContinue">
    <w:name w:val="List Continue"/>
    <w:basedOn w:val="Normal"/>
    <w:pPr>
      <w:spacing w:after="120"/>
      <w:ind w:left="360"/>
      <w:contextualSpacing/>
    </w:pPr>
  </w:style>
  <w:style w:type="paragraph" w:styleId="ListContinue2">
    <w:name w:val="List Continue 2"/>
    <w:basedOn w:val="Normal"/>
    <w:pPr>
      <w:spacing w:after="120"/>
      <w:ind w:left="720"/>
      <w:contextualSpacing/>
    </w:pPr>
  </w:style>
  <w:style w:type="paragraph" w:styleId="ListContinue3">
    <w:name w:val="List Continue 3"/>
    <w:basedOn w:val="Normal"/>
    <w:pPr>
      <w:spacing w:after="120"/>
      <w:ind w:left="1080"/>
      <w:contextualSpacing/>
    </w:pPr>
  </w:style>
  <w:style w:type="paragraph" w:styleId="MacroText">
    <w:name w:val="macro"/>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cs="Arial"/>
      <w:lang w:eastAsia="en-US"/>
    </w:rPr>
  </w:style>
  <w:style w:type="paragraph" w:customStyle="1" w:styleId="Quote1">
    <w:name w:val="Quote1"/>
    <w:basedOn w:val="Normal"/>
    <w:next w:val="Normal"/>
    <w:rPr>
      <w:i/>
      <w:iCs/>
      <w:color w:val="000000"/>
    </w:rPr>
  </w:style>
  <w:style w:type="paragraph" w:styleId="Caption">
    <w:name w:val="caption"/>
    <w:basedOn w:val="Normal"/>
    <w:next w:val="Normal"/>
    <w:pPr>
      <w:spacing w:line="240" w:lineRule="auto"/>
    </w:pPr>
    <w:rPr>
      <w:b/>
      <w:bCs/>
      <w:color w:val="4F81BD"/>
      <w:sz w:val="18"/>
      <w:szCs w:val="18"/>
    </w:rPr>
  </w:style>
  <w:style w:type="character" w:styleId="Strong">
    <w:name w:val="Strong"/>
    <w:basedOn w:val="DefaultParagraphFont"/>
    <w:rPr>
      <w:b/>
      <w:bCs/>
    </w:rPr>
  </w:style>
  <w:style w:type="character" w:styleId="Emphasis">
    <w:name w:val="Emphasis"/>
    <w:basedOn w:val="DefaultParagraphFont"/>
    <w:rPr>
      <w:i/>
      <w:iCs/>
    </w:rPr>
  </w:style>
  <w:style w:type="paragraph" w:customStyle="1" w:styleId="IntenseQuote1">
    <w:name w:val="Intense Quote1"/>
    <w:basedOn w:val="Normal"/>
    <w:next w:val="Normal"/>
    <w:pPr>
      <w:pBdr>
        <w:bottom w:val="single" w:sz="4" w:space="4" w:color="4F81BD"/>
      </w:pBdr>
      <w:spacing w:before="200" w:after="280"/>
      <w:ind w:left="936" w:right="936"/>
    </w:pPr>
    <w:rPr>
      <w:b/>
      <w:bCs/>
      <w:i/>
      <w:iCs/>
      <w:color w:val="4F81BD"/>
    </w:rPr>
  </w:style>
  <w:style w:type="character" w:customStyle="1" w:styleId="SubtleEmphasis1">
    <w:name w:val="Subtle Emphasis1"/>
    <w:basedOn w:val="DefaultParagraphFont"/>
    <w:rPr>
      <w:i/>
      <w:iCs/>
      <w:color w:val="808080"/>
    </w:rPr>
  </w:style>
  <w:style w:type="character" w:customStyle="1" w:styleId="IntenseEmphasis1">
    <w:name w:val="Intense Emphasis1"/>
    <w:basedOn w:val="DefaultParagraphFont"/>
    <w:rPr>
      <w:b/>
      <w:bCs/>
      <w:i/>
      <w:iCs/>
      <w:color w:val="4F81BD"/>
    </w:rPr>
  </w:style>
  <w:style w:type="character" w:customStyle="1" w:styleId="SubtleReference1">
    <w:name w:val="Subtle Reference1"/>
    <w:basedOn w:val="DefaultParagraphFont"/>
    <w:rPr>
      <w:caps w:val="0"/>
      <w:smallCaps/>
      <w:color w:val="C0504D"/>
      <w:u w:val="single"/>
    </w:rPr>
  </w:style>
  <w:style w:type="character" w:customStyle="1" w:styleId="IntenseReference1">
    <w:name w:val="Intense Reference1"/>
    <w:basedOn w:val="DefaultParagraphFont"/>
    <w:rPr>
      <w:b/>
      <w:bCs/>
      <w:caps w:val="0"/>
      <w:smallCaps/>
      <w:color w:val="C0504D"/>
      <w:spacing w:val="5"/>
      <w:u w:val="single"/>
    </w:rPr>
  </w:style>
  <w:style w:type="character" w:customStyle="1" w:styleId="BookTitle1">
    <w:name w:val="Book Title1"/>
    <w:basedOn w:val="DefaultParagraphFont"/>
    <w:rPr>
      <w:b/>
      <w:bCs/>
      <w:caps w:val="0"/>
      <w:smallCaps/>
      <w:spacing w:val="5"/>
    </w:rPr>
  </w:style>
  <w:style w:type="paragraph" w:customStyle="1" w:styleId="TOCHeading1">
    <w:name w:val="TOC Heading1"/>
    <w:basedOn w:val="Heading1"/>
    <w:next w:val="Normal"/>
    <w:pPr>
      <w:outlineLvl w:val="9"/>
    </w:pPr>
  </w:style>
  <w:style w:type="paragraph" w:styleId="NormalWeb">
    <w:name w:val="Normal (Web)"/>
    <w:basedOn w:val="Normal"/>
    <w:uiPriority w:val="99"/>
    <w:unhideWhenUsed/>
    <w:rsid w:val="00AE3996"/>
    <w:pPr>
      <w:spacing w:before="100" w:beforeAutospacing="1" w:after="100" w:afterAutospacing="1" w:line="240" w:lineRule="auto"/>
    </w:pPr>
    <w:rPr>
      <w:rFonts w:ascii="Times New Roman" w:eastAsiaTheme="minorEastAsia" w:hAnsi="Times New Roman" w:cs="Times New Roman"/>
      <w:sz w:val="24"/>
      <w:szCs w:val="24"/>
      <w:lang w:val=""/>
    </w:rPr>
  </w:style>
  <w:style w:type="table" w:styleId="TableGrid">
    <w:name w:val="Table Grid"/>
    <w:basedOn w:val="TableNormal"/>
    <w:uiPriority w:val="39"/>
    <w:rsid w:val="00A76C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76CD5"/>
  </w:style>
  <w:style w:type="paragraph" w:styleId="ListParagraph">
    <w:name w:val="List Paragraph"/>
    <w:basedOn w:val="Normal"/>
    <w:uiPriority w:val="34"/>
    <w:qFormat/>
    <w:rsid w:val="00237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1782</Words>
  <Characters>10164</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Hazel Ignacia Rodriguez Torres (2430331)</cp:lastModifiedBy>
  <cp:revision>2</cp:revision>
  <dcterms:created xsi:type="dcterms:W3CDTF">2025-12-19T09:51:00Z</dcterms:created>
  <dcterms:modified xsi:type="dcterms:W3CDTF">2025-12-19T09:51:00Z</dcterms:modified>
</cp:coreProperties>
</file>