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1906A" w14:textId="77777777" w:rsidR="00B433E9" w:rsidRDefault="00B433E9" w:rsidP="00B433E9">
      <w:pPr>
        <w:spacing w:before="760" w:after="200"/>
        <w:jc w:val="center"/>
        <w:rPr>
          <w:b/>
          <w:color w:val="auto"/>
          <w:sz w:val="28"/>
          <w:szCs w:val="28"/>
        </w:rPr>
      </w:pPr>
      <w:r w:rsidRPr="00582514">
        <w:rPr>
          <w:b/>
          <w:color w:val="auto"/>
          <w:sz w:val="28"/>
          <w:szCs w:val="28"/>
        </w:rPr>
        <w:t>STRATEGIC MANAGEMENT AND SUSTAINABILITY</w:t>
      </w:r>
    </w:p>
    <w:p w14:paraId="411E24A0" w14:textId="77777777" w:rsidR="00B433E9" w:rsidRDefault="00B433E9" w:rsidP="00B433E9">
      <w:pPr>
        <w:spacing w:before="760" w:after="200"/>
        <w:jc w:val="center"/>
        <w:rPr>
          <w:b/>
          <w:color w:val="auto"/>
          <w:sz w:val="28"/>
          <w:szCs w:val="28"/>
        </w:rPr>
      </w:pPr>
    </w:p>
    <w:p w14:paraId="3C6FDA1A" w14:textId="77777777" w:rsidR="00B433E9" w:rsidRDefault="00B433E9" w:rsidP="00B433E9">
      <w:pPr>
        <w:spacing w:before="760" w:after="200"/>
        <w:jc w:val="center"/>
        <w:rPr>
          <w:b/>
          <w:color w:val="auto"/>
          <w:sz w:val="28"/>
          <w:szCs w:val="28"/>
        </w:rPr>
      </w:pPr>
    </w:p>
    <w:p w14:paraId="2A0EF854" w14:textId="77777777" w:rsidR="00B433E9" w:rsidRPr="00582514" w:rsidRDefault="00B433E9" w:rsidP="00B433E9">
      <w:pPr>
        <w:spacing w:after="60"/>
        <w:jc w:val="left"/>
        <w:rPr>
          <w:sz w:val="24"/>
          <w:szCs w:val="24"/>
        </w:rPr>
      </w:pPr>
      <w:r w:rsidRPr="00582514">
        <w:rPr>
          <w:b/>
          <w:color w:val="172B4D"/>
          <w:sz w:val="24"/>
          <w:szCs w:val="24"/>
        </w:rPr>
        <w:t xml:space="preserve">Module: </w:t>
      </w:r>
      <w:r w:rsidRPr="00582514">
        <w:rPr>
          <w:color w:val="202124"/>
          <w:sz w:val="24"/>
          <w:szCs w:val="24"/>
        </w:rPr>
        <w:t>LCBB6015</w:t>
      </w:r>
    </w:p>
    <w:p w14:paraId="1B59830A" w14:textId="77777777" w:rsidR="00B433E9" w:rsidRPr="00582514" w:rsidRDefault="00B433E9" w:rsidP="00B433E9">
      <w:pPr>
        <w:spacing w:after="60"/>
        <w:jc w:val="left"/>
        <w:rPr>
          <w:sz w:val="24"/>
          <w:szCs w:val="24"/>
        </w:rPr>
      </w:pPr>
      <w:r w:rsidRPr="00582514">
        <w:rPr>
          <w:b/>
          <w:color w:val="172B4D"/>
          <w:sz w:val="24"/>
          <w:szCs w:val="24"/>
        </w:rPr>
        <w:t xml:space="preserve">Student: </w:t>
      </w:r>
      <w:r w:rsidRPr="00582514">
        <w:rPr>
          <w:color w:val="202124"/>
          <w:sz w:val="24"/>
          <w:szCs w:val="24"/>
        </w:rPr>
        <w:t>Valentin Masala</w:t>
      </w:r>
    </w:p>
    <w:p w14:paraId="5404C5E9" w14:textId="77777777" w:rsidR="00B433E9" w:rsidRPr="00582514" w:rsidRDefault="00B433E9" w:rsidP="00B433E9">
      <w:pPr>
        <w:spacing w:after="60"/>
        <w:jc w:val="left"/>
        <w:rPr>
          <w:sz w:val="24"/>
          <w:szCs w:val="24"/>
        </w:rPr>
      </w:pPr>
      <w:r w:rsidRPr="00582514">
        <w:rPr>
          <w:b/>
          <w:color w:val="172B4D"/>
          <w:sz w:val="24"/>
          <w:szCs w:val="24"/>
        </w:rPr>
        <w:t xml:space="preserve">Student ID: </w:t>
      </w:r>
      <w:r w:rsidRPr="00582514">
        <w:rPr>
          <w:color w:val="202124"/>
          <w:sz w:val="24"/>
          <w:szCs w:val="24"/>
        </w:rPr>
        <w:t>2236548</w:t>
      </w:r>
    </w:p>
    <w:p w14:paraId="56296D16" w14:textId="77777777" w:rsidR="00B433E9" w:rsidRPr="00582514" w:rsidRDefault="00B433E9" w:rsidP="00B433E9">
      <w:pPr>
        <w:spacing w:after="60"/>
        <w:jc w:val="left"/>
        <w:rPr>
          <w:sz w:val="24"/>
          <w:szCs w:val="24"/>
        </w:rPr>
      </w:pPr>
      <w:r w:rsidRPr="00582514">
        <w:rPr>
          <w:b/>
          <w:color w:val="172B4D"/>
          <w:sz w:val="24"/>
          <w:szCs w:val="24"/>
        </w:rPr>
        <w:t xml:space="preserve">Lecturer: </w:t>
      </w:r>
      <w:r w:rsidRPr="00582514">
        <w:rPr>
          <w:color w:val="202124"/>
          <w:sz w:val="24"/>
          <w:szCs w:val="24"/>
        </w:rPr>
        <w:t>Nadeem Mirza</w:t>
      </w:r>
    </w:p>
    <w:p w14:paraId="0E4ABEFC" w14:textId="6B160205" w:rsidR="00B433E9" w:rsidRPr="00582514" w:rsidRDefault="00B433E9" w:rsidP="00B433E9">
      <w:pPr>
        <w:spacing w:after="60"/>
        <w:jc w:val="left"/>
        <w:rPr>
          <w:sz w:val="24"/>
          <w:szCs w:val="24"/>
        </w:rPr>
      </w:pPr>
      <w:r w:rsidRPr="00582514">
        <w:rPr>
          <w:b/>
          <w:color w:val="172B4D"/>
          <w:sz w:val="24"/>
          <w:szCs w:val="24"/>
        </w:rPr>
        <w:t xml:space="preserve">Date: </w:t>
      </w:r>
      <w:r w:rsidR="00CB124A">
        <w:rPr>
          <w:color w:val="202124"/>
          <w:sz w:val="24"/>
          <w:szCs w:val="24"/>
        </w:rPr>
        <w:t>17</w:t>
      </w:r>
      <w:r w:rsidRPr="00582514">
        <w:rPr>
          <w:color w:val="202124"/>
          <w:sz w:val="24"/>
          <w:szCs w:val="24"/>
        </w:rPr>
        <w:t xml:space="preserve"> </w:t>
      </w:r>
      <w:r w:rsidR="00CB124A">
        <w:rPr>
          <w:color w:val="202124"/>
          <w:sz w:val="24"/>
          <w:szCs w:val="24"/>
        </w:rPr>
        <w:t>/08/</w:t>
      </w:r>
      <w:r w:rsidRPr="00582514">
        <w:rPr>
          <w:color w:val="202124"/>
          <w:sz w:val="24"/>
          <w:szCs w:val="24"/>
        </w:rPr>
        <w:t xml:space="preserve"> 2026</w:t>
      </w:r>
    </w:p>
    <w:p w14:paraId="648D82CA" w14:textId="77777777" w:rsidR="00B433E9" w:rsidRDefault="00B433E9" w:rsidP="00B433E9">
      <w:pPr>
        <w:spacing w:before="760" w:after="200"/>
        <w:jc w:val="center"/>
        <w:rPr>
          <w:b/>
          <w:color w:val="auto"/>
          <w:sz w:val="28"/>
          <w:szCs w:val="28"/>
        </w:rPr>
      </w:pPr>
    </w:p>
    <w:p w14:paraId="23DF76E5" w14:textId="77777777" w:rsidR="00B433E9" w:rsidRPr="00582514" w:rsidRDefault="00B433E9" w:rsidP="00B433E9">
      <w:pPr>
        <w:spacing w:before="760" w:after="200"/>
        <w:jc w:val="center"/>
        <w:rPr>
          <w:color w:val="auto"/>
          <w:sz w:val="28"/>
          <w:szCs w:val="28"/>
        </w:rPr>
      </w:pPr>
    </w:p>
    <w:p w14:paraId="4EE0FE2A" w14:textId="77777777" w:rsidR="00B433E9" w:rsidRPr="00B433E9" w:rsidRDefault="00B433E9" w:rsidP="00B433E9">
      <w:pPr>
        <w:spacing w:before="360" w:after="200"/>
        <w:jc w:val="center"/>
        <w:rPr>
          <w:rFonts w:ascii="Times New Roman" w:hAnsi="Times New Roman" w:cs="Times New Roman"/>
          <w:sz w:val="32"/>
          <w:szCs w:val="32"/>
        </w:rPr>
      </w:pPr>
      <w:r w:rsidRPr="00B433E9">
        <w:rPr>
          <w:rFonts w:ascii="Times New Roman" w:hAnsi="Times New Roman" w:cs="Times New Roman"/>
          <w:b/>
          <w:color w:val="172B4D"/>
          <w:sz w:val="32"/>
          <w:szCs w:val="32"/>
        </w:rPr>
        <w:t>Strategic Analysis Report:</w:t>
      </w:r>
      <w:r w:rsidRPr="00B433E9">
        <w:rPr>
          <w:rFonts w:ascii="Times New Roman" w:hAnsi="Times New Roman" w:cs="Times New Roman"/>
          <w:b/>
          <w:color w:val="172B4D"/>
          <w:sz w:val="32"/>
          <w:szCs w:val="32"/>
        </w:rPr>
        <w:br/>
        <w:t>MG Motor UK</w:t>
      </w:r>
    </w:p>
    <w:p w14:paraId="33DD603C" w14:textId="77777777" w:rsidR="00B433E9" w:rsidRDefault="00B433E9"/>
    <w:p w14:paraId="57459202" w14:textId="77777777" w:rsidR="00B433E9" w:rsidRDefault="00B433E9"/>
    <w:p w14:paraId="3494E9BA" w14:textId="77777777" w:rsidR="00B433E9" w:rsidRDefault="00B433E9"/>
    <w:p w14:paraId="118A93A2" w14:textId="77777777" w:rsidR="00B433E9" w:rsidRDefault="00B433E9"/>
    <w:p w14:paraId="385A09C5" w14:textId="77777777" w:rsidR="00B433E9" w:rsidRDefault="00B433E9"/>
    <w:p w14:paraId="332D2D3A" w14:textId="77777777" w:rsidR="00B433E9" w:rsidRDefault="00B433E9"/>
    <w:p w14:paraId="412D27F0" w14:textId="77777777" w:rsidR="00B433E9" w:rsidRDefault="00B433E9"/>
    <w:p w14:paraId="536248FE" w14:textId="77777777" w:rsidR="00B433E9" w:rsidRDefault="00B433E9"/>
    <w:p w14:paraId="4DCF0F7A" w14:textId="77777777" w:rsidR="00B433E9" w:rsidRDefault="00B433E9"/>
    <w:p w14:paraId="3DDCF77E" w14:textId="77777777" w:rsidR="00B433E9" w:rsidRDefault="00B433E9"/>
    <w:p w14:paraId="2B45DFB0" w14:textId="77777777" w:rsidR="00B433E9" w:rsidRDefault="00B433E9"/>
    <w:p w14:paraId="68615732" w14:textId="77777777" w:rsidR="00B433E9" w:rsidRDefault="00B433E9">
      <w:r>
        <w:t xml:space="preserve">                 </w:t>
      </w:r>
    </w:p>
    <w:p w14:paraId="32FAEA16" w14:textId="77777777" w:rsidR="00B433E9" w:rsidRDefault="00B433E9"/>
    <w:p w14:paraId="2EEA8378" w14:textId="77777777" w:rsidR="00B433E9" w:rsidRDefault="00B433E9"/>
    <w:p w14:paraId="3D67FFC6" w14:textId="77777777" w:rsidR="00B433E9" w:rsidRPr="00B433E9" w:rsidRDefault="00B433E9">
      <w:pPr>
        <w:rPr>
          <w:rFonts w:ascii="Times New Roman" w:hAnsi="Times New Roman" w:cs="Times New Roman"/>
          <w:sz w:val="28"/>
          <w:szCs w:val="28"/>
        </w:rPr>
      </w:pPr>
    </w:p>
    <w:p w14:paraId="08CED909" w14:textId="77777777" w:rsidR="00B433E9" w:rsidRPr="00B433E9" w:rsidRDefault="00B433E9">
      <w:pPr>
        <w:rPr>
          <w:rFonts w:ascii="Times New Roman" w:hAnsi="Times New Roman" w:cs="Times New Roman"/>
          <w:sz w:val="28"/>
          <w:szCs w:val="28"/>
        </w:rPr>
      </w:pPr>
    </w:p>
    <w:p w14:paraId="3A359799" w14:textId="2E374FDC" w:rsidR="00B433E9" w:rsidRPr="00B433E9" w:rsidRDefault="00B433E9">
      <w:pPr>
        <w:rPr>
          <w:rFonts w:ascii="Times New Roman" w:hAnsi="Times New Roman" w:cs="Times New Roman"/>
          <w:b/>
          <w:bCs/>
          <w:sz w:val="28"/>
          <w:szCs w:val="28"/>
        </w:rPr>
      </w:pPr>
      <w:r w:rsidRPr="00B433E9">
        <w:rPr>
          <w:rFonts w:ascii="Times New Roman" w:hAnsi="Times New Roman" w:cs="Times New Roman"/>
          <w:sz w:val="28"/>
          <w:szCs w:val="28"/>
        </w:rPr>
        <w:t xml:space="preserve">                                              </w:t>
      </w:r>
      <w:r w:rsidRPr="00B433E9">
        <w:rPr>
          <w:rFonts w:ascii="Times New Roman" w:hAnsi="Times New Roman" w:cs="Times New Roman"/>
          <w:b/>
          <w:bCs/>
          <w:sz w:val="28"/>
          <w:szCs w:val="28"/>
        </w:rPr>
        <w:t>Table of Contents</w:t>
      </w:r>
    </w:p>
    <w:p w14:paraId="1C9065DA" w14:textId="77777777" w:rsidR="00B433E9" w:rsidRDefault="00B433E9">
      <w:pPr>
        <w:rPr>
          <w:rFonts w:ascii="Times New Roman" w:hAnsi="Times New Roman" w:cs="Times New Roman"/>
          <w:sz w:val="28"/>
          <w:szCs w:val="28"/>
        </w:rPr>
      </w:pPr>
    </w:p>
    <w:p w14:paraId="1E5FD34A" w14:textId="77777777" w:rsidR="00B433E9" w:rsidRPr="00B433E9" w:rsidRDefault="00B433E9">
      <w:pPr>
        <w:rPr>
          <w:rFonts w:ascii="Times New Roman" w:hAnsi="Times New Roman" w:cs="Times New Roman"/>
          <w:sz w:val="28"/>
          <w:szCs w:val="28"/>
        </w:rPr>
      </w:pPr>
    </w:p>
    <w:p w14:paraId="13D03F79" w14:textId="77777777" w:rsidR="00B433E9" w:rsidRPr="00B433E9" w:rsidRDefault="00B433E9">
      <w:pPr>
        <w:rPr>
          <w:rFonts w:ascii="Times New Roman" w:hAnsi="Times New Roman" w:cs="Times New Roman"/>
          <w:sz w:val="28"/>
          <w:szCs w:val="28"/>
        </w:rPr>
      </w:pPr>
    </w:p>
    <w:p w14:paraId="56B40ED7" w14:textId="77777777" w:rsidR="00B433E9" w:rsidRPr="00B433E9" w:rsidRDefault="00B433E9">
      <w:pPr>
        <w:rPr>
          <w:rFonts w:ascii="Times New Roman" w:hAnsi="Times New Roman" w:cs="Times New Roman"/>
          <w:sz w:val="28"/>
          <w:szCs w:val="28"/>
        </w:rPr>
      </w:pPr>
    </w:p>
    <w:p w14:paraId="7FFC0833" w14:textId="77777777" w:rsidR="00B433E9" w:rsidRPr="00B433E9" w:rsidRDefault="00B433E9" w:rsidP="00B433E9">
      <w:pPr>
        <w:tabs>
          <w:tab w:val="right" w:leader="dot" w:pos="8755"/>
        </w:tabs>
        <w:spacing w:after="80" w:line="480" w:lineRule="auto"/>
        <w:rPr>
          <w:rFonts w:ascii="Times New Roman" w:hAnsi="Times New Roman" w:cs="Times New Roman"/>
          <w:sz w:val="28"/>
          <w:szCs w:val="28"/>
        </w:rPr>
      </w:pPr>
      <w:r w:rsidRPr="00B433E9">
        <w:rPr>
          <w:rFonts w:ascii="Times New Roman" w:hAnsi="Times New Roman" w:cs="Times New Roman"/>
          <w:color w:val="172B4D"/>
          <w:sz w:val="28"/>
          <w:szCs w:val="28"/>
        </w:rPr>
        <w:t>Executive Summary</w:t>
      </w:r>
      <w:r w:rsidRPr="00B433E9">
        <w:rPr>
          <w:rFonts w:ascii="Times New Roman" w:hAnsi="Times New Roman" w:cs="Times New Roman"/>
          <w:color w:val="667085"/>
          <w:sz w:val="28"/>
          <w:szCs w:val="28"/>
        </w:rPr>
        <w:tab/>
        <w:t>3</w:t>
      </w:r>
    </w:p>
    <w:p w14:paraId="02D377D4" w14:textId="0151B14E" w:rsidR="00B433E9" w:rsidRPr="00B433E9" w:rsidRDefault="00B433E9" w:rsidP="00B433E9">
      <w:pPr>
        <w:tabs>
          <w:tab w:val="right" w:leader="dot" w:pos="8755"/>
        </w:tabs>
        <w:spacing w:after="80" w:line="480" w:lineRule="auto"/>
        <w:rPr>
          <w:rFonts w:ascii="Times New Roman" w:hAnsi="Times New Roman" w:cs="Times New Roman"/>
          <w:sz w:val="28"/>
          <w:szCs w:val="28"/>
        </w:rPr>
      </w:pPr>
      <w:r w:rsidRPr="00B433E9">
        <w:rPr>
          <w:rFonts w:ascii="Times New Roman" w:hAnsi="Times New Roman" w:cs="Times New Roman"/>
          <w:color w:val="172B4D"/>
          <w:sz w:val="28"/>
          <w:szCs w:val="28"/>
        </w:rPr>
        <w:t>1. Introduction</w:t>
      </w:r>
      <w:r w:rsidRPr="00B433E9">
        <w:rPr>
          <w:rFonts w:ascii="Times New Roman" w:hAnsi="Times New Roman" w:cs="Times New Roman"/>
          <w:color w:val="667085"/>
          <w:sz w:val="28"/>
          <w:szCs w:val="28"/>
        </w:rPr>
        <w:tab/>
      </w:r>
      <w:r w:rsidR="00F5742C">
        <w:rPr>
          <w:rFonts w:ascii="Times New Roman" w:hAnsi="Times New Roman" w:cs="Times New Roman"/>
          <w:color w:val="667085"/>
          <w:sz w:val="28"/>
          <w:szCs w:val="28"/>
        </w:rPr>
        <w:t>3</w:t>
      </w:r>
    </w:p>
    <w:p w14:paraId="05A8B7B1" w14:textId="792F085E" w:rsidR="00B433E9" w:rsidRPr="00B433E9" w:rsidRDefault="00B433E9" w:rsidP="00B433E9">
      <w:pPr>
        <w:tabs>
          <w:tab w:val="right" w:leader="dot" w:pos="8755"/>
        </w:tabs>
        <w:spacing w:after="80" w:line="480" w:lineRule="auto"/>
        <w:rPr>
          <w:rFonts w:ascii="Times New Roman" w:hAnsi="Times New Roman" w:cs="Times New Roman"/>
          <w:sz w:val="28"/>
          <w:szCs w:val="28"/>
        </w:rPr>
      </w:pPr>
      <w:r w:rsidRPr="00B433E9">
        <w:rPr>
          <w:rFonts w:ascii="Times New Roman" w:hAnsi="Times New Roman" w:cs="Times New Roman"/>
          <w:color w:val="172B4D"/>
          <w:sz w:val="28"/>
          <w:szCs w:val="28"/>
        </w:rPr>
        <w:t>2. Strategic Analysis</w:t>
      </w:r>
      <w:r w:rsidRPr="00B433E9">
        <w:rPr>
          <w:rFonts w:ascii="Times New Roman" w:hAnsi="Times New Roman" w:cs="Times New Roman"/>
          <w:color w:val="667085"/>
          <w:sz w:val="28"/>
          <w:szCs w:val="28"/>
        </w:rPr>
        <w:tab/>
      </w:r>
      <w:r w:rsidR="00F5742C">
        <w:rPr>
          <w:rFonts w:ascii="Times New Roman" w:hAnsi="Times New Roman" w:cs="Times New Roman"/>
          <w:color w:val="667085"/>
          <w:sz w:val="28"/>
          <w:szCs w:val="28"/>
        </w:rPr>
        <w:t>4</w:t>
      </w:r>
    </w:p>
    <w:p w14:paraId="349BB335" w14:textId="4E4468E0" w:rsidR="00B433E9" w:rsidRPr="00B433E9" w:rsidRDefault="00B433E9" w:rsidP="00B433E9">
      <w:pPr>
        <w:tabs>
          <w:tab w:val="right" w:leader="dot" w:pos="8755"/>
        </w:tabs>
        <w:spacing w:after="80" w:line="480" w:lineRule="auto"/>
        <w:rPr>
          <w:rFonts w:ascii="Times New Roman" w:hAnsi="Times New Roman" w:cs="Times New Roman"/>
          <w:sz w:val="28"/>
          <w:szCs w:val="28"/>
        </w:rPr>
      </w:pPr>
      <w:r w:rsidRPr="00B433E9">
        <w:rPr>
          <w:rFonts w:ascii="Times New Roman" w:hAnsi="Times New Roman" w:cs="Times New Roman"/>
          <w:color w:val="172B4D"/>
          <w:sz w:val="28"/>
          <w:szCs w:val="28"/>
        </w:rPr>
        <w:t>3. Strategy Formulation</w:t>
      </w:r>
      <w:r w:rsidRPr="00B433E9">
        <w:rPr>
          <w:rFonts w:ascii="Times New Roman" w:hAnsi="Times New Roman" w:cs="Times New Roman"/>
          <w:color w:val="667085"/>
          <w:sz w:val="28"/>
          <w:szCs w:val="28"/>
        </w:rPr>
        <w:tab/>
      </w:r>
      <w:r w:rsidR="00F5742C">
        <w:rPr>
          <w:rFonts w:ascii="Times New Roman" w:hAnsi="Times New Roman" w:cs="Times New Roman"/>
          <w:color w:val="667085"/>
          <w:sz w:val="28"/>
          <w:szCs w:val="28"/>
        </w:rPr>
        <w:t>6</w:t>
      </w:r>
    </w:p>
    <w:p w14:paraId="5436C1AC" w14:textId="12864CB1" w:rsidR="00B433E9" w:rsidRPr="00B433E9" w:rsidRDefault="00B433E9" w:rsidP="00B433E9">
      <w:pPr>
        <w:tabs>
          <w:tab w:val="right" w:leader="dot" w:pos="8755"/>
        </w:tabs>
        <w:spacing w:after="80" w:line="480" w:lineRule="auto"/>
        <w:rPr>
          <w:rFonts w:ascii="Times New Roman" w:hAnsi="Times New Roman" w:cs="Times New Roman"/>
          <w:sz w:val="28"/>
          <w:szCs w:val="28"/>
        </w:rPr>
      </w:pPr>
      <w:r w:rsidRPr="00B433E9">
        <w:rPr>
          <w:rFonts w:ascii="Times New Roman" w:hAnsi="Times New Roman" w:cs="Times New Roman"/>
          <w:color w:val="172B4D"/>
          <w:sz w:val="28"/>
          <w:szCs w:val="28"/>
        </w:rPr>
        <w:t>4. Strategy Implementation</w:t>
      </w:r>
      <w:r w:rsidRPr="00B433E9">
        <w:rPr>
          <w:rFonts w:ascii="Times New Roman" w:hAnsi="Times New Roman" w:cs="Times New Roman"/>
          <w:color w:val="667085"/>
          <w:sz w:val="28"/>
          <w:szCs w:val="28"/>
        </w:rPr>
        <w:tab/>
      </w:r>
      <w:r w:rsidR="009C7276">
        <w:rPr>
          <w:rFonts w:ascii="Times New Roman" w:hAnsi="Times New Roman" w:cs="Times New Roman"/>
          <w:color w:val="667085"/>
          <w:sz w:val="28"/>
          <w:szCs w:val="28"/>
        </w:rPr>
        <w:t>7</w:t>
      </w:r>
    </w:p>
    <w:p w14:paraId="53B0D4BD" w14:textId="3CAFD93C" w:rsidR="00B433E9" w:rsidRPr="00B433E9" w:rsidRDefault="00B433E9" w:rsidP="00B433E9">
      <w:pPr>
        <w:tabs>
          <w:tab w:val="right" w:leader="dot" w:pos="8755"/>
        </w:tabs>
        <w:spacing w:after="80" w:line="480" w:lineRule="auto"/>
        <w:rPr>
          <w:rFonts w:ascii="Times New Roman" w:hAnsi="Times New Roman" w:cs="Times New Roman"/>
          <w:sz w:val="28"/>
          <w:szCs w:val="28"/>
        </w:rPr>
      </w:pPr>
      <w:r w:rsidRPr="00B433E9">
        <w:rPr>
          <w:rFonts w:ascii="Times New Roman" w:hAnsi="Times New Roman" w:cs="Times New Roman"/>
          <w:color w:val="172B4D"/>
          <w:sz w:val="28"/>
          <w:szCs w:val="28"/>
        </w:rPr>
        <w:t>5. Conclusion and Recommendations</w:t>
      </w:r>
      <w:r w:rsidRPr="00B433E9">
        <w:rPr>
          <w:rFonts w:ascii="Times New Roman" w:hAnsi="Times New Roman" w:cs="Times New Roman"/>
          <w:color w:val="667085"/>
          <w:sz w:val="28"/>
          <w:szCs w:val="28"/>
        </w:rPr>
        <w:tab/>
      </w:r>
      <w:r w:rsidR="009C7276">
        <w:rPr>
          <w:rFonts w:ascii="Times New Roman" w:hAnsi="Times New Roman" w:cs="Times New Roman"/>
          <w:color w:val="667085"/>
          <w:sz w:val="28"/>
          <w:szCs w:val="28"/>
        </w:rPr>
        <w:t>10</w:t>
      </w:r>
    </w:p>
    <w:p w14:paraId="41DE325F" w14:textId="6EF5335A" w:rsidR="00B433E9" w:rsidRPr="00B433E9" w:rsidRDefault="00B433E9" w:rsidP="00B433E9">
      <w:pPr>
        <w:tabs>
          <w:tab w:val="right" w:leader="dot" w:pos="8755"/>
        </w:tabs>
        <w:spacing w:after="80" w:line="480" w:lineRule="auto"/>
        <w:rPr>
          <w:rFonts w:ascii="Times New Roman" w:hAnsi="Times New Roman" w:cs="Times New Roman"/>
          <w:sz w:val="28"/>
          <w:szCs w:val="28"/>
        </w:rPr>
      </w:pPr>
      <w:r w:rsidRPr="00B433E9">
        <w:rPr>
          <w:rFonts w:ascii="Times New Roman" w:hAnsi="Times New Roman" w:cs="Times New Roman"/>
          <w:color w:val="172B4D"/>
          <w:sz w:val="28"/>
          <w:szCs w:val="28"/>
        </w:rPr>
        <w:t>References</w:t>
      </w:r>
      <w:r w:rsidRPr="00B433E9">
        <w:rPr>
          <w:rFonts w:ascii="Times New Roman" w:hAnsi="Times New Roman" w:cs="Times New Roman"/>
          <w:color w:val="667085"/>
          <w:sz w:val="28"/>
          <w:szCs w:val="28"/>
        </w:rPr>
        <w:tab/>
      </w:r>
      <w:r w:rsidR="009C7276">
        <w:rPr>
          <w:rFonts w:ascii="Times New Roman" w:hAnsi="Times New Roman" w:cs="Times New Roman"/>
          <w:color w:val="667085"/>
          <w:sz w:val="28"/>
          <w:szCs w:val="28"/>
        </w:rPr>
        <w:t>11</w:t>
      </w:r>
    </w:p>
    <w:p w14:paraId="043F4CF1" w14:textId="77777777" w:rsidR="00B433E9" w:rsidRDefault="00B433E9" w:rsidP="00B433E9">
      <w:pPr>
        <w:spacing w:line="480" w:lineRule="auto"/>
      </w:pPr>
      <w:r>
        <w:br w:type="page"/>
      </w:r>
    </w:p>
    <w:p w14:paraId="2154FAC7" w14:textId="77777777" w:rsidR="00B433E9" w:rsidRDefault="00B433E9" w:rsidP="0077261B">
      <w:pPr>
        <w:spacing w:line="360" w:lineRule="auto"/>
        <w:rPr>
          <w:rFonts w:ascii="Times New Roman" w:hAnsi="Times New Roman" w:cs="Times New Roman"/>
          <w:b/>
          <w:bCs/>
          <w:sz w:val="24"/>
          <w:szCs w:val="24"/>
        </w:rPr>
      </w:pPr>
      <w:r w:rsidRPr="00B433E9">
        <w:rPr>
          <w:rFonts w:ascii="Times New Roman" w:hAnsi="Times New Roman" w:cs="Times New Roman"/>
          <w:b/>
          <w:bCs/>
          <w:sz w:val="24"/>
          <w:szCs w:val="24"/>
        </w:rPr>
        <w:lastRenderedPageBreak/>
        <w:t>Executive Summary</w:t>
      </w:r>
    </w:p>
    <w:p w14:paraId="256BA396" w14:textId="77777777" w:rsidR="00B433E9" w:rsidRPr="00B433E9" w:rsidRDefault="00B433E9" w:rsidP="0077261B">
      <w:pPr>
        <w:spacing w:line="360" w:lineRule="auto"/>
        <w:rPr>
          <w:rFonts w:ascii="Times New Roman" w:hAnsi="Times New Roman" w:cs="Times New Roman"/>
          <w:b/>
          <w:bCs/>
          <w:sz w:val="24"/>
          <w:szCs w:val="24"/>
        </w:rPr>
      </w:pPr>
    </w:p>
    <w:p w14:paraId="0F28F03B" w14:textId="77777777" w:rsidR="00CB124A" w:rsidRDefault="00B433E9" w:rsidP="0077261B">
      <w:pPr>
        <w:spacing w:line="360" w:lineRule="auto"/>
        <w:rPr>
          <w:rFonts w:ascii="Times New Roman" w:hAnsi="Times New Roman" w:cs="Times New Roman"/>
          <w:sz w:val="24"/>
          <w:szCs w:val="24"/>
        </w:rPr>
      </w:pPr>
      <w:r w:rsidRPr="00B433E9">
        <w:rPr>
          <w:rFonts w:ascii="Times New Roman" w:hAnsi="Times New Roman" w:cs="Times New Roman"/>
          <w:sz w:val="24"/>
          <w:szCs w:val="24"/>
        </w:rPr>
        <w:t>This report assesses MG Motor UK's strategic position in a market driven by electrification, regulation, digital technology, and fierce competition. External analysis shows high increase in electric and hybrid demand, but also price pressure, rapid technology change, and trade risk. Internal analysis reveals that MG advantages from SAIC Motor's scale, technology, and supply chain, as well as its British brand heritage and accessible value proposition. However, import dependency, disparities in brand perceptions, and after-sales capability all limit long-term growth.</w:t>
      </w:r>
    </w:p>
    <w:p w14:paraId="53E1D92E" w14:textId="77777777" w:rsidR="00CB124A" w:rsidRDefault="00B433E9" w:rsidP="0077261B">
      <w:pPr>
        <w:spacing w:line="360" w:lineRule="auto"/>
        <w:rPr>
          <w:rFonts w:ascii="Times New Roman" w:hAnsi="Times New Roman" w:cs="Times New Roman"/>
          <w:sz w:val="24"/>
          <w:szCs w:val="24"/>
        </w:rPr>
      </w:pPr>
      <w:r w:rsidRPr="00B433E9">
        <w:rPr>
          <w:rFonts w:ascii="Times New Roman" w:hAnsi="Times New Roman" w:cs="Times New Roman"/>
          <w:sz w:val="24"/>
          <w:szCs w:val="24"/>
        </w:rPr>
        <w:t xml:space="preserve"> The paper proposes an Affordable Intelligent Mobility strategy for 2027-2029 that maintains accessible price while differentiating through dependable EV and hybrid technologies, connected services, customer care, and genuine sustainability.</w:t>
      </w:r>
    </w:p>
    <w:p w14:paraId="0BAE3E0D" w14:textId="3094B49E" w:rsidR="00B433E9" w:rsidRDefault="00B433E9" w:rsidP="0077261B">
      <w:pPr>
        <w:spacing w:line="360" w:lineRule="auto"/>
        <w:rPr>
          <w:rFonts w:ascii="Times New Roman" w:hAnsi="Times New Roman" w:cs="Times New Roman"/>
          <w:sz w:val="24"/>
          <w:szCs w:val="24"/>
        </w:rPr>
      </w:pPr>
      <w:r w:rsidRPr="00B433E9">
        <w:rPr>
          <w:rFonts w:ascii="Times New Roman" w:hAnsi="Times New Roman" w:cs="Times New Roman"/>
          <w:sz w:val="24"/>
          <w:szCs w:val="24"/>
        </w:rPr>
        <w:t xml:space="preserve"> According to the SAF study, this alternative is better balanced than price-led expansion or rapid European growth. Implementation should involve a cross-functional framework, staged pilots, employee and dealer training, two-way communication, and quarterly performance reviews.</w:t>
      </w:r>
    </w:p>
    <w:p w14:paraId="758A4407" w14:textId="77777777" w:rsidR="001D0285" w:rsidRPr="00B433E9" w:rsidRDefault="001D0285" w:rsidP="0077261B">
      <w:pPr>
        <w:spacing w:line="360" w:lineRule="auto"/>
        <w:rPr>
          <w:rFonts w:ascii="Times New Roman" w:hAnsi="Times New Roman" w:cs="Times New Roman"/>
          <w:sz w:val="24"/>
          <w:szCs w:val="24"/>
        </w:rPr>
      </w:pPr>
    </w:p>
    <w:p w14:paraId="368F3A23" w14:textId="77777777" w:rsidR="00B433E9" w:rsidRDefault="00B433E9" w:rsidP="0077261B">
      <w:pPr>
        <w:spacing w:line="360" w:lineRule="auto"/>
        <w:rPr>
          <w:rFonts w:ascii="Times New Roman" w:hAnsi="Times New Roman" w:cs="Times New Roman"/>
          <w:b/>
          <w:bCs/>
          <w:sz w:val="24"/>
          <w:szCs w:val="24"/>
        </w:rPr>
      </w:pPr>
      <w:r w:rsidRPr="00B433E9">
        <w:rPr>
          <w:rFonts w:ascii="Times New Roman" w:hAnsi="Times New Roman" w:cs="Times New Roman"/>
          <w:b/>
          <w:bCs/>
          <w:sz w:val="24"/>
          <w:szCs w:val="24"/>
        </w:rPr>
        <w:t>1. Introduction.</w:t>
      </w:r>
    </w:p>
    <w:p w14:paraId="1FC945F6" w14:textId="77777777" w:rsidR="001D0285" w:rsidRPr="00B433E9" w:rsidRDefault="001D0285" w:rsidP="0077261B">
      <w:pPr>
        <w:spacing w:line="360" w:lineRule="auto"/>
        <w:rPr>
          <w:rFonts w:ascii="Times New Roman" w:hAnsi="Times New Roman" w:cs="Times New Roman"/>
          <w:b/>
          <w:bCs/>
          <w:sz w:val="24"/>
          <w:szCs w:val="24"/>
        </w:rPr>
      </w:pPr>
    </w:p>
    <w:p w14:paraId="601B991E" w14:textId="77777777" w:rsidR="00CB124A" w:rsidRDefault="00B433E9" w:rsidP="0077261B">
      <w:pPr>
        <w:spacing w:line="360" w:lineRule="auto"/>
        <w:rPr>
          <w:rFonts w:ascii="Times New Roman" w:hAnsi="Times New Roman" w:cs="Times New Roman"/>
          <w:sz w:val="24"/>
          <w:szCs w:val="24"/>
        </w:rPr>
      </w:pPr>
      <w:r w:rsidRPr="00B433E9">
        <w:rPr>
          <w:rFonts w:ascii="Times New Roman" w:hAnsi="Times New Roman" w:cs="Times New Roman"/>
          <w:sz w:val="24"/>
          <w:szCs w:val="24"/>
        </w:rPr>
        <w:t xml:space="preserve">Strategic management connects environmental analysis, </w:t>
      </w:r>
      <w:r w:rsidRPr="00B433E9">
        <w:rPr>
          <w:rFonts w:ascii="Times New Roman" w:hAnsi="Times New Roman" w:cs="Times New Roman"/>
          <w:sz w:val="24"/>
          <w:szCs w:val="24"/>
        </w:rPr>
        <w:t>organizational</w:t>
      </w:r>
      <w:r w:rsidRPr="00B433E9">
        <w:rPr>
          <w:rFonts w:ascii="Times New Roman" w:hAnsi="Times New Roman" w:cs="Times New Roman"/>
          <w:sz w:val="24"/>
          <w:szCs w:val="24"/>
        </w:rPr>
        <w:t xml:space="preserve"> resources, strategic decision-making, and execution to long-term performance (Johnson et al., 2017; Grant, 2018). It is especially crucial in the car business, where regulations, software, batteries, and customer expectations change quickly.</w:t>
      </w:r>
    </w:p>
    <w:p w14:paraId="2FB61A25" w14:textId="1A559401" w:rsidR="00B433E9" w:rsidRPr="00B433E9" w:rsidRDefault="00B433E9" w:rsidP="0077261B">
      <w:pPr>
        <w:spacing w:line="360" w:lineRule="auto"/>
        <w:rPr>
          <w:rFonts w:ascii="Times New Roman" w:hAnsi="Times New Roman" w:cs="Times New Roman"/>
          <w:sz w:val="24"/>
          <w:szCs w:val="24"/>
        </w:rPr>
      </w:pPr>
      <w:r w:rsidRPr="00B433E9">
        <w:rPr>
          <w:rFonts w:ascii="Times New Roman" w:hAnsi="Times New Roman" w:cs="Times New Roman"/>
          <w:sz w:val="24"/>
          <w:szCs w:val="24"/>
        </w:rPr>
        <w:t xml:space="preserve"> In 2025, the UK reported 2,020,520 new cars, with 473,348 battery-electric vehicles (BEVs) accounting for 23.4% of the total (SMMT, 2026). The zero-emission vehicle mandate will increase to 33% for automobiles in 2026 and 80% by 2030, presenting both an opportunity and compliance pressure (Department for Transport, 2025).</w:t>
      </w:r>
    </w:p>
    <w:p w14:paraId="02202693" w14:textId="77777777" w:rsidR="00CB124A" w:rsidRDefault="00B433E9" w:rsidP="0077261B">
      <w:pPr>
        <w:spacing w:line="360" w:lineRule="auto"/>
        <w:rPr>
          <w:rFonts w:ascii="Times New Roman" w:hAnsi="Times New Roman" w:cs="Times New Roman"/>
          <w:sz w:val="24"/>
          <w:szCs w:val="24"/>
        </w:rPr>
      </w:pPr>
      <w:r w:rsidRPr="00B433E9">
        <w:rPr>
          <w:rFonts w:ascii="Times New Roman" w:hAnsi="Times New Roman" w:cs="Times New Roman"/>
          <w:sz w:val="24"/>
          <w:szCs w:val="24"/>
        </w:rPr>
        <w:t xml:space="preserve">SAIC Motor owns the British-origin brand MG, which competes with economical petrol, hybrid, and electric automobiles. The MG HS became the seventh best-selling model in the UK in 2025, with 30,191 registrations, demonstrating its market momentum (SMMT, 2026). </w:t>
      </w:r>
    </w:p>
    <w:p w14:paraId="20D0A94F" w14:textId="1DCDFAED" w:rsidR="00B433E9" w:rsidRDefault="00B433E9" w:rsidP="0077261B">
      <w:pPr>
        <w:spacing w:line="360" w:lineRule="auto"/>
        <w:rPr>
          <w:rFonts w:ascii="Times New Roman" w:hAnsi="Times New Roman" w:cs="Times New Roman"/>
          <w:sz w:val="24"/>
          <w:szCs w:val="24"/>
        </w:rPr>
      </w:pPr>
      <w:r w:rsidRPr="00B433E9">
        <w:rPr>
          <w:rFonts w:ascii="Times New Roman" w:hAnsi="Times New Roman" w:cs="Times New Roman"/>
          <w:sz w:val="24"/>
          <w:szCs w:val="24"/>
        </w:rPr>
        <w:lastRenderedPageBreak/>
        <w:t>MG's strategy aim can be defined as accessible, low-emission mobility underpinned by cutting-edge technology and consistent consumer value. The primary goals are to increase UK market share, extend electrified products, boost brand trust and after-sales support, and promote responsible innovation.</w:t>
      </w:r>
    </w:p>
    <w:p w14:paraId="144CD890" w14:textId="77777777" w:rsidR="00D95039" w:rsidRDefault="00D95039" w:rsidP="0077261B">
      <w:pPr>
        <w:spacing w:line="360" w:lineRule="auto"/>
        <w:rPr>
          <w:rFonts w:ascii="Times New Roman" w:hAnsi="Times New Roman" w:cs="Times New Roman"/>
          <w:b/>
          <w:bCs/>
          <w:sz w:val="24"/>
          <w:szCs w:val="24"/>
        </w:rPr>
      </w:pPr>
      <w:r w:rsidRPr="00D95039">
        <w:rPr>
          <w:rFonts w:ascii="Times New Roman" w:hAnsi="Times New Roman" w:cs="Times New Roman"/>
          <w:b/>
          <w:bCs/>
          <w:sz w:val="24"/>
          <w:szCs w:val="24"/>
        </w:rPr>
        <w:t>2. Strategic analysis.</w:t>
      </w:r>
    </w:p>
    <w:p w14:paraId="7D736B98" w14:textId="77777777" w:rsidR="00DC706A" w:rsidRPr="00D95039" w:rsidRDefault="00DC706A" w:rsidP="0077261B">
      <w:pPr>
        <w:spacing w:line="360" w:lineRule="auto"/>
        <w:rPr>
          <w:rFonts w:ascii="Times New Roman" w:hAnsi="Times New Roman" w:cs="Times New Roman"/>
          <w:b/>
          <w:bCs/>
          <w:sz w:val="24"/>
          <w:szCs w:val="24"/>
        </w:rPr>
      </w:pPr>
    </w:p>
    <w:p w14:paraId="631CD7C3" w14:textId="77777777" w:rsidR="00D95039" w:rsidRPr="00D95039" w:rsidRDefault="00D95039" w:rsidP="0077261B">
      <w:pPr>
        <w:spacing w:line="360" w:lineRule="auto"/>
        <w:rPr>
          <w:rFonts w:ascii="Times New Roman" w:hAnsi="Times New Roman" w:cs="Times New Roman"/>
          <w:sz w:val="24"/>
          <w:szCs w:val="24"/>
        </w:rPr>
      </w:pPr>
      <w:r w:rsidRPr="00D95039">
        <w:rPr>
          <w:rFonts w:ascii="Times New Roman" w:hAnsi="Times New Roman" w:cs="Times New Roman"/>
          <w:sz w:val="24"/>
          <w:szCs w:val="24"/>
        </w:rPr>
        <w:t>2.1 The External Environment and Industry Forces</w:t>
      </w:r>
    </w:p>
    <w:p w14:paraId="602CABFB" w14:textId="77777777" w:rsidR="00CB124A" w:rsidRDefault="00D95039" w:rsidP="0077261B">
      <w:pPr>
        <w:spacing w:line="360" w:lineRule="auto"/>
        <w:rPr>
          <w:rFonts w:ascii="Times New Roman" w:hAnsi="Times New Roman" w:cs="Times New Roman"/>
          <w:sz w:val="24"/>
          <w:szCs w:val="24"/>
        </w:rPr>
      </w:pPr>
      <w:r w:rsidRPr="00D95039">
        <w:rPr>
          <w:rFonts w:ascii="Times New Roman" w:hAnsi="Times New Roman" w:cs="Times New Roman"/>
          <w:sz w:val="24"/>
          <w:szCs w:val="24"/>
        </w:rPr>
        <w:t xml:space="preserve">PESTLE analysis finds government policy and technology as the most powerful immediate impacts. The zero-emission vehicle rule benefits MG's electric line, but it also necessitates careful sales mix planning. Economic pressure drives interest in low-cost vehicles, while high borrowing prices may cause customers to postpone a purchase. Concerns about gasoline costs and pollutants drive EV demand, but restricted charging access and driver concern remain significant impediments. </w:t>
      </w:r>
    </w:p>
    <w:p w14:paraId="6EA17385" w14:textId="26748C07" w:rsidR="00D95039" w:rsidRDefault="00D95039" w:rsidP="0077261B">
      <w:pPr>
        <w:spacing w:line="360" w:lineRule="auto"/>
        <w:rPr>
          <w:rFonts w:ascii="Times New Roman" w:hAnsi="Times New Roman" w:cs="Times New Roman"/>
          <w:sz w:val="24"/>
          <w:szCs w:val="24"/>
        </w:rPr>
      </w:pPr>
      <w:r w:rsidRPr="00D95039">
        <w:rPr>
          <w:rFonts w:ascii="Times New Roman" w:hAnsi="Times New Roman" w:cs="Times New Roman"/>
          <w:sz w:val="24"/>
          <w:szCs w:val="24"/>
        </w:rPr>
        <w:t>Manufacturers are increasingly distinguishing their vehicles based on battery performance, software, cybersecurity, and connected services (Hill, Schilling, and Jones, 2017). Reducing exhaust emissions is not enough; MG must also demonstrate ethical battery sourcing, recycling, and transparent information regarding environmental impact.</w:t>
      </w:r>
    </w:p>
    <w:p w14:paraId="37A6C600" w14:textId="0CCE50D0" w:rsidR="00D4412E" w:rsidRPr="00D4412E"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 xml:space="preserve">PESTLE and Porter's Five Forces models offer a useful perspective </w:t>
      </w:r>
      <w:r w:rsidR="00CB124A" w:rsidRPr="00D4412E">
        <w:rPr>
          <w:rFonts w:ascii="Times New Roman" w:hAnsi="Times New Roman" w:cs="Times New Roman"/>
          <w:sz w:val="24"/>
          <w:szCs w:val="24"/>
        </w:rPr>
        <w:t>on</w:t>
      </w:r>
      <w:r w:rsidRPr="00D4412E">
        <w:rPr>
          <w:rFonts w:ascii="Times New Roman" w:hAnsi="Times New Roman" w:cs="Times New Roman"/>
          <w:sz w:val="24"/>
          <w:szCs w:val="24"/>
        </w:rPr>
        <w:t xml:space="preserve"> MG's external environment and competitive position. However, both frameworks primarily depict conditions at a specific point in time. MG should thus examine them on a regular basis because government regulations, automobile technology, customer expectations, and competition strategies are constantly changing. Regular updates would enable management to identify new risks and opportunities and adapt strategic decisions before market developments harmed performance.</w:t>
      </w:r>
    </w:p>
    <w:p w14:paraId="1406C093" w14:textId="77777777" w:rsidR="00D4412E" w:rsidRPr="00D4412E" w:rsidRDefault="00D4412E" w:rsidP="0077261B">
      <w:pPr>
        <w:spacing w:line="360" w:lineRule="auto"/>
        <w:rPr>
          <w:rFonts w:ascii="Times New Roman" w:hAnsi="Times New Roman" w:cs="Times New Roman"/>
          <w:sz w:val="24"/>
          <w:szCs w:val="24"/>
        </w:rPr>
      </w:pPr>
    </w:p>
    <w:p w14:paraId="66750B6E" w14:textId="62168152" w:rsidR="00D95039"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 xml:space="preserve">These external pressures are also tightly linked. Government regulations may drive manufacturers to produce electric vehicles faster than private customer demand. This disparity could promote competition, result in steep discounts, and strengthen customers' bargaining power. Although decreasing costs may persuade more people to buy electric vehicles, repeated discounts may erode MG's profit margins and limit cash available for software development, </w:t>
      </w:r>
      <w:r w:rsidRPr="00D4412E">
        <w:rPr>
          <w:rFonts w:ascii="Times New Roman" w:hAnsi="Times New Roman" w:cs="Times New Roman"/>
          <w:sz w:val="24"/>
          <w:szCs w:val="24"/>
        </w:rPr>
        <w:lastRenderedPageBreak/>
        <w:t>customer service, and used-car maintenance. MG must therefore strike a balance between economical pricing, product quality, dependable technology, and great after-sales service.</w:t>
      </w:r>
    </w:p>
    <w:p w14:paraId="6A8DC3BC" w14:textId="77777777" w:rsidR="00D4412E" w:rsidRPr="00D4412E" w:rsidRDefault="00D4412E" w:rsidP="0077261B">
      <w:pPr>
        <w:pStyle w:val="Heading2"/>
        <w:spacing w:line="360" w:lineRule="auto"/>
        <w:rPr>
          <w:rFonts w:ascii="Times New Roman" w:hAnsi="Times New Roman" w:cs="Times New Roman"/>
          <w:color w:val="auto"/>
          <w:sz w:val="24"/>
          <w:szCs w:val="24"/>
        </w:rPr>
      </w:pPr>
      <w:r w:rsidRPr="00D4412E">
        <w:rPr>
          <w:rFonts w:ascii="Times New Roman" w:hAnsi="Times New Roman" w:cs="Times New Roman"/>
          <w:color w:val="auto"/>
          <w:sz w:val="24"/>
          <w:szCs w:val="24"/>
        </w:rPr>
        <w:t>2.2 Internal resources and capabilities</w:t>
      </w:r>
    </w:p>
    <w:p w14:paraId="3471107A" w14:textId="77777777" w:rsidR="00D4412E" w:rsidRDefault="00D4412E" w:rsidP="0077261B">
      <w:pPr>
        <w:spacing w:line="360" w:lineRule="auto"/>
        <w:rPr>
          <w:rFonts w:ascii="Times New Roman" w:hAnsi="Times New Roman" w:cs="Times New Roman"/>
          <w:sz w:val="24"/>
          <w:szCs w:val="24"/>
        </w:rPr>
      </w:pPr>
    </w:p>
    <w:p w14:paraId="0AFD11A1" w14:textId="77777777" w:rsidR="00CB124A"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SAIC Motor's large-scale purchasing, production, research, and logistics capabilities contribute significantly to MG's internal strength. Porter's value chain illustrates how these interconnected operations enable MG to control costs and offer automobiles at competitive pricing (Porter 1985).</w:t>
      </w:r>
    </w:p>
    <w:p w14:paraId="147171EA" w14:textId="77777777" w:rsidR="00CB124A"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 xml:space="preserve"> SAIC sold 4.507 million vehicles in 2025, including 1.643 million new-energy vehicles, while MG sold over 300,000 in Europe (SAIC Motor, 2026). This scale enables access to investment, new technology, and greater bargaining power with suppliers. However, efficient production alone does not ensure consumer value or long-term competitive advantage.</w:t>
      </w:r>
    </w:p>
    <w:p w14:paraId="2F91ADE6" w14:textId="77777777" w:rsidR="00CB124A"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 xml:space="preserve"> According to the Resource-Based View, long-term advantage is dependent on resources that are valuable, scarce, difficult to replicate, and well-organized. Although SAIC's technology and production capabilities are valuable, other well-funded firms have access to advanced battery platforms and large-scale manufacturing. </w:t>
      </w:r>
    </w:p>
    <w:p w14:paraId="4A58B18E" w14:textId="5F2BD4DB" w:rsidR="00D4412E"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MG’s inexpensive automobiles may consequently provide just a brief advantage. Its stronger potential comes from integrating SAIC’s engineering competence with MG’s British heritage, rising UK presence, dealership network and service excellence (Barney and Hesterly, 2015). Nevertheless, this advantage will remain limited if MG’s software, spare-parts availability, dealerships and after-sales services produce an uneven customer experience.</w:t>
      </w:r>
    </w:p>
    <w:p w14:paraId="7B65299D" w14:textId="77777777" w:rsidR="00D4412E" w:rsidRDefault="00D4412E" w:rsidP="0077261B">
      <w:pPr>
        <w:spacing w:line="360" w:lineRule="auto"/>
        <w:rPr>
          <w:rFonts w:ascii="Times New Roman" w:hAnsi="Times New Roman" w:cs="Times New Roman"/>
          <w:sz w:val="24"/>
          <w:szCs w:val="24"/>
        </w:rPr>
      </w:pPr>
    </w:p>
    <w:p w14:paraId="4FB95B4A" w14:textId="77777777" w:rsidR="00D4412E" w:rsidRPr="00D4412E"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2.3 SWOT Synthesis</w:t>
      </w:r>
    </w:p>
    <w:p w14:paraId="14EFF862" w14:textId="77777777" w:rsidR="00D4412E"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 xml:space="preserve">The overall analysis leads to four conclusions. First, MG's strengths are SAIC backing, competitive price, electrified vehicles, and brand familiarity. Second, limitations include import dependency, a low-cost image, unpredictable service capabilities, and exposure to global logistics. Third, opportunities emerge from UK electrification, hybrid demand, linked services, and charging collaborations. Fourth, dangers include fierce price competition, quick battery and software changes, supply disruption, and regulation. European expansion raises special trade risks because the EU imposes countervailing charges on BEVs imported from China (European Commission, 2024). The strategic question is therefore not whether MG </w:t>
      </w:r>
      <w:r w:rsidRPr="00D4412E">
        <w:rPr>
          <w:rFonts w:ascii="Times New Roman" w:hAnsi="Times New Roman" w:cs="Times New Roman"/>
          <w:sz w:val="24"/>
          <w:szCs w:val="24"/>
        </w:rPr>
        <w:lastRenderedPageBreak/>
        <w:t>should grow, but how it may develop without compromising profitability, quality, or consumer trust.</w:t>
      </w:r>
    </w:p>
    <w:p w14:paraId="6037A20B" w14:textId="77777777" w:rsidR="00D4412E" w:rsidRPr="00D4412E" w:rsidRDefault="00D4412E" w:rsidP="0077261B">
      <w:pPr>
        <w:spacing w:line="360" w:lineRule="auto"/>
        <w:rPr>
          <w:rFonts w:ascii="Times New Roman" w:hAnsi="Times New Roman" w:cs="Times New Roman"/>
          <w:sz w:val="24"/>
          <w:szCs w:val="24"/>
        </w:rPr>
      </w:pPr>
    </w:p>
    <w:p w14:paraId="55187A8D" w14:textId="77777777" w:rsidR="00D4412E" w:rsidRPr="00D4412E" w:rsidRDefault="00D4412E" w:rsidP="0077261B">
      <w:pPr>
        <w:spacing w:line="360" w:lineRule="auto"/>
        <w:rPr>
          <w:rFonts w:ascii="Times New Roman" w:hAnsi="Times New Roman" w:cs="Times New Roman"/>
          <w:b/>
          <w:bCs/>
          <w:sz w:val="28"/>
          <w:szCs w:val="28"/>
        </w:rPr>
      </w:pPr>
      <w:r w:rsidRPr="00D4412E">
        <w:rPr>
          <w:rFonts w:ascii="Times New Roman" w:hAnsi="Times New Roman" w:cs="Times New Roman"/>
          <w:b/>
          <w:bCs/>
          <w:sz w:val="28"/>
          <w:szCs w:val="28"/>
        </w:rPr>
        <w:t>3. Strategy formulation</w:t>
      </w:r>
    </w:p>
    <w:p w14:paraId="16CC07CA" w14:textId="77777777" w:rsidR="00D4412E" w:rsidRPr="00D4412E" w:rsidRDefault="00D4412E" w:rsidP="0077261B">
      <w:pPr>
        <w:spacing w:line="360" w:lineRule="auto"/>
        <w:rPr>
          <w:rFonts w:ascii="Times New Roman" w:hAnsi="Times New Roman" w:cs="Times New Roman"/>
          <w:sz w:val="24"/>
          <w:szCs w:val="24"/>
        </w:rPr>
      </w:pPr>
    </w:p>
    <w:p w14:paraId="272260D8" w14:textId="77777777" w:rsidR="00D4412E" w:rsidRPr="00D4412E"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3.1 Strategic Alternatives</w:t>
      </w:r>
    </w:p>
    <w:p w14:paraId="6CEA0E57" w14:textId="3412D5A1" w:rsidR="00D4412E" w:rsidRPr="00D4412E"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 xml:space="preserve">Three options were considered: price-driven UK penetration, quick European expansion, and concentrated differentiation. Price-led penetration may improve volume, but it risks margin loss and a permanent budget image. Rapid European expansion provides size and diversification, but it is the </w:t>
      </w:r>
      <w:r w:rsidR="00274D6F" w:rsidRPr="00D4412E">
        <w:rPr>
          <w:rFonts w:ascii="Times New Roman" w:hAnsi="Times New Roman" w:cs="Times New Roman"/>
          <w:sz w:val="24"/>
          <w:szCs w:val="24"/>
        </w:rPr>
        <w:t>riskiest</w:t>
      </w:r>
      <w:r w:rsidRPr="00D4412E">
        <w:rPr>
          <w:rFonts w:ascii="Times New Roman" w:hAnsi="Times New Roman" w:cs="Times New Roman"/>
          <w:sz w:val="24"/>
          <w:szCs w:val="24"/>
        </w:rPr>
        <w:t xml:space="preserve"> option due to duties, regulatory variations, and </w:t>
      </w:r>
      <w:r w:rsidRPr="00D4412E">
        <w:rPr>
          <w:rFonts w:ascii="Times New Roman" w:hAnsi="Times New Roman" w:cs="Times New Roman"/>
          <w:sz w:val="24"/>
          <w:szCs w:val="24"/>
        </w:rPr>
        <w:t>localization</w:t>
      </w:r>
      <w:r w:rsidRPr="00D4412E">
        <w:rPr>
          <w:rFonts w:ascii="Times New Roman" w:hAnsi="Times New Roman" w:cs="Times New Roman"/>
          <w:sz w:val="24"/>
          <w:szCs w:val="24"/>
        </w:rPr>
        <w:t xml:space="preserve"> costs (Rugman and Collinson, 2012). The recommended alternative is concentrated differentiation, which supports Porter's claim that differentiated buyer value lowers direct price comparison (Porter, 1985).</w:t>
      </w:r>
    </w:p>
    <w:p w14:paraId="3F69D8D3" w14:textId="6E3AE96E" w:rsidR="00274D6F" w:rsidRDefault="00D4412E" w:rsidP="0077261B">
      <w:pPr>
        <w:spacing w:line="360" w:lineRule="auto"/>
        <w:rPr>
          <w:rFonts w:ascii="Times New Roman" w:hAnsi="Times New Roman" w:cs="Times New Roman"/>
          <w:sz w:val="24"/>
          <w:szCs w:val="24"/>
        </w:rPr>
      </w:pPr>
      <w:r w:rsidRPr="00D4412E">
        <w:rPr>
          <w:rFonts w:ascii="Times New Roman" w:hAnsi="Times New Roman" w:cs="Times New Roman"/>
          <w:sz w:val="24"/>
          <w:szCs w:val="24"/>
        </w:rPr>
        <w:t>The proposed Affordable Intelligent Mobility 2027-2029 approach maintains affordable price while distinguishing itself through dependable EV and hybrid technologies, improved software and predictive maintenance, educated after-sales service, parts availability, and realistic battery sustainability. Marketing should change from 'cheap price' to 'quality-value', including proof on warranty, running costs, safety, and service (Kotler and Keller, 2022).</w:t>
      </w:r>
    </w:p>
    <w:p w14:paraId="73009F25" w14:textId="77777777" w:rsidR="00274D6F" w:rsidRPr="00274D6F" w:rsidRDefault="00274D6F" w:rsidP="0077261B">
      <w:pPr>
        <w:spacing w:line="360" w:lineRule="auto"/>
        <w:rPr>
          <w:rFonts w:ascii="Times New Roman" w:hAnsi="Times New Roman" w:cs="Times New Roman"/>
          <w:sz w:val="24"/>
          <w:szCs w:val="24"/>
          <w:lang w:val="en-GB"/>
        </w:rPr>
      </w:pPr>
      <w:r w:rsidRPr="00274D6F">
        <w:rPr>
          <w:rFonts w:ascii="Times New Roman" w:hAnsi="Times New Roman" w:cs="Times New Roman"/>
          <w:sz w:val="24"/>
          <w:szCs w:val="24"/>
          <w:lang w:val="en-GB"/>
        </w:rPr>
        <w:t>3.2 SAF evaluation</w:t>
      </w:r>
    </w:p>
    <w:tbl>
      <w:tblPr>
        <w:tblStyle w:val="GridTable7Colorful-Accent4"/>
        <w:tblpPr w:leftFromText="180" w:rightFromText="180" w:vertAnchor="text" w:horzAnchor="margin" w:tblpY="173"/>
        <w:tblW w:w="9066" w:type="dxa"/>
        <w:tblLayout w:type="fixed"/>
        <w:tblLook w:val="04A0" w:firstRow="1" w:lastRow="0" w:firstColumn="1" w:lastColumn="0" w:noHBand="0" w:noVBand="1"/>
      </w:tblPr>
      <w:tblGrid>
        <w:gridCol w:w="2863"/>
        <w:gridCol w:w="3014"/>
        <w:gridCol w:w="3189"/>
      </w:tblGrid>
      <w:tr w:rsidR="00274D6F" w14:paraId="3A974694" w14:textId="77777777" w:rsidTr="00274D6F">
        <w:trPr>
          <w:cnfStyle w:val="100000000000" w:firstRow="1" w:lastRow="0" w:firstColumn="0" w:lastColumn="0" w:oddVBand="0" w:evenVBand="0" w:oddHBand="0" w:evenHBand="0" w:firstRowFirstColumn="0" w:firstRowLastColumn="0" w:lastRowFirstColumn="0" w:lastRowLastColumn="0"/>
          <w:trHeight w:val="361"/>
        </w:trPr>
        <w:tc>
          <w:tcPr>
            <w:cnfStyle w:val="001000000100" w:firstRow="0" w:lastRow="0" w:firstColumn="1" w:lastColumn="0" w:oddVBand="0" w:evenVBand="0" w:oddHBand="0" w:evenHBand="0" w:firstRowFirstColumn="1" w:firstRowLastColumn="0" w:lastRowFirstColumn="0" w:lastRowLastColumn="0"/>
            <w:tcW w:w="2863" w:type="dxa"/>
          </w:tcPr>
          <w:p w14:paraId="7F73DE35" w14:textId="77777777" w:rsidR="00274D6F" w:rsidRDefault="00274D6F" w:rsidP="0077261B">
            <w:pPr>
              <w:keepNext/>
              <w:spacing w:after="0" w:line="360" w:lineRule="auto"/>
            </w:pPr>
            <w:r>
              <w:rPr>
                <w:color w:val="172B4D"/>
                <w:sz w:val="19"/>
              </w:rPr>
              <w:t>Resource or capability</w:t>
            </w:r>
          </w:p>
        </w:tc>
        <w:tc>
          <w:tcPr>
            <w:tcW w:w="3014" w:type="dxa"/>
          </w:tcPr>
          <w:p w14:paraId="1B20961C" w14:textId="77777777" w:rsidR="00274D6F" w:rsidRDefault="00274D6F" w:rsidP="0077261B">
            <w:pPr>
              <w:keepNext/>
              <w:spacing w:after="0" w:line="360" w:lineRule="auto"/>
              <w:cnfStyle w:val="100000000000" w:firstRow="1" w:lastRow="0" w:firstColumn="0" w:lastColumn="0" w:oddVBand="0" w:evenVBand="0" w:oddHBand="0" w:evenHBand="0" w:firstRowFirstColumn="0" w:firstRowLastColumn="0" w:lastRowFirstColumn="0" w:lastRowLastColumn="0"/>
            </w:pPr>
            <w:r>
              <w:rPr>
                <w:color w:val="172B4D"/>
                <w:sz w:val="19"/>
              </w:rPr>
              <w:t>VRIO assessment</w:t>
            </w:r>
          </w:p>
        </w:tc>
        <w:tc>
          <w:tcPr>
            <w:tcW w:w="3189" w:type="dxa"/>
          </w:tcPr>
          <w:p w14:paraId="4C2B7794" w14:textId="77777777" w:rsidR="00274D6F" w:rsidRDefault="00274D6F" w:rsidP="0077261B">
            <w:pPr>
              <w:keepNext/>
              <w:spacing w:after="0" w:line="360" w:lineRule="auto"/>
              <w:cnfStyle w:val="100000000000" w:firstRow="1" w:lastRow="0" w:firstColumn="0" w:lastColumn="0" w:oddVBand="0" w:evenVBand="0" w:oddHBand="0" w:evenHBand="0" w:firstRowFirstColumn="0" w:firstRowLastColumn="0" w:lastRowFirstColumn="0" w:lastRowLastColumn="0"/>
            </w:pPr>
            <w:r>
              <w:rPr>
                <w:color w:val="172B4D"/>
                <w:sz w:val="19"/>
              </w:rPr>
              <w:t>Strategic implication</w:t>
            </w:r>
          </w:p>
        </w:tc>
      </w:tr>
      <w:tr w:rsidR="00274D6F" w14:paraId="59CAA2CC" w14:textId="77777777" w:rsidTr="00274D6F">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2863" w:type="dxa"/>
          </w:tcPr>
          <w:p w14:paraId="587B5F20" w14:textId="77777777" w:rsidR="00274D6F" w:rsidRPr="00274D6F" w:rsidRDefault="00274D6F" w:rsidP="0077261B">
            <w:pPr>
              <w:spacing w:after="0" w:line="360" w:lineRule="auto"/>
              <w:rPr>
                <w:rFonts w:ascii="Times New Roman" w:hAnsi="Times New Roman" w:cs="Times New Roman"/>
                <w:i w:val="0"/>
                <w:iCs w:val="0"/>
              </w:rPr>
            </w:pPr>
            <w:r w:rsidRPr="00274D6F">
              <w:rPr>
                <w:rFonts w:ascii="Times New Roman" w:hAnsi="Times New Roman" w:cs="Times New Roman"/>
                <w:i w:val="0"/>
                <w:iCs w:val="0"/>
                <w:color w:val="202124"/>
              </w:rPr>
              <w:t>SAIC finance, platforms and R&amp;D</w:t>
            </w:r>
          </w:p>
        </w:tc>
        <w:tc>
          <w:tcPr>
            <w:tcW w:w="3014" w:type="dxa"/>
          </w:tcPr>
          <w:p w14:paraId="0FFD33C8" w14:textId="77777777" w:rsidR="00274D6F" w:rsidRPr="00274D6F" w:rsidRDefault="00274D6F" w:rsidP="0077261B">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74D6F">
              <w:rPr>
                <w:rFonts w:ascii="Times New Roman" w:hAnsi="Times New Roman" w:cs="Times New Roman"/>
                <w:color w:val="202124"/>
              </w:rPr>
              <w:t>Valuable; moderately rare and imitable; organized</w:t>
            </w:r>
          </w:p>
        </w:tc>
        <w:tc>
          <w:tcPr>
            <w:tcW w:w="3189" w:type="dxa"/>
          </w:tcPr>
          <w:p w14:paraId="7FB83B5F" w14:textId="77777777" w:rsidR="00274D6F" w:rsidRPr="00274D6F" w:rsidRDefault="00274D6F" w:rsidP="0077261B">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74D6F">
              <w:rPr>
                <w:rFonts w:ascii="Times New Roman" w:hAnsi="Times New Roman" w:cs="Times New Roman"/>
                <w:color w:val="202124"/>
              </w:rPr>
              <w:t>Strong temporary advantage and investment capacity.</w:t>
            </w:r>
          </w:p>
        </w:tc>
      </w:tr>
      <w:tr w:rsidR="00274D6F" w14:paraId="5F7D0330" w14:textId="77777777" w:rsidTr="00274D6F">
        <w:trPr>
          <w:trHeight w:val="635"/>
        </w:trPr>
        <w:tc>
          <w:tcPr>
            <w:cnfStyle w:val="001000000000" w:firstRow="0" w:lastRow="0" w:firstColumn="1" w:lastColumn="0" w:oddVBand="0" w:evenVBand="0" w:oddHBand="0" w:evenHBand="0" w:firstRowFirstColumn="0" w:firstRowLastColumn="0" w:lastRowFirstColumn="0" w:lastRowLastColumn="0"/>
            <w:tcW w:w="2863" w:type="dxa"/>
          </w:tcPr>
          <w:p w14:paraId="4DD44C8B" w14:textId="77777777" w:rsidR="00274D6F" w:rsidRPr="00274D6F" w:rsidRDefault="00274D6F" w:rsidP="0077261B">
            <w:pPr>
              <w:spacing w:after="0" w:line="360" w:lineRule="auto"/>
              <w:rPr>
                <w:rFonts w:ascii="Times New Roman" w:hAnsi="Times New Roman" w:cs="Times New Roman"/>
                <w:i w:val="0"/>
                <w:iCs w:val="0"/>
              </w:rPr>
            </w:pPr>
            <w:r w:rsidRPr="00274D6F">
              <w:rPr>
                <w:rFonts w:ascii="Times New Roman" w:hAnsi="Times New Roman" w:cs="Times New Roman"/>
                <w:i w:val="0"/>
                <w:iCs w:val="0"/>
                <w:color w:val="202124"/>
              </w:rPr>
              <w:t>Affordable EV and hybrid portfolio</w:t>
            </w:r>
          </w:p>
        </w:tc>
        <w:tc>
          <w:tcPr>
            <w:tcW w:w="3014" w:type="dxa"/>
          </w:tcPr>
          <w:p w14:paraId="64894191" w14:textId="77777777" w:rsidR="00274D6F" w:rsidRPr="00274D6F" w:rsidRDefault="00274D6F" w:rsidP="0077261B">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74D6F">
              <w:rPr>
                <w:rFonts w:ascii="Times New Roman" w:hAnsi="Times New Roman" w:cs="Times New Roman"/>
                <w:color w:val="202124"/>
              </w:rPr>
              <w:t>Valuable; not rare; imitable; organized</w:t>
            </w:r>
          </w:p>
        </w:tc>
        <w:tc>
          <w:tcPr>
            <w:tcW w:w="3189" w:type="dxa"/>
          </w:tcPr>
          <w:p w14:paraId="00A5460D" w14:textId="77777777" w:rsidR="00274D6F" w:rsidRPr="00274D6F" w:rsidRDefault="00274D6F" w:rsidP="0077261B">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74D6F">
              <w:rPr>
                <w:rFonts w:ascii="Times New Roman" w:hAnsi="Times New Roman" w:cs="Times New Roman"/>
                <w:color w:val="202124"/>
              </w:rPr>
              <w:t>Competitive parity unless service and technology differentiate.</w:t>
            </w:r>
          </w:p>
        </w:tc>
      </w:tr>
      <w:tr w:rsidR="00274D6F" w14:paraId="57E8A1FE" w14:textId="77777777" w:rsidTr="00274D6F">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2863" w:type="dxa"/>
          </w:tcPr>
          <w:p w14:paraId="59F0378E" w14:textId="77777777" w:rsidR="00274D6F" w:rsidRPr="00274D6F" w:rsidRDefault="00274D6F" w:rsidP="0077261B">
            <w:pPr>
              <w:spacing w:after="0" w:line="360" w:lineRule="auto"/>
              <w:rPr>
                <w:rFonts w:ascii="Times New Roman" w:hAnsi="Times New Roman" w:cs="Times New Roman"/>
                <w:i w:val="0"/>
                <w:iCs w:val="0"/>
              </w:rPr>
            </w:pPr>
            <w:r w:rsidRPr="00274D6F">
              <w:rPr>
                <w:rFonts w:ascii="Times New Roman" w:hAnsi="Times New Roman" w:cs="Times New Roman"/>
                <w:i w:val="0"/>
                <w:iCs w:val="0"/>
                <w:color w:val="202124"/>
              </w:rPr>
              <w:t>MG British heritage</w:t>
            </w:r>
          </w:p>
        </w:tc>
        <w:tc>
          <w:tcPr>
            <w:tcW w:w="3014" w:type="dxa"/>
          </w:tcPr>
          <w:p w14:paraId="6F903633" w14:textId="77777777" w:rsidR="00274D6F" w:rsidRPr="00274D6F" w:rsidRDefault="00274D6F" w:rsidP="0077261B">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74D6F">
              <w:rPr>
                <w:rFonts w:ascii="Times New Roman" w:hAnsi="Times New Roman" w:cs="Times New Roman"/>
                <w:color w:val="202124"/>
              </w:rPr>
              <w:t>Valuable; rare; relatively difficult to imitate; partly organized</w:t>
            </w:r>
          </w:p>
        </w:tc>
        <w:tc>
          <w:tcPr>
            <w:tcW w:w="3189" w:type="dxa"/>
          </w:tcPr>
          <w:p w14:paraId="0A7C26C9" w14:textId="77777777" w:rsidR="00274D6F" w:rsidRPr="00274D6F" w:rsidRDefault="00274D6F" w:rsidP="0077261B">
            <w:p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74D6F">
              <w:rPr>
                <w:rFonts w:ascii="Times New Roman" w:hAnsi="Times New Roman" w:cs="Times New Roman"/>
                <w:color w:val="202124"/>
              </w:rPr>
              <w:t>Potential long-term brand asset if linked to current quality.</w:t>
            </w:r>
          </w:p>
        </w:tc>
      </w:tr>
      <w:tr w:rsidR="00274D6F" w14:paraId="39C342C3" w14:textId="77777777" w:rsidTr="00274D6F">
        <w:trPr>
          <w:trHeight w:val="635"/>
        </w:trPr>
        <w:tc>
          <w:tcPr>
            <w:cnfStyle w:val="001000000000" w:firstRow="0" w:lastRow="0" w:firstColumn="1" w:lastColumn="0" w:oddVBand="0" w:evenVBand="0" w:oddHBand="0" w:evenHBand="0" w:firstRowFirstColumn="0" w:firstRowLastColumn="0" w:lastRowFirstColumn="0" w:lastRowLastColumn="0"/>
            <w:tcW w:w="2863" w:type="dxa"/>
          </w:tcPr>
          <w:p w14:paraId="129B773A" w14:textId="77777777" w:rsidR="00274D6F" w:rsidRPr="00274D6F" w:rsidRDefault="00274D6F" w:rsidP="0077261B">
            <w:pPr>
              <w:spacing w:after="0" w:line="360" w:lineRule="auto"/>
              <w:rPr>
                <w:rFonts w:ascii="Times New Roman" w:hAnsi="Times New Roman" w:cs="Times New Roman"/>
                <w:i w:val="0"/>
                <w:iCs w:val="0"/>
              </w:rPr>
            </w:pPr>
            <w:r w:rsidRPr="00274D6F">
              <w:rPr>
                <w:rFonts w:ascii="Times New Roman" w:hAnsi="Times New Roman" w:cs="Times New Roman"/>
                <w:i w:val="0"/>
                <w:iCs w:val="0"/>
                <w:color w:val="202124"/>
              </w:rPr>
              <w:t>UK dealer and service network</w:t>
            </w:r>
          </w:p>
        </w:tc>
        <w:tc>
          <w:tcPr>
            <w:tcW w:w="3014" w:type="dxa"/>
          </w:tcPr>
          <w:p w14:paraId="71399966" w14:textId="77777777" w:rsidR="00274D6F" w:rsidRPr="00274D6F" w:rsidRDefault="00274D6F" w:rsidP="0077261B">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74D6F">
              <w:rPr>
                <w:rFonts w:ascii="Times New Roman" w:hAnsi="Times New Roman" w:cs="Times New Roman"/>
                <w:color w:val="202124"/>
              </w:rPr>
              <w:t>Valuable; not rare; imitable; only partly organized</w:t>
            </w:r>
          </w:p>
        </w:tc>
        <w:tc>
          <w:tcPr>
            <w:tcW w:w="3189" w:type="dxa"/>
          </w:tcPr>
          <w:p w14:paraId="49BEDA23" w14:textId="77777777" w:rsidR="00274D6F" w:rsidRPr="00274D6F" w:rsidRDefault="00274D6F" w:rsidP="0077261B">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74D6F">
              <w:rPr>
                <w:rFonts w:ascii="Times New Roman" w:hAnsi="Times New Roman" w:cs="Times New Roman"/>
                <w:color w:val="202124"/>
              </w:rPr>
              <w:t>Essential for trust but requires training and consistency.</w:t>
            </w:r>
          </w:p>
        </w:tc>
      </w:tr>
    </w:tbl>
    <w:p w14:paraId="363BC45E" w14:textId="77777777" w:rsidR="00274D6F" w:rsidRDefault="00274D6F" w:rsidP="0077261B">
      <w:pPr>
        <w:spacing w:line="360" w:lineRule="auto"/>
        <w:rPr>
          <w:rFonts w:ascii="Times New Roman" w:hAnsi="Times New Roman" w:cs="Times New Roman"/>
          <w:sz w:val="24"/>
          <w:szCs w:val="24"/>
        </w:rPr>
      </w:pPr>
    </w:p>
    <w:p w14:paraId="2F70E999" w14:textId="31DD9800" w:rsidR="00274D6F" w:rsidRPr="00DC706A" w:rsidRDefault="00DC706A" w:rsidP="0077261B">
      <w:pPr>
        <w:pStyle w:val="Heading1"/>
        <w:spacing w:line="360" w:lineRule="auto"/>
        <w:rPr>
          <w:rFonts w:ascii="Times New Roman" w:hAnsi="Times New Roman" w:cs="Times New Roman"/>
          <w:b/>
          <w:bCs/>
          <w:color w:val="auto"/>
          <w:sz w:val="28"/>
          <w:szCs w:val="28"/>
        </w:rPr>
      </w:pPr>
      <w:r w:rsidRPr="00DC706A">
        <w:rPr>
          <w:rFonts w:ascii="Times New Roman" w:hAnsi="Times New Roman" w:cs="Times New Roman"/>
          <w:b/>
          <w:bCs/>
          <w:color w:val="auto"/>
          <w:sz w:val="28"/>
          <w:szCs w:val="28"/>
        </w:rPr>
        <w:lastRenderedPageBreak/>
        <w:t>4.</w:t>
      </w:r>
      <w:r w:rsidR="00274D6F" w:rsidRPr="00DC706A">
        <w:rPr>
          <w:rFonts w:ascii="Times New Roman" w:hAnsi="Times New Roman" w:cs="Times New Roman"/>
          <w:b/>
          <w:bCs/>
          <w:color w:val="auto"/>
          <w:sz w:val="28"/>
          <w:szCs w:val="28"/>
        </w:rPr>
        <w:t>Strategy Implementation</w:t>
      </w:r>
    </w:p>
    <w:p w14:paraId="219DD149" w14:textId="77777777" w:rsidR="00274D6F" w:rsidRPr="00274D6F" w:rsidRDefault="00274D6F" w:rsidP="0077261B">
      <w:pPr>
        <w:spacing w:line="360" w:lineRule="auto"/>
      </w:pPr>
    </w:p>
    <w:p w14:paraId="75F1DFD3" w14:textId="1E1E1770" w:rsidR="00DC706A" w:rsidRDefault="00DC706A" w:rsidP="0077261B">
      <w:pPr>
        <w:spacing w:line="360" w:lineRule="auto"/>
        <w:rPr>
          <w:rFonts w:ascii="Times New Roman" w:hAnsi="Times New Roman" w:cs="Times New Roman"/>
          <w:sz w:val="24"/>
          <w:szCs w:val="24"/>
        </w:rPr>
      </w:pPr>
      <w:r w:rsidRPr="00DC706A">
        <w:rPr>
          <w:rFonts w:ascii="Times New Roman" w:hAnsi="Times New Roman" w:cs="Times New Roman"/>
          <w:sz w:val="24"/>
          <w:szCs w:val="24"/>
        </w:rPr>
        <w:t>For MG Motor UK, strategy implementation means turning its Affordable Intelligent Mobility strategy into practical actions. This includes training dealership staff, improving software and spare-parts availability, strengthening customer service, assigning management responsibilities and monitoring performance against clear targets (Johnson et al., 2017).</w:t>
      </w:r>
    </w:p>
    <w:p w14:paraId="52740ABC" w14:textId="4A50CE27" w:rsidR="00DC706A" w:rsidRDefault="00CB124A" w:rsidP="0077261B">
      <w:pPr>
        <w:spacing w:line="360" w:lineRule="auto"/>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317E9279" wp14:editId="1C78CC30">
            <wp:simplePos x="0" y="0"/>
            <wp:positionH relativeFrom="column">
              <wp:posOffset>35507</wp:posOffset>
            </wp:positionH>
            <wp:positionV relativeFrom="paragraph">
              <wp:posOffset>104775</wp:posOffset>
            </wp:positionV>
            <wp:extent cx="5577840" cy="1208531"/>
            <wp:effectExtent l="133350" t="57150" r="80010" b="125095"/>
            <wp:wrapNone/>
            <wp:docPr id="1" name="Picture 1" descr="Four-phase MG strategy implementation pathway: prepare, pilot, scale and impr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g_implementation_flow.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77840" cy="120853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14:paraId="5E2C27F9" w14:textId="6E5B942F" w:rsidR="00CB124A" w:rsidRDefault="00CB124A" w:rsidP="0077261B">
      <w:pPr>
        <w:spacing w:line="360" w:lineRule="auto"/>
        <w:rPr>
          <w:rFonts w:ascii="Times New Roman" w:hAnsi="Times New Roman" w:cs="Times New Roman"/>
          <w:sz w:val="24"/>
          <w:szCs w:val="24"/>
        </w:rPr>
      </w:pPr>
    </w:p>
    <w:p w14:paraId="47399BF4" w14:textId="18F2FD3B" w:rsidR="000926C0" w:rsidRDefault="000926C0" w:rsidP="0077261B">
      <w:pPr>
        <w:spacing w:line="360" w:lineRule="auto"/>
        <w:rPr>
          <w:rFonts w:ascii="Times New Roman" w:hAnsi="Times New Roman" w:cs="Times New Roman"/>
          <w:sz w:val="24"/>
          <w:szCs w:val="24"/>
        </w:rPr>
      </w:pPr>
    </w:p>
    <w:p w14:paraId="6B278242" w14:textId="77777777" w:rsidR="00CB124A" w:rsidRDefault="00CB124A" w:rsidP="0077261B">
      <w:pPr>
        <w:spacing w:line="360" w:lineRule="auto"/>
        <w:rPr>
          <w:rFonts w:ascii="Times New Roman" w:hAnsi="Times New Roman" w:cs="Times New Roman"/>
          <w:sz w:val="24"/>
          <w:szCs w:val="24"/>
        </w:rPr>
      </w:pPr>
    </w:p>
    <w:p w14:paraId="48685904" w14:textId="77777777" w:rsidR="00CB124A" w:rsidRDefault="00CB124A" w:rsidP="0077261B">
      <w:pPr>
        <w:spacing w:line="360" w:lineRule="auto"/>
        <w:rPr>
          <w:rFonts w:ascii="Times New Roman" w:hAnsi="Times New Roman" w:cs="Times New Roman"/>
          <w:sz w:val="24"/>
          <w:szCs w:val="24"/>
        </w:rPr>
      </w:pPr>
    </w:p>
    <w:p w14:paraId="3900334C" w14:textId="77777777" w:rsidR="00CB124A" w:rsidRDefault="00CB124A" w:rsidP="0077261B">
      <w:pPr>
        <w:spacing w:line="360" w:lineRule="auto"/>
        <w:rPr>
          <w:rFonts w:ascii="Times New Roman" w:hAnsi="Times New Roman" w:cs="Times New Roman"/>
          <w:sz w:val="24"/>
          <w:szCs w:val="24"/>
        </w:rPr>
      </w:pPr>
    </w:p>
    <w:p w14:paraId="304032C0" w14:textId="0022C011" w:rsidR="00CB124A" w:rsidRPr="00CB124A" w:rsidRDefault="00CB124A" w:rsidP="0077261B">
      <w:pPr>
        <w:spacing w:line="360" w:lineRule="auto"/>
        <w:rPr>
          <w:rFonts w:ascii="Times New Roman" w:hAnsi="Times New Roman" w:cs="Times New Roman"/>
          <w:sz w:val="24"/>
          <w:szCs w:val="24"/>
        </w:rPr>
      </w:pPr>
      <w:r w:rsidRPr="00CB124A">
        <w:rPr>
          <w:rFonts w:ascii="Times New Roman" w:hAnsi="Times New Roman" w:cs="Times New Roman"/>
          <w:sz w:val="24"/>
          <w:szCs w:val="24"/>
        </w:rPr>
        <w:t>The success of MG Motor UK's Affordable Intelligent Mobility plan is dependent on its effective execution across all UK activities. SAIC can contribute technical and financial support, but customers will evaluate MG based on vehicle reliability, software, and service. Hrebiniak (2006) contends that initiatives frequently fail when duties are unclear and departments work independently, therefore MG should implement a planned 36-month p</w:t>
      </w:r>
      <w:r>
        <w:rPr>
          <w:rFonts w:ascii="Times New Roman" w:hAnsi="Times New Roman" w:cs="Times New Roman"/>
          <w:sz w:val="24"/>
          <w:szCs w:val="24"/>
        </w:rPr>
        <w:t xml:space="preserve">roject </w:t>
      </w:r>
      <w:r w:rsidRPr="00CB124A">
        <w:rPr>
          <w:rFonts w:ascii="Times New Roman" w:hAnsi="Times New Roman" w:cs="Times New Roman"/>
          <w:sz w:val="24"/>
          <w:szCs w:val="24"/>
        </w:rPr>
        <w:t>with clear leadership, safeguarded funds, and regular assessments. This method will enable management to extend successful initiatives, address flaws, and discontinue low-value investments.</w:t>
      </w:r>
    </w:p>
    <w:p w14:paraId="29E7ABC5" w14:textId="77777777" w:rsidR="00CB124A" w:rsidRPr="00CB124A" w:rsidRDefault="00CB124A" w:rsidP="0077261B">
      <w:pPr>
        <w:spacing w:line="360" w:lineRule="auto"/>
        <w:rPr>
          <w:rFonts w:ascii="Times New Roman" w:hAnsi="Times New Roman" w:cs="Times New Roman"/>
          <w:sz w:val="24"/>
          <w:szCs w:val="24"/>
        </w:rPr>
      </w:pPr>
    </w:p>
    <w:p w14:paraId="37B56B00" w14:textId="429D6C10" w:rsidR="00CB124A" w:rsidRPr="00CB124A" w:rsidRDefault="00CB124A" w:rsidP="0077261B">
      <w:pPr>
        <w:spacing w:line="360" w:lineRule="auto"/>
        <w:rPr>
          <w:rFonts w:ascii="Times New Roman" w:hAnsi="Times New Roman" w:cs="Times New Roman"/>
          <w:sz w:val="24"/>
          <w:szCs w:val="24"/>
        </w:rPr>
      </w:pPr>
      <w:r w:rsidRPr="00CB124A">
        <w:rPr>
          <w:rFonts w:ascii="Times New Roman" w:hAnsi="Times New Roman" w:cs="Times New Roman"/>
          <w:sz w:val="24"/>
          <w:szCs w:val="24"/>
        </w:rPr>
        <w:t>Leadership responsibilities should be separated, with the MG UK Managing Director remaining accountable while a full-time Pro</w:t>
      </w:r>
      <w:r>
        <w:rPr>
          <w:rFonts w:ascii="Times New Roman" w:hAnsi="Times New Roman" w:cs="Times New Roman"/>
          <w:sz w:val="24"/>
          <w:szCs w:val="24"/>
        </w:rPr>
        <w:t>ject</w:t>
      </w:r>
      <w:r w:rsidRPr="00CB124A">
        <w:rPr>
          <w:rFonts w:ascii="Times New Roman" w:hAnsi="Times New Roman" w:cs="Times New Roman"/>
          <w:sz w:val="24"/>
          <w:szCs w:val="24"/>
        </w:rPr>
        <w:t xml:space="preserve"> Director oversees daily operations. Product and digital leaders </w:t>
      </w:r>
      <w:r w:rsidRPr="00CB124A">
        <w:rPr>
          <w:rFonts w:ascii="Times New Roman" w:hAnsi="Times New Roman" w:cs="Times New Roman"/>
          <w:sz w:val="24"/>
          <w:szCs w:val="24"/>
        </w:rPr>
        <w:t>oversee</w:t>
      </w:r>
      <w:r w:rsidRPr="00CB124A">
        <w:rPr>
          <w:rFonts w:ascii="Times New Roman" w:hAnsi="Times New Roman" w:cs="Times New Roman"/>
          <w:sz w:val="24"/>
          <w:szCs w:val="24"/>
        </w:rPr>
        <w:t xml:space="preserve"> software, linked services, and cybersecurity, while the Aftersales Director </w:t>
      </w:r>
      <w:r w:rsidR="0077261B" w:rsidRPr="00CB124A">
        <w:rPr>
          <w:rFonts w:ascii="Times New Roman" w:hAnsi="Times New Roman" w:cs="Times New Roman"/>
          <w:sz w:val="24"/>
          <w:szCs w:val="24"/>
        </w:rPr>
        <w:t>oversees</w:t>
      </w:r>
      <w:r w:rsidRPr="00CB124A">
        <w:rPr>
          <w:rFonts w:ascii="Times New Roman" w:hAnsi="Times New Roman" w:cs="Times New Roman"/>
          <w:sz w:val="24"/>
          <w:szCs w:val="24"/>
        </w:rPr>
        <w:t xml:space="preserve"> dealership standards, training, spare parts availability, and repair quality. Marketing executives should strengthen brand positioning and communication, while the Finance Director should monitor spending and distribute cash following each review. The Sustainability and Compliance Lead is responsible for monitoring battery records and environmental regulations, as well as stopping operations that violate legal or sustainability norms.</w:t>
      </w:r>
    </w:p>
    <w:p w14:paraId="45D6AEF3" w14:textId="77777777" w:rsidR="00CB124A" w:rsidRPr="00CB124A" w:rsidRDefault="00CB124A" w:rsidP="0077261B">
      <w:pPr>
        <w:spacing w:line="360" w:lineRule="auto"/>
        <w:rPr>
          <w:rFonts w:ascii="Times New Roman" w:hAnsi="Times New Roman" w:cs="Times New Roman"/>
          <w:sz w:val="24"/>
          <w:szCs w:val="24"/>
        </w:rPr>
      </w:pPr>
    </w:p>
    <w:p w14:paraId="580272D9" w14:textId="26DFEEDB" w:rsidR="00CB124A" w:rsidRPr="00CB124A" w:rsidRDefault="00CB124A" w:rsidP="0077261B">
      <w:pPr>
        <w:spacing w:line="360" w:lineRule="auto"/>
        <w:rPr>
          <w:rFonts w:ascii="Times New Roman" w:hAnsi="Times New Roman" w:cs="Times New Roman"/>
          <w:sz w:val="24"/>
          <w:szCs w:val="24"/>
        </w:rPr>
      </w:pPr>
      <w:r w:rsidRPr="00CB124A">
        <w:rPr>
          <w:rFonts w:ascii="Times New Roman" w:hAnsi="Times New Roman" w:cs="Times New Roman"/>
          <w:sz w:val="24"/>
          <w:szCs w:val="24"/>
        </w:rPr>
        <w:t>Implementation should include six interconnected areas since technology requires qualified staff and dependable customer service</w:t>
      </w:r>
      <w:r w:rsidR="009C7276" w:rsidRPr="009C7276">
        <w:t xml:space="preserve"> </w:t>
      </w:r>
      <w:r w:rsidR="009C7276" w:rsidRPr="009C7276">
        <w:rPr>
          <w:rFonts w:ascii="Times New Roman" w:hAnsi="Times New Roman" w:cs="Times New Roman"/>
          <w:sz w:val="24"/>
          <w:szCs w:val="24"/>
        </w:rPr>
        <w:t>(Porter, 1985)</w:t>
      </w:r>
      <w:r w:rsidRPr="00CB124A">
        <w:rPr>
          <w:rFonts w:ascii="Times New Roman" w:hAnsi="Times New Roman" w:cs="Times New Roman"/>
          <w:sz w:val="24"/>
          <w:szCs w:val="24"/>
        </w:rPr>
        <w:t>. MG should strengthen its software and cybersecurity, while dealerships will receive role-specific training in electric vehicles, diagnostics, data protection, and customer communication. Spare-parts operations should keep a minimum of UK stock and make alternate supply arrangements, while service procedures should shorten repair times and eliminate repeat trips. Marketing should shift away from price-driven messages and instead show evidence of warranty, safety, ownership costs, and service excellence. Charging partnerships and battery recycling should improve convenience and sustainability, while a single dashboard should integrate financial, consumer, operational, and environmental data</w:t>
      </w:r>
      <w:r w:rsidR="009C7276" w:rsidRPr="009C7276">
        <w:t xml:space="preserve"> </w:t>
      </w:r>
      <w:r w:rsidR="009C7276" w:rsidRPr="009C7276">
        <w:rPr>
          <w:rFonts w:ascii="Times New Roman" w:hAnsi="Times New Roman" w:cs="Times New Roman"/>
          <w:sz w:val="24"/>
          <w:szCs w:val="24"/>
        </w:rPr>
        <w:t>(Hill, Schilling and Jones, 2017</w:t>
      </w:r>
      <w:r w:rsidR="009C7276">
        <w:rPr>
          <w:rFonts w:ascii="Times New Roman" w:hAnsi="Times New Roman" w:cs="Times New Roman"/>
          <w:sz w:val="24"/>
          <w:szCs w:val="24"/>
        </w:rPr>
        <w:t>).</w:t>
      </w:r>
    </w:p>
    <w:p w14:paraId="70FCCF1D" w14:textId="77777777" w:rsidR="00CB124A" w:rsidRPr="00CB124A" w:rsidRDefault="00CB124A" w:rsidP="0077261B">
      <w:pPr>
        <w:spacing w:line="360" w:lineRule="auto"/>
        <w:rPr>
          <w:rFonts w:ascii="Times New Roman" w:hAnsi="Times New Roman" w:cs="Times New Roman"/>
          <w:sz w:val="24"/>
          <w:szCs w:val="24"/>
        </w:rPr>
      </w:pPr>
    </w:p>
    <w:p w14:paraId="2DA27509" w14:textId="1EE50E9F" w:rsidR="00CB124A" w:rsidRPr="00CB124A" w:rsidRDefault="00CB124A" w:rsidP="0077261B">
      <w:pPr>
        <w:spacing w:line="360" w:lineRule="auto"/>
        <w:rPr>
          <w:rFonts w:ascii="Times New Roman" w:hAnsi="Times New Roman" w:cs="Times New Roman"/>
          <w:sz w:val="24"/>
          <w:szCs w:val="24"/>
        </w:rPr>
      </w:pPr>
      <w:r w:rsidRPr="00CB124A">
        <w:rPr>
          <w:rFonts w:ascii="Times New Roman" w:hAnsi="Times New Roman" w:cs="Times New Roman"/>
          <w:sz w:val="24"/>
          <w:szCs w:val="24"/>
        </w:rPr>
        <w:t>Without an established budget, percentage allocations provide a reasonable starting point. MG might allocate 25% to training and diagnostic equipment, 20% to software and cybersecurity, and 20% to spare parts and service enhancements. Customer systems and brand development might earn 15%, charging and sustainability partnerships could receive 10%, and pro</w:t>
      </w:r>
      <w:r>
        <w:rPr>
          <w:rFonts w:ascii="Times New Roman" w:hAnsi="Times New Roman" w:cs="Times New Roman"/>
          <w:sz w:val="24"/>
          <w:szCs w:val="24"/>
        </w:rPr>
        <w:t xml:space="preserve">ject </w:t>
      </w:r>
      <w:r w:rsidRPr="00CB124A">
        <w:rPr>
          <w:rFonts w:ascii="Times New Roman" w:hAnsi="Times New Roman" w:cs="Times New Roman"/>
          <w:sz w:val="24"/>
          <w:szCs w:val="24"/>
        </w:rPr>
        <w:t>management and unexpected expenditures could receive the final 10%. During the first three months, the Finance Director should translate these percentages into a business case while protecting funding for safety, training, and customer service.</w:t>
      </w:r>
    </w:p>
    <w:p w14:paraId="4C70AA84" w14:textId="77777777" w:rsidR="00CB124A" w:rsidRPr="00CB124A" w:rsidRDefault="00CB124A" w:rsidP="0077261B">
      <w:pPr>
        <w:spacing w:line="360" w:lineRule="auto"/>
        <w:rPr>
          <w:rFonts w:ascii="Times New Roman" w:hAnsi="Times New Roman" w:cs="Times New Roman"/>
          <w:sz w:val="24"/>
          <w:szCs w:val="24"/>
        </w:rPr>
      </w:pPr>
    </w:p>
    <w:p w14:paraId="194A7866" w14:textId="362C8B89" w:rsidR="00CB124A" w:rsidRPr="00CB124A" w:rsidRDefault="00CB124A" w:rsidP="0077261B">
      <w:pPr>
        <w:spacing w:line="360" w:lineRule="auto"/>
        <w:rPr>
          <w:rFonts w:ascii="Times New Roman" w:hAnsi="Times New Roman" w:cs="Times New Roman"/>
          <w:sz w:val="24"/>
          <w:szCs w:val="24"/>
        </w:rPr>
      </w:pPr>
      <w:r w:rsidRPr="00CB124A">
        <w:rPr>
          <w:rFonts w:ascii="Times New Roman" w:hAnsi="Times New Roman" w:cs="Times New Roman"/>
          <w:sz w:val="24"/>
          <w:szCs w:val="24"/>
        </w:rPr>
        <w:t>The initiative should be divided into four phases, each of which should conclude with a formal review before additional funding is provided. In months 1-3, MG should designate leaders, assess current performance, pick 10-15 representative dealerships, and approve the budget, targets, training plan, and risk register. During Months 4-9, these dealerships should test training, diagnostic tools, spare-parts levels, software, and customer communications, with weekly feedback to detect issues. The regional deployment should take place between Months 10 and 18, only once the study has met its safety, service, and financial targets. Months 19-36 should be spent on increasing performance, quantifying benefits, and determining whether European expansion is justified</w:t>
      </w:r>
      <w:r w:rsidR="009C7276" w:rsidRPr="009C7276">
        <w:t xml:space="preserve"> </w:t>
      </w:r>
      <w:r w:rsidR="009C7276" w:rsidRPr="009C7276">
        <w:rPr>
          <w:rFonts w:ascii="Times New Roman" w:hAnsi="Times New Roman" w:cs="Times New Roman"/>
          <w:sz w:val="24"/>
          <w:szCs w:val="24"/>
        </w:rPr>
        <w:t>(Kaplan and Norton, 1996).</w:t>
      </w:r>
    </w:p>
    <w:p w14:paraId="58F9B0DA" w14:textId="77777777" w:rsidR="00CB124A" w:rsidRPr="00CB124A" w:rsidRDefault="00CB124A" w:rsidP="0077261B">
      <w:pPr>
        <w:spacing w:line="360" w:lineRule="auto"/>
        <w:rPr>
          <w:rFonts w:ascii="Times New Roman" w:hAnsi="Times New Roman" w:cs="Times New Roman"/>
          <w:sz w:val="24"/>
          <w:szCs w:val="24"/>
        </w:rPr>
      </w:pPr>
    </w:p>
    <w:p w14:paraId="7E028630" w14:textId="26B4C9DC" w:rsidR="00CB124A" w:rsidRPr="00CB124A" w:rsidRDefault="00CB124A" w:rsidP="0077261B">
      <w:pPr>
        <w:spacing w:line="360" w:lineRule="auto"/>
        <w:rPr>
          <w:rFonts w:ascii="Times New Roman" w:hAnsi="Times New Roman" w:cs="Times New Roman"/>
          <w:sz w:val="24"/>
          <w:szCs w:val="24"/>
        </w:rPr>
      </w:pPr>
      <w:r w:rsidRPr="00CB124A">
        <w:rPr>
          <w:rFonts w:ascii="Times New Roman" w:hAnsi="Times New Roman" w:cs="Times New Roman"/>
          <w:sz w:val="24"/>
          <w:szCs w:val="24"/>
        </w:rPr>
        <w:t xml:space="preserve">Employee capability and communication will have a significant impact on </w:t>
      </w:r>
      <w:r w:rsidRPr="00CB124A">
        <w:rPr>
          <w:rFonts w:ascii="Times New Roman" w:hAnsi="Times New Roman" w:cs="Times New Roman"/>
          <w:sz w:val="24"/>
          <w:szCs w:val="24"/>
        </w:rPr>
        <w:t>implementation;</w:t>
      </w:r>
      <w:r w:rsidRPr="00CB124A">
        <w:rPr>
          <w:rFonts w:ascii="Times New Roman" w:hAnsi="Times New Roman" w:cs="Times New Roman"/>
          <w:sz w:val="24"/>
          <w:szCs w:val="24"/>
        </w:rPr>
        <w:t xml:space="preserve"> </w:t>
      </w:r>
      <w:r w:rsidRPr="00CB124A">
        <w:rPr>
          <w:rFonts w:ascii="Times New Roman" w:hAnsi="Times New Roman" w:cs="Times New Roman"/>
          <w:sz w:val="24"/>
          <w:szCs w:val="24"/>
        </w:rPr>
        <w:t>thus,</w:t>
      </w:r>
      <w:r w:rsidRPr="00CB124A">
        <w:rPr>
          <w:rFonts w:ascii="Times New Roman" w:hAnsi="Times New Roman" w:cs="Times New Roman"/>
          <w:sz w:val="24"/>
          <w:szCs w:val="24"/>
        </w:rPr>
        <w:t xml:space="preserve"> training should be tailored to each role's specific requirements and conclude with a </w:t>
      </w:r>
      <w:r w:rsidRPr="00CB124A">
        <w:rPr>
          <w:rFonts w:ascii="Times New Roman" w:hAnsi="Times New Roman" w:cs="Times New Roman"/>
          <w:sz w:val="24"/>
          <w:szCs w:val="24"/>
        </w:rPr>
        <w:lastRenderedPageBreak/>
        <w:t xml:space="preserve">practical evaluation. Technicians must be knowledgeable about high voltage, batteries, and diagnostics, while service advisors must adequately explain charging, software, privacy, and repair timelines. Salespeople demand correct product and ownership-cost knowledge, whereas managers require data analysis </w:t>
      </w:r>
      <w:r w:rsidRPr="00CB124A">
        <w:rPr>
          <w:rFonts w:ascii="Times New Roman" w:hAnsi="Times New Roman" w:cs="Times New Roman"/>
          <w:sz w:val="24"/>
          <w:szCs w:val="24"/>
        </w:rPr>
        <w:t>and management</w:t>
      </w:r>
      <w:r w:rsidRPr="00CB124A">
        <w:rPr>
          <w:rFonts w:ascii="Times New Roman" w:hAnsi="Times New Roman" w:cs="Times New Roman"/>
          <w:sz w:val="24"/>
          <w:szCs w:val="24"/>
        </w:rPr>
        <w:t xml:space="preserve"> abilities. Communication should also be bidirectional, with staff and dealerships attending frequent problem-solving sessions while customers receive clear information about purchases, software upgrades, and </w:t>
      </w:r>
      <w:r w:rsidR="00F5742C" w:rsidRPr="00CB124A">
        <w:rPr>
          <w:rFonts w:ascii="Times New Roman" w:hAnsi="Times New Roman" w:cs="Times New Roman"/>
          <w:sz w:val="24"/>
          <w:szCs w:val="24"/>
        </w:rPr>
        <w:t>services</w:t>
      </w:r>
      <w:r w:rsidRPr="00CB124A">
        <w:rPr>
          <w:rFonts w:ascii="Times New Roman" w:hAnsi="Times New Roman" w:cs="Times New Roman"/>
          <w:sz w:val="24"/>
          <w:szCs w:val="24"/>
        </w:rPr>
        <w:t>. Management should encourage early detection of problems since concealing flaws may protect short-term sales but harm long-term trust</w:t>
      </w:r>
      <w:r w:rsidR="00607811" w:rsidRPr="00607811">
        <w:t xml:space="preserve"> </w:t>
      </w:r>
      <w:r w:rsidR="00607811" w:rsidRPr="00607811">
        <w:rPr>
          <w:rFonts w:ascii="Times New Roman" w:hAnsi="Times New Roman" w:cs="Times New Roman"/>
          <w:sz w:val="24"/>
          <w:szCs w:val="24"/>
        </w:rPr>
        <w:t>(Johnson et al., 2017).</w:t>
      </w:r>
    </w:p>
    <w:p w14:paraId="41E2EE53" w14:textId="77777777" w:rsidR="00CB124A" w:rsidRPr="00CB124A" w:rsidRDefault="00CB124A" w:rsidP="0077261B">
      <w:pPr>
        <w:spacing w:line="360" w:lineRule="auto"/>
        <w:rPr>
          <w:rFonts w:ascii="Times New Roman" w:hAnsi="Times New Roman" w:cs="Times New Roman"/>
          <w:sz w:val="24"/>
          <w:szCs w:val="24"/>
        </w:rPr>
      </w:pPr>
    </w:p>
    <w:p w14:paraId="39DDCEFA" w14:textId="77777777" w:rsidR="00CB124A" w:rsidRPr="00CB124A" w:rsidRDefault="00CB124A" w:rsidP="0077261B">
      <w:pPr>
        <w:spacing w:line="360" w:lineRule="auto"/>
        <w:rPr>
          <w:rFonts w:ascii="Times New Roman" w:hAnsi="Times New Roman" w:cs="Times New Roman"/>
          <w:sz w:val="24"/>
          <w:szCs w:val="24"/>
        </w:rPr>
      </w:pPr>
      <w:r w:rsidRPr="00CB124A">
        <w:rPr>
          <w:rFonts w:ascii="Times New Roman" w:hAnsi="Times New Roman" w:cs="Times New Roman"/>
          <w:sz w:val="24"/>
          <w:szCs w:val="24"/>
        </w:rPr>
        <w:t>MG must deal with software failures, parts shortages, inconsistent dealership capability, excessive discounts, customer privacy concerns, and environmental noncompliance. Independent security and safety testing should be performed on software, and major issues should be addressed before a release is made. Minimum UK parts stock, alternative suppliers, and backup transport should reduce service disruption, while dealerships who perform poorly should be coached and certified later. Marketing discounts should require financial permission because continual price cuts may harm profit and brand positioning. Battery suppliers and environmental claims should also be supported by comprehensive documentation and successful audits, and any non-compliant activity should be halted until the required standard is met.</w:t>
      </w:r>
    </w:p>
    <w:p w14:paraId="0D5A2B15" w14:textId="77777777" w:rsidR="00CB124A" w:rsidRPr="00CB124A" w:rsidRDefault="00CB124A" w:rsidP="0077261B">
      <w:pPr>
        <w:spacing w:line="360" w:lineRule="auto"/>
        <w:rPr>
          <w:rFonts w:ascii="Times New Roman" w:hAnsi="Times New Roman" w:cs="Times New Roman"/>
          <w:sz w:val="24"/>
          <w:szCs w:val="24"/>
        </w:rPr>
      </w:pPr>
    </w:p>
    <w:p w14:paraId="7FAC82BD" w14:textId="5CFFD378" w:rsidR="00CB124A" w:rsidRDefault="00CB124A" w:rsidP="0077261B">
      <w:pPr>
        <w:spacing w:line="360" w:lineRule="auto"/>
        <w:rPr>
          <w:rFonts w:ascii="Times New Roman" w:hAnsi="Times New Roman" w:cs="Times New Roman"/>
          <w:sz w:val="24"/>
          <w:szCs w:val="24"/>
        </w:rPr>
      </w:pPr>
      <w:r w:rsidRPr="00CB124A">
        <w:rPr>
          <w:rFonts w:ascii="Times New Roman" w:hAnsi="Times New Roman" w:cs="Times New Roman"/>
          <w:sz w:val="24"/>
          <w:szCs w:val="24"/>
        </w:rPr>
        <w:t>Performance should be monitored using both financial and non-financial measures, so that increased sales do not mask operational issues (Kaplan and Norton, 1996). Spending should not exceed 5% of each approved phase budget, while customer satisfaction should increase by 10% and warranty or software complaints should decrease by 20% by Month 18. Important spare parts should be available at least 95% of the time, with average repair times reduced by 20% and recurrent repairs reduced by 15%. MG should certify 90% of trial workers by Month 9 and at least 95% of participating dealerships prior to each rollout stage. Overall, MG should expand only when safety, service, capabilities, and financial criteria are met, and European expansion should be postponed until UK performance is consistent for two consecutive quarters</w:t>
      </w:r>
      <w:r w:rsidR="00607811" w:rsidRPr="00607811">
        <w:t xml:space="preserve"> </w:t>
      </w:r>
      <w:r w:rsidR="00607811" w:rsidRPr="00607811">
        <w:rPr>
          <w:rFonts w:ascii="Times New Roman" w:hAnsi="Times New Roman" w:cs="Times New Roman"/>
          <w:sz w:val="24"/>
          <w:szCs w:val="24"/>
        </w:rPr>
        <w:t>(Johnson et al., 2017)</w:t>
      </w:r>
      <w:r w:rsidR="00607811">
        <w:rPr>
          <w:rFonts w:ascii="Times New Roman" w:hAnsi="Times New Roman" w:cs="Times New Roman"/>
          <w:sz w:val="24"/>
          <w:szCs w:val="24"/>
        </w:rPr>
        <w:t>.</w:t>
      </w:r>
    </w:p>
    <w:p w14:paraId="6B942C87" w14:textId="77777777" w:rsidR="0077261B" w:rsidRDefault="0077261B" w:rsidP="0077261B">
      <w:pPr>
        <w:spacing w:line="360" w:lineRule="auto"/>
        <w:rPr>
          <w:rFonts w:ascii="Times New Roman" w:hAnsi="Times New Roman" w:cs="Times New Roman"/>
          <w:sz w:val="24"/>
          <w:szCs w:val="24"/>
        </w:rPr>
      </w:pPr>
    </w:p>
    <w:p w14:paraId="1253395E" w14:textId="77777777" w:rsidR="0077261B" w:rsidRDefault="0077261B" w:rsidP="0077261B">
      <w:pPr>
        <w:spacing w:line="360" w:lineRule="auto"/>
        <w:rPr>
          <w:rFonts w:ascii="Times New Roman" w:hAnsi="Times New Roman" w:cs="Times New Roman"/>
          <w:sz w:val="24"/>
          <w:szCs w:val="24"/>
        </w:rPr>
      </w:pPr>
    </w:p>
    <w:p w14:paraId="54DC9167" w14:textId="77777777" w:rsidR="0077261B" w:rsidRPr="0077261B" w:rsidRDefault="0077261B" w:rsidP="0077261B">
      <w:pPr>
        <w:spacing w:line="360" w:lineRule="auto"/>
        <w:rPr>
          <w:rFonts w:ascii="Times New Roman" w:hAnsi="Times New Roman" w:cs="Times New Roman"/>
          <w:b/>
          <w:bCs/>
          <w:sz w:val="28"/>
          <w:szCs w:val="28"/>
        </w:rPr>
      </w:pPr>
      <w:r w:rsidRPr="0077261B">
        <w:rPr>
          <w:rFonts w:ascii="Times New Roman" w:hAnsi="Times New Roman" w:cs="Times New Roman"/>
          <w:b/>
          <w:bCs/>
          <w:sz w:val="28"/>
          <w:szCs w:val="28"/>
        </w:rPr>
        <w:lastRenderedPageBreak/>
        <w:t>Conclusion and Recommendation</w:t>
      </w:r>
    </w:p>
    <w:p w14:paraId="2CC31235" w14:textId="77777777" w:rsidR="0077261B" w:rsidRPr="0077261B" w:rsidRDefault="0077261B" w:rsidP="0077261B">
      <w:pPr>
        <w:spacing w:line="360" w:lineRule="auto"/>
        <w:rPr>
          <w:rFonts w:ascii="Times New Roman" w:hAnsi="Times New Roman" w:cs="Times New Roman"/>
          <w:sz w:val="24"/>
          <w:szCs w:val="24"/>
        </w:rPr>
      </w:pPr>
    </w:p>
    <w:p w14:paraId="529E4369" w14:textId="27A27079" w:rsidR="0077261B" w:rsidRDefault="0077261B" w:rsidP="0077261B">
      <w:pPr>
        <w:spacing w:line="360" w:lineRule="auto"/>
        <w:rPr>
          <w:rFonts w:ascii="Times New Roman" w:hAnsi="Times New Roman" w:cs="Times New Roman"/>
          <w:sz w:val="24"/>
          <w:szCs w:val="24"/>
        </w:rPr>
      </w:pPr>
      <w:r w:rsidRPr="0077261B">
        <w:rPr>
          <w:rFonts w:ascii="Times New Roman" w:hAnsi="Times New Roman" w:cs="Times New Roman"/>
          <w:sz w:val="24"/>
          <w:szCs w:val="24"/>
        </w:rPr>
        <w:t xml:space="preserve">MG has </w:t>
      </w:r>
      <w:r w:rsidRPr="0077261B">
        <w:rPr>
          <w:rFonts w:ascii="Times New Roman" w:hAnsi="Times New Roman" w:cs="Times New Roman"/>
          <w:sz w:val="24"/>
          <w:szCs w:val="24"/>
        </w:rPr>
        <w:t>tremendous</w:t>
      </w:r>
      <w:r w:rsidRPr="0077261B">
        <w:rPr>
          <w:rFonts w:ascii="Times New Roman" w:hAnsi="Times New Roman" w:cs="Times New Roman"/>
          <w:sz w:val="24"/>
          <w:szCs w:val="24"/>
        </w:rPr>
        <w:t xml:space="preserve"> potential for controlled growth in the UK due to its existing brand, inexpensive vehicles, and SAIC technology. However, MG's concentrated differentiation strategy can only be successful if it increases dealership capabilities, software dependability, spare-parts availability, and customer service.</w:t>
      </w:r>
    </w:p>
    <w:p w14:paraId="6366A3BB" w14:textId="656CE0AD" w:rsidR="005212CC" w:rsidRPr="0077261B" w:rsidRDefault="00F5742C" w:rsidP="0077261B">
      <w:pPr>
        <w:spacing w:line="360" w:lineRule="auto"/>
        <w:rPr>
          <w:rFonts w:ascii="Times New Roman" w:hAnsi="Times New Roman" w:cs="Times New Roman"/>
          <w:sz w:val="24"/>
          <w:szCs w:val="24"/>
        </w:rPr>
      </w:pPr>
      <w:r>
        <w:rPr>
          <w:rFonts w:ascii="Times New Roman" w:hAnsi="Times New Roman" w:cs="Times New Roman"/>
          <w:sz w:val="24"/>
          <w:szCs w:val="24"/>
        </w:rPr>
        <w:t>Recommendations</w:t>
      </w:r>
      <w:r w:rsidR="005212CC">
        <w:rPr>
          <w:rFonts w:ascii="Times New Roman" w:hAnsi="Times New Roman" w:cs="Times New Roman"/>
          <w:sz w:val="24"/>
          <w:szCs w:val="24"/>
        </w:rPr>
        <w:t xml:space="preserve"> for MG are:</w:t>
      </w:r>
    </w:p>
    <w:p w14:paraId="1C8CE9EA" w14:textId="77777777" w:rsidR="0077261B" w:rsidRPr="0077261B" w:rsidRDefault="0077261B" w:rsidP="0077261B">
      <w:pPr>
        <w:spacing w:line="360" w:lineRule="auto"/>
        <w:rPr>
          <w:rFonts w:ascii="Times New Roman" w:hAnsi="Times New Roman" w:cs="Times New Roman"/>
          <w:sz w:val="24"/>
          <w:szCs w:val="24"/>
        </w:rPr>
      </w:pPr>
    </w:p>
    <w:p w14:paraId="64F67685" w14:textId="56D8DCAB" w:rsidR="0077261B" w:rsidRPr="0077261B" w:rsidRDefault="0077261B" w:rsidP="0077261B">
      <w:pPr>
        <w:spacing w:line="360" w:lineRule="auto"/>
        <w:rPr>
          <w:rFonts w:ascii="Times New Roman" w:hAnsi="Times New Roman" w:cs="Times New Roman"/>
          <w:sz w:val="24"/>
          <w:szCs w:val="24"/>
        </w:rPr>
      </w:pPr>
      <w:r>
        <w:rPr>
          <w:rFonts w:ascii="Times New Roman" w:hAnsi="Times New Roman" w:cs="Times New Roman"/>
          <w:sz w:val="24"/>
          <w:szCs w:val="24"/>
        </w:rPr>
        <w:t>1.</w:t>
      </w:r>
      <w:r w:rsidRPr="0077261B">
        <w:rPr>
          <w:rFonts w:ascii="Times New Roman" w:hAnsi="Times New Roman" w:cs="Times New Roman"/>
          <w:sz w:val="24"/>
          <w:szCs w:val="24"/>
        </w:rPr>
        <w:t>Appoint a pro</w:t>
      </w:r>
      <w:r>
        <w:rPr>
          <w:rFonts w:ascii="Times New Roman" w:hAnsi="Times New Roman" w:cs="Times New Roman"/>
          <w:sz w:val="24"/>
          <w:szCs w:val="24"/>
        </w:rPr>
        <w:t xml:space="preserve">ject </w:t>
      </w:r>
      <w:r w:rsidRPr="0077261B">
        <w:rPr>
          <w:rFonts w:ascii="Times New Roman" w:hAnsi="Times New Roman" w:cs="Times New Roman"/>
          <w:sz w:val="24"/>
          <w:szCs w:val="24"/>
        </w:rPr>
        <w:t>director to oversee implementation.</w:t>
      </w:r>
    </w:p>
    <w:p w14:paraId="5E2DB537" w14:textId="1CB88135" w:rsidR="0077261B" w:rsidRPr="0077261B" w:rsidRDefault="0077261B" w:rsidP="0077261B">
      <w:pPr>
        <w:spacing w:line="360" w:lineRule="auto"/>
        <w:rPr>
          <w:rFonts w:ascii="Times New Roman" w:hAnsi="Times New Roman" w:cs="Times New Roman"/>
          <w:sz w:val="24"/>
          <w:szCs w:val="24"/>
        </w:rPr>
      </w:pPr>
      <w:r>
        <w:rPr>
          <w:rFonts w:ascii="Times New Roman" w:hAnsi="Times New Roman" w:cs="Times New Roman"/>
          <w:sz w:val="24"/>
          <w:szCs w:val="24"/>
        </w:rPr>
        <w:t>2.</w:t>
      </w:r>
      <w:r w:rsidRPr="0077261B">
        <w:rPr>
          <w:rFonts w:ascii="Times New Roman" w:hAnsi="Times New Roman" w:cs="Times New Roman"/>
          <w:sz w:val="24"/>
          <w:szCs w:val="24"/>
        </w:rPr>
        <w:t>Approve the implementation budget and performance targets by the third month.</w:t>
      </w:r>
    </w:p>
    <w:p w14:paraId="1A8DE436" w14:textId="0B178777" w:rsidR="0077261B" w:rsidRPr="0077261B" w:rsidRDefault="0077261B" w:rsidP="0077261B">
      <w:pPr>
        <w:spacing w:line="360" w:lineRule="auto"/>
        <w:rPr>
          <w:rFonts w:ascii="Times New Roman" w:hAnsi="Times New Roman" w:cs="Times New Roman"/>
          <w:sz w:val="24"/>
          <w:szCs w:val="24"/>
        </w:rPr>
      </w:pPr>
      <w:r>
        <w:rPr>
          <w:rFonts w:ascii="Times New Roman" w:hAnsi="Times New Roman" w:cs="Times New Roman"/>
          <w:sz w:val="24"/>
          <w:szCs w:val="24"/>
        </w:rPr>
        <w:t>3.</w:t>
      </w:r>
      <w:r w:rsidRPr="0077261B">
        <w:rPr>
          <w:rFonts w:ascii="Times New Roman" w:hAnsi="Times New Roman" w:cs="Times New Roman"/>
          <w:sz w:val="24"/>
          <w:szCs w:val="24"/>
        </w:rPr>
        <w:t>During months 4 through 9, test the plan at 10-15 dealerships.</w:t>
      </w:r>
    </w:p>
    <w:p w14:paraId="5078AE4D" w14:textId="487CB07B" w:rsidR="0077261B" w:rsidRPr="0077261B" w:rsidRDefault="0077261B" w:rsidP="0077261B">
      <w:pPr>
        <w:spacing w:line="360" w:lineRule="auto"/>
        <w:rPr>
          <w:rFonts w:ascii="Times New Roman" w:hAnsi="Times New Roman" w:cs="Times New Roman"/>
          <w:sz w:val="24"/>
          <w:szCs w:val="24"/>
        </w:rPr>
      </w:pPr>
      <w:r>
        <w:rPr>
          <w:rFonts w:ascii="Times New Roman" w:hAnsi="Times New Roman" w:cs="Times New Roman"/>
          <w:sz w:val="24"/>
          <w:szCs w:val="24"/>
        </w:rPr>
        <w:t>4.</w:t>
      </w:r>
      <w:r w:rsidRPr="0077261B">
        <w:rPr>
          <w:rFonts w:ascii="Times New Roman" w:hAnsi="Times New Roman" w:cs="Times New Roman"/>
          <w:sz w:val="24"/>
          <w:szCs w:val="24"/>
        </w:rPr>
        <w:t>Before expanding the initiative nationally, dealers must be trained and certified.</w:t>
      </w:r>
    </w:p>
    <w:p w14:paraId="499E2C3C" w14:textId="61D6406B" w:rsidR="0077261B" w:rsidRDefault="0077261B" w:rsidP="0077261B">
      <w:pPr>
        <w:spacing w:line="360" w:lineRule="auto"/>
        <w:rPr>
          <w:rFonts w:ascii="Times New Roman" w:hAnsi="Times New Roman" w:cs="Times New Roman"/>
          <w:sz w:val="24"/>
          <w:szCs w:val="24"/>
        </w:rPr>
      </w:pPr>
      <w:r>
        <w:rPr>
          <w:rFonts w:ascii="Times New Roman" w:hAnsi="Times New Roman" w:cs="Times New Roman"/>
          <w:sz w:val="24"/>
          <w:szCs w:val="24"/>
        </w:rPr>
        <w:t>5.</w:t>
      </w:r>
      <w:r w:rsidRPr="0077261B">
        <w:rPr>
          <w:rFonts w:ascii="Times New Roman" w:hAnsi="Times New Roman" w:cs="Times New Roman"/>
          <w:sz w:val="24"/>
          <w:szCs w:val="24"/>
        </w:rPr>
        <w:t>Review performance regularly and postpone European expansion until UK targets are met.</w:t>
      </w:r>
    </w:p>
    <w:p w14:paraId="7063A6DC" w14:textId="77777777" w:rsidR="0077261B" w:rsidRDefault="0077261B" w:rsidP="0077261B">
      <w:pPr>
        <w:spacing w:line="360" w:lineRule="auto"/>
        <w:rPr>
          <w:rFonts w:ascii="Times New Roman" w:hAnsi="Times New Roman" w:cs="Times New Roman"/>
          <w:sz w:val="24"/>
          <w:szCs w:val="24"/>
        </w:rPr>
      </w:pPr>
    </w:p>
    <w:p w14:paraId="750A2645" w14:textId="77777777" w:rsidR="0077261B" w:rsidRDefault="0077261B" w:rsidP="0077261B">
      <w:pPr>
        <w:spacing w:line="360" w:lineRule="auto"/>
        <w:rPr>
          <w:rFonts w:ascii="Times New Roman" w:hAnsi="Times New Roman" w:cs="Times New Roman"/>
          <w:sz w:val="24"/>
          <w:szCs w:val="24"/>
        </w:rPr>
      </w:pPr>
    </w:p>
    <w:p w14:paraId="23B5DA18" w14:textId="77777777" w:rsidR="0077261B" w:rsidRDefault="0077261B" w:rsidP="0077261B">
      <w:pPr>
        <w:spacing w:line="360" w:lineRule="auto"/>
        <w:rPr>
          <w:rFonts w:ascii="Times New Roman" w:hAnsi="Times New Roman" w:cs="Times New Roman"/>
          <w:sz w:val="24"/>
          <w:szCs w:val="24"/>
        </w:rPr>
      </w:pPr>
    </w:p>
    <w:p w14:paraId="4D94AF3D" w14:textId="77777777" w:rsidR="0077261B" w:rsidRDefault="0077261B" w:rsidP="0077261B">
      <w:pPr>
        <w:spacing w:line="360" w:lineRule="auto"/>
        <w:rPr>
          <w:rFonts w:ascii="Times New Roman" w:hAnsi="Times New Roman" w:cs="Times New Roman"/>
          <w:sz w:val="24"/>
          <w:szCs w:val="24"/>
        </w:rPr>
      </w:pPr>
    </w:p>
    <w:p w14:paraId="789CBCEA" w14:textId="77777777" w:rsidR="0077261B" w:rsidRDefault="0077261B" w:rsidP="0077261B">
      <w:pPr>
        <w:spacing w:line="360" w:lineRule="auto"/>
        <w:rPr>
          <w:rFonts w:ascii="Times New Roman" w:hAnsi="Times New Roman" w:cs="Times New Roman"/>
          <w:sz w:val="24"/>
          <w:szCs w:val="24"/>
        </w:rPr>
      </w:pPr>
    </w:p>
    <w:p w14:paraId="4BA4D5AC" w14:textId="77777777" w:rsidR="0077261B" w:rsidRDefault="0077261B" w:rsidP="0077261B">
      <w:pPr>
        <w:spacing w:line="360" w:lineRule="auto"/>
        <w:rPr>
          <w:rFonts w:ascii="Times New Roman" w:hAnsi="Times New Roman" w:cs="Times New Roman"/>
          <w:sz w:val="24"/>
          <w:szCs w:val="24"/>
        </w:rPr>
      </w:pPr>
    </w:p>
    <w:p w14:paraId="34C43C5E" w14:textId="77777777" w:rsidR="0077261B" w:rsidRDefault="0077261B" w:rsidP="0077261B">
      <w:pPr>
        <w:spacing w:line="360" w:lineRule="auto"/>
        <w:rPr>
          <w:rFonts w:ascii="Times New Roman" w:hAnsi="Times New Roman" w:cs="Times New Roman"/>
          <w:sz w:val="24"/>
          <w:szCs w:val="24"/>
        </w:rPr>
      </w:pPr>
    </w:p>
    <w:p w14:paraId="05870E14" w14:textId="77777777" w:rsidR="0077261B" w:rsidRDefault="0077261B" w:rsidP="0077261B">
      <w:pPr>
        <w:spacing w:line="360" w:lineRule="auto"/>
        <w:rPr>
          <w:rFonts w:ascii="Times New Roman" w:hAnsi="Times New Roman" w:cs="Times New Roman"/>
          <w:sz w:val="24"/>
          <w:szCs w:val="24"/>
        </w:rPr>
      </w:pPr>
    </w:p>
    <w:p w14:paraId="42051A11" w14:textId="77777777" w:rsidR="0077261B" w:rsidRDefault="0077261B" w:rsidP="0077261B">
      <w:pPr>
        <w:spacing w:line="360" w:lineRule="auto"/>
        <w:rPr>
          <w:rFonts w:ascii="Times New Roman" w:hAnsi="Times New Roman" w:cs="Times New Roman"/>
          <w:sz w:val="24"/>
          <w:szCs w:val="24"/>
        </w:rPr>
      </w:pPr>
    </w:p>
    <w:p w14:paraId="39A0BBC1" w14:textId="77777777" w:rsidR="0077261B" w:rsidRDefault="0077261B" w:rsidP="0077261B">
      <w:pPr>
        <w:spacing w:line="360" w:lineRule="auto"/>
        <w:rPr>
          <w:rFonts w:ascii="Times New Roman" w:hAnsi="Times New Roman" w:cs="Times New Roman"/>
          <w:sz w:val="24"/>
          <w:szCs w:val="24"/>
        </w:rPr>
      </w:pPr>
    </w:p>
    <w:p w14:paraId="32B1C8E1" w14:textId="77777777" w:rsidR="0077261B" w:rsidRDefault="0077261B" w:rsidP="0077261B">
      <w:pPr>
        <w:spacing w:line="360" w:lineRule="auto"/>
        <w:rPr>
          <w:rFonts w:ascii="Times New Roman" w:hAnsi="Times New Roman" w:cs="Times New Roman"/>
          <w:sz w:val="24"/>
          <w:szCs w:val="24"/>
        </w:rPr>
      </w:pPr>
    </w:p>
    <w:p w14:paraId="284AF18A" w14:textId="77777777" w:rsidR="0077261B" w:rsidRDefault="0077261B" w:rsidP="0077261B">
      <w:pPr>
        <w:spacing w:line="360" w:lineRule="auto"/>
        <w:rPr>
          <w:rFonts w:ascii="Times New Roman" w:hAnsi="Times New Roman" w:cs="Times New Roman"/>
          <w:sz w:val="24"/>
          <w:szCs w:val="24"/>
        </w:rPr>
      </w:pPr>
    </w:p>
    <w:p w14:paraId="31577DDF" w14:textId="77777777" w:rsidR="0077261B" w:rsidRDefault="0077261B" w:rsidP="0077261B">
      <w:pPr>
        <w:spacing w:line="360" w:lineRule="auto"/>
        <w:rPr>
          <w:rFonts w:ascii="Times New Roman" w:hAnsi="Times New Roman" w:cs="Times New Roman"/>
          <w:sz w:val="24"/>
          <w:szCs w:val="24"/>
        </w:rPr>
      </w:pPr>
    </w:p>
    <w:p w14:paraId="6CF52512" w14:textId="77777777" w:rsidR="0077261B" w:rsidRDefault="0077261B" w:rsidP="0077261B">
      <w:pPr>
        <w:spacing w:line="360" w:lineRule="auto"/>
        <w:rPr>
          <w:rFonts w:ascii="Times New Roman" w:hAnsi="Times New Roman" w:cs="Times New Roman"/>
          <w:sz w:val="24"/>
          <w:szCs w:val="24"/>
        </w:rPr>
      </w:pPr>
    </w:p>
    <w:p w14:paraId="637696D9" w14:textId="77777777" w:rsidR="0077261B" w:rsidRDefault="0077261B" w:rsidP="0077261B">
      <w:pPr>
        <w:spacing w:line="360" w:lineRule="auto"/>
        <w:rPr>
          <w:rFonts w:ascii="Times New Roman" w:hAnsi="Times New Roman" w:cs="Times New Roman"/>
          <w:sz w:val="24"/>
          <w:szCs w:val="24"/>
        </w:rPr>
      </w:pPr>
    </w:p>
    <w:p w14:paraId="7B04E58B" w14:textId="13D6A5BF" w:rsidR="0077261B" w:rsidRPr="00F5742C" w:rsidRDefault="00AE5682" w:rsidP="0077261B">
      <w:pPr>
        <w:spacing w:line="360" w:lineRule="auto"/>
        <w:rPr>
          <w:rFonts w:ascii="Times New Roman" w:hAnsi="Times New Roman" w:cs="Times New Roman"/>
          <w:b/>
          <w:bCs/>
          <w:sz w:val="28"/>
          <w:szCs w:val="28"/>
        </w:rPr>
      </w:pPr>
      <w:r w:rsidRPr="00F5742C">
        <w:rPr>
          <w:rFonts w:ascii="Times New Roman" w:hAnsi="Times New Roman" w:cs="Times New Roman"/>
          <w:b/>
          <w:bCs/>
          <w:sz w:val="24"/>
          <w:szCs w:val="24"/>
        </w:rPr>
        <w:t xml:space="preserve">     </w:t>
      </w:r>
      <w:r w:rsidR="0077261B" w:rsidRPr="00F5742C">
        <w:rPr>
          <w:rFonts w:ascii="Times New Roman" w:hAnsi="Times New Roman" w:cs="Times New Roman"/>
          <w:b/>
          <w:bCs/>
          <w:sz w:val="24"/>
          <w:szCs w:val="24"/>
        </w:rPr>
        <w:t xml:space="preserve"> </w:t>
      </w:r>
      <w:r w:rsidR="0077261B" w:rsidRPr="00F5742C">
        <w:rPr>
          <w:rFonts w:ascii="Times New Roman" w:hAnsi="Times New Roman" w:cs="Times New Roman"/>
          <w:b/>
          <w:bCs/>
          <w:sz w:val="28"/>
          <w:szCs w:val="28"/>
        </w:rPr>
        <w:t xml:space="preserve"> References</w:t>
      </w:r>
    </w:p>
    <w:p w14:paraId="435EB3D1" w14:textId="77777777" w:rsidR="00AE5682" w:rsidRPr="00AE5682" w:rsidRDefault="00AE5682" w:rsidP="0077261B">
      <w:pPr>
        <w:spacing w:line="360" w:lineRule="auto"/>
        <w:rPr>
          <w:rFonts w:ascii="Times New Roman" w:hAnsi="Times New Roman" w:cs="Times New Roman"/>
        </w:rPr>
      </w:pPr>
    </w:p>
    <w:p w14:paraId="6873DCC4" w14:textId="3EF2E900" w:rsidR="005212CC" w:rsidRPr="00AE5682" w:rsidRDefault="00AE5682" w:rsidP="00AE5682">
      <w:pPr>
        <w:spacing w:after="100" w:line="360" w:lineRule="auto"/>
        <w:ind w:left="425" w:hanging="425"/>
        <w:jc w:val="left"/>
        <w:rPr>
          <w:rFonts w:ascii="Times New Roman" w:hAnsi="Times New Roman" w:cs="Times New Roman"/>
          <w:color w:val="202124"/>
        </w:rPr>
      </w:pPr>
      <w:r>
        <w:rPr>
          <w:rFonts w:ascii="Times New Roman" w:hAnsi="Times New Roman" w:cs="Times New Roman"/>
          <w:color w:val="202124"/>
        </w:rPr>
        <w:t xml:space="preserve">     </w:t>
      </w:r>
      <w:r w:rsidR="009C7276">
        <w:rPr>
          <w:rFonts w:ascii="Times New Roman" w:hAnsi="Times New Roman" w:cs="Times New Roman"/>
          <w:color w:val="202124"/>
        </w:rPr>
        <w:t xml:space="preserve"> </w:t>
      </w:r>
      <w:r>
        <w:rPr>
          <w:rFonts w:ascii="Times New Roman" w:hAnsi="Times New Roman" w:cs="Times New Roman"/>
          <w:color w:val="202124"/>
        </w:rPr>
        <w:t xml:space="preserve">  </w:t>
      </w:r>
      <w:r w:rsidR="005212CC" w:rsidRPr="00AE5682">
        <w:rPr>
          <w:rFonts w:ascii="Times New Roman" w:hAnsi="Times New Roman" w:cs="Times New Roman"/>
          <w:color w:val="202124"/>
        </w:rPr>
        <w:t>Society of Motor Manufacturers and Traders (SMMT) (2026) 'UK new car market breaches two million as almost one in four buyers go electric'. Available at: https://www.smmt.co.uk/uk-new-car-market-breaches-two-million-as-almost-one-in-four-buyers-go-electric/ (Accessed: 25 July 2026).</w:t>
      </w:r>
    </w:p>
    <w:p w14:paraId="564479A2" w14:textId="0341A514" w:rsidR="00AE5682" w:rsidRDefault="00AE5682" w:rsidP="00AE5682">
      <w:pPr>
        <w:spacing w:after="100" w:line="360" w:lineRule="auto"/>
        <w:ind w:left="425" w:hanging="425"/>
        <w:jc w:val="left"/>
        <w:rPr>
          <w:rFonts w:ascii="Times New Roman" w:hAnsi="Times New Roman" w:cs="Times New Roman"/>
          <w:color w:val="202124"/>
        </w:rPr>
      </w:pPr>
      <w:r>
        <w:rPr>
          <w:rFonts w:ascii="Times New Roman" w:hAnsi="Times New Roman" w:cs="Times New Roman"/>
          <w:color w:val="202124"/>
        </w:rPr>
        <w:t xml:space="preserve">       </w:t>
      </w:r>
      <w:r w:rsidRPr="00AE5682">
        <w:rPr>
          <w:rFonts w:ascii="Times New Roman" w:hAnsi="Times New Roman" w:cs="Times New Roman"/>
          <w:color w:val="202124"/>
        </w:rPr>
        <w:t xml:space="preserve">Hill, C.W.L., Schilling, M.A. and Jones, G.R. (2017) Strategic Management: Theory: An Integrated Approach. 12th </w:t>
      </w:r>
      <w:proofErr w:type="spellStart"/>
      <w:r w:rsidRPr="00AE5682">
        <w:rPr>
          <w:rFonts w:ascii="Times New Roman" w:hAnsi="Times New Roman" w:cs="Times New Roman"/>
          <w:color w:val="202124"/>
        </w:rPr>
        <w:t>edn</w:t>
      </w:r>
      <w:proofErr w:type="spellEnd"/>
      <w:r w:rsidRPr="00AE5682">
        <w:rPr>
          <w:rFonts w:ascii="Times New Roman" w:hAnsi="Times New Roman" w:cs="Times New Roman"/>
          <w:color w:val="202124"/>
        </w:rPr>
        <w:t>. Boston, MA: Cengage Learning.</w:t>
      </w:r>
    </w:p>
    <w:p w14:paraId="43C594F1" w14:textId="47F44CE1" w:rsidR="00AE5682" w:rsidRPr="00AE5682" w:rsidRDefault="00AE5682" w:rsidP="00AE5682">
      <w:pPr>
        <w:spacing w:after="100" w:line="360" w:lineRule="auto"/>
        <w:ind w:left="425" w:hanging="425"/>
        <w:jc w:val="left"/>
        <w:rPr>
          <w:rFonts w:ascii="Times New Roman" w:hAnsi="Times New Roman" w:cs="Times New Roman"/>
        </w:rPr>
      </w:pPr>
      <w:r>
        <w:rPr>
          <w:rFonts w:ascii="Times New Roman" w:hAnsi="Times New Roman" w:cs="Times New Roman"/>
          <w:color w:val="202124"/>
        </w:rPr>
        <w:t xml:space="preserve">       </w:t>
      </w:r>
      <w:r w:rsidRPr="00AE5682">
        <w:rPr>
          <w:rFonts w:ascii="Times New Roman" w:hAnsi="Times New Roman" w:cs="Times New Roman"/>
          <w:color w:val="202124"/>
        </w:rPr>
        <w:t>SAIC Motor Corporation Limited (2026) 'SAIC Motor reports record sales in 2025'. Available at: https://www.saicmotor.com/english/latest_news/saic_motor/63549.shtml (Accessed: 25 July 2026).</w:t>
      </w:r>
    </w:p>
    <w:p w14:paraId="4194552D" w14:textId="79D0B5CC" w:rsidR="00AE5682" w:rsidRPr="00AE5682" w:rsidRDefault="00AE5682" w:rsidP="00AE5682">
      <w:pPr>
        <w:spacing w:after="100" w:line="360" w:lineRule="auto"/>
        <w:ind w:left="425" w:hanging="425"/>
        <w:jc w:val="left"/>
        <w:rPr>
          <w:rFonts w:ascii="Times New Roman" w:hAnsi="Times New Roman" w:cs="Times New Roman"/>
          <w:color w:val="202124"/>
        </w:rPr>
      </w:pPr>
      <w:r>
        <w:rPr>
          <w:rFonts w:ascii="Times New Roman" w:hAnsi="Times New Roman" w:cs="Times New Roman"/>
          <w:color w:val="202124"/>
        </w:rPr>
        <w:t xml:space="preserve">        </w:t>
      </w:r>
      <w:r w:rsidRPr="00AE5682">
        <w:rPr>
          <w:rFonts w:ascii="Times New Roman" w:hAnsi="Times New Roman" w:cs="Times New Roman"/>
          <w:color w:val="202124"/>
        </w:rPr>
        <w:t xml:space="preserve">Barney, J.B. and Hesterly, W.S. (2015) Strategic Management and Competitive Advantage: Concepts and Cases. 5th </w:t>
      </w:r>
      <w:proofErr w:type="spellStart"/>
      <w:r w:rsidRPr="00AE5682">
        <w:rPr>
          <w:rFonts w:ascii="Times New Roman" w:hAnsi="Times New Roman" w:cs="Times New Roman"/>
          <w:color w:val="202124"/>
        </w:rPr>
        <w:t>edn</w:t>
      </w:r>
      <w:proofErr w:type="spellEnd"/>
      <w:r w:rsidRPr="00AE5682">
        <w:rPr>
          <w:rFonts w:ascii="Times New Roman" w:hAnsi="Times New Roman" w:cs="Times New Roman"/>
          <w:color w:val="202124"/>
        </w:rPr>
        <w:t>. Harlow: Pearson.</w:t>
      </w:r>
    </w:p>
    <w:p w14:paraId="606117F8" w14:textId="78FFE8AF" w:rsidR="00AE5682" w:rsidRDefault="00AE5682" w:rsidP="00AE5682">
      <w:pPr>
        <w:spacing w:after="100" w:line="360" w:lineRule="auto"/>
        <w:ind w:left="425" w:hanging="425"/>
        <w:jc w:val="left"/>
        <w:rPr>
          <w:rFonts w:ascii="Times New Roman" w:hAnsi="Times New Roman" w:cs="Times New Roman"/>
          <w:color w:val="202124"/>
        </w:rPr>
      </w:pPr>
      <w:r>
        <w:rPr>
          <w:rFonts w:ascii="Times New Roman" w:hAnsi="Times New Roman" w:cs="Times New Roman"/>
          <w:color w:val="202124"/>
        </w:rPr>
        <w:t xml:space="preserve">       </w:t>
      </w:r>
      <w:r w:rsidRPr="00AE5682">
        <w:rPr>
          <w:rFonts w:ascii="Times New Roman" w:hAnsi="Times New Roman" w:cs="Times New Roman"/>
          <w:color w:val="202124"/>
        </w:rPr>
        <w:t>European Commission (2024) Commission Implementing Regulation (EU) 2024/2754 imposing a definitive countervailing duty on imports of new battery electric vehicles originating in China. Available at: https://eur-lex.europa.eu/eli/reg_impl/2024/2754/oj/eng (Accessed: 25 July 2026).</w:t>
      </w:r>
    </w:p>
    <w:p w14:paraId="00F33F00" w14:textId="720D152C" w:rsidR="00AE5682" w:rsidRPr="00AE5682" w:rsidRDefault="00AE5682" w:rsidP="00AE5682">
      <w:pPr>
        <w:spacing w:after="100" w:line="240" w:lineRule="auto"/>
        <w:ind w:left="425" w:hanging="425"/>
        <w:rPr>
          <w:rFonts w:ascii="Times New Roman" w:hAnsi="Times New Roman" w:cs="Times New Roman"/>
          <w:lang w:val="en-GB"/>
        </w:rPr>
      </w:pPr>
      <w:r>
        <w:rPr>
          <w:lang w:val="en-GB"/>
        </w:rPr>
        <w:t xml:space="preserve">        </w:t>
      </w:r>
      <w:r w:rsidRPr="00AE5682">
        <w:rPr>
          <w:rFonts w:ascii="Times New Roman" w:hAnsi="Times New Roman" w:cs="Times New Roman"/>
          <w:lang w:val="en-GB"/>
        </w:rPr>
        <w:t>Porter, M.E. (1985) Competitive Advantage: Creating and Sustaining Superior Performance. New York: Free Press.</w:t>
      </w:r>
    </w:p>
    <w:p w14:paraId="0020AF57" w14:textId="3C5E6293" w:rsidR="00AE5682" w:rsidRPr="00F5742C" w:rsidRDefault="00F5742C" w:rsidP="00F5742C">
      <w:pPr>
        <w:spacing w:after="100" w:line="360" w:lineRule="auto"/>
        <w:ind w:left="425" w:hanging="425"/>
        <w:jc w:val="left"/>
        <w:rPr>
          <w:rFonts w:ascii="Times New Roman" w:hAnsi="Times New Roman" w:cs="Times New Roman"/>
          <w:lang w:val="en-GB"/>
        </w:rPr>
      </w:pPr>
      <w:r w:rsidRPr="00F5742C">
        <w:rPr>
          <w:rFonts w:ascii="Times New Roman" w:hAnsi="Times New Roman" w:cs="Times New Roman"/>
          <w:lang w:val="en-GB"/>
        </w:rPr>
        <w:t xml:space="preserve">        </w:t>
      </w:r>
      <w:r w:rsidR="00AE5682" w:rsidRPr="00F5742C">
        <w:rPr>
          <w:rFonts w:ascii="Times New Roman" w:hAnsi="Times New Roman" w:cs="Times New Roman"/>
          <w:lang w:val="en-GB"/>
        </w:rPr>
        <w:t xml:space="preserve">Rugman, A.M. and Collinson, S. (2012) </w:t>
      </w:r>
      <w:r w:rsidR="00AE5682" w:rsidRPr="00F5742C">
        <w:rPr>
          <w:rFonts w:ascii="Times New Roman" w:hAnsi="Times New Roman" w:cs="Times New Roman"/>
          <w:i/>
          <w:iCs/>
          <w:lang w:val="en-GB"/>
        </w:rPr>
        <w:t>International Business</w:t>
      </w:r>
      <w:r w:rsidR="00AE5682" w:rsidRPr="00F5742C">
        <w:rPr>
          <w:rFonts w:ascii="Times New Roman" w:hAnsi="Times New Roman" w:cs="Times New Roman"/>
          <w:lang w:val="en-GB"/>
        </w:rPr>
        <w:t>. 6th edn. Harlow: Pearson.</w:t>
      </w:r>
    </w:p>
    <w:p w14:paraId="40E2B97C" w14:textId="60BF97D6" w:rsidR="00F5742C" w:rsidRPr="00F5742C" w:rsidRDefault="00F5742C" w:rsidP="00F5742C">
      <w:pPr>
        <w:spacing w:after="100" w:line="360" w:lineRule="auto"/>
        <w:ind w:left="425" w:hanging="425"/>
        <w:rPr>
          <w:rFonts w:ascii="Times New Roman" w:hAnsi="Times New Roman" w:cs="Times New Roman"/>
          <w:lang w:val="en-GB"/>
        </w:rPr>
      </w:pPr>
      <w:r w:rsidRPr="00F5742C">
        <w:rPr>
          <w:rFonts w:ascii="Times New Roman" w:hAnsi="Times New Roman" w:cs="Times New Roman"/>
          <w:lang w:val="en-GB"/>
        </w:rPr>
        <w:t xml:space="preserve">        </w:t>
      </w:r>
      <w:r w:rsidRPr="00F5742C">
        <w:rPr>
          <w:rFonts w:ascii="Times New Roman" w:hAnsi="Times New Roman" w:cs="Times New Roman"/>
          <w:lang w:val="en-GB"/>
        </w:rPr>
        <w:t xml:space="preserve">Kotler, P., Keller, K.L. and Chernev, A. (2022) </w:t>
      </w:r>
      <w:r w:rsidRPr="00F5742C">
        <w:rPr>
          <w:rFonts w:ascii="Times New Roman" w:hAnsi="Times New Roman" w:cs="Times New Roman"/>
          <w:i/>
          <w:iCs/>
          <w:lang w:val="en-GB"/>
        </w:rPr>
        <w:t>Marketing Management</w:t>
      </w:r>
      <w:r w:rsidRPr="00F5742C">
        <w:rPr>
          <w:rFonts w:ascii="Times New Roman" w:hAnsi="Times New Roman" w:cs="Times New Roman"/>
          <w:lang w:val="en-GB"/>
        </w:rPr>
        <w:t>. 16th edn. Harlow: Pearson.</w:t>
      </w:r>
    </w:p>
    <w:p w14:paraId="4E0AB09A" w14:textId="5710F6DC" w:rsidR="00F5742C" w:rsidRDefault="00F5742C" w:rsidP="00F5742C">
      <w:pPr>
        <w:spacing w:after="100" w:line="360" w:lineRule="auto"/>
        <w:ind w:left="425" w:hanging="425"/>
        <w:rPr>
          <w:rFonts w:ascii="Times New Roman" w:hAnsi="Times New Roman" w:cs="Times New Roman"/>
          <w:lang w:val="en-GB"/>
        </w:rPr>
      </w:pPr>
      <w:r w:rsidRPr="00F5742C">
        <w:rPr>
          <w:rFonts w:ascii="Times New Roman" w:hAnsi="Times New Roman" w:cs="Times New Roman"/>
          <w:lang w:val="en-GB"/>
        </w:rPr>
        <w:t xml:space="preserve">        </w:t>
      </w:r>
      <w:r w:rsidRPr="00F5742C">
        <w:rPr>
          <w:rFonts w:ascii="Times New Roman" w:hAnsi="Times New Roman" w:cs="Times New Roman"/>
          <w:lang w:val="en-GB"/>
        </w:rPr>
        <w:t xml:space="preserve">Hrebiniak, L.G. (2006) 'Obstacles to effective strategy implementation', </w:t>
      </w:r>
      <w:r w:rsidRPr="00F5742C">
        <w:rPr>
          <w:rFonts w:ascii="Times New Roman" w:hAnsi="Times New Roman" w:cs="Times New Roman"/>
          <w:i/>
          <w:iCs/>
          <w:lang w:val="en-GB"/>
        </w:rPr>
        <w:t>Organizational Dynamics</w:t>
      </w:r>
      <w:r w:rsidRPr="00F5742C">
        <w:rPr>
          <w:rFonts w:ascii="Times New Roman" w:hAnsi="Times New Roman" w:cs="Times New Roman"/>
          <w:lang w:val="en-GB"/>
        </w:rPr>
        <w:t xml:space="preserve">, 35(1), pp. 12–31. Available at: </w:t>
      </w:r>
      <w:hyperlink r:id="rId7" w:history="1">
        <w:r w:rsidRPr="00F5742C">
          <w:rPr>
            <w:rStyle w:val="Hyperlink"/>
            <w:rFonts w:ascii="Times New Roman" w:hAnsi="Times New Roman" w:cs="Times New Roman"/>
            <w:color w:val="auto"/>
            <w:u w:val="none"/>
            <w:lang w:val="en-GB"/>
          </w:rPr>
          <w:t>https://doi.org/10.1016/j.orgdyn.2005.12.001</w:t>
        </w:r>
      </w:hyperlink>
      <w:r w:rsidRPr="00F5742C">
        <w:rPr>
          <w:rFonts w:ascii="Times New Roman" w:hAnsi="Times New Roman" w:cs="Times New Roman"/>
          <w:color w:val="auto"/>
          <w:lang w:val="en-GB"/>
        </w:rPr>
        <w:t xml:space="preserve"> </w:t>
      </w:r>
      <w:r w:rsidRPr="00F5742C">
        <w:rPr>
          <w:rFonts w:ascii="Times New Roman" w:hAnsi="Times New Roman" w:cs="Times New Roman"/>
          <w:lang w:val="en-GB"/>
        </w:rPr>
        <w:t>(Accessed: 14 August 2026).</w:t>
      </w:r>
    </w:p>
    <w:p w14:paraId="0C7120C0" w14:textId="0AF0AAB5" w:rsidR="00F5742C" w:rsidRDefault="00F5742C" w:rsidP="00607811">
      <w:pPr>
        <w:spacing w:after="100" w:line="360" w:lineRule="auto"/>
        <w:ind w:left="425" w:hanging="425"/>
        <w:rPr>
          <w:rFonts w:ascii="Times New Roman" w:hAnsi="Times New Roman" w:cs="Times New Roman"/>
          <w:lang w:val="en-GB"/>
        </w:rPr>
      </w:pPr>
      <w:r w:rsidRPr="00F5742C">
        <w:rPr>
          <w:rFonts w:ascii="Times New Roman" w:hAnsi="Times New Roman" w:cs="Times New Roman"/>
          <w:lang w:val="en-GB"/>
        </w:rPr>
        <w:t xml:space="preserve">        </w:t>
      </w:r>
      <w:r w:rsidRPr="00F5742C">
        <w:rPr>
          <w:rFonts w:ascii="Times New Roman" w:hAnsi="Times New Roman" w:cs="Times New Roman"/>
          <w:lang w:val="en-GB"/>
        </w:rPr>
        <w:t xml:space="preserve">Johnson, G., Whittington, R., Scholes, K., Angwin, D. and </w:t>
      </w:r>
      <w:r w:rsidRPr="00F5742C">
        <w:rPr>
          <w:rFonts w:ascii="Times New Roman" w:hAnsi="Times New Roman" w:cs="Times New Roman"/>
          <w:lang w:val="en-GB"/>
        </w:rPr>
        <w:t>Regner</w:t>
      </w:r>
      <w:r w:rsidRPr="00F5742C">
        <w:rPr>
          <w:rFonts w:ascii="Times New Roman" w:hAnsi="Times New Roman" w:cs="Times New Roman"/>
          <w:lang w:val="en-GB"/>
        </w:rPr>
        <w:t xml:space="preserve">, P. (2017) </w:t>
      </w:r>
      <w:r w:rsidRPr="00F5742C">
        <w:rPr>
          <w:rFonts w:ascii="Times New Roman" w:hAnsi="Times New Roman" w:cs="Times New Roman"/>
          <w:i/>
          <w:iCs/>
          <w:lang w:val="en-GB"/>
        </w:rPr>
        <w:t xml:space="preserve">Exploring Strategy: </w:t>
      </w:r>
      <w:r>
        <w:rPr>
          <w:rFonts w:ascii="Times New Roman" w:hAnsi="Times New Roman" w:cs="Times New Roman"/>
          <w:i/>
          <w:iCs/>
          <w:lang w:val="en-GB"/>
        </w:rPr>
        <w:t xml:space="preserve">  </w:t>
      </w:r>
      <w:r w:rsidRPr="00F5742C">
        <w:rPr>
          <w:rFonts w:ascii="Times New Roman" w:hAnsi="Times New Roman" w:cs="Times New Roman"/>
          <w:i/>
          <w:iCs/>
          <w:lang w:val="en-GB"/>
        </w:rPr>
        <w:t>Text and Cases</w:t>
      </w:r>
      <w:r w:rsidRPr="00F5742C">
        <w:rPr>
          <w:rFonts w:ascii="Times New Roman" w:hAnsi="Times New Roman" w:cs="Times New Roman"/>
          <w:lang w:val="en-GB"/>
        </w:rPr>
        <w:t>. 11th edn. Harlow: Pearson.</w:t>
      </w:r>
    </w:p>
    <w:p w14:paraId="12793B2F" w14:textId="724BA1B3" w:rsidR="009C7276" w:rsidRPr="009C7276" w:rsidRDefault="009C7276" w:rsidP="00607811">
      <w:pPr>
        <w:spacing w:after="100" w:line="360" w:lineRule="auto"/>
        <w:ind w:left="425" w:hanging="425"/>
        <w:rPr>
          <w:rFonts w:ascii="Times New Roman" w:hAnsi="Times New Roman" w:cs="Times New Roman"/>
          <w:lang w:val="en-GB"/>
        </w:rPr>
      </w:pPr>
      <w:r w:rsidRPr="009C7276">
        <w:rPr>
          <w:rFonts w:ascii="Times New Roman" w:hAnsi="Times New Roman" w:cs="Times New Roman"/>
          <w:lang w:val="en-GB"/>
        </w:rPr>
        <w:t xml:space="preserve">        </w:t>
      </w:r>
      <w:r w:rsidRPr="009C7276">
        <w:rPr>
          <w:rFonts w:ascii="Times New Roman" w:hAnsi="Times New Roman" w:cs="Times New Roman"/>
          <w:lang w:val="en-GB"/>
        </w:rPr>
        <w:t xml:space="preserve">Kaplan, R.S. and Norton, D.P. (1996) </w:t>
      </w:r>
      <w:r w:rsidRPr="009C7276">
        <w:rPr>
          <w:rFonts w:ascii="Times New Roman" w:hAnsi="Times New Roman" w:cs="Times New Roman"/>
          <w:i/>
          <w:iCs/>
          <w:lang w:val="en-GB"/>
        </w:rPr>
        <w:t>The Balanced Scorecard: Translating Strategy into Action</w:t>
      </w:r>
      <w:r w:rsidRPr="009C7276">
        <w:rPr>
          <w:rFonts w:ascii="Times New Roman" w:hAnsi="Times New Roman" w:cs="Times New Roman"/>
          <w:lang w:val="en-GB"/>
        </w:rPr>
        <w:t xml:space="preserve">. </w:t>
      </w:r>
      <w:r>
        <w:rPr>
          <w:rFonts w:ascii="Times New Roman" w:hAnsi="Times New Roman" w:cs="Times New Roman"/>
          <w:lang w:val="en-GB"/>
        </w:rPr>
        <w:t xml:space="preserve">   </w:t>
      </w:r>
      <w:r w:rsidRPr="009C7276">
        <w:rPr>
          <w:rFonts w:ascii="Times New Roman" w:hAnsi="Times New Roman" w:cs="Times New Roman"/>
          <w:lang w:val="en-GB"/>
        </w:rPr>
        <w:t>Boston, MA: Harvard Business School Press.</w:t>
      </w:r>
    </w:p>
    <w:p w14:paraId="76CC30CE" w14:textId="77777777" w:rsidR="009C7276" w:rsidRPr="00F5742C" w:rsidRDefault="009C7276" w:rsidP="00F5742C">
      <w:pPr>
        <w:spacing w:after="100" w:line="240" w:lineRule="auto"/>
        <w:ind w:left="425" w:hanging="425"/>
        <w:rPr>
          <w:rFonts w:ascii="Times New Roman" w:hAnsi="Times New Roman" w:cs="Times New Roman"/>
          <w:lang w:val="en-GB"/>
        </w:rPr>
      </w:pPr>
    </w:p>
    <w:p w14:paraId="6C1C157C" w14:textId="77777777" w:rsidR="00F5742C" w:rsidRPr="00F5742C" w:rsidRDefault="00F5742C" w:rsidP="00F5742C">
      <w:pPr>
        <w:spacing w:after="100" w:line="360" w:lineRule="auto"/>
        <w:ind w:left="425" w:hanging="425"/>
        <w:rPr>
          <w:rFonts w:ascii="Times New Roman" w:hAnsi="Times New Roman" w:cs="Times New Roman"/>
          <w:lang w:val="en-GB"/>
        </w:rPr>
      </w:pPr>
    </w:p>
    <w:p w14:paraId="1549DF5D" w14:textId="77777777" w:rsidR="00F5742C" w:rsidRPr="00047A65" w:rsidRDefault="00F5742C" w:rsidP="00F5742C">
      <w:pPr>
        <w:spacing w:after="100" w:line="240" w:lineRule="auto"/>
        <w:ind w:left="425" w:hanging="425"/>
        <w:rPr>
          <w:lang w:val="en-GB"/>
        </w:rPr>
      </w:pPr>
    </w:p>
    <w:p w14:paraId="36DC6A31" w14:textId="77777777" w:rsidR="00F5742C" w:rsidRPr="00AE5682" w:rsidRDefault="00F5742C" w:rsidP="00AE5682">
      <w:pPr>
        <w:spacing w:after="100" w:line="360" w:lineRule="auto"/>
        <w:ind w:left="425" w:hanging="425"/>
        <w:jc w:val="left"/>
        <w:rPr>
          <w:rFonts w:ascii="Times New Roman" w:hAnsi="Times New Roman" w:cs="Times New Roman"/>
        </w:rPr>
      </w:pPr>
    </w:p>
    <w:p w14:paraId="44B14998" w14:textId="77777777" w:rsidR="00AE5682" w:rsidRPr="00AE5682" w:rsidRDefault="00AE5682" w:rsidP="00AE5682">
      <w:pPr>
        <w:spacing w:after="100" w:line="240" w:lineRule="auto"/>
        <w:ind w:left="425" w:hanging="425"/>
        <w:rPr>
          <w:rFonts w:ascii="Times New Roman" w:hAnsi="Times New Roman" w:cs="Times New Roman"/>
        </w:rPr>
      </w:pPr>
    </w:p>
    <w:p w14:paraId="12B4F91D" w14:textId="77777777" w:rsidR="00AE5682" w:rsidRPr="00AE5682" w:rsidRDefault="00AE5682" w:rsidP="00AE5682">
      <w:pPr>
        <w:spacing w:after="100" w:line="360" w:lineRule="auto"/>
        <w:ind w:left="425" w:hanging="425"/>
        <w:rPr>
          <w:rFonts w:ascii="Times New Roman" w:hAnsi="Times New Roman" w:cs="Times New Roman"/>
        </w:rPr>
      </w:pPr>
    </w:p>
    <w:p w14:paraId="24C5E08E" w14:textId="77777777" w:rsidR="00AE5682" w:rsidRPr="005212CC" w:rsidRDefault="00AE5682" w:rsidP="00AE5682">
      <w:pPr>
        <w:spacing w:after="100" w:line="240" w:lineRule="auto"/>
        <w:ind w:left="425" w:hanging="425"/>
        <w:rPr>
          <w:rFonts w:ascii="Times New Roman" w:hAnsi="Times New Roman" w:cs="Times New Roman"/>
        </w:rPr>
      </w:pPr>
    </w:p>
    <w:p w14:paraId="100344D2" w14:textId="77777777" w:rsidR="005212CC" w:rsidRDefault="005212CC" w:rsidP="0077261B">
      <w:pPr>
        <w:spacing w:line="360" w:lineRule="auto"/>
        <w:rPr>
          <w:rFonts w:ascii="Times New Roman" w:hAnsi="Times New Roman" w:cs="Times New Roman"/>
          <w:sz w:val="28"/>
          <w:szCs w:val="28"/>
        </w:rPr>
      </w:pPr>
    </w:p>
    <w:sectPr w:rsidR="005212C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84500" w14:textId="77777777" w:rsidR="00EC73FE" w:rsidRDefault="00EC73FE" w:rsidP="0077261B">
      <w:pPr>
        <w:spacing w:after="0" w:line="240" w:lineRule="auto"/>
      </w:pPr>
      <w:r>
        <w:separator/>
      </w:r>
    </w:p>
  </w:endnote>
  <w:endnote w:type="continuationSeparator" w:id="0">
    <w:p w14:paraId="5FF214F9" w14:textId="77777777" w:rsidR="00EC73FE" w:rsidRDefault="00EC73FE" w:rsidP="00772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2669278"/>
      <w:docPartObj>
        <w:docPartGallery w:val="Page Numbers (Bottom of Page)"/>
        <w:docPartUnique/>
      </w:docPartObj>
    </w:sdtPr>
    <w:sdtEndPr>
      <w:rPr>
        <w:noProof/>
      </w:rPr>
    </w:sdtEndPr>
    <w:sdtContent>
      <w:p w14:paraId="755E66CA" w14:textId="56776AD4" w:rsidR="0077261B" w:rsidRDefault="007726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532A2C" w14:textId="77777777" w:rsidR="0077261B" w:rsidRDefault="007726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689D2" w14:textId="77777777" w:rsidR="00EC73FE" w:rsidRDefault="00EC73FE" w:rsidP="0077261B">
      <w:pPr>
        <w:spacing w:after="0" w:line="240" w:lineRule="auto"/>
      </w:pPr>
      <w:r>
        <w:separator/>
      </w:r>
    </w:p>
  </w:footnote>
  <w:footnote w:type="continuationSeparator" w:id="0">
    <w:p w14:paraId="556B6A4C" w14:textId="77777777" w:rsidR="00EC73FE" w:rsidRDefault="00EC73FE" w:rsidP="007726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3E9"/>
    <w:rsid w:val="000926C0"/>
    <w:rsid w:val="001D0285"/>
    <w:rsid w:val="00274D6F"/>
    <w:rsid w:val="00430605"/>
    <w:rsid w:val="005212CC"/>
    <w:rsid w:val="00607811"/>
    <w:rsid w:val="007042E9"/>
    <w:rsid w:val="0077261B"/>
    <w:rsid w:val="0094635D"/>
    <w:rsid w:val="009C7276"/>
    <w:rsid w:val="00AE5682"/>
    <w:rsid w:val="00B433E9"/>
    <w:rsid w:val="00CB124A"/>
    <w:rsid w:val="00D4412E"/>
    <w:rsid w:val="00D95039"/>
    <w:rsid w:val="00DC706A"/>
    <w:rsid w:val="00EC73FE"/>
    <w:rsid w:val="00F465E4"/>
    <w:rsid w:val="00F5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CD305"/>
  <w15:chartTrackingRefBased/>
  <w15:docId w15:val="{B35831EC-D9FF-4694-B13E-720317458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3E9"/>
    <w:pPr>
      <w:spacing w:after="120" w:line="264" w:lineRule="auto"/>
      <w:jc w:val="both"/>
    </w:pPr>
    <w:rPr>
      <w:rFonts w:ascii="Calibri" w:eastAsiaTheme="minorEastAsia" w:hAnsi="Calibri"/>
      <w:color w:val="000000"/>
      <w:kern w:val="0"/>
      <w:sz w:val="22"/>
      <w:szCs w:val="22"/>
      <w:lang w:val="en-US"/>
      <w14:ligatures w14:val="none"/>
    </w:rPr>
  </w:style>
  <w:style w:type="paragraph" w:styleId="Heading1">
    <w:name w:val="heading 1"/>
    <w:basedOn w:val="Normal"/>
    <w:next w:val="Normal"/>
    <w:link w:val="Heading1Char"/>
    <w:uiPriority w:val="9"/>
    <w:qFormat/>
    <w:rsid w:val="00B433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33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33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33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33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33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33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33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33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3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33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33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33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33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33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33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33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33E9"/>
    <w:rPr>
      <w:rFonts w:eastAsiaTheme="majorEastAsia" w:cstheme="majorBidi"/>
      <w:color w:val="272727" w:themeColor="text1" w:themeTint="D8"/>
    </w:rPr>
  </w:style>
  <w:style w:type="paragraph" w:styleId="Title">
    <w:name w:val="Title"/>
    <w:basedOn w:val="Normal"/>
    <w:next w:val="Normal"/>
    <w:link w:val="TitleChar"/>
    <w:uiPriority w:val="10"/>
    <w:qFormat/>
    <w:rsid w:val="00B433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3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33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3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33E9"/>
    <w:pPr>
      <w:spacing w:before="160"/>
      <w:jc w:val="center"/>
    </w:pPr>
    <w:rPr>
      <w:i/>
      <w:iCs/>
      <w:color w:val="404040" w:themeColor="text1" w:themeTint="BF"/>
    </w:rPr>
  </w:style>
  <w:style w:type="character" w:customStyle="1" w:styleId="QuoteChar">
    <w:name w:val="Quote Char"/>
    <w:basedOn w:val="DefaultParagraphFont"/>
    <w:link w:val="Quote"/>
    <w:uiPriority w:val="29"/>
    <w:rsid w:val="00B433E9"/>
    <w:rPr>
      <w:i/>
      <w:iCs/>
      <w:color w:val="404040" w:themeColor="text1" w:themeTint="BF"/>
    </w:rPr>
  </w:style>
  <w:style w:type="paragraph" w:styleId="ListParagraph">
    <w:name w:val="List Paragraph"/>
    <w:basedOn w:val="Normal"/>
    <w:uiPriority w:val="34"/>
    <w:qFormat/>
    <w:rsid w:val="00B433E9"/>
    <w:pPr>
      <w:ind w:left="720"/>
      <w:contextualSpacing/>
    </w:pPr>
  </w:style>
  <w:style w:type="character" w:styleId="IntenseEmphasis">
    <w:name w:val="Intense Emphasis"/>
    <w:basedOn w:val="DefaultParagraphFont"/>
    <w:uiPriority w:val="21"/>
    <w:qFormat/>
    <w:rsid w:val="00B433E9"/>
    <w:rPr>
      <w:i/>
      <w:iCs/>
      <w:color w:val="0F4761" w:themeColor="accent1" w:themeShade="BF"/>
    </w:rPr>
  </w:style>
  <w:style w:type="paragraph" w:styleId="IntenseQuote">
    <w:name w:val="Intense Quote"/>
    <w:basedOn w:val="Normal"/>
    <w:next w:val="Normal"/>
    <w:link w:val="IntenseQuoteChar"/>
    <w:uiPriority w:val="30"/>
    <w:qFormat/>
    <w:rsid w:val="00B433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33E9"/>
    <w:rPr>
      <w:i/>
      <w:iCs/>
      <w:color w:val="0F4761" w:themeColor="accent1" w:themeShade="BF"/>
    </w:rPr>
  </w:style>
  <w:style w:type="character" w:styleId="IntenseReference">
    <w:name w:val="Intense Reference"/>
    <w:basedOn w:val="DefaultParagraphFont"/>
    <w:uiPriority w:val="32"/>
    <w:qFormat/>
    <w:rsid w:val="00B433E9"/>
    <w:rPr>
      <w:b/>
      <w:bCs/>
      <w:smallCaps/>
      <w:color w:val="0F4761" w:themeColor="accent1" w:themeShade="BF"/>
      <w:spacing w:val="5"/>
    </w:rPr>
  </w:style>
  <w:style w:type="table" w:styleId="GridTable5Dark-Accent4">
    <w:name w:val="Grid Table 5 Dark Accent 4"/>
    <w:basedOn w:val="TableNormal"/>
    <w:uiPriority w:val="50"/>
    <w:rsid w:val="00274D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7Colorful-Accent4">
    <w:name w:val="Grid Table 7 Colorful Accent 4"/>
    <w:basedOn w:val="TableNormal"/>
    <w:uiPriority w:val="52"/>
    <w:rsid w:val="00274D6F"/>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paragraph" w:styleId="Header">
    <w:name w:val="header"/>
    <w:basedOn w:val="Normal"/>
    <w:link w:val="HeaderChar"/>
    <w:uiPriority w:val="99"/>
    <w:unhideWhenUsed/>
    <w:rsid w:val="00772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61B"/>
    <w:rPr>
      <w:rFonts w:ascii="Calibri" w:eastAsiaTheme="minorEastAsia" w:hAnsi="Calibri"/>
      <w:color w:val="000000"/>
      <w:kern w:val="0"/>
      <w:sz w:val="22"/>
      <w:szCs w:val="22"/>
      <w:lang w:val="en-US"/>
      <w14:ligatures w14:val="none"/>
    </w:rPr>
  </w:style>
  <w:style w:type="paragraph" w:styleId="Footer">
    <w:name w:val="footer"/>
    <w:basedOn w:val="Normal"/>
    <w:link w:val="FooterChar"/>
    <w:uiPriority w:val="99"/>
    <w:unhideWhenUsed/>
    <w:rsid w:val="00772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61B"/>
    <w:rPr>
      <w:rFonts w:ascii="Calibri" w:eastAsiaTheme="minorEastAsia" w:hAnsi="Calibri"/>
      <w:color w:val="000000"/>
      <w:kern w:val="0"/>
      <w:sz w:val="22"/>
      <w:szCs w:val="22"/>
      <w:lang w:val="en-US"/>
      <w14:ligatures w14:val="none"/>
    </w:rPr>
  </w:style>
  <w:style w:type="character" w:styleId="Hyperlink">
    <w:name w:val="Hyperlink"/>
    <w:basedOn w:val="DefaultParagraphFont"/>
    <w:uiPriority w:val="99"/>
    <w:unhideWhenUsed/>
    <w:rsid w:val="00430605"/>
    <w:rPr>
      <w:color w:val="467886" w:themeColor="hyperlink"/>
      <w:u w:val="single"/>
    </w:rPr>
  </w:style>
  <w:style w:type="character" w:styleId="UnresolvedMention">
    <w:name w:val="Unresolved Mention"/>
    <w:basedOn w:val="DefaultParagraphFont"/>
    <w:uiPriority w:val="99"/>
    <w:semiHidden/>
    <w:unhideWhenUsed/>
    <w:rsid w:val="004306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16/j.orgdyn.2005.12.0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2716</Words>
  <Characters>15483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Masala (2236548)</dc:creator>
  <cp:keywords/>
  <dc:description/>
  <cp:lastModifiedBy>Valentin Masala (2236548)</cp:lastModifiedBy>
  <cp:revision>2</cp:revision>
  <dcterms:created xsi:type="dcterms:W3CDTF">2026-08-14T21:31:00Z</dcterms:created>
  <dcterms:modified xsi:type="dcterms:W3CDTF">2026-08-14T21:31:00Z</dcterms:modified>
</cp:coreProperties>
</file>