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5CB25" w14:textId="77777777" w:rsidR="00BF2E29" w:rsidRDefault="00000000">
      <w:pPr>
        <w:spacing w:after="200"/>
        <w:jc w:val="center"/>
      </w:pPr>
      <w:r>
        <w:rPr>
          <w:noProof/>
        </w:rPr>
        <w:drawing>
          <wp:inline distT="0" distB="0" distL="0" distR="0" wp14:anchorId="7339E590" wp14:editId="0F28B389">
            <wp:extent cx="3200400" cy="1280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_logo.png"/>
                    <pic:cNvPicPr/>
                  </pic:nvPicPr>
                  <pic:blipFill>
                    <a:blip r:embed="rId8"/>
                    <a:stretch>
                      <a:fillRect/>
                    </a:stretch>
                  </pic:blipFill>
                  <pic:spPr>
                    <a:xfrm>
                      <a:off x="0" y="0"/>
                      <a:ext cx="3200400" cy="1280160"/>
                    </a:xfrm>
                    <a:prstGeom prst="rect">
                      <a:avLst/>
                    </a:prstGeom>
                  </pic:spPr>
                </pic:pic>
              </a:graphicData>
            </a:graphic>
          </wp:inline>
        </w:drawing>
      </w:r>
    </w:p>
    <w:p w14:paraId="69FF2BD9" w14:textId="77777777" w:rsidR="00BF2E29" w:rsidRDefault="00000000">
      <w:pPr>
        <w:jc w:val="center"/>
      </w:pPr>
      <w:r>
        <w:rPr>
          <w:b/>
          <w:sz w:val="28"/>
        </w:rPr>
        <w:t>UNIVERSITY OF WALES TRINITY SAINT DAVID</w:t>
      </w:r>
    </w:p>
    <w:p w14:paraId="7D4202C3" w14:textId="77777777" w:rsidR="00BF2E29" w:rsidRDefault="00BF2E29"/>
    <w:p w14:paraId="6870F85C" w14:textId="77777777" w:rsidR="00BF2E29" w:rsidRDefault="00000000">
      <w:pPr>
        <w:jc w:val="center"/>
      </w:pPr>
      <w:r>
        <w:rPr>
          <w:b/>
          <w:sz w:val="28"/>
        </w:rPr>
        <w:t>MASTER OF BUSINESS ADMINISTRATION</w:t>
      </w:r>
    </w:p>
    <w:p w14:paraId="50F4D5A3" w14:textId="77777777" w:rsidR="00BF2E29" w:rsidRDefault="00000000">
      <w:pPr>
        <w:jc w:val="center"/>
      </w:pPr>
      <w:r>
        <w:rPr>
          <w:b/>
          <w:sz w:val="28"/>
        </w:rPr>
        <w:t>Human Capital Management (LCMB7023)</w:t>
      </w:r>
    </w:p>
    <w:p w14:paraId="5BB49D7D" w14:textId="77777777" w:rsidR="00BF2E29" w:rsidRDefault="00BF2E29"/>
    <w:p w14:paraId="3B0AA4FE" w14:textId="77777777" w:rsidR="00BF2E29" w:rsidRDefault="00BF2E29"/>
    <w:p w14:paraId="22688349" w14:textId="5E88D385" w:rsidR="00BF2E29" w:rsidRDefault="00000000">
      <w:pPr>
        <w:jc w:val="center"/>
      </w:pPr>
      <w:r>
        <w:rPr>
          <w:b/>
          <w:sz w:val="32"/>
        </w:rPr>
        <w:t xml:space="preserve">ASSESSMENT COMPONENT 1 </w:t>
      </w:r>
    </w:p>
    <w:p w14:paraId="1E814749" w14:textId="77777777" w:rsidR="00BF2E29" w:rsidRDefault="00000000">
      <w:pPr>
        <w:jc w:val="center"/>
      </w:pPr>
      <w:r>
        <w:rPr>
          <w:sz w:val="26"/>
        </w:rPr>
        <w:t>Innovating New Working Practices and Breeding an Environment Where Talent May Grow</w:t>
      </w:r>
    </w:p>
    <w:p w14:paraId="60988519" w14:textId="77777777" w:rsidR="00BF2E29" w:rsidRDefault="00000000">
      <w:pPr>
        <w:jc w:val="center"/>
      </w:pPr>
      <w:r>
        <w:rPr>
          <w:sz w:val="26"/>
        </w:rPr>
        <w:t xml:space="preserve">Designing Innovative Working Practices for </w:t>
      </w:r>
      <w:proofErr w:type="spellStart"/>
      <w:r>
        <w:rPr>
          <w:sz w:val="26"/>
        </w:rPr>
        <w:t>NexSpace</w:t>
      </w:r>
      <w:proofErr w:type="spellEnd"/>
      <w:r>
        <w:rPr>
          <w:sz w:val="26"/>
        </w:rPr>
        <w:t xml:space="preserve"> Health Systems (NHSX)</w:t>
      </w:r>
    </w:p>
    <w:p w14:paraId="5636F828" w14:textId="77777777" w:rsidR="00BF2E29" w:rsidRDefault="00BF2E29"/>
    <w:p w14:paraId="0CFC0A66" w14:textId="77777777" w:rsidR="00BF2E29" w:rsidRDefault="00BF2E29"/>
    <w:p w14:paraId="3C27B3BC" w14:textId="77777777" w:rsidR="00BF2E29" w:rsidRDefault="00000000">
      <w:pPr>
        <w:jc w:val="center"/>
      </w:pPr>
      <w:r>
        <w:t>Student Name: ____________________________</w:t>
      </w:r>
    </w:p>
    <w:p w14:paraId="5A27147A" w14:textId="77777777" w:rsidR="00BF2E29" w:rsidRDefault="00000000">
      <w:pPr>
        <w:jc w:val="center"/>
      </w:pPr>
      <w:r>
        <w:t>Student ID: ____________________________</w:t>
      </w:r>
    </w:p>
    <w:p w14:paraId="28497CB7" w14:textId="77777777" w:rsidR="00BF2E29" w:rsidRDefault="00000000">
      <w:pPr>
        <w:jc w:val="center"/>
      </w:pPr>
      <w:r>
        <w:t>Lecturer: Eno Maycock (Birmingham)</w:t>
      </w:r>
    </w:p>
    <w:p w14:paraId="26423DA4" w14:textId="42277F91" w:rsidR="00BF2E29" w:rsidRDefault="00000000">
      <w:pPr>
        <w:jc w:val="center"/>
      </w:pPr>
      <w:r>
        <w:t xml:space="preserve">Final Word Count: </w:t>
      </w:r>
    </w:p>
    <w:p w14:paraId="56438927" w14:textId="77777777" w:rsidR="00BF2E29" w:rsidRDefault="00000000">
      <w:pPr>
        <w:jc w:val="center"/>
      </w:pPr>
      <w:r>
        <w:t>Submission Date: 15 October 2026</w:t>
      </w:r>
    </w:p>
    <w:p w14:paraId="77F18F6E" w14:textId="77777777" w:rsidR="00BF2E29" w:rsidRDefault="00000000">
      <w:pPr>
        <w:jc w:val="center"/>
      </w:pPr>
      <w:r>
        <w:rPr>
          <w:b/>
        </w:rPr>
        <w:t>Individual Report</w:t>
      </w:r>
    </w:p>
    <w:p w14:paraId="09186F3E" w14:textId="77777777" w:rsidR="00BF2E29" w:rsidRDefault="00000000">
      <w:r>
        <w:br w:type="page"/>
      </w:r>
    </w:p>
    <w:sdt>
      <w:sdtPr>
        <w:rPr>
          <w:b w:val="0"/>
          <w:bCs w:val="0"/>
          <w:lang w:val="en-US"/>
        </w:rPr>
        <w:id w:val="1276917127"/>
        <w:docPartObj>
          <w:docPartGallery w:val="Table of Contents"/>
          <w:docPartUnique/>
        </w:docPartObj>
      </w:sdtPr>
      <w:sdtEndPr>
        <w:rPr>
          <w:noProof/>
        </w:rPr>
      </w:sdtEndPr>
      <w:sdtContent>
        <w:p w14:paraId="10B91E5D" w14:textId="3E06CDB6" w:rsidR="00D73A05" w:rsidRDefault="00D73A05" w:rsidP="00D73A05">
          <w:pPr>
            <w:pStyle w:val="TOCHeading"/>
            <w:jc w:val="center"/>
          </w:pPr>
          <w:r>
            <w:t>Table of Contents</w:t>
          </w:r>
        </w:p>
        <w:p w14:paraId="5BEBF37D" w14:textId="69DCD5F9" w:rsidR="00072E02" w:rsidRDefault="00D73A05">
          <w:pPr>
            <w:pStyle w:val="TOC1"/>
            <w:tabs>
              <w:tab w:val="right" w:leader="dot" w:pos="9016"/>
            </w:tabs>
            <w:rPr>
              <w:rFonts w:asciiTheme="minorHAnsi" w:eastAsiaTheme="minorEastAsia" w:hAnsiTheme="minorHAnsi"/>
              <w:noProof/>
              <w:kern w:val="2"/>
              <w:szCs w:val="30"/>
              <w:lang w:val="en-IN" w:eastAsia="en-IN" w:bidi="bn-IN"/>
              <w14:ligatures w14:val="standardContextual"/>
            </w:rPr>
          </w:pPr>
          <w:r>
            <w:fldChar w:fldCharType="begin"/>
          </w:r>
          <w:r>
            <w:instrText xml:space="preserve"> TOC \o "1-3" \h \z \u </w:instrText>
          </w:r>
          <w:r>
            <w:fldChar w:fldCharType="separate"/>
          </w:r>
          <w:hyperlink w:anchor="_Toc242809805" w:history="1">
            <w:r w:rsidR="00072E02" w:rsidRPr="00807C06">
              <w:rPr>
                <w:rStyle w:val="Hyperlink"/>
                <w:noProof/>
              </w:rPr>
              <w:t>Task A: Designing Innovative Working Practices</w:t>
            </w:r>
            <w:r w:rsidR="00072E02">
              <w:rPr>
                <w:noProof/>
                <w:webHidden/>
              </w:rPr>
              <w:tab/>
            </w:r>
            <w:r w:rsidR="00072E02">
              <w:rPr>
                <w:noProof/>
                <w:webHidden/>
              </w:rPr>
              <w:fldChar w:fldCharType="begin"/>
            </w:r>
            <w:r w:rsidR="00072E02">
              <w:rPr>
                <w:noProof/>
                <w:webHidden/>
              </w:rPr>
              <w:instrText xml:space="preserve"> PAGEREF _Toc242809805 \h </w:instrText>
            </w:r>
            <w:r w:rsidR="00072E02">
              <w:rPr>
                <w:noProof/>
                <w:webHidden/>
              </w:rPr>
            </w:r>
            <w:r w:rsidR="00072E02">
              <w:rPr>
                <w:noProof/>
                <w:webHidden/>
              </w:rPr>
              <w:fldChar w:fldCharType="separate"/>
            </w:r>
            <w:r w:rsidR="00072E02">
              <w:rPr>
                <w:noProof/>
                <w:webHidden/>
              </w:rPr>
              <w:t>3</w:t>
            </w:r>
            <w:r w:rsidR="00072E02">
              <w:rPr>
                <w:noProof/>
                <w:webHidden/>
              </w:rPr>
              <w:fldChar w:fldCharType="end"/>
            </w:r>
          </w:hyperlink>
        </w:p>
        <w:p w14:paraId="05E8E9AA" w14:textId="035C7B53" w:rsidR="00072E02" w:rsidRDefault="00072E02">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42809806" w:history="1">
            <w:r w:rsidRPr="00807C06">
              <w:rPr>
                <w:rStyle w:val="Hyperlink"/>
                <w:noProof/>
              </w:rPr>
              <w:t>1. Critical evaluation of traditional and contemporary work design</w:t>
            </w:r>
            <w:r>
              <w:rPr>
                <w:noProof/>
                <w:webHidden/>
              </w:rPr>
              <w:tab/>
            </w:r>
            <w:r>
              <w:rPr>
                <w:noProof/>
                <w:webHidden/>
              </w:rPr>
              <w:fldChar w:fldCharType="begin"/>
            </w:r>
            <w:r>
              <w:rPr>
                <w:noProof/>
                <w:webHidden/>
              </w:rPr>
              <w:instrText xml:space="preserve"> PAGEREF _Toc242809806 \h </w:instrText>
            </w:r>
            <w:r>
              <w:rPr>
                <w:noProof/>
                <w:webHidden/>
              </w:rPr>
            </w:r>
            <w:r>
              <w:rPr>
                <w:noProof/>
                <w:webHidden/>
              </w:rPr>
              <w:fldChar w:fldCharType="separate"/>
            </w:r>
            <w:r>
              <w:rPr>
                <w:noProof/>
                <w:webHidden/>
              </w:rPr>
              <w:t>3</w:t>
            </w:r>
            <w:r>
              <w:rPr>
                <w:noProof/>
                <w:webHidden/>
              </w:rPr>
              <w:fldChar w:fldCharType="end"/>
            </w:r>
          </w:hyperlink>
        </w:p>
        <w:p w14:paraId="5358DDC6" w14:textId="5F5CCB38" w:rsidR="00072E02" w:rsidRDefault="00072E02">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42809807" w:history="1">
            <w:r w:rsidRPr="00807C06">
              <w:rPr>
                <w:rStyle w:val="Hyperlink"/>
                <w:noProof/>
              </w:rPr>
              <w:t>2. Recommended integrated working framework for NHSX</w:t>
            </w:r>
            <w:r>
              <w:rPr>
                <w:noProof/>
                <w:webHidden/>
              </w:rPr>
              <w:tab/>
            </w:r>
            <w:r>
              <w:rPr>
                <w:noProof/>
                <w:webHidden/>
              </w:rPr>
              <w:fldChar w:fldCharType="begin"/>
            </w:r>
            <w:r>
              <w:rPr>
                <w:noProof/>
                <w:webHidden/>
              </w:rPr>
              <w:instrText xml:space="preserve"> PAGEREF _Toc242809807 \h </w:instrText>
            </w:r>
            <w:r>
              <w:rPr>
                <w:noProof/>
                <w:webHidden/>
              </w:rPr>
            </w:r>
            <w:r>
              <w:rPr>
                <w:noProof/>
                <w:webHidden/>
              </w:rPr>
              <w:fldChar w:fldCharType="separate"/>
            </w:r>
            <w:r>
              <w:rPr>
                <w:noProof/>
                <w:webHidden/>
              </w:rPr>
              <w:t>3</w:t>
            </w:r>
            <w:r>
              <w:rPr>
                <w:noProof/>
                <w:webHidden/>
              </w:rPr>
              <w:fldChar w:fldCharType="end"/>
            </w:r>
          </w:hyperlink>
        </w:p>
        <w:p w14:paraId="1340C58E" w14:textId="6F3E2B4E" w:rsidR="00072E02" w:rsidRDefault="00072E02">
          <w:pPr>
            <w:pStyle w:val="TOC3"/>
            <w:tabs>
              <w:tab w:val="right" w:leader="dot" w:pos="9016"/>
            </w:tabs>
            <w:rPr>
              <w:noProof/>
            </w:rPr>
          </w:pPr>
          <w:hyperlink w:anchor="_Toc242809808" w:history="1">
            <w:r w:rsidRPr="00807C06">
              <w:rPr>
                <w:rStyle w:val="Hyperlink"/>
                <w:noProof/>
              </w:rPr>
              <w:t>2.1 Cross-functional agile teams with bounded autonomy</w:t>
            </w:r>
            <w:r>
              <w:rPr>
                <w:noProof/>
                <w:webHidden/>
              </w:rPr>
              <w:tab/>
            </w:r>
            <w:r>
              <w:rPr>
                <w:noProof/>
                <w:webHidden/>
              </w:rPr>
              <w:fldChar w:fldCharType="begin"/>
            </w:r>
            <w:r>
              <w:rPr>
                <w:noProof/>
                <w:webHidden/>
              </w:rPr>
              <w:instrText xml:space="preserve"> PAGEREF _Toc242809808 \h </w:instrText>
            </w:r>
            <w:r>
              <w:rPr>
                <w:noProof/>
                <w:webHidden/>
              </w:rPr>
            </w:r>
            <w:r>
              <w:rPr>
                <w:noProof/>
                <w:webHidden/>
              </w:rPr>
              <w:fldChar w:fldCharType="separate"/>
            </w:r>
            <w:r>
              <w:rPr>
                <w:noProof/>
                <w:webHidden/>
              </w:rPr>
              <w:t>4</w:t>
            </w:r>
            <w:r>
              <w:rPr>
                <w:noProof/>
                <w:webHidden/>
              </w:rPr>
              <w:fldChar w:fldCharType="end"/>
            </w:r>
          </w:hyperlink>
        </w:p>
        <w:p w14:paraId="36E79D25" w14:textId="6D866CF2" w:rsidR="00072E02" w:rsidRDefault="00072E02">
          <w:pPr>
            <w:pStyle w:val="TOC3"/>
            <w:tabs>
              <w:tab w:val="right" w:leader="dot" w:pos="9016"/>
            </w:tabs>
            <w:rPr>
              <w:noProof/>
            </w:rPr>
          </w:pPr>
          <w:hyperlink w:anchor="_Toc242809809" w:history="1">
            <w:r w:rsidRPr="00807C06">
              <w:rPr>
                <w:rStyle w:val="Hyperlink"/>
                <w:noProof/>
              </w:rPr>
              <w:t>2.2 Outcome-based hybrid and flexible working</w:t>
            </w:r>
            <w:r>
              <w:rPr>
                <w:noProof/>
                <w:webHidden/>
              </w:rPr>
              <w:tab/>
            </w:r>
            <w:r>
              <w:rPr>
                <w:noProof/>
                <w:webHidden/>
              </w:rPr>
              <w:fldChar w:fldCharType="begin"/>
            </w:r>
            <w:r>
              <w:rPr>
                <w:noProof/>
                <w:webHidden/>
              </w:rPr>
              <w:instrText xml:space="preserve"> PAGEREF _Toc242809809 \h </w:instrText>
            </w:r>
            <w:r>
              <w:rPr>
                <w:noProof/>
                <w:webHidden/>
              </w:rPr>
            </w:r>
            <w:r>
              <w:rPr>
                <w:noProof/>
                <w:webHidden/>
              </w:rPr>
              <w:fldChar w:fldCharType="separate"/>
            </w:r>
            <w:r>
              <w:rPr>
                <w:noProof/>
                <w:webHidden/>
              </w:rPr>
              <w:t>4</w:t>
            </w:r>
            <w:r>
              <w:rPr>
                <w:noProof/>
                <w:webHidden/>
              </w:rPr>
              <w:fldChar w:fldCharType="end"/>
            </w:r>
          </w:hyperlink>
        </w:p>
        <w:p w14:paraId="6E8475FF" w14:textId="1C027479" w:rsidR="00072E02" w:rsidRDefault="00072E02">
          <w:pPr>
            <w:pStyle w:val="TOC3"/>
            <w:tabs>
              <w:tab w:val="right" w:leader="dot" w:pos="9016"/>
            </w:tabs>
            <w:rPr>
              <w:noProof/>
            </w:rPr>
          </w:pPr>
          <w:hyperlink w:anchor="_Toc242809810" w:history="1">
            <w:r w:rsidRPr="00807C06">
              <w:rPr>
                <w:rStyle w:val="Hyperlink"/>
                <w:noProof/>
              </w:rPr>
              <w:t>2.3 Integrated digital collaboration and knowledge sharing</w:t>
            </w:r>
            <w:r>
              <w:rPr>
                <w:noProof/>
                <w:webHidden/>
              </w:rPr>
              <w:tab/>
            </w:r>
            <w:r>
              <w:rPr>
                <w:noProof/>
                <w:webHidden/>
              </w:rPr>
              <w:fldChar w:fldCharType="begin"/>
            </w:r>
            <w:r>
              <w:rPr>
                <w:noProof/>
                <w:webHidden/>
              </w:rPr>
              <w:instrText xml:space="preserve"> PAGEREF _Toc242809810 \h </w:instrText>
            </w:r>
            <w:r>
              <w:rPr>
                <w:noProof/>
                <w:webHidden/>
              </w:rPr>
            </w:r>
            <w:r>
              <w:rPr>
                <w:noProof/>
                <w:webHidden/>
              </w:rPr>
              <w:fldChar w:fldCharType="separate"/>
            </w:r>
            <w:r>
              <w:rPr>
                <w:noProof/>
                <w:webHidden/>
              </w:rPr>
              <w:t>5</w:t>
            </w:r>
            <w:r>
              <w:rPr>
                <w:noProof/>
                <w:webHidden/>
              </w:rPr>
              <w:fldChar w:fldCharType="end"/>
            </w:r>
          </w:hyperlink>
        </w:p>
        <w:p w14:paraId="6AAFA481" w14:textId="652EEA16" w:rsidR="00072E02" w:rsidRDefault="00072E02">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42809811" w:history="1">
            <w:r w:rsidRPr="00807C06">
              <w:rPr>
                <w:rStyle w:val="Hyperlink"/>
                <w:noProof/>
              </w:rPr>
              <w:t>3. Performance impact and implementation</w:t>
            </w:r>
            <w:r>
              <w:rPr>
                <w:noProof/>
                <w:webHidden/>
              </w:rPr>
              <w:tab/>
            </w:r>
            <w:r>
              <w:rPr>
                <w:noProof/>
                <w:webHidden/>
              </w:rPr>
              <w:fldChar w:fldCharType="begin"/>
            </w:r>
            <w:r>
              <w:rPr>
                <w:noProof/>
                <w:webHidden/>
              </w:rPr>
              <w:instrText xml:space="preserve"> PAGEREF _Toc242809811 \h </w:instrText>
            </w:r>
            <w:r>
              <w:rPr>
                <w:noProof/>
                <w:webHidden/>
              </w:rPr>
            </w:r>
            <w:r>
              <w:rPr>
                <w:noProof/>
                <w:webHidden/>
              </w:rPr>
              <w:fldChar w:fldCharType="separate"/>
            </w:r>
            <w:r>
              <w:rPr>
                <w:noProof/>
                <w:webHidden/>
              </w:rPr>
              <w:t>5</w:t>
            </w:r>
            <w:r>
              <w:rPr>
                <w:noProof/>
                <w:webHidden/>
              </w:rPr>
              <w:fldChar w:fldCharType="end"/>
            </w:r>
          </w:hyperlink>
        </w:p>
        <w:p w14:paraId="6F46E637" w14:textId="01EEB33C" w:rsidR="00072E02" w:rsidRDefault="00072E02">
          <w:pPr>
            <w:pStyle w:val="TOC1"/>
            <w:tabs>
              <w:tab w:val="right" w:leader="dot" w:pos="9016"/>
            </w:tabs>
            <w:rPr>
              <w:rFonts w:asciiTheme="minorHAnsi" w:eastAsiaTheme="minorEastAsia" w:hAnsiTheme="minorHAnsi"/>
              <w:noProof/>
              <w:kern w:val="2"/>
              <w:szCs w:val="30"/>
              <w:lang w:val="en-IN" w:eastAsia="en-IN" w:bidi="bn-IN"/>
              <w14:ligatures w14:val="standardContextual"/>
            </w:rPr>
          </w:pPr>
          <w:hyperlink w:anchor="_Toc242809812" w:history="1">
            <w:r w:rsidRPr="00807C06">
              <w:rPr>
                <w:rStyle w:val="Hyperlink"/>
                <w:noProof/>
              </w:rPr>
              <w:t>Task B: Breeding an Environment Where Talent May Grow</w:t>
            </w:r>
            <w:r>
              <w:rPr>
                <w:noProof/>
                <w:webHidden/>
              </w:rPr>
              <w:tab/>
            </w:r>
            <w:r>
              <w:rPr>
                <w:noProof/>
                <w:webHidden/>
              </w:rPr>
              <w:fldChar w:fldCharType="begin"/>
            </w:r>
            <w:r>
              <w:rPr>
                <w:noProof/>
                <w:webHidden/>
              </w:rPr>
              <w:instrText xml:space="preserve"> PAGEREF _Toc242809812 \h </w:instrText>
            </w:r>
            <w:r>
              <w:rPr>
                <w:noProof/>
                <w:webHidden/>
              </w:rPr>
            </w:r>
            <w:r>
              <w:rPr>
                <w:noProof/>
                <w:webHidden/>
              </w:rPr>
              <w:fldChar w:fldCharType="separate"/>
            </w:r>
            <w:r>
              <w:rPr>
                <w:noProof/>
                <w:webHidden/>
              </w:rPr>
              <w:t>6</w:t>
            </w:r>
            <w:r>
              <w:rPr>
                <w:noProof/>
                <w:webHidden/>
              </w:rPr>
              <w:fldChar w:fldCharType="end"/>
            </w:r>
          </w:hyperlink>
        </w:p>
        <w:p w14:paraId="0DFAC7C4" w14:textId="740CDB68" w:rsidR="00072E02" w:rsidRDefault="00072E02">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42809813" w:history="1">
            <w:r w:rsidRPr="00807C06">
              <w:rPr>
                <w:rStyle w:val="Hyperlink"/>
                <w:noProof/>
              </w:rPr>
              <w:t>1. Critical evaluation of talent-development approaches</w:t>
            </w:r>
            <w:r>
              <w:rPr>
                <w:noProof/>
                <w:webHidden/>
              </w:rPr>
              <w:tab/>
            </w:r>
            <w:r>
              <w:rPr>
                <w:noProof/>
                <w:webHidden/>
              </w:rPr>
              <w:fldChar w:fldCharType="begin"/>
            </w:r>
            <w:r>
              <w:rPr>
                <w:noProof/>
                <w:webHidden/>
              </w:rPr>
              <w:instrText xml:space="preserve"> PAGEREF _Toc242809813 \h </w:instrText>
            </w:r>
            <w:r>
              <w:rPr>
                <w:noProof/>
                <w:webHidden/>
              </w:rPr>
            </w:r>
            <w:r>
              <w:rPr>
                <w:noProof/>
                <w:webHidden/>
              </w:rPr>
              <w:fldChar w:fldCharType="separate"/>
            </w:r>
            <w:r>
              <w:rPr>
                <w:noProof/>
                <w:webHidden/>
              </w:rPr>
              <w:t>6</w:t>
            </w:r>
            <w:r>
              <w:rPr>
                <w:noProof/>
                <w:webHidden/>
              </w:rPr>
              <w:fldChar w:fldCharType="end"/>
            </w:r>
          </w:hyperlink>
        </w:p>
        <w:p w14:paraId="68CE6060" w14:textId="3054CD82" w:rsidR="00072E02" w:rsidRDefault="00072E02">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42809814" w:history="1">
            <w:r w:rsidRPr="00807C06">
              <w:rPr>
                <w:rStyle w:val="Hyperlink"/>
                <w:noProof/>
              </w:rPr>
              <w:t>2. Integrated talent growth strategy for NHSX</w:t>
            </w:r>
            <w:r>
              <w:rPr>
                <w:noProof/>
                <w:webHidden/>
              </w:rPr>
              <w:tab/>
            </w:r>
            <w:r>
              <w:rPr>
                <w:noProof/>
                <w:webHidden/>
              </w:rPr>
              <w:fldChar w:fldCharType="begin"/>
            </w:r>
            <w:r>
              <w:rPr>
                <w:noProof/>
                <w:webHidden/>
              </w:rPr>
              <w:instrText xml:space="preserve"> PAGEREF _Toc242809814 \h </w:instrText>
            </w:r>
            <w:r>
              <w:rPr>
                <w:noProof/>
                <w:webHidden/>
              </w:rPr>
            </w:r>
            <w:r>
              <w:rPr>
                <w:noProof/>
                <w:webHidden/>
              </w:rPr>
              <w:fldChar w:fldCharType="separate"/>
            </w:r>
            <w:r>
              <w:rPr>
                <w:noProof/>
                <w:webHidden/>
              </w:rPr>
              <w:t>7</w:t>
            </w:r>
            <w:r>
              <w:rPr>
                <w:noProof/>
                <w:webHidden/>
              </w:rPr>
              <w:fldChar w:fldCharType="end"/>
            </w:r>
          </w:hyperlink>
        </w:p>
        <w:p w14:paraId="5054293A" w14:textId="3F0785A3" w:rsidR="00072E02" w:rsidRDefault="00072E02">
          <w:pPr>
            <w:pStyle w:val="TOC1"/>
            <w:tabs>
              <w:tab w:val="right" w:leader="dot" w:pos="9016"/>
            </w:tabs>
            <w:rPr>
              <w:rFonts w:asciiTheme="minorHAnsi" w:eastAsiaTheme="minorEastAsia" w:hAnsiTheme="minorHAnsi"/>
              <w:noProof/>
              <w:kern w:val="2"/>
              <w:szCs w:val="30"/>
              <w:lang w:val="en-IN" w:eastAsia="en-IN" w:bidi="bn-IN"/>
              <w14:ligatures w14:val="standardContextual"/>
            </w:rPr>
          </w:pPr>
          <w:hyperlink w:anchor="_Toc242809815" w:history="1">
            <w:r w:rsidRPr="00807C06">
              <w:rPr>
                <w:rStyle w:val="Hyperlink"/>
                <w:noProof/>
              </w:rPr>
              <w:t>Task C: Reflective Report</w:t>
            </w:r>
            <w:r>
              <w:rPr>
                <w:noProof/>
                <w:webHidden/>
              </w:rPr>
              <w:tab/>
            </w:r>
            <w:r>
              <w:rPr>
                <w:noProof/>
                <w:webHidden/>
              </w:rPr>
              <w:fldChar w:fldCharType="begin"/>
            </w:r>
            <w:r>
              <w:rPr>
                <w:noProof/>
                <w:webHidden/>
              </w:rPr>
              <w:instrText xml:space="preserve"> PAGEREF _Toc242809815 \h </w:instrText>
            </w:r>
            <w:r>
              <w:rPr>
                <w:noProof/>
                <w:webHidden/>
              </w:rPr>
            </w:r>
            <w:r>
              <w:rPr>
                <w:noProof/>
                <w:webHidden/>
              </w:rPr>
              <w:fldChar w:fldCharType="separate"/>
            </w:r>
            <w:r>
              <w:rPr>
                <w:noProof/>
                <w:webHidden/>
              </w:rPr>
              <w:t>8</w:t>
            </w:r>
            <w:r>
              <w:rPr>
                <w:noProof/>
                <w:webHidden/>
              </w:rPr>
              <w:fldChar w:fldCharType="end"/>
            </w:r>
          </w:hyperlink>
        </w:p>
        <w:p w14:paraId="47BE748E" w14:textId="4738EBDE" w:rsidR="00072E02" w:rsidRDefault="00072E02">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42809816" w:history="1">
            <w:r w:rsidRPr="00807C06">
              <w:rPr>
                <w:rStyle w:val="Hyperlink"/>
                <w:noProof/>
              </w:rPr>
              <w:t>1. AI as a Strategic Tool in Human Resource Management</w:t>
            </w:r>
            <w:r>
              <w:rPr>
                <w:noProof/>
                <w:webHidden/>
              </w:rPr>
              <w:tab/>
            </w:r>
            <w:r>
              <w:rPr>
                <w:noProof/>
                <w:webHidden/>
              </w:rPr>
              <w:fldChar w:fldCharType="begin"/>
            </w:r>
            <w:r>
              <w:rPr>
                <w:noProof/>
                <w:webHidden/>
              </w:rPr>
              <w:instrText xml:space="preserve"> PAGEREF _Toc242809816 \h </w:instrText>
            </w:r>
            <w:r>
              <w:rPr>
                <w:noProof/>
                <w:webHidden/>
              </w:rPr>
            </w:r>
            <w:r>
              <w:rPr>
                <w:noProof/>
                <w:webHidden/>
              </w:rPr>
              <w:fldChar w:fldCharType="separate"/>
            </w:r>
            <w:r>
              <w:rPr>
                <w:noProof/>
                <w:webHidden/>
              </w:rPr>
              <w:t>8</w:t>
            </w:r>
            <w:r>
              <w:rPr>
                <w:noProof/>
                <w:webHidden/>
              </w:rPr>
              <w:fldChar w:fldCharType="end"/>
            </w:r>
          </w:hyperlink>
        </w:p>
        <w:p w14:paraId="708A474C" w14:textId="195E97C4" w:rsidR="00072E02" w:rsidRDefault="00072E02">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42809817" w:history="1">
            <w:r w:rsidRPr="00807C06">
              <w:rPr>
                <w:rStyle w:val="Hyperlink"/>
                <w:noProof/>
              </w:rPr>
              <w:t>2. Reflective Analysis: Three Examples of AI Use</w:t>
            </w:r>
            <w:r>
              <w:rPr>
                <w:noProof/>
                <w:webHidden/>
              </w:rPr>
              <w:tab/>
            </w:r>
            <w:r>
              <w:rPr>
                <w:noProof/>
                <w:webHidden/>
              </w:rPr>
              <w:fldChar w:fldCharType="begin"/>
            </w:r>
            <w:r>
              <w:rPr>
                <w:noProof/>
                <w:webHidden/>
              </w:rPr>
              <w:instrText xml:space="preserve"> PAGEREF _Toc242809817 \h </w:instrText>
            </w:r>
            <w:r>
              <w:rPr>
                <w:noProof/>
                <w:webHidden/>
              </w:rPr>
            </w:r>
            <w:r>
              <w:rPr>
                <w:noProof/>
                <w:webHidden/>
              </w:rPr>
              <w:fldChar w:fldCharType="separate"/>
            </w:r>
            <w:r>
              <w:rPr>
                <w:noProof/>
                <w:webHidden/>
              </w:rPr>
              <w:t>9</w:t>
            </w:r>
            <w:r>
              <w:rPr>
                <w:noProof/>
                <w:webHidden/>
              </w:rPr>
              <w:fldChar w:fldCharType="end"/>
            </w:r>
          </w:hyperlink>
        </w:p>
        <w:p w14:paraId="03DE150A" w14:textId="24142447" w:rsidR="00072E02" w:rsidRDefault="00072E02">
          <w:pPr>
            <w:pStyle w:val="TOC2"/>
            <w:tabs>
              <w:tab w:val="right" w:leader="dot" w:pos="9016"/>
            </w:tabs>
            <w:rPr>
              <w:rFonts w:asciiTheme="minorHAnsi" w:eastAsiaTheme="minorEastAsia" w:hAnsiTheme="minorHAnsi"/>
              <w:noProof/>
              <w:kern w:val="2"/>
              <w:szCs w:val="30"/>
              <w:lang w:val="en-IN" w:eastAsia="en-IN" w:bidi="bn-IN"/>
              <w14:ligatures w14:val="standardContextual"/>
            </w:rPr>
          </w:pPr>
          <w:hyperlink w:anchor="_Toc242809818" w:history="1">
            <w:r w:rsidRPr="00807C06">
              <w:rPr>
                <w:rStyle w:val="Hyperlink"/>
                <w:noProof/>
              </w:rPr>
              <w:t>3. Personal Action Plan</w:t>
            </w:r>
            <w:r>
              <w:rPr>
                <w:noProof/>
                <w:webHidden/>
              </w:rPr>
              <w:tab/>
            </w:r>
            <w:r>
              <w:rPr>
                <w:noProof/>
                <w:webHidden/>
              </w:rPr>
              <w:fldChar w:fldCharType="begin"/>
            </w:r>
            <w:r>
              <w:rPr>
                <w:noProof/>
                <w:webHidden/>
              </w:rPr>
              <w:instrText xml:space="preserve"> PAGEREF _Toc242809818 \h </w:instrText>
            </w:r>
            <w:r>
              <w:rPr>
                <w:noProof/>
                <w:webHidden/>
              </w:rPr>
            </w:r>
            <w:r>
              <w:rPr>
                <w:noProof/>
                <w:webHidden/>
              </w:rPr>
              <w:fldChar w:fldCharType="separate"/>
            </w:r>
            <w:r>
              <w:rPr>
                <w:noProof/>
                <w:webHidden/>
              </w:rPr>
              <w:t>9</w:t>
            </w:r>
            <w:r>
              <w:rPr>
                <w:noProof/>
                <w:webHidden/>
              </w:rPr>
              <w:fldChar w:fldCharType="end"/>
            </w:r>
          </w:hyperlink>
        </w:p>
        <w:p w14:paraId="79D9DFCB" w14:textId="7C01D825" w:rsidR="00072E02" w:rsidRDefault="00072E02">
          <w:pPr>
            <w:pStyle w:val="TOC1"/>
            <w:tabs>
              <w:tab w:val="right" w:leader="dot" w:pos="9016"/>
            </w:tabs>
            <w:rPr>
              <w:rFonts w:asciiTheme="minorHAnsi" w:eastAsiaTheme="minorEastAsia" w:hAnsiTheme="minorHAnsi"/>
              <w:noProof/>
              <w:kern w:val="2"/>
              <w:szCs w:val="30"/>
              <w:lang w:val="en-IN" w:eastAsia="en-IN" w:bidi="bn-IN"/>
              <w14:ligatures w14:val="standardContextual"/>
            </w:rPr>
          </w:pPr>
          <w:hyperlink w:anchor="_Toc242809819" w:history="1">
            <w:r w:rsidRPr="00807C06">
              <w:rPr>
                <w:rStyle w:val="Hyperlink"/>
                <w:noProof/>
              </w:rPr>
              <w:t>Reference</w:t>
            </w:r>
            <w:r>
              <w:rPr>
                <w:noProof/>
                <w:webHidden/>
              </w:rPr>
              <w:tab/>
            </w:r>
            <w:r>
              <w:rPr>
                <w:noProof/>
                <w:webHidden/>
              </w:rPr>
              <w:fldChar w:fldCharType="begin"/>
            </w:r>
            <w:r>
              <w:rPr>
                <w:noProof/>
                <w:webHidden/>
              </w:rPr>
              <w:instrText xml:space="preserve"> PAGEREF _Toc242809819 \h </w:instrText>
            </w:r>
            <w:r>
              <w:rPr>
                <w:noProof/>
                <w:webHidden/>
              </w:rPr>
            </w:r>
            <w:r>
              <w:rPr>
                <w:noProof/>
                <w:webHidden/>
              </w:rPr>
              <w:fldChar w:fldCharType="separate"/>
            </w:r>
            <w:r>
              <w:rPr>
                <w:noProof/>
                <w:webHidden/>
              </w:rPr>
              <w:t>11</w:t>
            </w:r>
            <w:r>
              <w:rPr>
                <w:noProof/>
                <w:webHidden/>
              </w:rPr>
              <w:fldChar w:fldCharType="end"/>
            </w:r>
          </w:hyperlink>
        </w:p>
        <w:p w14:paraId="28CE9C25" w14:textId="366B73AB" w:rsidR="00D73A05" w:rsidRDefault="00D73A05">
          <w:r>
            <w:rPr>
              <w:b/>
              <w:bCs/>
              <w:noProof/>
            </w:rPr>
            <w:fldChar w:fldCharType="end"/>
          </w:r>
        </w:p>
      </w:sdtContent>
    </w:sdt>
    <w:p w14:paraId="7F343F34" w14:textId="77777777" w:rsidR="00D73A05" w:rsidRDefault="00D73A05">
      <w:pPr>
        <w:spacing w:before="0" w:after="200" w:line="276" w:lineRule="auto"/>
        <w:jc w:val="left"/>
        <w:rPr>
          <w:b/>
          <w:bCs/>
          <w:lang w:val="en-IN"/>
        </w:rPr>
      </w:pPr>
      <w:r>
        <w:br w:type="page"/>
      </w:r>
    </w:p>
    <w:p w14:paraId="29E37E23" w14:textId="5FD1659E" w:rsidR="00721BAF" w:rsidRPr="00721BAF" w:rsidRDefault="00721BAF" w:rsidP="00D73A05">
      <w:pPr>
        <w:pStyle w:val="Heading1"/>
      </w:pPr>
      <w:bookmarkStart w:id="0" w:name="_Toc242809805"/>
      <w:r w:rsidRPr="00721BAF">
        <w:lastRenderedPageBreak/>
        <w:t xml:space="preserve">Task A: </w:t>
      </w:r>
      <w:r w:rsidRPr="00D73A05">
        <w:t>Designing</w:t>
      </w:r>
      <w:r w:rsidRPr="00721BAF">
        <w:t xml:space="preserve"> Innovative Working Practices</w:t>
      </w:r>
      <w:bookmarkEnd w:id="0"/>
      <w:r w:rsidRPr="00721BAF">
        <w:t xml:space="preserve"> </w:t>
      </w:r>
    </w:p>
    <w:p w14:paraId="7993D7A5" w14:textId="70EFF155" w:rsidR="00FD70A7" w:rsidRPr="00FD70A7" w:rsidRDefault="00FD70A7" w:rsidP="00D73A05">
      <w:pPr>
        <w:pStyle w:val="Heading2"/>
        <w:rPr>
          <w:rFonts w:cstheme="majorBidi"/>
          <w:szCs w:val="28"/>
        </w:rPr>
      </w:pPr>
      <w:bookmarkStart w:id="1" w:name="_Toc242809806"/>
      <w:r w:rsidRPr="00FD70A7">
        <w:t>1. Critical evaluation of traditional and contemporary work design</w:t>
      </w:r>
      <w:bookmarkEnd w:id="1"/>
    </w:p>
    <w:p w14:paraId="37C4C017" w14:textId="367D0BE5" w:rsidR="00FD70A7" w:rsidRDefault="00FD70A7" w:rsidP="00FD70A7">
      <w:proofErr w:type="spellStart"/>
      <w:r>
        <w:t>NexSpace</w:t>
      </w:r>
      <w:proofErr w:type="spellEnd"/>
      <w:r>
        <w:t xml:space="preserve"> Health Systems (NHSX) is a rapidly growing healthcare technology company with about 600 employees in the UK, India, and UAE. According to the brief, NHSX suffers from slow decision making, lack of experimentation, weaker collaboration with hybrid work and the inability to balance performance and employee needs. These issues suggest that a traditional work design with its strong emphasis on hierarchical structures is not well suited for a knowledge-intensive and rapidly evolving digital health firm.</w:t>
      </w:r>
    </w:p>
    <w:p w14:paraId="120A029B" w14:textId="77777777" w:rsidR="00FD70A7" w:rsidRDefault="00FD70A7" w:rsidP="00FD70A7">
      <w:r>
        <w:t>A traditional work design allows setting clear roles, reporting relationships, and controls. All these factors can help with accountability and consistency, which is very important in healthcare technology business. However, too much hierarchy can affect the speed of information flows and the level of employee involvement. Research on high-performance work systems (HPWS) reveals that work practices that increase employee capabilities, motivation and opportunity facilitate organizational learning and innovation (</w:t>
      </w:r>
      <w:proofErr w:type="spellStart"/>
      <w:r>
        <w:t>Mehralian</w:t>
      </w:r>
      <w:proofErr w:type="spellEnd"/>
      <w:r>
        <w:t xml:space="preserve">, Moradi and </w:t>
      </w:r>
      <w:proofErr w:type="spellStart"/>
      <w:r>
        <w:t>Babapour</w:t>
      </w:r>
      <w:proofErr w:type="spellEnd"/>
      <w:r>
        <w:t xml:space="preserve">, 2022). In their research, Ashiru, </w:t>
      </w:r>
      <w:proofErr w:type="spellStart"/>
      <w:r>
        <w:t>Erdil</w:t>
      </w:r>
      <w:proofErr w:type="spellEnd"/>
      <w:r>
        <w:t xml:space="preserve"> and </w:t>
      </w:r>
      <w:proofErr w:type="spellStart"/>
      <w:r>
        <w:t>Oluwajana</w:t>
      </w:r>
      <w:proofErr w:type="spellEnd"/>
      <w:r>
        <w:t xml:space="preserve"> (2022) found that there is a significant relationship between HPWS, employee innovation and organizational performance in a service environment. NHSX should not get rid of the control, but should shift the focus from hierarchical control to goal-based control.</w:t>
      </w:r>
    </w:p>
    <w:p w14:paraId="2512BC64" w14:textId="3EDB226B" w:rsidR="00FD70A7" w:rsidRDefault="00FD70A7" w:rsidP="00FD70A7">
      <w:r>
        <w:t xml:space="preserve">Contemporary work designs imply greater autonomy, flexibility and team-based decision-making. Agile working is related to the idea since it helps to respond to changes in the requirements quickly and implement an iterative delivery process. In their research, Malik, Sarwar and Orr (2021) discovered that the autonomy of teams and agile communication increase psychological empowerment and support innovative </w:t>
      </w:r>
      <w:proofErr w:type="spellStart"/>
      <w:r>
        <w:t>behaviour</w:t>
      </w:r>
      <w:proofErr w:type="spellEnd"/>
      <w:r>
        <w:t xml:space="preserve"> and project performance. Nonetheless, autonomy does not mean freedom. In their study, Moe </w:t>
      </w:r>
      <w:r w:rsidR="00BF74DF" w:rsidRPr="00BF74DF">
        <w:rPr>
          <w:i/>
          <w:iCs/>
        </w:rPr>
        <w:t>et al</w:t>
      </w:r>
      <w:r>
        <w:t>. (2021) proved that big agile organizations still require shared goals, coordination and some areas of central control. Therefore, the best NHSX model should imply decentralized decision-making for day-to-day activities in teams of experts and centralized governance in the areas of clinical safety, information security, compliance and major resource decisions.</w:t>
      </w:r>
    </w:p>
    <w:p w14:paraId="167FA88E" w14:textId="77777777" w:rsidR="00FD70A7" w:rsidRDefault="00FD70A7" w:rsidP="00D73A05">
      <w:pPr>
        <w:pStyle w:val="Heading2"/>
      </w:pPr>
      <w:bookmarkStart w:id="2" w:name="_Toc242809807"/>
      <w:r w:rsidRPr="00FD70A7">
        <w:t>2. Recommended integrated working framework for NHSX</w:t>
      </w:r>
      <w:bookmarkEnd w:id="2"/>
    </w:p>
    <w:p w14:paraId="6E2E152E" w14:textId="0AE883C5" w:rsidR="00BF74DF" w:rsidRPr="00BF74DF" w:rsidRDefault="00BF74DF" w:rsidP="00BF74DF">
      <w:pPr>
        <w:rPr>
          <w:lang w:val="en-IN"/>
        </w:rPr>
      </w:pPr>
      <w:r w:rsidRPr="00BF74DF">
        <w:rPr>
          <w:lang w:val="en-IN"/>
        </w:rPr>
        <w:t xml:space="preserve">What I propose is a hybrid approach combining Agile and Connected principles in one. It will consist of three complementary practices that will combine cross-functionality, individual freedom, agility, flexibility, and technology. The purpose of this framework is to increase </w:t>
      </w:r>
      <w:r w:rsidRPr="00BF74DF">
        <w:rPr>
          <w:lang w:val="en-IN"/>
        </w:rPr>
        <w:lastRenderedPageBreak/>
        <w:t>innovation, knowledge transfer, and well-being of employees at the same time preserving necessary control over clinical and informational security.</w:t>
      </w:r>
    </w:p>
    <w:p w14:paraId="291B3A14" w14:textId="77777777" w:rsidR="00BF74DF" w:rsidRPr="00072E02" w:rsidRDefault="00BF74DF" w:rsidP="00072E02">
      <w:pPr>
        <w:pStyle w:val="Heading3"/>
      </w:pPr>
      <w:bookmarkStart w:id="3" w:name="_Toc242809808"/>
      <w:r w:rsidRPr="00072E02">
        <w:t>2.1 Cross-functional agile teams with bounded autonomy</w:t>
      </w:r>
      <w:bookmarkEnd w:id="3"/>
    </w:p>
    <w:p w14:paraId="67AD2F0B" w14:textId="77777777" w:rsidR="00BF74DF" w:rsidRPr="00BF74DF" w:rsidRDefault="00BF74DF" w:rsidP="00BF74DF">
      <w:pPr>
        <w:rPr>
          <w:lang w:val="en-IN"/>
        </w:rPr>
      </w:pPr>
      <w:r w:rsidRPr="00BF74DF">
        <w:rPr>
          <w:lang w:val="en-IN"/>
        </w:rPr>
        <w:t>The NHSX should form cross-functional teams of software engineers, data experts, product managers, clinicians, cybersecurity specialists, and customers. Team members should organize work around digital products and patients' needs rather than departmental divisions. Teams should follow short cycles of delivery, feedback, and experiments to discover problems and improve solutions. In addition, one person should be responsible for priorities of each product, while other employees should have freedom to use certain techniques and manage tasks to reach set objectives.</w:t>
      </w:r>
    </w:p>
    <w:p w14:paraId="79F2989A" w14:textId="3EB8BF86" w:rsidR="00BF74DF" w:rsidRPr="00BF74DF" w:rsidRDefault="00BF74DF" w:rsidP="00BF74DF">
      <w:pPr>
        <w:rPr>
          <w:lang w:val="en-IN"/>
        </w:rPr>
      </w:pPr>
      <w:r w:rsidRPr="00BF74DF">
        <w:rPr>
          <w:lang w:val="en-IN"/>
        </w:rPr>
        <w:t>This combination of agile practices and High-Performance Work Systems would unite potential of workers, their motivation, and opportunities to participate in the process. High-Performance Work Systems are able to foster innovation due to organizational learning (</w:t>
      </w:r>
      <w:proofErr w:type="spellStart"/>
      <w:r w:rsidRPr="00BF74DF">
        <w:rPr>
          <w:lang w:val="en-IN"/>
        </w:rPr>
        <w:t>Mehralian</w:t>
      </w:r>
      <w:proofErr w:type="spellEnd"/>
      <w:r w:rsidRPr="00BF74DF">
        <w:rPr>
          <w:lang w:val="en-IN"/>
        </w:rPr>
        <w:t xml:space="preserve">, Moradi and </w:t>
      </w:r>
      <w:proofErr w:type="spellStart"/>
      <w:r w:rsidRPr="00BF74DF">
        <w:rPr>
          <w:lang w:val="en-IN"/>
        </w:rPr>
        <w:t>Babapour</w:t>
      </w:r>
      <w:proofErr w:type="spellEnd"/>
      <w:r w:rsidRPr="00BF74DF">
        <w:rPr>
          <w:lang w:val="en-IN"/>
        </w:rPr>
        <w:t xml:space="preserve">, 2022). Nevertheless, too much autonomy may create coordination problems in large organizations practicing agility. Therefore, NHSX should keep centralized control of clinical safety, cybersecurity, regulatory compliance, and big decisions, leaving all operational choices to teams (Moe </w:t>
      </w:r>
      <w:r w:rsidRPr="00BF74DF">
        <w:rPr>
          <w:i/>
          <w:iCs/>
          <w:lang w:val="en-IN"/>
        </w:rPr>
        <w:t>et al</w:t>
      </w:r>
      <w:r w:rsidRPr="00BF74DF">
        <w:rPr>
          <w:lang w:val="en-IN"/>
        </w:rPr>
        <w:t>., 2021).</w:t>
      </w:r>
    </w:p>
    <w:p w14:paraId="6AD54374" w14:textId="77777777" w:rsidR="00BF74DF" w:rsidRPr="00BF74DF" w:rsidRDefault="00BF74DF" w:rsidP="00BF74DF">
      <w:pPr>
        <w:rPr>
          <w:lang w:val="en-IN"/>
        </w:rPr>
      </w:pPr>
      <w:r w:rsidRPr="00BF74DF">
        <w:rPr>
          <w:lang w:val="en-IN"/>
        </w:rPr>
        <w:t>It will allow accelerating decision-making process without neglecting important aspects of the work.</w:t>
      </w:r>
    </w:p>
    <w:p w14:paraId="1289AE8E" w14:textId="77777777" w:rsidR="00BF74DF" w:rsidRPr="00BF74DF" w:rsidRDefault="00BF74DF" w:rsidP="00072E02">
      <w:pPr>
        <w:pStyle w:val="Heading3"/>
      </w:pPr>
      <w:bookmarkStart w:id="4" w:name="_Toc242809809"/>
      <w:r w:rsidRPr="00BF74DF">
        <w:t>2.2 Outcome-based hybrid and flexible working</w:t>
      </w:r>
      <w:bookmarkEnd w:id="4"/>
    </w:p>
    <w:p w14:paraId="46FA4957" w14:textId="77777777" w:rsidR="00BF74DF" w:rsidRPr="00BF74DF" w:rsidRDefault="00BF74DF" w:rsidP="00BF74DF">
      <w:pPr>
        <w:rPr>
          <w:lang w:val="en-IN"/>
        </w:rPr>
      </w:pPr>
      <w:r w:rsidRPr="00BF74DF">
        <w:rPr>
          <w:lang w:val="en-IN"/>
        </w:rPr>
        <w:t>The NHSX should implement a hybrid work pattern considering nature of the job and results of work rather than obligatory presence at the office. It means that employees can perform tasks related to the digital environment from home, while participating in special meetings concerning complex design, clinical aspects, and building connections in person. Teams of NHSX working in the UK, India, and UAE should coordinate periods of interaction, document decisions, and use asynchronous communication in case of impossibility to hold meetings due to time zones.</w:t>
      </w:r>
    </w:p>
    <w:p w14:paraId="65DBD240" w14:textId="7B4BD1B7" w:rsidR="00BF74DF" w:rsidRPr="00BF74DF" w:rsidRDefault="00BF74DF" w:rsidP="00BF74DF">
      <w:pPr>
        <w:rPr>
          <w:lang w:val="en-IN"/>
        </w:rPr>
      </w:pPr>
      <w:r w:rsidRPr="00BF74DF">
        <w:rPr>
          <w:lang w:val="en-IN"/>
        </w:rPr>
        <w:t xml:space="preserve">Studies show that hybrid working can promote retaining employees and maintaining high level of their performance under proper circumstances (Bloom, Han and Liang, 2024). However, remote work can make collaboration siloed, limiting knowledge sharing (Yang </w:t>
      </w:r>
      <w:r w:rsidRPr="00BF74DF">
        <w:rPr>
          <w:i/>
          <w:iCs/>
          <w:lang w:val="en-IN"/>
        </w:rPr>
        <w:t>et al</w:t>
      </w:r>
      <w:r w:rsidRPr="00BF74DF">
        <w:rPr>
          <w:lang w:val="en-IN"/>
        </w:rPr>
        <w:t xml:space="preserve">., 2022). Therefore, NHSX should establish common rules of collaboration, response time, </w:t>
      </w:r>
      <w:r w:rsidRPr="00BF74DF">
        <w:rPr>
          <w:lang w:val="en-IN"/>
        </w:rPr>
        <w:lastRenderedPageBreak/>
        <w:t>and meeting schedule. Managers should also monitor workload, engagement and wellbeing to ensure flexibility does not become continuous availability or excessive pressure.</w:t>
      </w:r>
    </w:p>
    <w:p w14:paraId="3D1DDC0F" w14:textId="77777777" w:rsidR="00BF74DF" w:rsidRPr="00BF74DF" w:rsidRDefault="00BF74DF" w:rsidP="00072E02">
      <w:pPr>
        <w:pStyle w:val="Heading3"/>
      </w:pPr>
      <w:bookmarkStart w:id="5" w:name="_Toc242809810"/>
      <w:r w:rsidRPr="00BF74DF">
        <w:t>2.3 Integrated digital collaboration and knowledge sharing</w:t>
      </w:r>
      <w:bookmarkEnd w:id="5"/>
    </w:p>
    <w:p w14:paraId="07A74FEA" w14:textId="0427F844" w:rsidR="00BF74DF" w:rsidRPr="00BF74DF" w:rsidRDefault="00BF74DF" w:rsidP="00BF74DF">
      <w:pPr>
        <w:rPr>
          <w:lang w:val="en-IN"/>
        </w:rPr>
      </w:pPr>
      <w:r w:rsidRPr="00BF74DF">
        <w:rPr>
          <w:lang w:val="en-IN"/>
        </w:rPr>
        <w:t xml:space="preserve">NHSX should create a digital workspace that contains shared documents, project boards, minutes of meetings, technical advice, and a knowledge repository. Teams should document project </w:t>
      </w:r>
      <w:r w:rsidRPr="00BF74DF">
        <w:rPr>
          <w:lang w:val="en-IN"/>
        </w:rPr>
        <w:t>decisions;</w:t>
      </w:r>
      <w:r w:rsidRPr="00BF74DF">
        <w:rPr>
          <w:lang w:val="en-IN"/>
        </w:rPr>
        <w:t xml:space="preserve"> lessons learned from experiments and user feedback so that employees from different countries have access to organizational knowledge without needing informal discussion. Digital solutions should provide opportunities for communication and collaboration as well as for individual work while providing protection for sensitive clinical and employee information.</w:t>
      </w:r>
    </w:p>
    <w:p w14:paraId="38B17FE0" w14:textId="093812C5" w:rsidR="00BF74DF" w:rsidRPr="00BF74DF" w:rsidRDefault="00BF74DF" w:rsidP="00BF74DF">
      <w:pPr>
        <w:rPr>
          <w:lang w:val="en-IN"/>
        </w:rPr>
      </w:pPr>
      <w:r w:rsidRPr="00BF74DF">
        <w:rPr>
          <w:lang w:val="en-IN"/>
        </w:rPr>
        <w:t xml:space="preserve">Research emphasizes the need to integrate the factors of time, technology and working arrangements while creating a design of the hybrid work (Griva </w:t>
      </w:r>
      <w:r w:rsidRPr="00BF74DF">
        <w:rPr>
          <w:i/>
          <w:iCs/>
          <w:lang w:val="en-IN"/>
        </w:rPr>
        <w:t>et al</w:t>
      </w:r>
      <w:r w:rsidRPr="00BF74DF">
        <w:rPr>
          <w:lang w:val="en-IN"/>
        </w:rPr>
        <w:t>., 2025). Digital solutions could also improve the confidence of employees in searching for knowledge from their peers (Keppler and Leonardi, 2023). NHSX should not develop extra platforms without a purpose and training for employees.</w:t>
      </w:r>
    </w:p>
    <w:p w14:paraId="46D4FA59" w14:textId="2EB43CFD" w:rsidR="00BF74DF" w:rsidRPr="00BF74DF" w:rsidRDefault="00BF74DF" w:rsidP="00BF74DF">
      <w:pPr>
        <w:rPr>
          <w:lang w:val="en-IN"/>
        </w:rPr>
      </w:pPr>
      <w:r w:rsidRPr="00BF74DF">
        <w:rPr>
          <w:lang w:val="en-IN"/>
        </w:rPr>
        <w:t>The proposed three practices should be tested in two teams with an assessment of decision-making time, quality of delivery, employee engagement, knowledge exchange among countries and wellbeing of employees. This quarterly review could allow NHSX to assess gaps in the proposed framework and make changes based on evidence instead of assumptions.</w:t>
      </w:r>
      <w:r>
        <w:rPr>
          <w:lang w:val="en-IN"/>
        </w:rPr>
        <w:t xml:space="preserve"> </w:t>
      </w:r>
      <w:r w:rsidRPr="00BF74DF">
        <w:rPr>
          <w:lang w:val="en-IN"/>
        </w:rPr>
        <w:t>Together, these practices can create a more adaptable, collaborative and innovative working environment.</w:t>
      </w:r>
    </w:p>
    <w:p w14:paraId="5D95B9BF" w14:textId="77777777" w:rsidR="00FD70A7" w:rsidRPr="00FD70A7" w:rsidRDefault="00FD70A7" w:rsidP="00D73A05">
      <w:pPr>
        <w:pStyle w:val="Heading2"/>
      </w:pPr>
      <w:bookmarkStart w:id="6" w:name="_Toc242809811"/>
      <w:r w:rsidRPr="00FD70A7">
        <w:t>3. Performance impact and implementation</w:t>
      </w:r>
      <w:bookmarkEnd w:id="6"/>
    </w:p>
    <w:p w14:paraId="5403BC3D" w14:textId="77777777" w:rsidR="00FD70A7" w:rsidRDefault="00FD70A7" w:rsidP="00FD70A7">
      <w:r>
        <w:t xml:space="preserve">The framework should be implemented in three stages. First, NHSX should conduct a pilot </w:t>
      </w:r>
      <w:proofErr w:type="spellStart"/>
      <w:r>
        <w:t>programme</w:t>
      </w:r>
      <w:proofErr w:type="spellEnd"/>
      <w:r>
        <w:t xml:space="preserve"> of the new model in two digital health teams and define the baseline measures. Second, it should scale the model with managers' training, team charters and rules of governance. Third, it should monitor the performance of the model quarterly and refine it based on employees' and organizational evidence. Measures should include decision cycle time, number of innovations tested, project delivery time, employee engagement, regretted turnover, cross-country collaboration and wellbeing.</w:t>
      </w:r>
    </w:p>
    <w:p w14:paraId="535A8515" w14:textId="77777777" w:rsidR="00FD70A7" w:rsidRDefault="00FD70A7" w:rsidP="00FD70A7">
      <w:r>
        <w:t xml:space="preserve">The idea is not to choose between the office and remote work. It is to design work in such a way that location, technologies, team organization and autonomy correspond to tasks. Leonardi, Parker and Shen (2024) stress that remote work creates different types of distance </w:t>
      </w:r>
      <w:r>
        <w:lastRenderedPageBreak/>
        <w:t>including psychological, temporal, technological and structural. NHSX should reduce these distances through the purposeful team organization and digital practices. The suggested framework should help to achieve fast decision-making, high-level of knowledge sharing, higher employees' ownership and increased adaptability while maintaining necessary governance in a safety-sensitive healthcare technology company.</w:t>
      </w:r>
    </w:p>
    <w:p w14:paraId="4DB021D8" w14:textId="77777777" w:rsidR="00766876" w:rsidRPr="00766876" w:rsidRDefault="00766876" w:rsidP="00D73A05">
      <w:pPr>
        <w:pStyle w:val="Heading1"/>
      </w:pPr>
      <w:bookmarkStart w:id="7" w:name="_Toc242809812"/>
      <w:r w:rsidRPr="00766876">
        <w:t>Task B: Breeding an Environment Where Talent May Grow</w:t>
      </w:r>
      <w:bookmarkEnd w:id="7"/>
    </w:p>
    <w:p w14:paraId="790F35C1" w14:textId="3CB68232" w:rsidR="00766876" w:rsidRPr="00766876" w:rsidRDefault="00D73A05" w:rsidP="00D73A05">
      <w:pPr>
        <w:pStyle w:val="Heading2"/>
      </w:pPr>
      <w:bookmarkStart w:id="8" w:name="_Toc242809813"/>
      <w:r>
        <w:t xml:space="preserve">1. </w:t>
      </w:r>
      <w:r w:rsidR="00766876" w:rsidRPr="00766876">
        <w:t>Critical evaluation of talent-development approaches</w:t>
      </w:r>
      <w:bookmarkEnd w:id="8"/>
    </w:p>
    <w:p w14:paraId="52E76185" w14:textId="77777777" w:rsidR="00766876" w:rsidRDefault="00766876" w:rsidP="00766876">
      <w:proofErr w:type="spellStart"/>
      <w:r>
        <w:t>NexSpace</w:t>
      </w:r>
      <w:proofErr w:type="spellEnd"/>
      <w:r>
        <w:t xml:space="preserve"> Health Systems (NHSX) requires a talent ecosystem rather than stand-alone courses. With 600 people employed in the UK, India and UAE, NHSX, according to the brief, is losing high-performers due to lack of career progression and development opportunities. In NHSX's case, development should correspond to its future needs in terms of AI-powered health platforms, remote monitoring and clinical decision-support. According to CIPD, talent management includes attracting, identifying, developing, engaging, retaining and deploying people consistent with business objectives (CIPD, 2025).</w:t>
      </w:r>
    </w:p>
    <w:p w14:paraId="1195036F" w14:textId="4DEEF162" w:rsidR="00766876" w:rsidRDefault="00766876" w:rsidP="00766876">
      <w:r>
        <w:t xml:space="preserve">Learning organization approach considers learning as continuous and collective. </w:t>
      </w:r>
      <w:proofErr w:type="spellStart"/>
      <w:r>
        <w:t>Alerasoul</w:t>
      </w:r>
      <w:proofErr w:type="spellEnd"/>
      <w:r>
        <w:t xml:space="preserve"> </w:t>
      </w:r>
      <w:r w:rsidR="00BF74DF" w:rsidRPr="00BF74DF">
        <w:rPr>
          <w:i/>
          <w:iCs/>
        </w:rPr>
        <w:t>et al</w:t>
      </w:r>
      <w:r>
        <w:t xml:space="preserve">. (2022) establish associations between organizational learning, human resources, leadership, culture and performance. Teams in NHSX should collectively learn from the results of launching a new product, feedback and technical problems. Digital learning allows more people to participate, however, Giannakos, </w:t>
      </w:r>
      <w:proofErr w:type="spellStart"/>
      <w:r>
        <w:t>Mikalef</w:t>
      </w:r>
      <w:proofErr w:type="spellEnd"/>
      <w:r>
        <w:t xml:space="preserve"> and Pappas (2022) demonstrate that it requires appropriate competencies and processes to be effective; mere courses are insufficient if there is no time and chance to practice, and management support is absent.</w:t>
      </w:r>
    </w:p>
    <w:p w14:paraId="6E3A60B7" w14:textId="77777777" w:rsidR="00766876" w:rsidRDefault="00766876" w:rsidP="00766876">
      <w:r>
        <w:t>Growth mindset implies that ability can be developed through effort, feedback and practice. Liu and Tong (2022) associate it with innovative behavior and strengths-based leadership. However, efforts aimed at fostering a growth mindset can blame an individual for difficulties caused by heavy workload, poor tools or lack of access to development resources. NHSX should combine coaching with availability of resources and fair opportunities for development. Also, NHSX should ensure that its people feel psychologically safe at work. According to Edmondson and Bransby (2023), there is considerable evidence on the relationship between psychological safety and learning behavior, work experience and performance. However, psychological safety is not an absence of any standards, especially when it comes to technological innovations in healthcare industry.</w:t>
      </w:r>
    </w:p>
    <w:p w14:paraId="732CB49E" w14:textId="73640E8E" w:rsidR="000F0406" w:rsidRDefault="000F0406" w:rsidP="00766876">
      <w:r w:rsidRPr="000F0406">
        <w:lastRenderedPageBreak/>
        <w:t xml:space="preserve">The Self-Determination Theory associates motivation with autonomy, competence, and relatedness. Liu, Peng and Wen (2023) use this approach to explain the connections between self-leadership and job crafting. Workers can craft jobs based on their competencies; Holman </w:t>
      </w:r>
      <w:r w:rsidR="00BF74DF" w:rsidRPr="00BF74DF">
        <w:rPr>
          <w:i/>
          <w:iCs/>
        </w:rPr>
        <w:t>et al</w:t>
      </w:r>
      <w:r w:rsidRPr="000F0406">
        <w:t xml:space="preserve">. (2024) associate task and social resources crafting with well-being and positive job-related feelings. However, uncontrolled job crafting can result in uneven workload or poor collaboration, therefore NHSX requires appropriate limitations and objectives for teams. A systematic review shows that job-crafting interventions require well-designed context (Mukherjee and Dhar, 2023). In terms of talent management, such an approach should also be comprehensive; otherwise, prioritizing only a few high potentials may leave out specialists or rising talents. Therefore, a wide-ranging development </w:t>
      </w:r>
      <w:proofErr w:type="spellStart"/>
      <w:r w:rsidRPr="000F0406">
        <w:t>programme</w:t>
      </w:r>
      <w:proofErr w:type="spellEnd"/>
      <w:r w:rsidRPr="000F0406">
        <w:t>, which has clearly stated criteria for advancement, is more ethical and helps with succession planning (CIPD, 2025).</w:t>
      </w:r>
    </w:p>
    <w:p w14:paraId="18ADE495" w14:textId="3EB1D807" w:rsidR="00766876" w:rsidRPr="00766876" w:rsidRDefault="00D73A05" w:rsidP="00D73A05">
      <w:pPr>
        <w:pStyle w:val="Heading2"/>
      </w:pPr>
      <w:bookmarkStart w:id="9" w:name="_Toc242809814"/>
      <w:r>
        <w:t xml:space="preserve">2. </w:t>
      </w:r>
      <w:r w:rsidR="00766876" w:rsidRPr="00766876">
        <w:t>Integrated talent growth strategy for NHSX</w:t>
      </w:r>
      <w:bookmarkEnd w:id="9"/>
    </w:p>
    <w:p w14:paraId="69FF8749" w14:textId="77777777" w:rsidR="000F0406" w:rsidRDefault="000F0406" w:rsidP="000F0406">
      <w:r>
        <w:t>To begin with, NHSX should develop a quarter-by-quarter skills development and career planning approach. HR, technical leaders and clinical specialists should assess the present and future competencies of employees including AI literacy, data governance, cybersecurity, clinical risk, accessible product design, user research and people leadership. Each individual should agree on the development plan with a manager, outlining one priority skill, an assignment and evidence of progress. This approach aligns training with organizational needs (Hogarth and McCartney, 2024).</w:t>
      </w:r>
    </w:p>
    <w:p w14:paraId="0AF5D836" w14:textId="77777777" w:rsidR="000F0406" w:rsidRDefault="000F0406" w:rsidP="000F0406">
      <w:r>
        <w:t>Secondly, NHSX should integrate formal learning with learning in the flow of work. It should offer short digital modules, expert-led workshops, mentoring, peer demonstrations and cross-functional stretch projects. Each individual should be provided with protected learning time per month and apply acquired skills in practice. Training should foster skill retention and transfer into job performance (</w:t>
      </w:r>
      <w:proofErr w:type="spellStart"/>
      <w:r>
        <w:t>Kraiger</w:t>
      </w:r>
      <w:proofErr w:type="spellEnd"/>
      <w:r>
        <w:t xml:space="preserve"> and Ford, 2021). According to the 2024 CIPD survey, 56% of organizations had developed more talent in-house in the last year; among organizations that had taken retention initiatives, 42% increased learning and development opportunities and 31% developed career paths (Hogarth and McCartney, 2024). All these numbers justify the investment in learning despite NHSX's focus only on measuring attendance of courses.</w:t>
      </w:r>
    </w:p>
    <w:p w14:paraId="43D22E1A" w14:textId="74871D4D" w:rsidR="000F0406" w:rsidRDefault="000F0406" w:rsidP="000F0406">
      <w:r>
        <w:t xml:space="preserve">Thirdly, NHSX should foster psychological safety and a learning culture within an organization. Managers should encourage dissent, address concerns constructively and conduct short blameless learning reviews after any failures or accidents. Employees should </w:t>
      </w:r>
      <w:r>
        <w:lastRenderedPageBreak/>
        <w:t>be able to report risks without delay, yet data and clinical safety standards are non-negotiable. NHSX should establish shared knowledge spaces and conduct monthly cross-country communities for sharing solutions between staff in the UK, India and UAE. In order to succeed in learning, communication, leadership, measurement and technology have to function in combination (</w:t>
      </w:r>
      <w:proofErr w:type="spellStart"/>
      <w:r>
        <w:t>Alerasoul</w:t>
      </w:r>
      <w:proofErr w:type="spellEnd"/>
      <w:r>
        <w:t xml:space="preserve"> </w:t>
      </w:r>
      <w:r w:rsidR="00BF74DF" w:rsidRPr="00BF74DF">
        <w:rPr>
          <w:i/>
          <w:iCs/>
        </w:rPr>
        <w:t>et al</w:t>
      </w:r>
      <w:r>
        <w:t xml:space="preserve">., 2022; Giannakos, </w:t>
      </w:r>
      <w:proofErr w:type="spellStart"/>
      <w:r>
        <w:t>Mikalef</w:t>
      </w:r>
      <w:proofErr w:type="spellEnd"/>
      <w:r>
        <w:t xml:space="preserve"> and Pappas, 2022).</w:t>
      </w:r>
    </w:p>
    <w:p w14:paraId="777BB967" w14:textId="763836DA" w:rsidR="000F0406" w:rsidRDefault="000F0406" w:rsidP="000F0406">
      <w:r>
        <w:t xml:space="preserve">Fourth, the company should highlight employee career growth. Publish skills levels and promotion criteria transparently for both technical specialists and people managers. Publicize internal vacancies, give mentoring and allow temporary shifts between product, data, clinical, and customer teams. According to a meta-analysis by Ng </w:t>
      </w:r>
      <w:r w:rsidR="00BF74DF" w:rsidRPr="00BF74DF">
        <w:rPr>
          <w:i/>
          <w:iCs/>
        </w:rPr>
        <w:t>et al</w:t>
      </w:r>
      <w:r>
        <w:t xml:space="preserve">. (2024), employer-provided career development was related to employee job performance and decreased turnover due to better support perception and </w:t>
      </w:r>
      <w:proofErr w:type="spellStart"/>
      <w:r>
        <w:t>organisational</w:t>
      </w:r>
      <w:proofErr w:type="spellEnd"/>
      <w:r>
        <w:t xml:space="preserve"> attachment. Development may make employees more attractive for other companies, but denying these chances is not a good way to keep talent; NHSX should foster commitment through engaging work, progress, and supporting management.</w:t>
      </w:r>
    </w:p>
    <w:p w14:paraId="608490D6" w14:textId="77777777" w:rsidR="000F0406" w:rsidRDefault="000F0406" w:rsidP="000F0406">
      <w:r>
        <w:t xml:space="preserve">Monitoring employee experience and wellbeing, alongside with performance, is essential. Stay interviews, pulse surveys, and workload checks could show barriers to development. Employee job crafting needs to be done together with their managers to avoid additional unpaid work. The strategy should be piloted in two teams for 90 days, followed by evaluation of skill development, internal mobility, time to competence, employee voice, wellbeing, product quality, and regretted turnover. As a starting point, HR should set realistic goals instead of creating fictional performance metrics; a dashboard should compare quarter-to-quarter trends in terms of countries, job families, and demographics to spot inequality. LinkedIn Learning (2024) found 57% higher retention and 23% increased internal mobility in </w:t>
      </w:r>
      <w:proofErr w:type="spellStart"/>
      <w:r>
        <w:t>organisations</w:t>
      </w:r>
      <w:proofErr w:type="spellEnd"/>
      <w:r>
        <w:t xml:space="preserve"> with better learning culture; however, these are correlations, thus NHSX needs to check the outcomes on its own baseline.</w:t>
      </w:r>
    </w:p>
    <w:p w14:paraId="5A276C51" w14:textId="58B55BA6" w:rsidR="000F0406" w:rsidRDefault="000F0406" w:rsidP="000F0406">
      <w:r>
        <w:t>The talent development program should be a joint venture between HR, leaders, managers, and employees and should be updated using evidence from NHSX teams.</w:t>
      </w:r>
    </w:p>
    <w:p w14:paraId="46405ED2" w14:textId="415E4FC7" w:rsidR="00635D2F" w:rsidRPr="00635D2F" w:rsidRDefault="00635D2F" w:rsidP="00D73A05">
      <w:pPr>
        <w:pStyle w:val="Heading1"/>
      </w:pPr>
      <w:bookmarkStart w:id="10" w:name="_Toc242809815"/>
      <w:r w:rsidRPr="00635D2F">
        <w:t>Task C: Reflective Report</w:t>
      </w:r>
      <w:bookmarkEnd w:id="10"/>
    </w:p>
    <w:p w14:paraId="2E82853E" w14:textId="77777777" w:rsidR="00635D2F" w:rsidRPr="00635D2F" w:rsidRDefault="00635D2F" w:rsidP="00D73A05">
      <w:pPr>
        <w:pStyle w:val="Heading2"/>
      </w:pPr>
      <w:bookmarkStart w:id="11" w:name="_Toc242809816"/>
      <w:r w:rsidRPr="00635D2F">
        <w:t>1. AI as a Strategic Tool in Human Resource Management</w:t>
      </w:r>
      <w:bookmarkEnd w:id="11"/>
    </w:p>
    <w:p w14:paraId="603E6507" w14:textId="224B3DCD" w:rsidR="00635D2F" w:rsidRPr="00635D2F" w:rsidRDefault="00635D2F" w:rsidP="00635D2F">
      <w:pPr>
        <w:rPr>
          <w:lang w:val="en-IN"/>
        </w:rPr>
      </w:pPr>
      <w:r w:rsidRPr="00635D2F">
        <w:rPr>
          <w:lang w:val="en-IN"/>
        </w:rPr>
        <w:t>AI could be used for HRM for assisting managers in analysis of workforce data, identification of skills gap, recruitment, planning for employee development and identifying patterns in the employees</w:t>
      </w:r>
      <w:r>
        <w:rPr>
          <w:lang w:val="en-IN"/>
        </w:rPr>
        <w:t>’</w:t>
      </w:r>
      <w:r w:rsidRPr="00635D2F">
        <w:rPr>
          <w:lang w:val="en-IN"/>
        </w:rPr>
        <w:t xml:space="preserve"> feedback. Yet, AI should assist but not make decisions. </w:t>
      </w:r>
      <w:r w:rsidRPr="00635D2F">
        <w:rPr>
          <w:lang w:val="en-IN"/>
        </w:rPr>
        <w:lastRenderedPageBreak/>
        <w:t>Recruitment, promotion and performance decisions impact employees' income, thus HR specialists have to verify the information, protect the data privacy, and guard against bias. The AI Risk Management Framework of the National Institute of Standards and Technology states that risk management should play a major role in designing and implementing of AI (NIST, 2023).</w:t>
      </w:r>
      <w:r>
        <w:rPr>
          <w:lang w:val="en-IN"/>
        </w:rPr>
        <w:t xml:space="preserve"> </w:t>
      </w:r>
      <w:r w:rsidRPr="00635D2F">
        <w:rPr>
          <w:lang w:val="en-IN"/>
        </w:rPr>
        <w:t>Human empathy, fairness and accountability must remain central to HR decisions.</w:t>
      </w:r>
    </w:p>
    <w:p w14:paraId="54B69EA6" w14:textId="77777777" w:rsidR="00635D2F" w:rsidRPr="00635D2F" w:rsidRDefault="00635D2F" w:rsidP="00D73A05">
      <w:pPr>
        <w:pStyle w:val="Heading2"/>
      </w:pPr>
      <w:bookmarkStart w:id="12" w:name="_Toc242809817"/>
      <w:r w:rsidRPr="00635D2F">
        <w:t>2. Reflective Analysis: Three Examples of AI Use</w:t>
      </w:r>
      <w:bookmarkEnd w:id="12"/>
    </w:p>
    <w:p w14:paraId="33D3A872" w14:textId="2F405179" w:rsidR="00635D2F" w:rsidRPr="00635D2F" w:rsidRDefault="00635D2F" w:rsidP="00635D2F">
      <w:pPr>
        <w:rPr>
          <w:b/>
          <w:bCs/>
          <w:lang w:val="en-IN"/>
        </w:rPr>
      </w:pPr>
      <w:r w:rsidRPr="00635D2F">
        <w:rPr>
          <w:b/>
          <w:bCs/>
          <w:lang w:val="en-IN"/>
        </w:rPr>
        <w:t>Example 1: Learning about a topic</w:t>
      </w:r>
    </w:p>
    <w:p w14:paraId="59D4AB80" w14:textId="0811F43E" w:rsidR="00635D2F" w:rsidRPr="00635D2F" w:rsidRDefault="00635D2F" w:rsidP="00635D2F">
      <w:pPr>
        <w:rPr>
          <w:lang w:val="en-IN"/>
        </w:rPr>
      </w:pPr>
      <w:r w:rsidRPr="00635D2F">
        <w:rPr>
          <w:lang w:val="en-IN"/>
        </w:rPr>
        <w:t>I have used AI to learn about Human Capital Management topics which I did not know before in simple language. It enhanced my knowledge on the subject and also provided me with pointers where I needed to read further. I verified the explanations from academic sources to form my own understanding.</w:t>
      </w:r>
    </w:p>
    <w:p w14:paraId="4FC6D8D8" w14:textId="4C44D7A7" w:rsidR="00635D2F" w:rsidRPr="00635D2F" w:rsidRDefault="00635D2F" w:rsidP="00635D2F">
      <w:pPr>
        <w:rPr>
          <w:b/>
          <w:bCs/>
          <w:lang w:val="en-IN"/>
        </w:rPr>
      </w:pPr>
      <w:r w:rsidRPr="00635D2F">
        <w:rPr>
          <w:b/>
          <w:bCs/>
          <w:lang w:val="en-IN"/>
        </w:rPr>
        <w:t>Example 2: Research and exploring ideas</w:t>
      </w:r>
    </w:p>
    <w:p w14:paraId="4EC4228B" w14:textId="33549AE4" w:rsidR="00635D2F" w:rsidRPr="00635D2F" w:rsidRDefault="00635D2F" w:rsidP="00635D2F">
      <w:pPr>
        <w:rPr>
          <w:lang w:val="en-IN"/>
        </w:rPr>
      </w:pPr>
      <w:r w:rsidRPr="00635D2F">
        <w:rPr>
          <w:lang w:val="en-IN"/>
        </w:rPr>
        <w:t>I used AI to learn about key words for my research, explore different perspectives and learn how human resource management theories can be applied to solve organizational problems. But I ensured that I had verified the original publications and picked relevant pieces of information.</w:t>
      </w:r>
    </w:p>
    <w:p w14:paraId="6B17C443" w14:textId="39EEFC8A" w:rsidR="00635D2F" w:rsidRDefault="00635D2F" w:rsidP="00635D2F">
      <w:pPr>
        <w:rPr>
          <w:lang w:val="en-IN"/>
        </w:rPr>
      </w:pPr>
      <w:r w:rsidRPr="00635D2F">
        <w:rPr>
          <w:b/>
          <w:bCs/>
          <w:lang w:val="en-IN"/>
        </w:rPr>
        <w:t>Example 3: Grammar checking</w:t>
      </w:r>
    </w:p>
    <w:p w14:paraId="1B1C991E" w14:textId="6EAC8283" w:rsidR="00635D2F" w:rsidRDefault="00635D2F" w:rsidP="00635D2F">
      <w:pPr>
        <w:rPr>
          <w:lang w:val="en-IN"/>
        </w:rPr>
      </w:pPr>
      <w:r w:rsidRPr="00635D2F">
        <w:rPr>
          <w:lang w:val="en-IN"/>
        </w:rPr>
        <w:t>I used AI to check my grammar mistakes and sentence structure. It helped me to write in a more professional manner. But I ensured that I verified all the suggestions and maintained my own meaning and writing style. I have written this assignment on my own by using AI as an assistant tool.</w:t>
      </w:r>
    </w:p>
    <w:p w14:paraId="1085AE3E" w14:textId="3FBEF07C" w:rsidR="00635D2F" w:rsidRPr="00635D2F" w:rsidRDefault="00635D2F" w:rsidP="00D73A05">
      <w:pPr>
        <w:pStyle w:val="Heading2"/>
      </w:pPr>
      <w:bookmarkStart w:id="13" w:name="_Toc242809818"/>
      <w:r w:rsidRPr="00635D2F">
        <w:t>3. Personal Action Plan</w:t>
      </w:r>
      <w:bookmarkEnd w:id="13"/>
    </w:p>
    <w:p w14:paraId="737A406F" w14:textId="77777777" w:rsidR="00635D2F" w:rsidRPr="00635D2F" w:rsidRDefault="00635D2F" w:rsidP="00635D2F">
      <w:pPr>
        <w:rPr>
          <w:lang w:val="en-IN"/>
        </w:rPr>
      </w:pPr>
      <w:r w:rsidRPr="00635D2F">
        <w:rPr>
          <w:lang w:val="en-IN"/>
        </w:rPr>
        <w:t>My aim is to become an HR professional who uses technology responsibly while maintaining strong analytical, communication and interpersonal skills.</w:t>
      </w:r>
    </w:p>
    <w:tbl>
      <w:tblPr>
        <w:tblStyle w:val="TableGrid"/>
        <w:tblW w:w="0" w:type="auto"/>
        <w:tblLook w:val="04A0" w:firstRow="1" w:lastRow="0" w:firstColumn="1" w:lastColumn="0" w:noHBand="0" w:noVBand="1"/>
      </w:tblPr>
      <w:tblGrid>
        <w:gridCol w:w="2001"/>
        <w:gridCol w:w="3088"/>
        <w:gridCol w:w="1598"/>
        <w:gridCol w:w="2555"/>
      </w:tblGrid>
      <w:tr w:rsidR="00635D2F" w:rsidRPr="00635D2F" w14:paraId="4DFD7B79" w14:textId="77777777" w:rsidTr="00635D2F">
        <w:tc>
          <w:tcPr>
            <w:tcW w:w="0" w:type="auto"/>
            <w:hideMark/>
          </w:tcPr>
          <w:p w14:paraId="3406E034" w14:textId="77777777" w:rsidR="00635D2F" w:rsidRPr="00635D2F" w:rsidRDefault="00635D2F" w:rsidP="00635D2F">
            <w:pPr>
              <w:rPr>
                <w:b/>
                <w:bCs/>
                <w:lang w:val="en-IN"/>
              </w:rPr>
            </w:pPr>
            <w:r w:rsidRPr="00635D2F">
              <w:rPr>
                <w:b/>
                <w:bCs/>
                <w:lang w:val="en-IN"/>
              </w:rPr>
              <w:t>Development objective</w:t>
            </w:r>
          </w:p>
        </w:tc>
        <w:tc>
          <w:tcPr>
            <w:tcW w:w="0" w:type="auto"/>
            <w:hideMark/>
          </w:tcPr>
          <w:p w14:paraId="06D40ABA" w14:textId="77777777" w:rsidR="00635D2F" w:rsidRPr="00635D2F" w:rsidRDefault="00635D2F" w:rsidP="00635D2F">
            <w:pPr>
              <w:rPr>
                <w:b/>
                <w:bCs/>
                <w:lang w:val="en-IN"/>
              </w:rPr>
            </w:pPr>
            <w:r w:rsidRPr="00635D2F">
              <w:rPr>
                <w:b/>
                <w:bCs/>
                <w:lang w:val="en-IN"/>
              </w:rPr>
              <w:t>Actions to achieve it</w:t>
            </w:r>
          </w:p>
        </w:tc>
        <w:tc>
          <w:tcPr>
            <w:tcW w:w="0" w:type="auto"/>
            <w:hideMark/>
          </w:tcPr>
          <w:p w14:paraId="0FAC4143" w14:textId="77777777" w:rsidR="00635D2F" w:rsidRPr="00635D2F" w:rsidRDefault="00635D2F" w:rsidP="00635D2F">
            <w:pPr>
              <w:rPr>
                <w:b/>
                <w:bCs/>
                <w:lang w:val="en-IN"/>
              </w:rPr>
            </w:pPr>
            <w:r w:rsidRPr="00635D2F">
              <w:rPr>
                <w:b/>
                <w:bCs/>
                <w:lang w:val="en-IN"/>
              </w:rPr>
              <w:t>Timeframe</w:t>
            </w:r>
          </w:p>
        </w:tc>
        <w:tc>
          <w:tcPr>
            <w:tcW w:w="0" w:type="auto"/>
            <w:hideMark/>
          </w:tcPr>
          <w:p w14:paraId="5E5069F3" w14:textId="77777777" w:rsidR="00635D2F" w:rsidRPr="00635D2F" w:rsidRDefault="00635D2F" w:rsidP="00635D2F">
            <w:pPr>
              <w:rPr>
                <w:b/>
                <w:bCs/>
                <w:lang w:val="en-IN"/>
              </w:rPr>
            </w:pPr>
            <w:r w:rsidRPr="00635D2F">
              <w:rPr>
                <w:b/>
                <w:bCs/>
                <w:lang w:val="en-IN"/>
              </w:rPr>
              <w:t>Success measure</w:t>
            </w:r>
          </w:p>
        </w:tc>
      </w:tr>
      <w:tr w:rsidR="00635D2F" w:rsidRPr="00635D2F" w14:paraId="046A55DC" w14:textId="77777777" w:rsidTr="00635D2F">
        <w:tc>
          <w:tcPr>
            <w:tcW w:w="0" w:type="auto"/>
            <w:hideMark/>
          </w:tcPr>
          <w:p w14:paraId="1076B5E3" w14:textId="77777777" w:rsidR="00635D2F" w:rsidRPr="00635D2F" w:rsidRDefault="00635D2F" w:rsidP="00635D2F">
            <w:pPr>
              <w:rPr>
                <w:lang w:val="en-IN"/>
              </w:rPr>
            </w:pPr>
            <w:r w:rsidRPr="00635D2F">
              <w:rPr>
                <w:lang w:val="en-IN"/>
              </w:rPr>
              <w:t>Improve AI and digital skills</w:t>
            </w:r>
          </w:p>
        </w:tc>
        <w:tc>
          <w:tcPr>
            <w:tcW w:w="0" w:type="auto"/>
            <w:hideMark/>
          </w:tcPr>
          <w:p w14:paraId="352C92A4" w14:textId="77777777" w:rsidR="00635D2F" w:rsidRPr="00635D2F" w:rsidRDefault="00635D2F" w:rsidP="00635D2F">
            <w:pPr>
              <w:rPr>
                <w:lang w:val="en-IN"/>
              </w:rPr>
            </w:pPr>
            <w:r w:rsidRPr="00635D2F">
              <w:rPr>
                <w:lang w:val="en-IN"/>
              </w:rPr>
              <w:t xml:space="preserve">Complete relevant training on AI tools and their use in </w:t>
            </w:r>
            <w:r w:rsidRPr="00635D2F">
              <w:rPr>
                <w:lang w:val="en-IN"/>
              </w:rPr>
              <w:lastRenderedPageBreak/>
              <w:t>HR decision-making. Practise evaluating AI-generated information.</w:t>
            </w:r>
          </w:p>
        </w:tc>
        <w:tc>
          <w:tcPr>
            <w:tcW w:w="0" w:type="auto"/>
            <w:hideMark/>
          </w:tcPr>
          <w:p w14:paraId="0A027ADE" w14:textId="77777777" w:rsidR="00635D2F" w:rsidRPr="00635D2F" w:rsidRDefault="00635D2F" w:rsidP="00635D2F">
            <w:pPr>
              <w:rPr>
                <w:lang w:val="en-IN"/>
              </w:rPr>
            </w:pPr>
            <w:r w:rsidRPr="00635D2F">
              <w:rPr>
                <w:lang w:val="en-IN"/>
              </w:rPr>
              <w:lastRenderedPageBreak/>
              <w:t>Within 3 months</w:t>
            </w:r>
          </w:p>
        </w:tc>
        <w:tc>
          <w:tcPr>
            <w:tcW w:w="0" w:type="auto"/>
            <w:hideMark/>
          </w:tcPr>
          <w:p w14:paraId="1C304F99" w14:textId="77777777" w:rsidR="00635D2F" w:rsidRPr="00635D2F" w:rsidRDefault="00635D2F" w:rsidP="00635D2F">
            <w:pPr>
              <w:rPr>
                <w:lang w:val="en-IN"/>
              </w:rPr>
            </w:pPr>
            <w:r w:rsidRPr="00635D2F">
              <w:rPr>
                <w:lang w:val="en-IN"/>
              </w:rPr>
              <w:t xml:space="preserve">Complete one training course and demonstrate </w:t>
            </w:r>
            <w:r w:rsidRPr="00635D2F">
              <w:rPr>
                <w:lang w:val="en-IN"/>
              </w:rPr>
              <w:lastRenderedPageBreak/>
              <w:t>learning through practical exercises.</w:t>
            </w:r>
          </w:p>
        </w:tc>
      </w:tr>
      <w:tr w:rsidR="00635D2F" w:rsidRPr="00635D2F" w14:paraId="32957A8A" w14:textId="77777777" w:rsidTr="00635D2F">
        <w:tc>
          <w:tcPr>
            <w:tcW w:w="0" w:type="auto"/>
            <w:hideMark/>
          </w:tcPr>
          <w:p w14:paraId="7E6C9204" w14:textId="77777777" w:rsidR="00635D2F" w:rsidRPr="00635D2F" w:rsidRDefault="00635D2F" w:rsidP="00635D2F">
            <w:pPr>
              <w:rPr>
                <w:lang w:val="en-IN"/>
              </w:rPr>
            </w:pPr>
            <w:r w:rsidRPr="00635D2F">
              <w:rPr>
                <w:lang w:val="en-IN"/>
              </w:rPr>
              <w:t>Strengthen research and critical thinking</w:t>
            </w:r>
          </w:p>
        </w:tc>
        <w:tc>
          <w:tcPr>
            <w:tcW w:w="0" w:type="auto"/>
            <w:hideMark/>
          </w:tcPr>
          <w:p w14:paraId="262A8D07" w14:textId="77777777" w:rsidR="00635D2F" w:rsidRPr="00635D2F" w:rsidRDefault="00635D2F" w:rsidP="00635D2F">
            <w:pPr>
              <w:rPr>
                <w:lang w:val="en-IN"/>
              </w:rPr>
            </w:pPr>
            <w:r w:rsidRPr="00635D2F">
              <w:rPr>
                <w:lang w:val="en-IN"/>
              </w:rPr>
              <w:t>Use academic databases to locate original research. Verify authors, publication dates, findings and references before using them.</w:t>
            </w:r>
          </w:p>
        </w:tc>
        <w:tc>
          <w:tcPr>
            <w:tcW w:w="0" w:type="auto"/>
            <w:hideMark/>
          </w:tcPr>
          <w:p w14:paraId="49711CD6" w14:textId="77777777" w:rsidR="00635D2F" w:rsidRPr="00635D2F" w:rsidRDefault="00635D2F" w:rsidP="00635D2F">
            <w:pPr>
              <w:rPr>
                <w:lang w:val="en-IN"/>
              </w:rPr>
            </w:pPr>
            <w:r w:rsidRPr="00635D2F">
              <w:rPr>
                <w:lang w:val="en-IN"/>
              </w:rPr>
              <w:t>Ongoing; review after 3 months</w:t>
            </w:r>
          </w:p>
        </w:tc>
        <w:tc>
          <w:tcPr>
            <w:tcW w:w="0" w:type="auto"/>
            <w:hideMark/>
          </w:tcPr>
          <w:p w14:paraId="136C08AC" w14:textId="77777777" w:rsidR="00635D2F" w:rsidRPr="00635D2F" w:rsidRDefault="00635D2F" w:rsidP="00635D2F">
            <w:pPr>
              <w:rPr>
                <w:lang w:val="en-IN"/>
              </w:rPr>
            </w:pPr>
            <w:r w:rsidRPr="00635D2F">
              <w:rPr>
                <w:lang w:val="en-IN"/>
              </w:rPr>
              <w:t>Produce assignments supported by accurate, credible and relevant sources.</w:t>
            </w:r>
          </w:p>
        </w:tc>
      </w:tr>
      <w:tr w:rsidR="00635D2F" w:rsidRPr="00635D2F" w14:paraId="33D2070F" w14:textId="77777777" w:rsidTr="00635D2F">
        <w:tc>
          <w:tcPr>
            <w:tcW w:w="0" w:type="auto"/>
            <w:hideMark/>
          </w:tcPr>
          <w:p w14:paraId="2B8AC19F" w14:textId="77777777" w:rsidR="00635D2F" w:rsidRPr="00635D2F" w:rsidRDefault="00635D2F" w:rsidP="00635D2F">
            <w:pPr>
              <w:rPr>
                <w:lang w:val="en-IN"/>
              </w:rPr>
            </w:pPr>
            <w:r w:rsidRPr="00635D2F">
              <w:rPr>
                <w:lang w:val="en-IN"/>
              </w:rPr>
              <w:t>Develop ethical HR judgement</w:t>
            </w:r>
          </w:p>
        </w:tc>
        <w:tc>
          <w:tcPr>
            <w:tcW w:w="0" w:type="auto"/>
            <w:hideMark/>
          </w:tcPr>
          <w:p w14:paraId="0532C12A" w14:textId="77777777" w:rsidR="00635D2F" w:rsidRPr="00635D2F" w:rsidRDefault="00635D2F" w:rsidP="00635D2F">
            <w:pPr>
              <w:rPr>
                <w:lang w:val="en-IN"/>
              </w:rPr>
            </w:pPr>
            <w:r w:rsidRPr="00635D2F">
              <w:rPr>
                <w:lang w:val="en-IN"/>
              </w:rPr>
              <w:t>Learn about data protection, algorithmic bias, fairness and accountability in AI-supported decisions.</w:t>
            </w:r>
          </w:p>
        </w:tc>
        <w:tc>
          <w:tcPr>
            <w:tcW w:w="0" w:type="auto"/>
            <w:hideMark/>
          </w:tcPr>
          <w:p w14:paraId="072917EA" w14:textId="77777777" w:rsidR="00635D2F" w:rsidRPr="00635D2F" w:rsidRDefault="00635D2F" w:rsidP="00635D2F">
            <w:pPr>
              <w:rPr>
                <w:lang w:val="en-IN"/>
              </w:rPr>
            </w:pPr>
            <w:r w:rsidRPr="00635D2F">
              <w:rPr>
                <w:lang w:val="en-IN"/>
              </w:rPr>
              <w:t>Within 6 months</w:t>
            </w:r>
          </w:p>
        </w:tc>
        <w:tc>
          <w:tcPr>
            <w:tcW w:w="0" w:type="auto"/>
            <w:hideMark/>
          </w:tcPr>
          <w:p w14:paraId="4E873390" w14:textId="77777777" w:rsidR="00635D2F" w:rsidRPr="00635D2F" w:rsidRDefault="00635D2F" w:rsidP="00635D2F">
            <w:pPr>
              <w:rPr>
                <w:lang w:val="en-IN"/>
              </w:rPr>
            </w:pPr>
            <w:r w:rsidRPr="00635D2F">
              <w:rPr>
                <w:lang w:val="en-IN"/>
              </w:rPr>
              <w:t>Apply an ethical checklist to HR case studies and explain potential risks.</w:t>
            </w:r>
          </w:p>
        </w:tc>
      </w:tr>
      <w:tr w:rsidR="00635D2F" w:rsidRPr="00635D2F" w14:paraId="25BF04C0" w14:textId="77777777" w:rsidTr="00635D2F">
        <w:tc>
          <w:tcPr>
            <w:tcW w:w="0" w:type="auto"/>
            <w:hideMark/>
          </w:tcPr>
          <w:p w14:paraId="1B65ABEF" w14:textId="77777777" w:rsidR="00635D2F" w:rsidRPr="00635D2F" w:rsidRDefault="00635D2F" w:rsidP="00635D2F">
            <w:pPr>
              <w:rPr>
                <w:lang w:val="en-IN"/>
              </w:rPr>
            </w:pPr>
            <w:r w:rsidRPr="00635D2F">
              <w:rPr>
                <w:lang w:val="en-IN"/>
              </w:rPr>
              <w:t>Improve communication and empathy</w:t>
            </w:r>
          </w:p>
        </w:tc>
        <w:tc>
          <w:tcPr>
            <w:tcW w:w="0" w:type="auto"/>
            <w:hideMark/>
          </w:tcPr>
          <w:p w14:paraId="2681AF5E" w14:textId="77777777" w:rsidR="00635D2F" w:rsidRPr="00635D2F" w:rsidRDefault="00635D2F" w:rsidP="00635D2F">
            <w:pPr>
              <w:rPr>
                <w:lang w:val="en-IN"/>
              </w:rPr>
            </w:pPr>
            <w:r w:rsidRPr="00635D2F">
              <w:rPr>
                <w:lang w:val="en-IN"/>
              </w:rPr>
              <w:t>Practise active listening, participate in discussions and seek feedback on professional communication.</w:t>
            </w:r>
          </w:p>
        </w:tc>
        <w:tc>
          <w:tcPr>
            <w:tcW w:w="0" w:type="auto"/>
            <w:hideMark/>
          </w:tcPr>
          <w:p w14:paraId="58315DD2" w14:textId="77777777" w:rsidR="00635D2F" w:rsidRPr="00635D2F" w:rsidRDefault="00635D2F" w:rsidP="00635D2F">
            <w:pPr>
              <w:rPr>
                <w:lang w:val="en-IN"/>
              </w:rPr>
            </w:pPr>
            <w:r w:rsidRPr="00635D2F">
              <w:rPr>
                <w:lang w:val="en-IN"/>
              </w:rPr>
              <w:t>Within 6 months</w:t>
            </w:r>
          </w:p>
        </w:tc>
        <w:tc>
          <w:tcPr>
            <w:tcW w:w="0" w:type="auto"/>
            <w:hideMark/>
          </w:tcPr>
          <w:p w14:paraId="78E935B9" w14:textId="77777777" w:rsidR="00635D2F" w:rsidRPr="00635D2F" w:rsidRDefault="00635D2F" w:rsidP="00635D2F">
            <w:pPr>
              <w:rPr>
                <w:lang w:val="en-IN"/>
              </w:rPr>
            </w:pPr>
            <w:r w:rsidRPr="00635D2F">
              <w:rPr>
                <w:lang w:val="en-IN"/>
              </w:rPr>
              <w:t>Record feedback and identify improvements in communication and interpersonal skills.</w:t>
            </w:r>
          </w:p>
        </w:tc>
      </w:tr>
    </w:tbl>
    <w:p w14:paraId="1CB03E27" w14:textId="434E8294" w:rsidR="00635D2F" w:rsidRDefault="00635D2F" w:rsidP="00635D2F">
      <w:pPr>
        <w:rPr>
          <w:b/>
          <w:bCs/>
          <w:lang w:val="en-IN"/>
        </w:rPr>
      </w:pPr>
      <w:r w:rsidRPr="00635D2F">
        <w:rPr>
          <w:lang w:val="en-IN"/>
        </w:rPr>
        <w:t>This plan of action will help me use AI tools with confidence while avoiding becoming over-reliant on AI tools. I will remain responsible for my actions and maintain a commitment to lifelong learning.</w:t>
      </w:r>
    </w:p>
    <w:p w14:paraId="17A4F8E0" w14:textId="77777777" w:rsidR="00635D2F" w:rsidRDefault="00635D2F">
      <w:pPr>
        <w:spacing w:before="0" w:after="200" w:line="276" w:lineRule="auto"/>
        <w:jc w:val="left"/>
        <w:rPr>
          <w:b/>
          <w:bCs/>
          <w:lang w:val="en-IN"/>
        </w:rPr>
      </w:pPr>
      <w:r>
        <w:rPr>
          <w:b/>
          <w:bCs/>
          <w:lang w:val="en-IN"/>
        </w:rPr>
        <w:br w:type="page"/>
      </w:r>
    </w:p>
    <w:p w14:paraId="4AF5A319" w14:textId="304D117F" w:rsidR="00635D2F" w:rsidRPr="00635D2F" w:rsidRDefault="00635D2F" w:rsidP="00D73A05">
      <w:pPr>
        <w:pStyle w:val="Heading1"/>
      </w:pPr>
      <w:bookmarkStart w:id="14" w:name="_Toc242809819"/>
      <w:r w:rsidRPr="00635D2F">
        <w:lastRenderedPageBreak/>
        <w:t>Reference</w:t>
      </w:r>
      <w:bookmarkEnd w:id="14"/>
    </w:p>
    <w:p w14:paraId="41D7CA34" w14:textId="77777777" w:rsidR="00D73A05" w:rsidRPr="00766876" w:rsidRDefault="00D73A05" w:rsidP="00766876">
      <w:proofErr w:type="spellStart"/>
      <w:r w:rsidRPr="00766876">
        <w:t>Alerasoul</w:t>
      </w:r>
      <w:proofErr w:type="spellEnd"/>
      <w:r w:rsidRPr="00766876">
        <w:t xml:space="preserve">, S.A., </w:t>
      </w:r>
      <w:proofErr w:type="spellStart"/>
      <w:r w:rsidRPr="00766876">
        <w:t>Afeltra</w:t>
      </w:r>
      <w:proofErr w:type="spellEnd"/>
      <w:r w:rsidRPr="00766876">
        <w:t>, G., Hakala, H., Minelli, E. and Strozzi, F. (2022) ‘</w:t>
      </w:r>
      <w:proofErr w:type="spellStart"/>
      <w:r w:rsidRPr="00766876">
        <w:t>Organisational</w:t>
      </w:r>
      <w:proofErr w:type="spellEnd"/>
      <w:r w:rsidRPr="00766876">
        <w:t xml:space="preserve"> learning, learning </w:t>
      </w:r>
      <w:proofErr w:type="spellStart"/>
      <w:r w:rsidRPr="00766876">
        <w:t>organisation</w:t>
      </w:r>
      <w:proofErr w:type="spellEnd"/>
      <w:r w:rsidRPr="00766876">
        <w:t xml:space="preserve">, and learning orientation: An integrative review and framework’, Human Resource Management Review, 32(3), article 100854. Available at: </w:t>
      </w:r>
      <w:hyperlink r:id="rId9">
        <w:r w:rsidRPr="00766876">
          <w:rPr>
            <w:rStyle w:val="Hyperlink"/>
          </w:rPr>
          <w:t>https://doi.org/10.1016/j.hrmr.2021.100854</w:t>
        </w:r>
      </w:hyperlink>
      <w:r w:rsidRPr="00766876">
        <w:t xml:space="preserve"> (Accessed: 12 October 2026).</w:t>
      </w:r>
    </w:p>
    <w:p w14:paraId="0E74F50D" w14:textId="77777777" w:rsidR="00D73A05" w:rsidRDefault="00D73A05" w:rsidP="00FD70A7">
      <w:r>
        <w:t xml:space="preserve">Ashiru, J-A., </w:t>
      </w:r>
      <w:proofErr w:type="spellStart"/>
      <w:r>
        <w:t>Erdil</w:t>
      </w:r>
      <w:proofErr w:type="spellEnd"/>
      <w:r>
        <w:t xml:space="preserve">, G.E. and Oluwajana, D. (2022) ‘The linkage between </w:t>
      </w:r>
      <w:proofErr w:type="gramStart"/>
      <w:r>
        <w:t>high performance</w:t>
      </w:r>
      <w:proofErr w:type="gramEnd"/>
      <w:r>
        <w:t xml:space="preserve"> work systems on organizational performance, employee voice and employee innovation’, Journal of Organizational Change Management, 35(1), pp. 1–17. Available at: </w:t>
      </w:r>
      <w:hyperlink r:id="rId10">
        <w:r>
          <w:rPr>
            <w:color w:val="0563C1"/>
            <w:u w:val="single"/>
          </w:rPr>
          <w:t>https://doi.org/10.1108/JOCM-02-2021-0039</w:t>
        </w:r>
      </w:hyperlink>
    </w:p>
    <w:p w14:paraId="37E9A421" w14:textId="77777777" w:rsidR="00D73A05" w:rsidRDefault="00D73A05" w:rsidP="00FD70A7">
      <w:r>
        <w:t xml:space="preserve">Bloom, N., Han, R. and Liang, J. (2024) ‘Hybrid working from home improves retention without damaging performance’, Nature, 630, pp. 920–925. Available at: </w:t>
      </w:r>
      <w:hyperlink r:id="rId11">
        <w:r>
          <w:rPr>
            <w:color w:val="0563C1"/>
            <w:u w:val="single"/>
          </w:rPr>
          <w:t>https://doi.org/10.1038/s41586-024-07500-2</w:t>
        </w:r>
      </w:hyperlink>
    </w:p>
    <w:p w14:paraId="194A4681" w14:textId="77777777" w:rsidR="00D73A05" w:rsidRDefault="00D73A05" w:rsidP="00FD70A7">
      <w:r>
        <w:t xml:space="preserve">Boss, V., Dahlander, L., Ihl, C. and Jayaraman, R. (2023) ‘Organizing Entrepreneurial Teams: A Field Experiment on Autonomy over Choosing Teams and Ideas’, Organization Science, 34(6), pp. 2097–2118. Available at: </w:t>
      </w:r>
      <w:hyperlink r:id="rId12">
        <w:r>
          <w:rPr>
            <w:color w:val="0563C1"/>
            <w:u w:val="single"/>
          </w:rPr>
          <w:t>https://doi.org/10.1287/orsc.2021.1520</w:t>
        </w:r>
      </w:hyperlink>
    </w:p>
    <w:p w14:paraId="517F8566" w14:textId="77777777" w:rsidR="00D73A05" w:rsidRDefault="00D73A05" w:rsidP="00FD70A7">
      <w:r>
        <w:t xml:space="preserve">CIPD (2022) An update on flexible and hybrid working practices. London: Chartered Institute of Personnel and Development. Available at: </w:t>
      </w:r>
      <w:hyperlink r:id="rId13">
        <w:r>
          <w:rPr>
            <w:color w:val="0563C1"/>
            <w:u w:val="single"/>
          </w:rPr>
          <w:t>https://www.cipd.org/en/knowledge/reports/flexible-hybrid-working-practices/</w:t>
        </w:r>
      </w:hyperlink>
    </w:p>
    <w:p w14:paraId="242D7F49" w14:textId="77777777" w:rsidR="00D73A05" w:rsidRPr="00766876" w:rsidRDefault="00D73A05" w:rsidP="00766876">
      <w:r w:rsidRPr="00766876">
        <w:t xml:space="preserve">CIPD (2025) ‘Talent management’. Factsheet. Available at: </w:t>
      </w:r>
      <w:hyperlink r:id="rId14">
        <w:r w:rsidRPr="00766876">
          <w:rPr>
            <w:rStyle w:val="Hyperlink"/>
          </w:rPr>
          <w:t>https://www.cipd.org/en/knowledge/factsheets/talent-factsheet/</w:t>
        </w:r>
      </w:hyperlink>
      <w:r w:rsidRPr="00766876">
        <w:t xml:space="preserve"> (Accessed: 12 October 2026).</w:t>
      </w:r>
    </w:p>
    <w:p w14:paraId="0078D636" w14:textId="77777777" w:rsidR="00D73A05" w:rsidRDefault="00D73A05" w:rsidP="00FD70A7">
      <w:r>
        <w:t xml:space="preserve">CIPD (2025) Flexible and hybrid working practices in 2025. London: Chartered Institute of Personnel and Development. Available at: </w:t>
      </w:r>
      <w:hyperlink r:id="rId15">
        <w:r>
          <w:rPr>
            <w:color w:val="0563C1"/>
            <w:u w:val="single"/>
          </w:rPr>
          <w:t>https://www.cipd.org/uk/knowledge/reports/flexible-hybrid-working/</w:t>
        </w:r>
      </w:hyperlink>
    </w:p>
    <w:p w14:paraId="36BE7C0E" w14:textId="77777777" w:rsidR="00D73A05" w:rsidRPr="00766876" w:rsidRDefault="00D73A05" w:rsidP="00766876">
      <w:r w:rsidRPr="00766876">
        <w:t xml:space="preserve">Edmondson, A.C. and Bransby, D.P. (2023) ‘Psychological safety comes of age: Observed themes in an established literature’, Annual Review of Organizational Psychology and Organizational Behavior, 10, pp. 55–78. Available at: </w:t>
      </w:r>
      <w:hyperlink r:id="rId16">
        <w:r w:rsidRPr="00766876">
          <w:rPr>
            <w:rStyle w:val="Hyperlink"/>
          </w:rPr>
          <w:t>https://doi.org/10.1146/annurev-orgpsych-120920-055217</w:t>
        </w:r>
      </w:hyperlink>
      <w:r w:rsidRPr="00766876">
        <w:t xml:space="preserve"> (Accessed: 12 October 2026).</w:t>
      </w:r>
    </w:p>
    <w:p w14:paraId="44AA05E5" w14:textId="77777777" w:rsidR="00D73A05" w:rsidRPr="00766876" w:rsidRDefault="00D73A05" w:rsidP="00766876">
      <w:r w:rsidRPr="00766876">
        <w:t xml:space="preserve">Giannakos, M.N., Mikalef, P. and Pappas, I.O. (2022) ‘Systematic literature review of e-learning capabilities to enhance organizational learning’, Information Systems Frontiers, 24, pp. 619–635. Available at: </w:t>
      </w:r>
      <w:hyperlink r:id="rId17">
        <w:r w:rsidRPr="00766876">
          <w:rPr>
            <w:rStyle w:val="Hyperlink"/>
          </w:rPr>
          <w:t>https://doi.org/10.1007/s10796-020-10097-2</w:t>
        </w:r>
      </w:hyperlink>
      <w:r w:rsidRPr="00766876">
        <w:t xml:space="preserve"> (Accessed: 12 October 2026).</w:t>
      </w:r>
    </w:p>
    <w:p w14:paraId="49B0FB35" w14:textId="77777777" w:rsidR="00D73A05" w:rsidRDefault="00D73A05" w:rsidP="00FD70A7">
      <w:r>
        <w:lastRenderedPageBreak/>
        <w:t xml:space="preserve">Griva, A., Chandra Kruse, L., Hattinger, M., </w:t>
      </w:r>
      <w:proofErr w:type="spellStart"/>
      <w:r>
        <w:t>Högberg</w:t>
      </w:r>
      <w:proofErr w:type="spellEnd"/>
      <w:r>
        <w:t xml:space="preserve">, K., Pappas, I.O. and Conboy, K. (2025) ‘Making space for time: Strategies for the design of time-aware hybrid work’, Information Systems Journal, 35(2), pp. 611–645. Available at: </w:t>
      </w:r>
      <w:hyperlink r:id="rId18">
        <w:r>
          <w:rPr>
            <w:color w:val="0563C1"/>
            <w:u w:val="single"/>
          </w:rPr>
          <w:t>https://doi.org/10.1111/isj.12552</w:t>
        </w:r>
      </w:hyperlink>
    </w:p>
    <w:p w14:paraId="25A1F201" w14:textId="77777777" w:rsidR="00D73A05" w:rsidRPr="00766876" w:rsidRDefault="00D73A05" w:rsidP="00766876">
      <w:r w:rsidRPr="00766876">
        <w:t xml:space="preserve">Hogarth, A. and McCartney, C. (2024) Resourcing and talent planning report 2024. London: Chartered Institute of Personnel and Development. Available at: </w:t>
      </w:r>
      <w:hyperlink r:id="rId19">
        <w:r w:rsidRPr="00766876">
          <w:rPr>
            <w:rStyle w:val="Hyperlink"/>
          </w:rPr>
          <w:t>https://www.cipd.org/globalassets/media/knowledge/knowledge-hub/reports/2024-pdfs/8662-resource-and-talent-planning-2024-report-web.pdf</w:t>
        </w:r>
      </w:hyperlink>
      <w:r w:rsidRPr="00766876">
        <w:t xml:space="preserve"> (Accessed: 12 October 2026).</w:t>
      </w:r>
    </w:p>
    <w:p w14:paraId="50CDCA5B" w14:textId="77777777" w:rsidR="00D73A05" w:rsidRPr="00766876" w:rsidRDefault="00D73A05" w:rsidP="00766876">
      <w:r w:rsidRPr="00766876">
        <w:t xml:space="preserve">Holman, D., Escaffi-Schwarz, M., Vasquez, C.A., Irmer, J.P. and Zapf, D. (2024) ‘Does job crafting affect employee outcomes via job characteristics? A meta-analytic test of a key job crafting mechanism’, Journal of Occupational and Organizational Psychology, 97(1), pp. 47–73. Available at: </w:t>
      </w:r>
      <w:hyperlink r:id="rId20">
        <w:r w:rsidRPr="00766876">
          <w:rPr>
            <w:rStyle w:val="Hyperlink"/>
          </w:rPr>
          <w:t>https://doi.org/10.1111/joop.12450</w:t>
        </w:r>
      </w:hyperlink>
      <w:r w:rsidRPr="00766876">
        <w:t xml:space="preserve"> (Accessed: 12 October 2026).</w:t>
      </w:r>
    </w:p>
    <w:p w14:paraId="01D8F588" w14:textId="77777777" w:rsidR="00D73A05" w:rsidRDefault="00D73A05" w:rsidP="00FD70A7">
      <w:r>
        <w:t xml:space="preserve">Keppler, S.M. and Leonardi, P.M. (2023) ‘Building relational confidence in remote and hybrid work arrangements: novel ways to use digital technologies to foster knowledge sharing’, Journal of Computer-Mediated Communication, 28(4), zmad020. Available at: </w:t>
      </w:r>
      <w:hyperlink r:id="rId21">
        <w:r>
          <w:rPr>
            <w:color w:val="0563C1"/>
            <w:u w:val="single"/>
          </w:rPr>
          <w:t>https://doi.org/10.1093/jcmc/zmad020</w:t>
        </w:r>
      </w:hyperlink>
    </w:p>
    <w:p w14:paraId="7B50082B" w14:textId="77777777" w:rsidR="00D73A05" w:rsidRPr="00766876" w:rsidRDefault="00D73A05" w:rsidP="00766876">
      <w:r w:rsidRPr="00766876">
        <w:t xml:space="preserve">Kraiger, K. and Ford, J.K. (2021) ‘The science of workplace instruction: Learning and development applied to work’, Annual Review of Organizational Psychology and Organizational Behavior, 8, pp. 45–72. Available at: </w:t>
      </w:r>
      <w:hyperlink r:id="rId22">
        <w:r w:rsidRPr="00766876">
          <w:rPr>
            <w:rStyle w:val="Hyperlink"/>
          </w:rPr>
          <w:t>https://doi.org/10.1146/annurev-orgpsych-012420-060109</w:t>
        </w:r>
      </w:hyperlink>
      <w:r w:rsidRPr="00766876">
        <w:t xml:space="preserve"> (Accessed: 12 October 2026).</w:t>
      </w:r>
    </w:p>
    <w:p w14:paraId="48564871" w14:textId="77777777" w:rsidR="00D73A05" w:rsidRDefault="00D73A05" w:rsidP="00FD70A7">
      <w:r>
        <w:t xml:space="preserve">Leonardi, P.M., Parker, S.H. and Shen, R. (2024) ‘How Remote Work Changes the World of Work’, Annual Review of Organizational Psychology and Organizational Behavior, 11(1), pp. 193–219. Available at: </w:t>
      </w:r>
      <w:hyperlink r:id="rId23">
        <w:r>
          <w:rPr>
            <w:color w:val="0563C1"/>
            <w:u w:val="single"/>
          </w:rPr>
          <w:t>https://doi.org/10.1146/annurev-orgpsych-091922-015852</w:t>
        </w:r>
      </w:hyperlink>
    </w:p>
    <w:p w14:paraId="3125FA55" w14:textId="77777777" w:rsidR="00D73A05" w:rsidRPr="00766876" w:rsidRDefault="00D73A05" w:rsidP="00766876">
      <w:r w:rsidRPr="00766876">
        <w:t xml:space="preserve">LinkedIn Learning (2024) 2024 workplace learning report. Available at: </w:t>
      </w:r>
      <w:hyperlink r:id="rId24">
        <w:r w:rsidRPr="00766876">
          <w:rPr>
            <w:rStyle w:val="Hyperlink"/>
          </w:rPr>
          <w:t>https://business.linkedin.com/learn/resources/workplace-learning-report-2024</w:t>
        </w:r>
      </w:hyperlink>
      <w:r w:rsidRPr="00766876">
        <w:t xml:space="preserve"> (Accessed: 12 October 2026).</w:t>
      </w:r>
    </w:p>
    <w:p w14:paraId="19015C35" w14:textId="77777777" w:rsidR="00D73A05" w:rsidRPr="00766876" w:rsidRDefault="00D73A05" w:rsidP="00766876">
      <w:r w:rsidRPr="00766876">
        <w:t xml:space="preserve">Liu, G., Peng, H. and Wen, H. (2023) ‘How self-leadership promotes job crafting: Based on the perspective of self-determination theory’, Frontiers in Psychology, 14, article 1079196. Available at: </w:t>
      </w:r>
      <w:hyperlink r:id="rId25">
        <w:r w:rsidRPr="00766876">
          <w:rPr>
            <w:rStyle w:val="Hyperlink"/>
          </w:rPr>
          <w:t>https://doi.org/10.3389/fpsyg.2023.1079196</w:t>
        </w:r>
      </w:hyperlink>
      <w:r w:rsidRPr="00766876">
        <w:t xml:space="preserve"> (Accessed: 12 October 2026).</w:t>
      </w:r>
    </w:p>
    <w:p w14:paraId="643B221C" w14:textId="77777777" w:rsidR="00D73A05" w:rsidRPr="00766876" w:rsidRDefault="00D73A05" w:rsidP="00766876">
      <w:r w:rsidRPr="00766876">
        <w:t xml:space="preserve">Liu, Q. and Tong, Y. (2022) ‘Employee growth mindset and innovative behavior: The roles of employee strengths use and strengths-based leadership’, Frontiers in Psychology, 13, </w:t>
      </w:r>
      <w:r w:rsidRPr="00766876">
        <w:lastRenderedPageBreak/>
        <w:t xml:space="preserve">article 814154. Available at: </w:t>
      </w:r>
      <w:hyperlink r:id="rId26">
        <w:r w:rsidRPr="00766876">
          <w:rPr>
            <w:rStyle w:val="Hyperlink"/>
          </w:rPr>
          <w:t>https://doi.org/10.3389/fpsyg.2022.814154</w:t>
        </w:r>
      </w:hyperlink>
      <w:r w:rsidRPr="00766876">
        <w:t xml:space="preserve"> (Accessed: 12 October 2026).</w:t>
      </w:r>
    </w:p>
    <w:p w14:paraId="4B98899A" w14:textId="77777777" w:rsidR="00D73A05" w:rsidRDefault="00D73A05" w:rsidP="00FD70A7">
      <w:r>
        <w:t xml:space="preserve">Malik, M., Sarwar, S. and Orr, S. (2021) ‘Agile practices and performance: Examining the role of psychological empowerment’, International Journal of Project Management, 39(1), pp. 10–20. Available at: </w:t>
      </w:r>
      <w:hyperlink r:id="rId27">
        <w:r>
          <w:rPr>
            <w:color w:val="0563C1"/>
            <w:u w:val="single"/>
          </w:rPr>
          <w:t>https://doi.org/10.1016/j.ijproman.2020.09.002</w:t>
        </w:r>
      </w:hyperlink>
    </w:p>
    <w:p w14:paraId="35E3B555" w14:textId="77777777" w:rsidR="00D73A05" w:rsidRDefault="00D73A05" w:rsidP="00FD70A7">
      <w:proofErr w:type="spellStart"/>
      <w:r>
        <w:t>Mehralian</w:t>
      </w:r>
      <w:proofErr w:type="spellEnd"/>
      <w:r>
        <w:t xml:space="preserve">, G., Moradi, M. and </w:t>
      </w:r>
      <w:proofErr w:type="spellStart"/>
      <w:r>
        <w:t>Babapour</w:t>
      </w:r>
      <w:proofErr w:type="spellEnd"/>
      <w:r>
        <w:t xml:space="preserve">, J. (2022) ‘How do high-performance work systems affect innovation performance? The organizational learning perspective’, Personnel Review, 51(9), pp. 2081–2102. Available at: </w:t>
      </w:r>
      <w:hyperlink r:id="rId28">
        <w:r>
          <w:rPr>
            <w:color w:val="0563C1"/>
            <w:u w:val="single"/>
          </w:rPr>
          <w:t>https://doi.org/10.1108/PR-08-2020-0617</w:t>
        </w:r>
      </w:hyperlink>
    </w:p>
    <w:p w14:paraId="7BB0564A" w14:textId="77777777" w:rsidR="00D73A05" w:rsidRDefault="00D73A05" w:rsidP="00FD70A7">
      <w:r>
        <w:t xml:space="preserve">Moe, N.B., </w:t>
      </w:r>
      <w:proofErr w:type="spellStart"/>
      <w:r>
        <w:t>Šmite</w:t>
      </w:r>
      <w:proofErr w:type="spellEnd"/>
      <w:r>
        <w:t xml:space="preserve">, D., Paasivaara, M. and Lassenius, C. (2021) ‘Finding the sweet spot for organizational control and team autonomy in large-scale agile software development’, Empirical Software Engineering, 26, 101. Available at: </w:t>
      </w:r>
      <w:hyperlink r:id="rId29">
        <w:r>
          <w:rPr>
            <w:color w:val="0563C1"/>
            <w:u w:val="single"/>
          </w:rPr>
          <w:t>https://doi.org/10.1007/s10664-021-09967-3</w:t>
        </w:r>
      </w:hyperlink>
    </w:p>
    <w:p w14:paraId="36EB61F9" w14:textId="77777777" w:rsidR="00D73A05" w:rsidRPr="00766876" w:rsidRDefault="00D73A05" w:rsidP="00766876">
      <w:r w:rsidRPr="00766876">
        <w:t xml:space="preserve">Mukherjee, T. and Dhar, R.L. (2023) ‘Unraveling the black box of job crafting interventions: A systematic literature review and future prospects’, Applied Psychology, 72(3), pp. 1270–1323. Available at: </w:t>
      </w:r>
      <w:hyperlink r:id="rId30">
        <w:r w:rsidRPr="00766876">
          <w:rPr>
            <w:rStyle w:val="Hyperlink"/>
          </w:rPr>
          <w:t>https://doi.org/10.1111/apps.12434</w:t>
        </w:r>
      </w:hyperlink>
      <w:r w:rsidRPr="00766876">
        <w:t xml:space="preserve"> (Accessed: 12 October 2026).</w:t>
      </w:r>
    </w:p>
    <w:p w14:paraId="7F1A687E" w14:textId="77777777" w:rsidR="00D73A05" w:rsidRDefault="00D73A05" w:rsidP="00635D2F">
      <w:pPr>
        <w:rPr>
          <w:lang w:val="en-IN"/>
        </w:rPr>
      </w:pPr>
      <w:r w:rsidRPr="00635D2F">
        <w:rPr>
          <w:lang w:val="en-IN"/>
        </w:rPr>
        <w:t xml:space="preserve">National Institute of Standards and Technology (NIST) (2023) Artificial Intelligence Risk Management Framework (AI RMF 1.0). Available at: </w:t>
      </w:r>
      <w:hyperlink r:id="rId31" w:history="1">
        <w:r w:rsidRPr="00635D2F">
          <w:rPr>
            <w:rStyle w:val="Hyperlink"/>
            <w:lang w:val="en-IN"/>
          </w:rPr>
          <w:t>https://doi.org/10.6028/NIST.AI.100-1</w:t>
        </w:r>
      </w:hyperlink>
      <w:r w:rsidRPr="00635D2F">
        <w:rPr>
          <w:lang w:val="en-IN"/>
        </w:rPr>
        <w:t xml:space="preserve"> (Accessed: 12 October 2026).</w:t>
      </w:r>
    </w:p>
    <w:p w14:paraId="33279E37" w14:textId="77777777" w:rsidR="00D73A05" w:rsidRPr="00766876" w:rsidRDefault="00D73A05" w:rsidP="00766876">
      <w:r w:rsidRPr="00766876">
        <w:t xml:space="preserve">Ng, T.W.H., Yim, F.H.K., Chen, H. and Zou, Y. (2024) ‘Employer-sponsored career development practices and employee performance and turnover: A meta-analysis’, Journal of Management, 50(2), pp. 685–721. Available at: </w:t>
      </w:r>
      <w:hyperlink r:id="rId32">
        <w:r w:rsidRPr="00766876">
          <w:rPr>
            <w:rStyle w:val="Hyperlink"/>
          </w:rPr>
          <w:t>https://doi.org/10.1177/01492063221125143</w:t>
        </w:r>
      </w:hyperlink>
      <w:r w:rsidRPr="00766876">
        <w:t xml:space="preserve"> (Accessed: 12 October 2026).</w:t>
      </w:r>
    </w:p>
    <w:p w14:paraId="11ED61F3" w14:textId="5C32B587" w:rsidR="00D73A05" w:rsidRDefault="00D73A05" w:rsidP="00FD70A7">
      <w:r>
        <w:t xml:space="preserve">Yang, L., Holtz, D., Jaffe, S. </w:t>
      </w:r>
      <w:r w:rsidR="00BF74DF" w:rsidRPr="00BF74DF">
        <w:rPr>
          <w:i/>
          <w:iCs/>
        </w:rPr>
        <w:t>et al</w:t>
      </w:r>
      <w:r w:rsidRPr="00F93764">
        <w:t>.</w:t>
      </w:r>
      <w:r>
        <w:t xml:space="preserve"> (2022) ‘The effects of remote work on collaboration among information workers’, Nature Human </w:t>
      </w:r>
      <w:proofErr w:type="spellStart"/>
      <w:r>
        <w:t>Behaviour</w:t>
      </w:r>
      <w:proofErr w:type="spellEnd"/>
      <w:r>
        <w:t xml:space="preserve">, 6, pp. 43–54. Available at: </w:t>
      </w:r>
      <w:hyperlink r:id="rId33">
        <w:r>
          <w:rPr>
            <w:color w:val="0563C1"/>
            <w:u w:val="single"/>
          </w:rPr>
          <w:t>https://doi.org/10.1038/s41562-021-01196-4</w:t>
        </w:r>
      </w:hyperlink>
    </w:p>
    <w:p w14:paraId="63D73CBC" w14:textId="77777777" w:rsidR="00766876" w:rsidRDefault="00766876" w:rsidP="00FD70A7"/>
    <w:sectPr w:rsidR="00766876" w:rsidSect="00FD70A7">
      <w:footerReference w:type="default" r:id="rId3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D16CA" w14:textId="77777777" w:rsidR="00D556DB" w:rsidRDefault="00D556DB">
      <w:pPr>
        <w:spacing w:before="0" w:after="0" w:line="240" w:lineRule="auto"/>
      </w:pPr>
      <w:r>
        <w:separator/>
      </w:r>
    </w:p>
  </w:endnote>
  <w:endnote w:type="continuationSeparator" w:id="0">
    <w:p w14:paraId="5F2AE026" w14:textId="77777777" w:rsidR="00D556DB" w:rsidRDefault="00D556D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75EDF" w14:textId="77777777" w:rsidR="00BF2E29" w:rsidRDefault="00000000">
    <w:pPr>
      <w:pStyle w:val="Footer"/>
      <w:jc w:val="center"/>
    </w:pPr>
    <w:r>
      <w:rPr>
        <w:sz w:val="20"/>
      </w:rPr>
      <w:fldChar w:fldCharType="begin"/>
    </w:r>
    <w:r>
      <w:rPr>
        <w:sz w:val="20"/>
      </w:rPr>
      <w:instrText xml:space="preserve"> PAGE </w:instrText>
    </w:r>
    <w:r>
      <w:rPr>
        <w:sz w:val="20"/>
      </w:rPr>
      <w:fldChar w:fldCharType="separate"/>
    </w:r>
    <w:r w:rsidR="00FD70A7">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76EE9" w14:textId="77777777" w:rsidR="00D556DB" w:rsidRDefault="00D556DB">
      <w:pPr>
        <w:spacing w:before="0" w:after="0" w:line="240" w:lineRule="auto"/>
      </w:pPr>
      <w:r>
        <w:separator/>
      </w:r>
    </w:p>
  </w:footnote>
  <w:footnote w:type="continuationSeparator" w:id="0">
    <w:p w14:paraId="39082B96" w14:textId="77777777" w:rsidR="00D556DB" w:rsidRDefault="00D556D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86810768">
    <w:abstractNumId w:val="8"/>
  </w:num>
  <w:num w:numId="2" w16cid:durableId="404693275">
    <w:abstractNumId w:val="6"/>
  </w:num>
  <w:num w:numId="3" w16cid:durableId="1733888372">
    <w:abstractNumId w:val="5"/>
  </w:num>
  <w:num w:numId="4" w16cid:durableId="1898196978">
    <w:abstractNumId w:val="4"/>
  </w:num>
  <w:num w:numId="5" w16cid:durableId="1097480447">
    <w:abstractNumId w:val="7"/>
  </w:num>
  <w:num w:numId="6" w16cid:durableId="1557475275">
    <w:abstractNumId w:val="3"/>
  </w:num>
  <w:num w:numId="7" w16cid:durableId="1692415320">
    <w:abstractNumId w:val="2"/>
  </w:num>
  <w:num w:numId="8" w16cid:durableId="989211989">
    <w:abstractNumId w:val="1"/>
  </w:num>
  <w:num w:numId="9" w16cid:durableId="123472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2E02"/>
    <w:rsid w:val="000F0406"/>
    <w:rsid w:val="0015074B"/>
    <w:rsid w:val="0026534A"/>
    <w:rsid w:val="0029639D"/>
    <w:rsid w:val="002B404E"/>
    <w:rsid w:val="00326F90"/>
    <w:rsid w:val="00537FCC"/>
    <w:rsid w:val="00543B29"/>
    <w:rsid w:val="00635D2F"/>
    <w:rsid w:val="00721BAF"/>
    <w:rsid w:val="007230CE"/>
    <w:rsid w:val="00766876"/>
    <w:rsid w:val="00795EB3"/>
    <w:rsid w:val="007A49EE"/>
    <w:rsid w:val="007A5F36"/>
    <w:rsid w:val="007F1EC9"/>
    <w:rsid w:val="008F6424"/>
    <w:rsid w:val="009C1470"/>
    <w:rsid w:val="00A302FA"/>
    <w:rsid w:val="00AA1D8D"/>
    <w:rsid w:val="00B47730"/>
    <w:rsid w:val="00BA1780"/>
    <w:rsid w:val="00BF2E29"/>
    <w:rsid w:val="00BF74DF"/>
    <w:rsid w:val="00C46404"/>
    <w:rsid w:val="00CB0664"/>
    <w:rsid w:val="00CE4E3D"/>
    <w:rsid w:val="00D556DB"/>
    <w:rsid w:val="00D73A05"/>
    <w:rsid w:val="00E60C7C"/>
    <w:rsid w:val="00EC3B7A"/>
    <w:rsid w:val="00F1637C"/>
    <w:rsid w:val="00F93764"/>
    <w:rsid w:val="00FC693F"/>
    <w:rsid w:val="00FD70A7"/>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D7F0C0"/>
  <w14:defaultImageDpi w14:val="300"/>
  <w15:docId w15:val="{5923D7B5-DFED-42FF-A045-C7B364441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0A7"/>
    <w:pPr>
      <w:spacing w:before="120" w:after="120" w:line="36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D73A05"/>
    <w:pPr>
      <w:spacing w:before="0" w:after="200" w:line="276" w:lineRule="auto"/>
      <w:jc w:val="left"/>
      <w:outlineLvl w:val="0"/>
    </w:pPr>
    <w:rPr>
      <w:b/>
      <w:bCs/>
      <w:lang w:val="en-IN"/>
    </w:rPr>
  </w:style>
  <w:style w:type="paragraph" w:styleId="Heading2">
    <w:name w:val="heading 2"/>
    <w:basedOn w:val="Heading1"/>
    <w:next w:val="Normal"/>
    <w:link w:val="Heading2Char"/>
    <w:uiPriority w:val="9"/>
    <w:unhideWhenUsed/>
    <w:qFormat/>
    <w:rsid w:val="00D73A05"/>
    <w:pPr>
      <w:outlineLvl w:val="1"/>
    </w:pPr>
  </w:style>
  <w:style w:type="paragraph" w:styleId="Heading3">
    <w:name w:val="heading 3"/>
    <w:basedOn w:val="Heading1"/>
    <w:next w:val="Normal"/>
    <w:link w:val="Heading3Char"/>
    <w:uiPriority w:val="9"/>
    <w:unhideWhenUsed/>
    <w:qFormat/>
    <w:rsid w:val="00072E02"/>
    <w:pPr>
      <w:outlineLvl w:val="2"/>
    </w:p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D73A05"/>
    <w:rPr>
      <w:rFonts w:ascii="Times New Roman" w:eastAsia="Times New Roman" w:hAnsi="Times New Roman"/>
      <w:b/>
      <w:bCs/>
      <w:sz w:val="24"/>
      <w:lang w:val="en-IN"/>
    </w:rPr>
  </w:style>
  <w:style w:type="character" w:customStyle="1" w:styleId="Heading2Char">
    <w:name w:val="Heading 2 Char"/>
    <w:basedOn w:val="DefaultParagraphFont"/>
    <w:link w:val="Heading2"/>
    <w:uiPriority w:val="9"/>
    <w:rsid w:val="00D73A05"/>
    <w:rPr>
      <w:rFonts w:ascii="Times New Roman" w:eastAsia="Times New Roman" w:hAnsi="Times New Roman"/>
      <w:b/>
      <w:bCs/>
      <w:sz w:val="24"/>
      <w:lang w:val="en-IN"/>
    </w:rPr>
  </w:style>
  <w:style w:type="character" w:customStyle="1" w:styleId="Heading3Char">
    <w:name w:val="Heading 3 Char"/>
    <w:basedOn w:val="DefaultParagraphFont"/>
    <w:link w:val="Heading3"/>
    <w:uiPriority w:val="9"/>
    <w:rsid w:val="00072E02"/>
    <w:rPr>
      <w:rFonts w:ascii="Times New Roman" w:eastAsia="Times New Roman" w:hAnsi="Times New Roman"/>
      <w:b/>
      <w:bCs/>
      <w:sz w:val="24"/>
      <w:lang w:val="en-IN"/>
    </w:rPr>
  </w:style>
  <w:style w:type="paragraph" w:styleId="Title">
    <w:name w:val="Title"/>
    <w:basedOn w:val="Normal"/>
    <w:next w:val="Normal"/>
    <w:link w:val="TitleChar"/>
    <w:uiPriority w:val="10"/>
    <w:qFormat/>
    <w:rsid w:val="00FC693F"/>
    <w:pPr>
      <w:pBdr>
        <w:bottom w:val="single" w:sz="8" w:space="4" w:color="4F81BD" w:themeColor="accent1"/>
      </w:pBdr>
      <w:spacing w:before="160" w:after="100"/>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35D2F"/>
    <w:rPr>
      <w:color w:val="0000FF" w:themeColor="hyperlink"/>
      <w:u w:val="single"/>
    </w:rPr>
  </w:style>
  <w:style w:type="character" w:styleId="UnresolvedMention">
    <w:name w:val="Unresolved Mention"/>
    <w:basedOn w:val="DefaultParagraphFont"/>
    <w:uiPriority w:val="99"/>
    <w:semiHidden/>
    <w:unhideWhenUsed/>
    <w:rsid w:val="00635D2F"/>
    <w:rPr>
      <w:color w:val="605E5C"/>
      <w:shd w:val="clear" w:color="auto" w:fill="E1DFDD"/>
    </w:rPr>
  </w:style>
  <w:style w:type="paragraph" w:styleId="TOC1">
    <w:name w:val="toc 1"/>
    <w:basedOn w:val="Normal"/>
    <w:next w:val="Normal"/>
    <w:autoRedefine/>
    <w:uiPriority w:val="39"/>
    <w:unhideWhenUsed/>
    <w:rsid w:val="00D73A05"/>
    <w:pPr>
      <w:spacing w:after="100"/>
    </w:pPr>
  </w:style>
  <w:style w:type="paragraph" w:styleId="TOC2">
    <w:name w:val="toc 2"/>
    <w:basedOn w:val="Normal"/>
    <w:next w:val="Normal"/>
    <w:autoRedefine/>
    <w:uiPriority w:val="39"/>
    <w:unhideWhenUsed/>
    <w:rsid w:val="00D73A05"/>
    <w:pPr>
      <w:spacing w:after="100"/>
      <w:ind w:left="240"/>
    </w:pPr>
  </w:style>
  <w:style w:type="character" w:styleId="CommentReference">
    <w:name w:val="annotation reference"/>
    <w:basedOn w:val="DefaultParagraphFont"/>
    <w:uiPriority w:val="99"/>
    <w:semiHidden/>
    <w:unhideWhenUsed/>
    <w:rsid w:val="00A302FA"/>
    <w:rPr>
      <w:sz w:val="16"/>
      <w:szCs w:val="16"/>
    </w:rPr>
  </w:style>
  <w:style w:type="paragraph" w:styleId="CommentText">
    <w:name w:val="annotation text"/>
    <w:basedOn w:val="Normal"/>
    <w:link w:val="CommentTextChar"/>
    <w:uiPriority w:val="99"/>
    <w:unhideWhenUsed/>
    <w:rsid w:val="00A302FA"/>
    <w:pPr>
      <w:spacing w:line="240" w:lineRule="auto"/>
    </w:pPr>
    <w:rPr>
      <w:sz w:val="20"/>
      <w:szCs w:val="20"/>
    </w:rPr>
  </w:style>
  <w:style w:type="character" w:customStyle="1" w:styleId="CommentTextChar">
    <w:name w:val="Comment Text Char"/>
    <w:basedOn w:val="DefaultParagraphFont"/>
    <w:link w:val="CommentText"/>
    <w:uiPriority w:val="99"/>
    <w:rsid w:val="00A302FA"/>
    <w:rPr>
      <w:rFonts w:ascii="Times New Roman" w:eastAsia="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302FA"/>
    <w:rPr>
      <w:b/>
      <w:bCs/>
    </w:rPr>
  </w:style>
  <w:style w:type="character" w:customStyle="1" w:styleId="CommentSubjectChar">
    <w:name w:val="Comment Subject Char"/>
    <w:basedOn w:val="CommentTextChar"/>
    <w:link w:val="CommentSubject"/>
    <w:uiPriority w:val="99"/>
    <w:semiHidden/>
    <w:rsid w:val="00A302FA"/>
    <w:rPr>
      <w:rFonts w:ascii="Times New Roman" w:eastAsia="Times New Roman" w:hAnsi="Times New Roman"/>
      <w:b/>
      <w:bCs/>
      <w:sz w:val="20"/>
      <w:szCs w:val="20"/>
    </w:rPr>
  </w:style>
  <w:style w:type="paragraph" w:styleId="TOC3">
    <w:name w:val="toc 3"/>
    <w:basedOn w:val="Normal"/>
    <w:next w:val="Normal"/>
    <w:autoRedefine/>
    <w:uiPriority w:val="39"/>
    <w:unhideWhenUsed/>
    <w:rsid w:val="00072E0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en/knowledge/reports/flexible-hybrid-working-practices/" TargetMode="External"/><Relationship Id="rId18" Type="http://schemas.openxmlformats.org/officeDocument/2006/relationships/hyperlink" Target="https://doi.org/10.1111/isj.12552" TargetMode="External"/><Relationship Id="rId26" Type="http://schemas.openxmlformats.org/officeDocument/2006/relationships/hyperlink" Target="https://doi.org/10.3389/fpsyg.2022.814154" TargetMode="External"/><Relationship Id="rId3" Type="http://schemas.openxmlformats.org/officeDocument/2006/relationships/styles" Target="styles.xml"/><Relationship Id="rId21" Type="http://schemas.openxmlformats.org/officeDocument/2006/relationships/hyperlink" Target="https://doi.org/10.1093/jcmc/zmad02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287/orsc.2021.1520" TargetMode="External"/><Relationship Id="rId17" Type="http://schemas.openxmlformats.org/officeDocument/2006/relationships/hyperlink" Target="https://doi.org/10.1007/s10796-020-10097-2" TargetMode="External"/><Relationship Id="rId25" Type="http://schemas.openxmlformats.org/officeDocument/2006/relationships/hyperlink" Target="https://doi.org/10.3389/fpsyg.2023.1079196" TargetMode="External"/><Relationship Id="rId33" Type="http://schemas.openxmlformats.org/officeDocument/2006/relationships/hyperlink" Target="https://doi.org/10.1038/s41562-021-01196-4" TargetMode="External"/><Relationship Id="rId2" Type="http://schemas.openxmlformats.org/officeDocument/2006/relationships/numbering" Target="numbering.xml"/><Relationship Id="rId16" Type="http://schemas.openxmlformats.org/officeDocument/2006/relationships/hyperlink" Target="https://doi.org/10.1146/annurev-orgpsych-120920-055217" TargetMode="External"/><Relationship Id="rId20" Type="http://schemas.openxmlformats.org/officeDocument/2006/relationships/hyperlink" Target="https://doi.org/10.1111/joop.12450" TargetMode="External"/><Relationship Id="rId29" Type="http://schemas.openxmlformats.org/officeDocument/2006/relationships/hyperlink" Target="https://doi.org/10.1007/s10664-021-09967-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8/s41586-024-07500-2" TargetMode="External"/><Relationship Id="rId24" Type="http://schemas.openxmlformats.org/officeDocument/2006/relationships/hyperlink" Target="https://business.linkedin.com/learn/resources/workplace-learning-report-2024" TargetMode="External"/><Relationship Id="rId32" Type="http://schemas.openxmlformats.org/officeDocument/2006/relationships/hyperlink" Target="https://doi.org/10.1177/01492063221125143" TargetMode="External"/><Relationship Id="rId5" Type="http://schemas.openxmlformats.org/officeDocument/2006/relationships/webSettings" Target="webSettings.xml"/><Relationship Id="rId15" Type="http://schemas.openxmlformats.org/officeDocument/2006/relationships/hyperlink" Target="https://www.cipd.org/uk/knowledge/reports/flexible-hybrid-working/" TargetMode="External"/><Relationship Id="rId23" Type="http://schemas.openxmlformats.org/officeDocument/2006/relationships/hyperlink" Target="https://doi.org/10.1146/annurev-orgpsych-091922-015852" TargetMode="External"/><Relationship Id="rId28" Type="http://schemas.openxmlformats.org/officeDocument/2006/relationships/hyperlink" Target="https://doi.org/10.1108/PR-08-2020-0617" TargetMode="External"/><Relationship Id="rId36" Type="http://schemas.openxmlformats.org/officeDocument/2006/relationships/theme" Target="theme/theme1.xml"/><Relationship Id="rId10" Type="http://schemas.openxmlformats.org/officeDocument/2006/relationships/hyperlink" Target="https://doi.org/10.1108/JOCM-02-2021-0039" TargetMode="External"/><Relationship Id="rId19" Type="http://schemas.openxmlformats.org/officeDocument/2006/relationships/hyperlink" Target="https://www.cipd.org/globalassets/media/knowledge/knowledge-hub/reports/2024-pdfs/8662-resource-and-talent-planning-2024-report-web.pdf" TargetMode="External"/><Relationship Id="rId31" Type="http://schemas.openxmlformats.org/officeDocument/2006/relationships/hyperlink" Target="https://doi.org/10.6028/NIST.AI.100-1" TargetMode="External"/><Relationship Id="rId4" Type="http://schemas.openxmlformats.org/officeDocument/2006/relationships/settings" Target="settings.xml"/><Relationship Id="rId9" Type="http://schemas.openxmlformats.org/officeDocument/2006/relationships/hyperlink" Target="https://doi.org/10.1016/j.hrmr.2021.100854" TargetMode="External"/><Relationship Id="rId14" Type="http://schemas.openxmlformats.org/officeDocument/2006/relationships/hyperlink" Target="https://www.cipd.org/en/knowledge/factsheets/talent-factsheet/" TargetMode="External"/><Relationship Id="rId22" Type="http://schemas.openxmlformats.org/officeDocument/2006/relationships/hyperlink" Target="https://doi.org/10.1146/annurev-orgpsych-012420-060109" TargetMode="External"/><Relationship Id="rId27" Type="http://schemas.openxmlformats.org/officeDocument/2006/relationships/hyperlink" Target="https://doi.org/10.1016/j.ijproman.2020.09.002" TargetMode="External"/><Relationship Id="rId30" Type="http://schemas.openxmlformats.org/officeDocument/2006/relationships/hyperlink" Target="https://doi.org/10.1111/apps.12434"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13</Pages>
  <Words>4310</Words>
  <Characters>24572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28825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2013-12-23T23:15:00Z</dcterms:created>
  <dcterms:modified xsi:type="dcterms:W3CDTF">2026-10-13T13:19:00Z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a710a836a44c1adb73cf01b11ef36421124aeb7da4915f7f83c196a6c50e21e0</vt:lpwstr>
  </property>
</Properties>
</file>