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09C3F" w14:textId="77777777" w:rsidR="00300396" w:rsidRDefault="00000000">
      <w:pPr>
        <w:pStyle w:val="Title"/>
        <w:spacing w:line="360" w:lineRule="auto"/>
      </w:pPr>
      <w:r>
        <w:t>INDIVIDUAL REPORT</w:t>
      </w:r>
    </w:p>
    <w:p w14:paraId="57770316" w14:textId="77777777" w:rsidR="00300396" w:rsidRDefault="00300396"/>
    <w:p w14:paraId="0BBE59E8" w14:textId="77777777" w:rsidR="00300396" w:rsidRDefault="00300396"/>
    <w:p w14:paraId="208BD6E0" w14:textId="77777777" w:rsidR="00300396" w:rsidRDefault="00300396"/>
    <w:p w14:paraId="2FBF0EB1" w14:textId="77777777" w:rsidR="00300396" w:rsidRDefault="00300396"/>
    <w:p w14:paraId="4FA3626F" w14:textId="18CAD7A6" w:rsidR="00300396" w:rsidRDefault="00000000">
      <w:r>
        <w:t>Student No:</w:t>
      </w:r>
      <w:r w:rsidR="00CE3ACF">
        <w:t xml:space="preserve"> </w:t>
      </w:r>
      <w:r w:rsidR="004804BC">
        <w:t>2239</w:t>
      </w:r>
      <w:r w:rsidR="00E82871">
        <w:t>451</w:t>
      </w:r>
    </w:p>
    <w:p w14:paraId="4A0416C3" w14:textId="44C7C322" w:rsidR="00300396" w:rsidRDefault="00000000">
      <w:r>
        <w:t>Student Name:</w:t>
      </w:r>
      <w:r w:rsidR="00E82871">
        <w:t xml:space="preserve"> Dumitru Butcaru</w:t>
      </w:r>
    </w:p>
    <w:p w14:paraId="19EA19E6" w14:textId="77777777" w:rsidR="00300396" w:rsidRDefault="00000000">
      <w:r>
        <w:t>Module No: LCLM 6001</w:t>
      </w:r>
    </w:p>
    <w:p w14:paraId="44F044FA" w14:textId="77777777" w:rsidR="00300396" w:rsidRDefault="00000000">
      <w:r>
        <w:t>Module Name: Strategic Management for Business</w:t>
      </w:r>
    </w:p>
    <w:p w14:paraId="5092FC0B" w14:textId="724DCEDD" w:rsidR="00300396" w:rsidRDefault="00000000">
      <w:r>
        <w:t xml:space="preserve">Lecturer's Name: </w:t>
      </w:r>
      <w:r w:rsidR="003157E9">
        <w:t>Yohan Mendis</w:t>
      </w:r>
    </w:p>
    <w:p w14:paraId="31DC07F1" w14:textId="77777777" w:rsidR="00300396" w:rsidRDefault="00000000">
      <w:pPr>
        <w:jc w:val="left"/>
        <w:rPr>
          <w:b/>
          <w:smallCaps/>
          <w:sz w:val="36"/>
          <w:szCs w:val="36"/>
          <w:highlight w:val="white"/>
          <w:u w:val="single"/>
        </w:rPr>
      </w:pPr>
      <w:r>
        <w:br w:type="page"/>
      </w:r>
    </w:p>
    <w:p w14:paraId="61296923" w14:textId="1D1F8BAC" w:rsidR="00300396" w:rsidRPr="009A2001" w:rsidRDefault="00000000" w:rsidP="009A2001">
      <w:pPr>
        <w:jc w:val="center"/>
        <w:rPr>
          <w:b/>
          <w:bCs/>
          <w:sz w:val="28"/>
          <w:szCs w:val="28"/>
        </w:rPr>
      </w:pPr>
      <w:r w:rsidRPr="009A2001">
        <w:rPr>
          <w:b/>
          <w:bCs/>
          <w:sz w:val="28"/>
          <w:szCs w:val="28"/>
        </w:rPr>
        <w:lastRenderedPageBreak/>
        <w:t>Executive Summary</w:t>
      </w:r>
    </w:p>
    <w:p w14:paraId="0CB35396" w14:textId="4E8713D5" w:rsidR="00300396" w:rsidRDefault="00000000">
      <w:r>
        <w:t xml:space="preserve">The Sweet Greeks is a coffee-shop SME with a location </w:t>
      </w:r>
      <w:r w:rsidR="00300035">
        <w:t>at 20 Meal Cheapen Street in Worcestershire (WR12DQ), which has established itself</w:t>
      </w:r>
      <w:r>
        <w:t xml:space="preserve"> as one of the best cafes in the city over the last three years. It also </w:t>
      </w:r>
      <w:r w:rsidR="00300035">
        <w:t>aimed to grow organically, as a second establishment was established in Droitwich within the following year, and plans were made to expand</w:t>
      </w:r>
      <w:r>
        <w:t xml:space="preserve"> to other cities. Its products included organic coffee, homemade cookies and pastries, and wedding and party catering. The strengths were good customer reviews (on TripAdvisor, Facebook, and Google), the limited number of staff (10 employees), and the reputation for quality and respect. Nevertheless, the company was threatened by the increase in costs (inputs, tax), stiff competition with companies like Costa and Starbucks, and price sensitivity pressures. A strategic approach to its internal and external environment has demonstrated that despite the potential opportunities of The Sweet Greeks. Its existing strategic objectives (the vision, mission, goals) were not expressed and aligned in their formal way. Available options of strategic growth were taken into consideration, and a sustainable approach of growth through market development and differentiation through digital presence and partnering was proposed. The major recommendations are the improvement of formal strategy instruments, stakeholder interactions, and investment in branding and operational efficiency.</w:t>
      </w:r>
    </w:p>
    <w:p w14:paraId="569A5C3C" w14:textId="77777777" w:rsidR="00300396" w:rsidRDefault="00000000">
      <w:pPr>
        <w:jc w:val="left"/>
      </w:pPr>
      <w:r>
        <w:br w:type="page"/>
      </w:r>
    </w:p>
    <w:p w14:paraId="7AD15338" w14:textId="77777777" w:rsidR="00300396" w:rsidRDefault="00000000" w:rsidP="009A2001">
      <w:pPr>
        <w:keepNext/>
        <w:keepLines/>
        <w:pBdr>
          <w:top w:val="nil"/>
          <w:left w:val="nil"/>
          <w:bottom w:val="nil"/>
          <w:right w:val="nil"/>
          <w:between w:val="nil"/>
        </w:pBdr>
        <w:spacing w:before="240" w:after="0"/>
        <w:jc w:val="center"/>
        <w:rPr>
          <w:b/>
          <w:color w:val="000000"/>
          <w:sz w:val="28"/>
          <w:szCs w:val="28"/>
        </w:rPr>
      </w:pPr>
      <w:r>
        <w:rPr>
          <w:b/>
          <w:color w:val="000000"/>
          <w:sz w:val="28"/>
          <w:szCs w:val="28"/>
        </w:rPr>
        <w:lastRenderedPageBreak/>
        <w:t>Table of Contents</w:t>
      </w:r>
    </w:p>
    <w:sdt>
      <w:sdtPr>
        <w:id w:val="-14894391"/>
        <w:docPartObj>
          <w:docPartGallery w:val="Table of Contents"/>
          <w:docPartUnique/>
        </w:docPartObj>
      </w:sdtPr>
      <w:sdtContent>
        <w:p w14:paraId="0F23BDD6" w14:textId="1D091667" w:rsidR="00300035" w:rsidRDefault="00000000">
          <w:pPr>
            <w:pStyle w:val="TOC1"/>
            <w:tabs>
              <w:tab w:val="right" w:pos="9350"/>
            </w:tabs>
            <w:rPr>
              <w:rFonts w:asciiTheme="minorHAnsi" w:eastAsiaTheme="minorEastAsia" w:hAnsiTheme="minorHAnsi" w:cstheme="minorBidi"/>
              <w:noProof/>
              <w:kern w:val="2"/>
              <w:sz w:val="24"/>
              <w:szCs w:val="24"/>
              <w:lang w:val="en-US"/>
              <w14:ligatures w14:val="standardContextual"/>
            </w:rPr>
          </w:pPr>
          <w:r>
            <w:fldChar w:fldCharType="begin"/>
          </w:r>
          <w:r>
            <w:instrText xml:space="preserve"> TOC \h \u \z \t "Heading 1,1,Heading 2,2,Heading 3,3,"</w:instrText>
          </w:r>
          <w:r>
            <w:fldChar w:fldCharType="separate"/>
          </w:r>
          <w:hyperlink w:anchor="_Toc211593569" w:history="1">
            <w:r w:rsidR="00300035" w:rsidRPr="00876B72">
              <w:rPr>
                <w:rStyle w:val="Hyperlink"/>
                <w:noProof/>
              </w:rPr>
              <w:t>Introduction</w:t>
            </w:r>
            <w:r w:rsidR="00300035">
              <w:rPr>
                <w:noProof/>
                <w:webHidden/>
              </w:rPr>
              <w:tab/>
            </w:r>
            <w:r w:rsidR="00300035">
              <w:rPr>
                <w:noProof/>
                <w:webHidden/>
              </w:rPr>
              <w:fldChar w:fldCharType="begin"/>
            </w:r>
            <w:r w:rsidR="00300035">
              <w:rPr>
                <w:noProof/>
                <w:webHidden/>
              </w:rPr>
              <w:instrText xml:space="preserve"> PAGEREF _Toc211593569 \h </w:instrText>
            </w:r>
            <w:r w:rsidR="00300035">
              <w:rPr>
                <w:noProof/>
                <w:webHidden/>
              </w:rPr>
            </w:r>
            <w:r w:rsidR="00300035">
              <w:rPr>
                <w:noProof/>
                <w:webHidden/>
              </w:rPr>
              <w:fldChar w:fldCharType="separate"/>
            </w:r>
            <w:r w:rsidR="00300035">
              <w:rPr>
                <w:noProof/>
                <w:webHidden/>
              </w:rPr>
              <w:t>4</w:t>
            </w:r>
            <w:r w:rsidR="00300035">
              <w:rPr>
                <w:noProof/>
                <w:webHidden/>
              </w:rPr>
              <w:fldChar w:fldCharType="end"/>
            </w:r>
          </w:hyperlink>
        </w:p>
        <w:p w14:paraId="6936702A" w14:textId="0E942EB1" w:rsidR="00300035" w:rsidRDefault="00300035">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1593570" w:history="1">
            <w:r w:rsidRPr="00876B72">
              <w:rPr>
                <w:rStyle w:val="Hyperlink"/>
                <w:noProof/>
              </w:rPr>
              <w:t>Current strategic direction and goals</w:t>
            </w:r>
            <w:r>
              <w:rPr>
                <w:noProof/>
                <w:webHidden/>
              </w:rPr>
              <w:tab/>
            </w:r>
            <w:r>
              <w:rPr>
                <w:noProof/>
                <w:webHidden/>
              </w:rPr>
              <w:fldChar w:fldCharType="begin"/>
            </w:r>
            <w:r>
              <w:rPr>
                <w:noProof/>
                <w:webHidden/>
              </w:rPr>
              <w:instrText xml:space="preserve"> PAGEREF _Toc211593570 \h </w:instrText>
            </w:r>
            <w:r>
              <w:rPr>
                <w:noProof/>
                <w:webHidden/>
              </w:rPr>
            </w:r>
            <w:r>
              <w:rPr>
                <w:noProof/>
                <w:webHidden/>
              </w:rPr>
              <w:fldChar w:fldCharType="separate"/>
            </w:r>
            <w:r>
              <w:rPr>
                <w:noProof/>
                <w:webHidden/>
              </w:rPr>
              <w:t>5</w:t>
            </w:r>
            <w:r>
              <w:rPr>
                <w:noProof/>
                <w:webHidden/>
              </w:rPr>
              <w:fldChar w:fldCharType="end"/>
            </w:r>
          </w:hyperlink>
        </w:p>
        <w:p w14:paraId="6879E8A7" w14:textId="7681B334" w:rsidR="00300035" w:rsidRDefault="00300035">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1593571" w:history="1">
            <w:r w:rsidRPr="00876B72">
              <w:rPr>
                <w:rStyle w:val="Hyperlink"/>
                <w:noProof/>
              </w:rPr>
              <w:t>Internal environment and External environment</w:t>
            </w:r>
            <w:r>
              <w:rPr>
                <w:noProof/>
                <w:webHidden/>
              </w:rPr>
              <w:tab/>
            </w:r>
            <w:r>
              <w:rPr>
                <w:noProof/>
                <w:webHidden/>
              </w:rPr>
              <w:fldChar w:fldCharType="begin"/>
            </w:r>
            <w:r>
              <w:rPr>
                <w:noProof/>
                <w:webHidden/>
              </w:rPr>
              <w:instrText xml:space="preserve"> PAGEREF _Toc211593571 \h </w:instrText>
            </w:r>
            <w:r>
              <w:rPr>
                <w:noProof/>
                <w:webHidden/>
              </w:rPr>
            </w:r>
            <w:r>
              <w:rPr>
                <w:noProof/>
                <w:webHidden/>
              </w:rPr>
              <w:fldChar w:fldCharType="separate"/>
            </w:r>
            <w:r>
              <w:rPr>
                <w:noProof/>
                <w:webHidden/>
              </w:rPr>
              <w:t>6</w:t>
            </w:r>
            <w:r>
              <w:rPr>
                <w:noProof/>
                <w:webHidden/>
              </w:rPr>
              <w:fldChar w:fldCharType="end"/>
            </w:r>
          </w:hyperlink>
        </w:p>
        <w:p w14:paraId="27DF3000" w14:textId="5FF968D8" w:rsidR="00300035" w:rsidRDefault="00300035">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1593572" w:history="1">
            <w:r w:rsidRPr="00876B72">
              <w:rPr>
                <w:rStyle w:val="Hyperlink"/>
                <w:noProof/>
              </w:rPr>
              <w:t>Strategic Growth Choices &amp; Proposed New Strategy</w:t>
            </w:r>
            <w:r>
              <w:rPr>
                <w:noProof/>
                <w:webHidden/>
              </w:rPr>
              <w:tab/>
            </w:r>
            <w:r>
              <w:rPr>
                <w:noProof/>
                <w:webHidden/>
              </w:rPr>
              <w:fldChar w:fldCharType="begin"/>
            </w:r>
            <w:r>
              <w:rPr>
                <w:noProof/>
                <w:webHidden/>
              </w:rPr>
              <w:instrText xml:space="preserve"> PAGEREF _Toc211593572 \h </w:instrText>
            </w:r>
            <w:r>
              <w:rPr>
                <w:noProof/>
                <w:webHidden/>
              </w:rPr>
            </w:r>
            <w:r>
              <w:rPr>
                <w:noProof/>
                <w:webHidden/>
              </w:rPr>
              <w:fldChar w:fldCharType="separate"/>
            </w:r>
            <w:r>
              <w:rPr>
                <w:noProof/>
                <w:webHidden/>
              </w:rPr>
              <w:t>12</w:t>
            </w:r>
            <w:r>
              <w:rPr>
                <w:noProof/>
                <w:webHidden/>
              </w:rPr>
              <w:fldChar w:fldCharType="end"/>
            </w:r>
          </w:hyperlink>
        </w:p>
        <w:p w14:paraId="384147F7" w14:textId="46AFBA04" w:rsidR="00300035" w:rsidRDefault="00300035">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1593573" w:history="1">
            <w:r w:rsidRPr="00876B72">
              <w:rPr>
                <w:rStyle w:val="Hyperlink"/>
                <w:noProof/>
              </w:rPr>
              <w:t>Key Strategic Recommendations</w:t>
            </w:r>
            <w:r>
              <w:rPr>
                <w:noProof/>
                <w:webHidden/>
              </w:rPr>
              <w:tab/>
            </w:r>
            <w:r>
              <w:rPr>
                <w:noProof/>
                <w:webHidden/>
              </w:rPr>
              <w:fldChar w:fldCharType="begin"/>
            </w:r>
            <w:r>
              <w:rPr>
                <w:noProof/>
                <w:webHidden/>
              </w:rPr>
              <w:instrText xml:space="preserve"> PAGEREF _Toc211593573 \h </w:instrText>
            </w:r>
            <w:r>
              <w:rPr>
                <w:noProof/>
                <w:webHidden/>
              </w:rPr>
            </w:r>
            <w:r>
              <w:rPr>
                <w:noProof/>
                <w:webHidden/>
              </w:rPr>
              <w:fldChar w:fldCharType="separate"/>
            </w:r>
            <w:r>
              <w:rPr>
                <w:noProof/>
                <w:webHidden/>
              </w:rPr>
              <w:t>18</w:t>
            </w:r>
            <w:r>
              <w:rPr>
                <w:noProof/>
                <w:webHidden/>
              </w:rPr>
              <w:fldChar w:fldCharType="end"/>
            </w:r>
          </w:hyperlink>
        </w:p>
        <w:p w14:paraId="3B72B203" w14:textId="70B99B85" w:rsidR="00300035" w:rsidRDefault="00300035">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1593574" w:history="1">
            <w:r w:rsidRPr="00876B72">
              <w:rPr>
                <w:rStyle w:val="Hyperlink"/>
                <w:noProof/>
              </w:rPr>
              <w:t>Conclusion</w:t>
            </w:r>
            <w:r>
              <w:rPr>
                <w:noProof/>
                <w:webHidden/>
              </w:rPr>
              <w:tab/>
            </w:r>
            <w:r>
              <w:rPr>
                <w:noProof/>
                <w:webHidden/>
              </w:rPr>
              <w:fldChar w:fldCharType="begin"/>
            </w:r>
            <w:r>
              <w:rPr>
                <w:noProof/>
                <w:webHidden/>
              </w:rPr>
              <w:instrText xml:space="preserve"> PAGEREF _Toc211593574 \h </w:instrText>
            </w:r>
            <w:r>
              <w:rPr>
                <w:noProof/>
                <w:webHidden/>
              </w:rPr>
            </w:r>
            <w:r>
              <w:rPr>
                <w:noProof/>
                <w:webHidden/>
              </w:rPr>
              <w:fldChar w:fldCharType="separate"/>
            </w:r>
            <w:r>
              <w:rPr>
                <w:noProof/>
                <w:webHidden/>
              </w:rPr>
              <w:t>19</w:t>
            </w:r>
            <w:r>
              <w:rPr>
                <w:noProof/>
                <w:webHidden/>
              </w:rPr>
              <w:fldChar w:fldCharType="end"/>
            </w:r>
          </w:hyperlink>
        </w:p>
        <w:p w14:paraId="3A23EA6B" w14:textId="03C3950A" w:rsidR="00300035" w:rsidRDefault="00300035">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11593575" w:history="1">
            <w:r w:rsidRPr="00876B72">
              <w:rPr>
                <w:rStyle w:val="Hyperlink"/>
                <w:noProof/>
              </w:rPr>
              <w:t>References</w:t>
            </w:r>
            <w:r>
              <w:rPr>
                <w:noProof/>
                <w:webHidden/>
              </w:rPr>
              <w:tab/>
            </w:r>
            <w:r>
              <w:rPr>
                <w:noProof/>
                <w:webHidden/>
              </w:rPr>
              <w:fldChar w:fldCharType="begin"/>
            </w:r>
            <w:r>
              <w:rPr>
                <w:noProof/>
                <w:webHidden/>
              </w:rPr>
              <w:instrText xml:space="preserve"> PAGEREF _Toc211593575 \h </w:instrText>
            </w:r>
            <w:r>
              <w:rPr>
                <w:noProof/>
                <w:webHidden/>
              </w:rPr>
            </w:r>
            <w:r>
              <w:rPr>
                <w:noProof/>
                <w:webHidden/>
              </w:rPr>
              <w:fldChar w:fldCharType="separate"/>
            </w:r>
            <w:r>
              <w:rPr>
                <w:noProof/>
                <w:webHidden/>
              </w:rPr>
              <w:t>20</w:t>
            </w:r>
            <w:r>
              <w:rPr>
                <w:noProof/>
                <w:webHidden/>
              </w:rPr>
              <w:fldChar w:fldCharType="end"/>
            </w:r>
          </w:hyperlink>
        </w:p>
        <w:p w14:paraId="3390FA2F" w14:textId="0EE4CFBC" w:rsidR="00300396" w:rsidRDefault="00000000">
          <w:r>
            <w:fldChar w:fldCharType="end"/>
          </w:r>
        </w:p>
      </w:sdtContent>
    </w:sdt>
    <w:p w14:paraId="5BDABA0F" w14:textId="77777777" w:rsidR="00300396" w:rsidRDefault="00300396"/>
    <w:p w14:paraId="7120BB3F" w14:textId="77777777" w:rsidR="00300396" w:rsidRPr="009A2001" w:rsidRDefault="00000000" w:rsidP="009A2001">
      <w:pPr>
        <w:jc w:val="center"/>
        <w:rPr>
          <w:b/>
          <w:bCs/>
          <w:sz w:val="28"/>
          <w:szCs w:val="28"/>
        </w:rPr>
      </w:pPr>
      <w:r w:rsidRPr="009A2001">
        <w:rPr>
          <w:b/>
          <w:bCs/>
          <w:sz w:val="28"/>
          <w:szCs w:val="28"/>
        </w:rPr>
        <w:t>List of Figures</w:t>
      </w:r>
    </w:p>
    <w:sdt>
      <w:sdtPr>
        <w:id w:val="-553444724"/>
        <w:docPartObj>
          <w:docPartGallery w:val="Table of Contents"/>
          <w:docPartUnique/>
        </w:docPartObj>
      </w:sdtPr>
      <w:sdtContent>
        <w:p w14:paraId="0FBC4C03" w14:textId="77777777" w:rsidR="00300396" w:rsidRDefault="00000000">
          <w:pPr>
            <w:pBdr>
              <w:top w:val="nil"/>
              <w:left w:val="nil"/>
              <w:bottom w:val="nil"/>
              <w:right w:val="nil"/>
              <w:between w:val="nil"/>
            </w:pBdr>
            <w:tabs>
              <w:tab w:val="right" w:pos="9350"/>
            </w:tabs>
            <w:spacing w:after="0"/>
            <w:rPr>
              <w:color w:val="000000"/>
            </w:rPr>
          </w:pPr>
          <w:r>
            <w:fldChar w:fldCharType="begin"/>
          </w:r>
          <w:r>
            <w:instrText xml:space="preserve"> TOC \h \u \z \t "Heading 1,1,Heading 2,2,Heading 3,3,Heading 4,4,Heading 5,5,Heading 6,6,"</w:instrText>
          </w:r>
          <w:r>
            <w:fldChar w:fldCharType="separate"/>
          </w:r>
          <w:hyperlink w:anchor="_y4ji3tfz23g3">
            <w:r w:rsidR="00300396">
              <w:rPr>
                <w:b/>
                <w:color w:val="000000"/>
              </w:rPr>
              <w:t>Figure 1: The Sweet Greek Logo</w:t>
            </w:r>
          </w:hyperlink>
          <w:hyperlink w:anchor="_y4ji3tfz23g3">
            <w:r w:rsidR="00300396">
              <w:rPr>
                <w:color w:val="000000"/>
              </w:rPr>
              <w:tab/>
              <w:t>4</w:t>
            </w:r>
          </w:hyperlink>
        </w:p>
        <w:p w14:paraId="45BCC6C3" w14:textId="77777777" w:rsidR="00300396" w:rsidRDefault="00300396">
          <w:pPr>
            <w:pBdr>
              <w:top w:val="nil"/>
              <w:left w:val="nil"/>
              <w:bottom w:val="nil"/>
              <w:right w:val="nil"/>
              <w:between w:val="nil"/>
            </w:pBdr>
            <w:tabs>
              <w:tab w:val="right" w:pos="9350"/>
            </w:tabs>
            <w:spacing w:after="0"/>
            <w:rPr>
              <w:color w:val="000000"/>
            </w:rPr>
          </w:pPr>
          <w:hyperlink w:anchor="_z1c65bcghohg">
            <w:r>
              <w:rPr>
                <w:b/>
                <w:color w:val="000000"/>
              </w:rPr>
              <w:t>Figure 2: The Sweet Greeks Shop</w:t>
            </w:r>
          </w:hyperlink>
          <w:hyperlink w:anchor="_z1c65bcghohg">
            <w:r>
              <w:rPr>
                <w:color w:val="000000"/>
              </w:rPr>
              <w:tab/>
              <w:t>5</w:t>
            </w:r>
          </w:hyperlink>
        </w:p>
        <w:p w14:paraId="7621FF1A" w14:textId="77777777" w:rsidR="00300396" w:rsidRDefault="00300396">
          <w:pPr>
            <w:pBdr>
              <w:top w:val="nil"/>
              <w:left w:val="nil"/>
              <w:bottom w:val="nil"/>
              <w:right w:val="nil"/>
              <w:between w:val="nil"/>
            </w:pBdr>
            <w:tabs>
              <w:tab w:val="right" w:pos="9350"/>
            </w:tabs>
            <w:spacing w:after="0"/>
            <w:rPr>
              <w:color w:val="000000"/>
            </w:rPr>
          </w:pPr>
          <w:hyperlink w:anchor="_5soeb7uajp3i">
            <w:r>
              <w:rPr>
                <w:b/>
                <w:color w:val="000000"/>
              </w:rPr>
              <w:t>Figure 3: SWOT Analysis</w:t>
            </w:r>
          </w:hyperlink>
          <w:hyperlink w:anchor="_5soeb7uajp3i">
            <w:r>
              <w:rPr>
                <w:color w:val="000000"/>
              </w:rPr>
              <w:tab/>
              <w:t>6</w:t>
            </w:r>
          </w:hyperlink>
        </w:p>
        <w:p w14:paraId="1144879A" w14:textId="77777777" w:rsidR="00300396" w:rsidRDefault="00300396">
          <w:pPr>
            <w:pBdr>
              <w:top w:val="nil"/>
              <w:left w:val="nil"/>
              <w:bottom w:val="nil"/>
              <w:right w:val="nil"/>
              <w:between w:val="nil"/>
            </w:pBdr>
            <w:tabs>
              <w:tab w:val="right" w:pos="9350"/>
            </w:tabs>
            <w:spacing w:after="0"/>
            <w:rPr>
              <w:color w:val="000000"/>
            </w:rPr>
          </w:pPr>
          <w:hyperlink w:anchor="_m61zyncp0v4h">
            <w:r>
              <w:rPr>
                <w:b/>
                <w:color w:val="000000"/>
              </w:rPr>
              <w:t>Figure 4: Value Chain Analysis</w:t>
            </w:r>
          </w:hyperlink>
          <w:hyperlink w:anchor="_m61zyncp0v4h">
            <w:r>
              <w:rPr>
                <w:color w:val="000000"/>
              </w:rPr>
              <w:tab/>
              <w:t>7</w:t>
            </w:r>
          </w:hyperlink>
        </w:p>
        <w:p w14:paraId="0D12DBDE" w14:textId="77777777" w:rsidR="00300396" w:rsidRDefault="00300396">
          <w:pPr>
            <w:pBdr>
              <w:top w:val="nil"/>
              <w:left w:val="nil"/>
              <w:bottom w:val="nil"/>
              <w:right w:val="nil"/>
              <w:between w:val="nil"/>
            </w:pBdr>
            <w:tabs>
              <w:tab w:val="right" w:pos="9350"/>
            </w:tabs>
            <w:spacing w:after="0"/>
            <w:rPr>
              <w:color w:val="000000"/>
            </w:rPr>
          </w:pPr>
          <w:hyperlink w:anchor="_voh4fyshweer">
            <w:r>
              <w:rPr>
                <w:b/>
                <w:color w:val="000000"/>
              </w:rPr>
              <w:t>Figure 5: PESTEL Analysis</w:t>
            </w:r>
          </w:hyperlink>
          <w:hyperlink w:anchor="_voh4fyshweer">
            <w:r>
              <w:rPr>
                <w:color w:val="000000"/>
              </w:rPr>
              <w:tab/>
              <w:t>9</w:t>
            </w:r>
          </w:hyperlink>
        </w:p>
        <w:p w14:paraId="27897A9D" w14:textId="77777777" w:rsidR="00300396" w:rsidRDefault="00300396">
          <w:pPr>
            <w:pBdr>
              <w:top w:val="nil"/>
              <w:left w:val="nil"/>
              <w:bottom w:val="nil"/>
              <w:right w:val="nil"/>
              <w:between w:val="nil"/>
            </w:pBdr>
            <w:tabs>
              <w:tab w:val="right" w:pos="9350"/>
            </w:tabs>
            <w:spacing w:after="0"/>
            <w:rPr>
              <w:color w:val="000000"/>
            </w:rPr>
          </w:pPr>
          <w:hyperlink w:anchor="_oiasemenw9je">
            <w:r>
              <w:rPr>
                <w:b/>
                <w:color w:val="000000"/>
              </w:rPr>
              <w:t>Figure 6: Porter's 5 Forces</w:t>
            </w:r>
          </w:hyperlink>
          <w:hyperlink w:anchor="_oiasemenw9je">
            <w:r>
              <w:rPr>
                <w:color w:val="000000"/>
              </w:rPr>
              <w:tab/>
              <w:t>10</w:t>
            </w:r>
          </w:hyperlink>
        </w:p>
        <w:p w14:paraId="60319DE5" w14:textId="77777777" w:rsidR="00300396" w:rsidRDefault="00300396">
          <w:pPr>
            <w:pBdr>
              <w:top w:val="nil"/>
              <w:left w:val="nil"/>
              <w:bottom w:val="nil"/>
              <w:right w:val="nil"/>
              <w:between w:val="nil"/>
            </w:pBdr>
            <w:tabs>
              <w:tab w:val="right" w:pos="9350"/>
            </w:tabs>
            <w:spacing w:after="0"/>
            <w:rPr>
              <w:color w:val="000000"/>
            </w:rPr>
          </w:pPr>
          <w:hyperlink w:anchor="_5p1itq4mie2">
            <w:r>
              <w:rPr>
                <w:b/>
                <w:color w:val="000000"/>
              </w:rPr>
              <w:t>Figure 7: Ansoff Matrix</w:t>
            </w:r>
          </w:hyperlink>
          <w:hyperlink w:anchor="_5p1itq4mie2">
            <w:r>
              <w:rPr>
                <w:color w:val="000000"/>
              </w:rPr>
              <w:tab/>
              <w:t>12</w:t>
            </w:r>
          </w:hyperlink>
        </w:p>
        <w:p w14:paraId="6A833141" w14:textId="77777777" w:rsidR="00300396" w:rsidRDefault="00000000">
          <w:r>
            <w:fldChar w:fldCharType="end"/>
          </w:r>
        </w:p>
      </w:sdtContent>
    </w:sdt>
    <w:p w14:paraId="46058D5D" w14:textId="77777777" w:rsidR="00300396" w:rsidRPr="009A2001" w:rsidRDefault="00000000" w:rsidP="009A2001">
      <w:pPr>
        <w:jc w:val="center"/>
        <w:rPr>
          <w:b/>
          <w:bCs/>
          <w:sz w:val="28"/>
          <w:szCs w:val="28"/>
        </w:rPr>
      </w:pPr>
      <w:r w:rsidRPr="009A2001">
        <w:rPr>
          <w:b/>
          <w:bCs/>
          <w:sz w:val="28"/>
          <w:szCs w:val="28"/>
        </w:rPr>
        <w:t>List of Tables</w:t>
      </w:r>
    </w:p>
    <w:sdt>
      <w:sdtPr>
        <w:id w:val="1503073460"/>
        <w:docPartObj>
          <w:docPartGallery w:val="Table of Contents"/>
          <w:docPartUnique/>
        </w:docPartObj>
      </w:sdtPr>
      <w:sdtContent>
        <w:p w14:paraId="5E0D0133" w14:textId="77777777" w:rsidR="00300396" w:rsidRDefault="00000000">
          <w:pPr>
            <w:pBdr>
              <w:top w:val="nil"/>
              <w:left w:val="nil"/>
              <w:bottom w:val="nil"/>
              <w:right w:val="nil"/>
              <w:between w:val="nil"/>
            </w:pBdr>
            <w:tabs>
              <w:tab w:val="right" w:pos="9350"/>
            </w:tabs>
            <w:spacing w:after="0"/>
            <w:rPr>
              <w:rFonts w:ascii="Calibri" w:eastAsia="Calibri" w:hAnsi="Calibri" w:cs="Calibri"/>
              <w:color w:val="000000"/>
              <w:sz w:val="24"/>
              <w:szCs w:val="24"/>
            </w:rPr>
          </w:pPr>
          <w:r>
            <w:fldChar w:fldCharType="begin"/>
          </w:r>
          <w:r>
            <w:instrText xml:space="preserve"> TOC \h \u \z \t "Heading 1,1,Heading 2,2,Heading 3,3,Heading 4,4,Heading 5,5,Heading 6,6,"</w:instrText>
          </w:r>
          <w:r>
            <w:fldChar w:fldCharType="separate"/>
          </w:r>
          <w:hyperlink w:anchor="_ts6jlygr9kht">
            <w:r w:rsidR="00300396">
              <w:rPr>
                <w:b/>
                <w:color w:val="000000"/>
              </w:rPr>
              <w:t>Table 1: Stakeholder Analysis (Mendelow’s Matrix)</w:t>
            </w:r>
          </w:hyperlink>
          <w:hyperlink w:anchor="_ts6jlygr9kht">
            <w:r w:rsidR="00300396">
              <w:rPr>
                <w:color w:val="000000"/>
              </w:rPr>
              <w:tab/>
              <w:t>16</w:t>
            </w:r>
          </w:hyperlink>
        </w:p>
        <w:p w14:paraId="33F3E841" w14:textId="77777777" w:rsidR="00300396" w:rsidRDefault="00300396">
          <w:pPr>
            <w:pBdr>
              <w:top w:val="nil"/>
              <w:left w:val="nil"/>
              <w:bottom w:val="nil"/>
              <w:right w:val="nil"/>
              <w:between w:val="nil"/>
            </w:pBdr>
            <w:tabs>
              <w:tab w:val="right" w:pos="9350"/>
            </w:tabs>
            <w:spacing w:after="0"/>
            <w:rPr>
              <w:rFonts w:ascii="Calibri" w:eastAsia="Calibri" w:hAnsi="Calibri" w:cs="Calibri"/>
              <w:color w:val="000000"/>
              <w:sz w:val="24"/>
              <w:szCs w:val="24"/>
            </w:rPr>
          </w:pPr>
          <w:hyperlink w:anchor="_421jzdibdxab">
            <w:r>
              <w:rPr>
                <w:b/>
                <w:color w:val="000000"/>
              </w:rPr>
              <w:t>Table 2: RACI Model Table</w:t>
            </w:r>
          </w:hyperlink>
          <w:hyperlink w:anchor="_421jzdibdxab">
            <w:r>
              <w:rPr>
                <w:color w:val="000000"/>
              </w:rPr>
              <w:tab/>
              <w:t>17</w:t>
            </w:r>
          </w:hyperlink>
        </w:p>
        <w:p w14:paraId="2F21E094" w14:textId="77777777" w:rsidR="00300396" w:rsidRDefault="00000000">
          <w:r>
            <w:fldChar w:fldCharType="end"/>
          </w:r>
        </w:p>
      </w:sdtContent>
    </w:sdt>
    <w:p w14:paraId="41B154DF" w14:textId="77777777" w:rsidR="00300396" w:rsidRDefault="00300396"/>
    <w:p w14:paraId="4B11D750" w14:textId="77777777" w:rsidR="00300396" w:rsidRDefault="00300396"/>
    <w:p w14:paraId="067DEBE9" w14:textId="77777777" w:rsidR="00300396" w:rsidRDefault="00000000">
      <w:pPr>
        <w:jc w:val="left"/>
        <w:rPr>
          <w:b/>
          <w:color w:val="000000"/>
          <w:sz w:val="28"/>
          <w:szCs w:val="28"/>
        </w:rPr>
      </w:pPr>
      <w:r>
        <w:br w:type="page"/>
      </w:r>
    </w:p>
    <w:p w14:paraId="27D006F0" w14:textId="77777777" w:rsidR="00300396" w:rsidRDefault="00000000">
      <w:pPr>
        <w:pStyle w:val="Heading1"/>
      </w:pPr>
      <w:bookmarkStart w:id="0" w:name="_Toc211593569"/>
      <w:r>
        <w:lastRenderedPageBreak/>
        <w:t>Introduction</w:t>
      </w:r>
      <w:bookmarkEnd w:id="0"/>
    </w:p>
    <w:p w14:paraId="72A6EEFD" w14:textId="77777777" w:rsidR="00300396" w:rsidRDefault="00000000">
      <w:r>
        <w:t>The Sweet Greeks is currently an SME coffee shop based in Worcester, England. It sells organic coffee and homemade cookies, pastries, and also offers catering services in case of weddings and parties (Thesweetgreek.com, 2025). Its business model is direct retail in one location and event catering, with its offer being rooted in quality, reputation, respect, and lines of organic products. The organisation is distinctive in its positioning within the local area: the organisation was rated as one of the best 3 cafes in Worcester. It was number one in reviews in the last two years (through TripAdvisor, Facebook, and Google). It is competing with giant chains (Costa, Starbucks) and single coffee shops.</w:t>
      </w:r>
    </w:p>
    <w:p w14:paraId="092B5CE5" w14:textId="77777777" w:rsidR="00300396" w:rsidRDefault="00000000">
      <w:r>
        <w:t>In the future, the report will focus on ways through which The Sweet Greeks can streamline its strategic orientation towards sustainable growth. It will investigate its internal and external environment (SWOT, value chain, PESTEL, Porter's Five Forces), strategic growth opportunities (Ansoff Matrix, Porter's General Strategies, Bowmans Strategic Clock). The report will also discuss stakeholder analysis (Mendelows Matrix, RACI) and provide strong recommendations that can be implemented in the long run, taking into consideration the problems of SME implementation.</w:t>
      </w:r>
    </w:p>
    <w:p w14:paraId="5F976FC4" w14:textId="77777777" w:rsidR="00300396" w:rsidRDefault="00000000">
      <w:pPr>
        <w:jc w:val="center"/>
      </w:pPr>
      <w:r>
        <w:rPr>
          <w:noProof/>
        </w:rPr>
        <w:drawing>
          <wp:inline distT="0" distB="0" distL="0" distR="0" wp14:anchorId="160F259C" wp14:editId="5E2280A7">
            <wp:extent cx="4951478" cy="33241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4951478" cy="3324100"/>
                    </a:xfrm>
                    <a:prstGeom prst="rect">
                      <a:avLst/>
                    </a:prstGeom>
                    <a:ln/>
                  </pic:spPr>
                </pic:pic>
              </a:graphicData>
            </a:graphic>
          </wp:inline>
        </w:drawing>
      </w:r>
    </w:p>
    <w:p w14:paraId="4FA7A358" w14:textId="77777777" w:rsidR="00300396" w:rsidRDefault="00000000">
      <w:pPr>
        <w:jc w:val="center"/>
        <w:rPr>
          <w:b/>
        </w:rPr>
      </w:pPr>
      <w:bookmarkStart w:id="1" w:name="_y4ji3tfz23g3" w:colFirst="0" w:colLast="0"/>
      <w:bookmarkEnd w:id="1"/>
      <w:r>
        <w:rPr>
          <w:b/>
        </w:rPr>
        <w:t>Figure 1: The Sweet Greek Logo</w:t>
      </w:r>
    </w:p>
    <w:p w14:paraId="6D324B72" w14:textId="77777777" w:rsidR="00300396" w:rsidRDefault="00000000">
      <w:pPr>
        <w:jc w:val="center"/>
        <w:rPr>
          <w:b/>
        </w:rPr>
      </w:pPr>
      <w:r>
        <w:rPr>
          <w:b/>
        </w:rPr>
        <w:t>(Source: Thesweetgreek.com, 2025)</w:t>
      </w:r>
    </w:p>
    <w:p w14:paraId="3D854482" w14:textId="77777777" w:rsidR="00300396" w:rsidRDefault="00000000">
      <w:pPr>
        <w:pStyle w:val="Heading1"/>
      </w:pPr>
      <w:bookmarkStart w:id="2" w:name="_Toc211593570"/>
      <w:r>
        <w:lastRenderedPageBreak/>
        <w:t>Current strategic direction and goals</w:t>
      </w:r>
      <w:bookmarkEnd w:id="2"/>
    </w:p>
    <w:p w14:paraId="3CA1FEE0" w14:textId="77777777" w:rsidR="00300396" w:rsidRDefault="00000000">
      <w:r>
        <w:t>The present strategic course of The Sweet Greeks seems to have an informal vision of growth, an image of quality, and natural development. Its mission (not stated in writing) is to be known as a quality and reputable café company, growing to other cities without compromising its organic and homemade product range. The purpose (once again, it is unmentioned) is to serve organic coffee and baked goods that were created in the house (Thesweetgreek.com, 2025). It is supported by the community trust and catering services, to be ranked highly under review and customer satisfaction. Goals are: opening another site at Droitwich next year; continuing to expand to other cities in the future; and keeping a good reputation (being one of the top cafes, which was once the number one based on reviews). Also hiring new staff, but not being overly ambitious; growing organically; and not pursuing forceful growth.</w:t>
      </w:r>
    </w:p>
    <w:p w14:paraId="2DBBB470" w14:textId="77777777" w:rsidR="00300396" w:rsidRDefault="00000000">
      <w:r>
        <w:rPr>
          <w:noProof/>
        </w:rPr>
        <w:drawing>
          <wp:inline distT="0" distB="0" distL="0" distR="0" wp14:anchorId="6CAE5C3C" wp14:editId="78155444">
            <wp:extent cx="5943600" cy="3778250"/>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5943600" cy="3778250"/>
                    </a:xfrm>
                    <a:prstGeom prst="rect">
                      <a:avLst/>
                    </a:prstGeom>
                    <a:ln/>
                  </pic:spPr>
                </pic:pic>
              </a:graphicData>
            </a:graphic>
          </wp:inline>
        </w:drawing>
      </w:r>
    </w:p>
    <w:p w14:paraId="1505F718" w14:textId="77777777" w:rsidR="00300396" w:rsidRDefault="00000000">
      <w:pPr>
        <w:jc w:val="center"/>
        <w:rPr>
          <w:b/>
        </w:rPr>
      </w:pPr>
      <w:bookmarkStart w:id="3" w:name="_z1c65bcghohg" w:colFirst="0" w:colLast="0"/>
      <w:bookmarkEnd w:id="3"/>
      <w:r>
        <w:rPr>
          <w:b/>
        </w:rPr>
        <w:t>Figure 2: The Sweet Greeks Shop</w:t>
      </w:r>
    </w:p>
    <w:p w14:paraId="20E5155C" w14:textId="77777777" w:rsidR="00300396" w:rsidRDefault="00000000">
      <w:pPr>
        <w:jc w:val="center"/>
        <w:rPr>
          <w:b/>
        </w:rPr>
      </w:pPr>
      <w:r>
        <w:rPr>
          <w:b/>
        </w:rPr>
        <w:t>Source: (Source: Thesweetgreek.com, 2025)</w:t>
      </w:r>
    </w:p>
    <w:p w14:paraId="0F712266" w14:textId="77777777" w:rsidR="00300396" w:rsidRDefault="00300396"/>
    <w:p w14:paraId="02414A79" w14:textId="77777777" w:rsidR="00300396" w:rsidRDefault="00300396"/>
    <w:p w14:paraId="1DD2A5E7" w14:textId="77777777" w:rsidR="00300396" w:rsidRDefault="00000000">
      <w:pPr>
        <w:pStyle w:val="Heading1"/>
      </w:pPr>
      <w:r>
        <w:br w:type="page"/>
      </w:r>
      <w:bookmarkStart w:id="4" w:name="_Toc211593571"/>
      <w:r>
        <w:lastRenderedPageBreak/>
        <w:t>Internal environment and External environment</w:t>
      </w:r>
      <w:bookmarkEnd w:id="4"/>
    </w:p>
    <w:p w14:paraId="35334D43" w14:textId="77777777" w:rsidR="00300396" w:rsidRDefault="00000000">
      <w:pPr>
        <w:rPr>
          <w:b/>
        </w:rPr>
      </w:pPr>
      <w:r>
        <w:rPr>
          <w:b/>
        </w:rPr>
        <w:t>Internal Environment</w:t>
      </w:r>
    </w:p>
    <w:p w14:paraId="0C27D29E" w14:textId="77777777" w:rsidR="00300396" w:rsidRDefault="00000000">
      <w:r>
        <w:t>The SWOT analysis provides an in-depth analysis of the internal strengths and weaknesses of The Sweet Greeks, external opportunities, and threats that affect the strategic position of the company.</w:t>
      </w:r>
    </w:p>
    <w:p w14:paraId="6EC7B19D" w14:textId="77777777" w:rsidR="00300396" w:rsidRDefault="00000000">
      <w:r>
        <w:t xml:space="preserve">      </w:t>
      </w:r>
      <w:r>
        <w:rPr>
          <w:noProof/>
        </w:rPr>
        <w:drawing>
          <wp:inline distT="0" distB="0" distL="0" distR="0" wp14:anchorId="654EB940" wp14:editId="1825B288">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DF5D967" w14:textId="77777777" w:rsidR="00300396" w:rsidRDefault="00000000">
      <w:pPr>
        <w:jc w:val="center"/>
        <w:rPr>
          <w:b/>
        </w:rPr>
      </w:pPr>
      <w:bookmarkStart w:id="5" w:name="_5soeb7uajp3i" w:colFirst="0" w:colLast="0"/>
      <w:bookmarkEnd w:id="5"/>
      <w:r>
        <w:rPr>
          <w:b/>
        </w:rPr>
        <w:t>Figure 3: SWOT Analysis</w:t>
      </w:r>
    </w:p>
    <w:p w14:paraId="5BA250E8" w14:textId="77777777" w:rsidR="00300396" w:rsidRDefault="00000000">
      <w:pPr>
        <w:jc w:val="center"/>
        <w:rPr>
          <w:b/>
        </w:rPr>
      </w:pPr>
      <w:r>
        <w:rPr>
          <w:b/>
        </w:rPr>
        <w:t>(Source: Created by learner)</w:t>
      </w:r>
    </w:p>
    <w:p w14:paraId="7D06C44C" w14:textId="77777777" w:rsidR="00300396" w:rsidRDefault="00000000">
      <w:pPr>
        <w:rPr>
          <w:b/>
          <w:i/>
        </w:rPr>
      </w:pPr>
      <w:r>
        <w:rPr>
          <w:b/>
          <w:i/>
        </w:rPr>
        <w:t>Strengths</w:t>
      </w:r>
    </w:p>
    <w:p w14:paraId="07A586A8" w14:textId="77777777" w:rsidR="00300396" w:rsidRDefault="00000000">
      <w:r>
        <w:t>The unique brand name of the Sweet Greeks was developed because of its original Greek desserts and guarantee of quality. Its emphasis on traditional recipes and visuality adds to its customer loyalty and differentiation in the market. Compared to the larger company, the simplicity of the company supports flexibility and a personalized approach. The effective application of social media contributes to expanding the image and contact with customers in the online market (Al-hujri and Bhosle, 2025, pp.204-222).</w:t>
      </w:r>
    </w:p>
    <w:p w14:paraId="742B95FF" w14:textId="77777777" w:rsidR="00300396" w:rsidRDefault="00000000">
      <w:pPr>
        <w:rPr>
          <w:b/>
          <w:i/>
        </w:rPr>
      </w:pPr>
      <w:r>
        <w:rPr>
          <w:b/>
          <w:i/>
        </w:rPr>
        <w:t>Weaknesses</w:t>
      </w:r>
    </w:p>
    <w:p w14:paraId="472655F7" w14:textId="77777777" w:rsidR="00300396" w:rsidRDefault="00000000">
      <w:r>
        <w:t xml:space="preserve">The company has low capital, which restricts marketing and technological investments, although the company is enjoying its strengths. The use of imported ingredients exposes it to supply chain </w:t>
      </w:r>
      <w:r>
        <w:lastRenderedPageBreak/>
        <w:t>and currency risks. A limited number of employees puts stress on key employees, and the absence of a long-term strategic plan limits scalability and competitiveness with established brands.</w:t>
      </w:r>
    </w:p>
    <w:p w14:paraId="24BCC82A" w14:textId="77777777" w:rsidR="00300396" w:rsidRDefault="00000000">
      <w:pPr>
        <w:rPr>
          <w:b/>
          <w:i/>
        </w:rPr>
      </w:pPr>
      <w:r>
        <w:rPr>
          <w:b/>
          <w:i/>
        </w:rPr>
        <w:t>Opportunities</w:t>
      </w:r>
    </w:p>
    <w:p w14:paraId="7957A827" w14:textId="77777777" w:rsidR="00300396" w:rsidRDefault="00000000">
      <w:r>
        <w:t>The increasing trend towards ethnic and artisanal foods creates the prospects of diversification of the product and cooperation with cafes or delivery services. The use of sustainable packaging and encouragement of sustainable practices may appeal to the environmentally conscious customers (Shimul and Cheah, 2023, pp.186-198). Increasing its online coverage opens up larger markets as well.</w:t>
      </w:r>
    </w:p>
    <w:p w14:paraId="32DAE983" w14:textId="77777777" w:rsidR="00300396" w:rsidRDefault="00000000">
      <w:pPr>
        <w:rPr>
          <w:b/>
          <w:i/>
        </w:rPr>
      </w:pPr>
      <w:r>
        <w:rPr>
          <w:b/>
          <w:i/>
        </w:rPr>
        <w:t>Threats</w:t>
      </w:r>
    </w:p>
    <w:p w14:paraId="133D1E7C" w14:textId="77777777" w:rsidR="00300396" w:rsidRDefault="00000000">
      <w:r>
        <w:t>The threat to profitability is posed by stiff competition and a poor economic climate. Brexit supply chain disruptions and global uncertainties can add to expenses. The shift in health care trends towards reduced sugar items and increasing costs of operations, e.g., energy and rent, also poses a challenge to the sustainability and market sustainability of The Sweet Greeks.</w:t>
      </w:r>
    </w:p>
    <w:p w14:paraId="2AC730FF" w14:textId="77777777" w:rsidR="00300396" w:rsidRDefault="00000000">
      <w:pPr>
        <w:rPr>
          <w:b/>
        </w:rPr>
      </w:pPr>
      <w:r>
        <w:rPr>
          <w:b/>
        </w:rPr>
        <w:t>Value Chain Analysis</w:t>
      </w:r>
    </w:p>
    <w:p w14:paraId="36AF7816" w14:textId="77777777" w:rsidR="00300396" w:rsidRDefault="00000000">
      <w:pPr>
        <w:rPr>
          <w:b/>
        </w:rPr>
      </w:pPr>
      <w:r>
        <w:rPr>
          <w:b/>
          <w:noProof/>
        </w:rPr>
        <w:drawing>
          <wp:inline distT="0" distB="0" distL="0" distR="0" wp14:anchorId="793EBC8E" wp14:editId="76D499C8">
            <wp:extent cx="5486400" cy="303276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49EA87B" w14:textId="77777777" w:rsidR="00300396" w:rsidRDefault="00000000">
      <w:pPr>
        <w:jc w:val="center"/>
        <w:rPr>
          <w:b/>
        </w:rPr>
      </w:pPr>
      <w:bookmarkStart w:id="6" w:name="_m61zyncp0v4h" w:colFirst="0" w:colLast="0"/>
      <w:bookmarkEnd w:id="6"/>
      <w:r>
        <w:rPr>
          <w:b/>
        </w:rPr>
        <w:t>Figure 4: Value Chain Analysis</w:t>
      </w:r>
    </w:p>
    <w:p w14:paraId="55B22AE8" w14:textId="77777777" w:rsidR="00300396" w:rsidRDefault="00000000">
      <w:pPr>
        <w:jc w:val="center"/>
        <w:rPr>
          <w:b/>
        </w:rPr>
      </w:pPr>
      <w:r>
        <w:rPr>
          <w:b/>
        </w:rPr>
        <w:t>(Source: Created by Learner)</w:t>
      </w:r>
    </w:p>
    <w:p w14:paraId="2F24F746" w14:textId="77777777" w:rsidR="00300396" w:rsidRDefault="00300396">
      <w:pPr>
        <w:rPr>
          <w:b/>
        </w:rPr>
      </w:pPr>
    </w:p>
    <w:p w14:paraId="382F0EF9" w14:textId="77777777" w:rsidR="00300396" w:rsidRDefault="00000000">
      <w:r>
        <w:t>As per Dale (2022), using Porter's value chain (Porter, 1985), there are primary and support activities:</w:t>
      </w:r>
    </w:p>
    <w:p w14:paraId="005E386F" w14:textId="77777777" w:rsidR="00300396" w:rsidRDefault="00000000">
      <w:r>
        <w:rPr>
          <w:b/>
          <w:i/>
        </w:rPr>
        <w:t>Inbound logistics:</w:t>
      </w:r>
      <w:r>
        <w:t xml:space="preserve"> Procurement of organic coffee beans and pastries, raw materials; quality and ethical chain of supply. Power: organic source differentiator. Weakness: it is more expensive, and maybe not so buffered against supply disruption.</w:t>
      </w:r>
    </w:p>
    <w:p w14:paraId="39A7A2DC" w14:textId="77777777" w:rsidR="00300396" w:rsidRDefault="00000000">
      <w:r>
        <w:rPr>
          <w:b/>
          <w:i/>
        </w:rPr>
        <w:t>Operation:</w:t>
      </w:r>
      <w:r>
        <w:t xml:space="preserve"> Small-scale, in-house, coffee brewing, artisan baking. </w:t>
      </w:r>
      <w:r>
        <w:rPr>
          <w:i/>
        </w:rPr>
        <w:t>Strength</w:t>
      </w:r>
      <w:r>
        <w:t xml:space="preserve">: quality control; </w:t>
      </w:r>
      <w:r>
        <w:rPr>
          <w:i/>
        </w:rPr>
        <w:t>Weakness</w:t>
      </w:r>
      <w:r>
        <w:t>: lower efficiency of operations, increased labour per output; problems with scalability.</w:t>
      </w:r>
    </w:p>
    <w:p w14:paraId="6F1FB606" w14:textId="77777777" w:rsidR="00300396" w:rsidRDefault="00000000">
      <w:r>
        <w:rPr>
          <w:b/>
          <w:i/>
        </w:rPr>
        <w:t>Outbound logistics:</w:t>
      </w:r>
      <w:r>
        <w:t xml:space="preserve"> Direct retailing at café and catering deliveries. Catering delivery could involve the use of logistics. </w:t>
      </w:r>
      <w:r>
        <w:rPr>
          <w:i/>
        </w:rPr>
        <w:t>Weakness</w:t>
      </w:r>
      <w:r>
        <w:t>: potential cost and difficulty; opportunity: optimize or partner.</w:t>
      </w:r>
    </w:p>
    <w:p w14:paraId="2E97062F" w14:textId="77777777" w:rsidR="00300396" w:rsidRDefault="00000000">
      <w:r>
        <w:rPr>
          <w:b/>
          <w:i/>
        </w:rPr>
        <w:t>Marketing &amp; Sales</w:t>
      </w:r>
      <w:r>
        <w:t xml:space="preserve">: This is dependent on reviews and word-of-mouth. Minimal marketing suggested. </w:t>
      </w:r>
      <w:r>
        <w:rPr>
          <w:i/>
        </w:rPr>
        <w:t>Opportunity</w:t>
      </w:r>
      <w:r>
        <w:t>: build branding approach, online marketing, loyalty programmes.</w:t>
      </w:r>
    </w:p>
    <w:p w14:paraId="72D4F23E" w14:textId="7A8C8E2F" w:rsidR="00300396" w:rsidRDefault="00000000">
      <w:r>
        <w:rPr>
          <w:b/>
          <w:i/>
        </w:rPr>
        <w:t>Service</w:t>
      </w:r>
      <w:r>
        <w:t xml:space="preserve">: café and catering event service. </w:t>
      </w:r>
      <w:r>
        <w:rPr>
          <w:i/>
        </w:rPr>
        <w:t>Strength</w:t>
      </w:r>
      <w:r>
        <w:t xml:space="preserve">: </w:t>
      </w:r>
      <w:r w:rsidR="00300035">
        <w:t xml:space="preserve">a </w:t>
      </w:r>
      <w:r>
        <w:t xml:space="preserve">small staff </w:t>
      </w:r>
      <w:r w:rsidR="00300035">
        <w:t>is</w:t>
      </w:r>
      <w:r>
        <w:t xml:space="preserve"> able to deliver personal service; possible </w:t>
      </w:r>
      <w:r>
        <w:rPr>
          <w:i/>
        </w:rPr>
        <w:t>weakness</w:t>
      </w:r>
      <w:r>
        <w:t>: staffing, consistency problems.</w:t>
      </w:r>
    </w:p>
    <w:p w14:paraId="6E5E2510" w14:textId="77777777" w:rsidR="00300396" w:rsidRDefault="00000000">
      <w:r>
        <w:rPr>
          <w:b/>
          <w:i/>
        </w:rPr>
        <w:t>Support activities</w:t>
      </w:r>
      <w:r>
        <w:t xml:space="preserve">: HR (staffing), procurement (organic inputs), technology (POS, online presence), infrastructure (premises). </w:t>
      </w:r>
      <w:r>
        <w:rPr>
          <w:i/>
        </w:rPr>
        <w:t>Weaknesses</w:t>
      </w:r>
      <w:r>
        <w:t>: probably not well-developed IT/infrastructure; opportunity: investing in this area will result in improved scaling.</w:t>
      </w:r>
    </w:p>
    <w:p w14:paraId="2CC0D06C" w14:textId="77777777" w:rsidR="00300396" w:rsidRDefault="00000000">
      <w:pPr>
        <w:rPr>
          <w:b/>
        </w:rPr>
      </w:pPr>
      <w:r>
        <w:rPr>
          <w:b/>
        </w:rPr>
        <w:t>External Environment</w:t>
      </w:r>
    </w:p>
    <w:p w14:paraId="7C089194" w14:textId="77777777" w:rsidR="00300396" w:rsidRDefault="00000000">
      <w:pPr>
        <w:rPr>
          <w:b/>
        </w:rPr>
      </w:pPr>
      <w:r>
        <w:rPr>
          <w:b/>
        </w:rPr>
        <w:t>PESTEL</w:t>
      </w:r>
    </w:p>
    <w:p w14:paraId="6FC5CC81" w14:textId="77777777" w:rsidR="00300396" w:rsidRDefault="00000000">
      <w:pPr>
        <w:rPr>
          <w:b/>
        </w:rPr>
      </w:pPr>
      <w:r>
        <w:rPr>
          <w:b/>
        </w:rPr>
        <w:t xml:space="preserve">       </w:t>
      </w:r>
      <w:r>
        <w:rPr>
          <w:b/>
          <w:noProof/>
        </w:rPr>
        <w:drawing>
          <wp:inline distT="0" distB="0" distL="0" distR="0" wp14:anchorId="551C73C8" wp14:editId="7C0CB8A5">
            <wp:extent cx="5588000" cy="2222500"/>
            <wp:effectExtent l="0" t="0" r="0" b="254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24366E1" w14:textId="77777777" w:rsidR="00300396" w:rsidRDefault="00000000">
      <w:pPr>
        <w:jc w:val="center"/>
        <w:rPr>
          <w:b/>
        </w:rPr>
      </w:pPr>
      <w:bookmarkStart w:id="7" w:name="_voh4fyshweer" w:colFirst="0" w:colLast="0"/>
      <w:bookmarkEnd w:id="7"/>
      <w:r>
        <w:rPr>
          <w:b/>
        </w:rPr>
        <w:lastRenderedPageBreak/>
        <w:t>Figure 5: PESTEL Analysis</w:t>
      </w:r>
    </w:p>
    <w:p w14:paraId="3ECE7C83" w14:textId="77777777" w:rsidR="00300396" w:rsidRDefault="00000000">
      <w:pPr>
        <w:jc w:val="center"/>
        <w:rPr>
          <w:b/>
        </w:rPr>
      </w:pPr>
      <w:r>
        <w:rPr>
          <w:b/>
        </w:rPr>
        <w:t>(Source: Created by Learner)</w:t>
      </w:r>
    </w:p>
    <w:p w14:paraId="128B7EF7" w14:textId="77777777" w:rsidR="00300396" w:rsidRDefault="00000000">
      <w:r>
        <w:rPr>
          <w:b/>
          <w:i/>
        </w:rPr>
        <w:t>Political</w:t>
      </w:r>
      <w:r>
        <w:t xml:space="preserve"> - UK flagging regulations of food safety, organic certification, labour laws, and tax policy. Risk identified as tax increases. Expansion to new locations should be in line with any local planning, health and safety, and employment laws. Government support for SMEs? Perhaps incentives or grants for organic/sustainable businesses.</w:t>
      </w:r>
    </w:p>
    <w:p w14:paraId="0C928740" w14:textId="77777777" w:rsidR="00300396" w:rsidRDefault="00000000">
      <w:r>
        <w:rPr>
          <w:b/>
          <w:i/>
        </w:rPr>
        <w:t>Economic</w:t>
      </w:r>
      <w:r>
        <w:t xml:space="preserve"> - Inflation, increased price of raw materials, price of labour cost, and increased taxation. The customer purchasing behaviours can vary greatly, with a decline in spending on luxury goods such as high-quality coffee/pastries. As per Górska-Warsewicz </w:t>
      </w:r>
      <w:r>
        <w:rPr>
          <w:i/>
        </w:rPr>
        <w:t>et al</w:t>
      </w:r>
      <w:r>
        <w:t>. (2021, pp. 2-4), the economic recession may force consumers to switch to less expensive options (chains). The imported organic materials may be influenced by exchange rates. Financing can be limited due to interest rates.</w:t>
      </w:r>
    </w:p>
    <w:p w14:paraId="6C5B5A98" w14:textId="77777777" w:rsidR="00300396" w:rsidRDefault="00000000">
      <w:r>
        <w:rPr>
          <w:b/>
          <w:i/>
        </w:rPr>
        <w:t>Social</w:t>
      </w:r>
      <w:r>
        <w:t xml:space="preserve">  - Rising demand for ethical, organic, and artisanal products. The preference of consumers for high-quality and locally produced products. Increasing concern with healthy food. Very influential social media. The culture of cafes may be supported by demographic factors (young professionals, students). According to Mohammadi </w:t>
      </w:r>
      <w:r>
        <w:rPr>
          <w:i/>
        </w:rPr>
        <w:t>et al</w:t>
      </w:r>
      <w:r>
        <w:t>. (2024, pp.1-36), Potential obstacles: the transformation of consumer behaviour (foot traffic will decrease in the case of remote work).</w:t>
      </w:r>
    </w:p>
    <w:p w14:paraId="07AF69D7" w14:textId="77777777" w:rsidR="00300396" w:rsidRDefault="00000000">
      <w:r>
        <w:rPr>
          <w:b/>
          <w:i/>
        </w:rPr>
        <w:t>Technological</w:t>
      </w:r>
      <w:r>
        <w:t xml:space="preserve"> - Online marketing, digital ordering, social media, and POS. Possibility of adopting technology to enhance logistics, supply chain traceability, e-commerce, or delivery. Weakness if The Sweet Greeks has been trailing behind on technology adoption. Possibility to apply loyalty applications, internet presence.</w:t>
      </w:r>
    </w:p>
    <w:p w14:paraId="6F7C10E1" w14:textId="77777777" w:rsidR="00300396" w:rsidRDefault="00000000">
      <w:r>
        <w:rPr>
          <w:b/>
          <w:i/>
        </w:rPr>
        <w:t>Environmental</w:t>
      </w:r>
      <w:r>
        <w:t xml:space="preserve"> - Sustainability, production focuses on organic, less food waste, and environmental packaging. The credentials of organic coffee may go hand in hand with environmental trends. Risks: climate change impacting the supply of agriculture, environmental laws, and sustainable packaging prices (Rodrí and Ruí, 2024, pp.157-176).</w:t>
      </w:r>
    </w:p>
    <w:p w14:paraId="05A0754A" w14:textId="77777777" w:rsidR="00300396" w:rsidRDefault="00000000">
      <w:r>
        <w:rPr>
          <w:b/>
          <w:i/>
        </w:rPr>
        <w:t>Legal</w:t>
      </w:r>
      <w:r>
        <w:t>-</w:t>
      </w:r>
      <w:r>
        <w:tab/>
        <w:t>Food safety regulations, health regulations, labour laws, and organic certification regulations (Fortin, 2022). Licensing for catering. As well, waste disposal and packaging regulations. Any liability for event catering.</w:t>
      </w:r>
    </w:p>
    <w:p w14:paraId="77C03A92" w14:textId="77777777" w:rsidR="00300396" w:rsidRDefault="00000000">
      <w:pPr>
        <w:rPr>
          <w:b/>
        </w:rPr>
      </w:pPr>
      <w:r>
        <w:rPr>
          <w:b/>
        </w:rPr>
        <w:t>Porter’s Five Forces</w:t>
      </w:r>
    </w:p>
    <w:p w14:paraId="2493F711" w14:textId="77777777" w:rsidR="00300396" w:rsidRDefault="00000000">
      <w:pPr>
        <w:rPr>
          <w:b/>
        </w:rPr>
      </w:pPr>
      <w:r>
        <w:rPr>
          <w:b/>
        </w:rPr>
        <w:lastRenderedPageBreak/>
        <w:t xml:space="preserve">      </w:t>
      </w:r>
      <w:r>
        <w:rPr>
          <w:b/>
          <w:noProof/>
        </w:rPr>
        <w:drawing>
          <wp:inline distT="0" distB="0" distL="0" distR="0" wp14:anchorId="796A4886" wp14:editId="3944AACD">
            <wp:extent cx="5695950" cy="30289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B79FCC0" w14:textId="77777777" w:rsidR="00300396" w:rsidRDefault="00000000">
      <w:pPr>
        <w:jc w:val="center"/>
        <w:rPr>
          <w:b/>
        </w:rPr>
      </w:pPr>
      <w:bookmarkStart w:id="8" w:name="_oiasemenw9je" w:colFirst="0" w:colLast="0"/>
      <w:bookmarkEnd w:id="8"/>
      <w:r>
        <w:rPr>
          <w:b/>
        </w:rPr>
        <w:t>Figure 6: Porter's 5 Forces</w:t>
      </w:r>
    </w:p>
    <w:p w14:paraId="71E226B7" w14:textId="77777777" w:rsidR="00300396" w:rsidRDefault="00000000">
      <w:pPr>
        <w:jc w:val="center"/>
        <w:rPr>
          <w:b/>
        </w:rPr>
      </w:pPr>
      <w:r>
        <w:rPr>
          <w:b/>
        </w:rPr>
        <w:t>(Source: Created by Learner)</w:t>
      </w:r>
    </w:p>
    <w:p w14:paraId="0BF439F0" w14:textId="77777777" w:rsidR="00300396" w:rsidRDefault="00000000">
      <w:pPr>
        <w:rPr>
          <w:b/>
          <w:i/>
        </w:rPr>
      </w:pPr>
      <w:r>
        <w:rPr>
          <w:b/>
          <w:i/>
        </w:rPr>
        <w:t>Threat of New Entrants</w:t>
      </w:r>
    </w:p>
    <w:p w14:paraId="335F5E9E" w14:textId="77777777" w:rsidR="00300396" w:rsidRDefault="00000000">
      <w:r>
        <w:rPr>
          <w:i/>
        </w:rPr>
        <w:t>Moderate to High</w:t>
      </w:r>
      <w:r>
        <w:t>. Entry to the cafe business is relatively cheap (cost of renting property, minimum equipment), particularly for the smaller independents. Nonetheless, a moderate barrier is offered by organic sourcing, quality reputation, and customer loyalty (Chevallier-Chantepie and Batt, 2021). The need to expand to additional cities has the potential to create fresh local competitors.</w:t>
      </w:r>
    </w:p>
    <w:p w14:paraId="6CBD903D" w14:textId="77777777" w:rsidR="00300396" w:rsidRDefault="00000000">
      <w:pPr>
        <w:rPr>
          <w:b/>
          <w:i/>
        </w:rPr>
      </w:pPr>
      <w:r>
        <w:rPr>
          <w:b/>
          <w:i/>
        </w:rPr>
        <w:t xml:space="preserve">Bargaining Power of Suppliers </w:t>
      </w:r>
    </w:p>
    <w:p w14:paraId="3F5360E2" w14:textId="77777777" w:rsidR="00300396" w:rsidRDefault="00000000">
      <w:r>
        <w:rPr>
          <w:i/>
        </w:rPr>
        <w:t>Medium</w:t>
      </w:r>
      <w:r>
        <w:t>. It is possible that organic coffee and the best ingredients will be supplied by specialized suppliers. It is possible that there are not many substitute sources, and suppliers have power. However, due to the comparatively small size of its business, it lacks bargaining power or leverage to buy in large quantities.</w:t>
      </w:r>
    </w:p>
    <w:p w14:paraId="7CB88727" w14:textId="77777777" w:rsidR="00300396" w:rsidRDefault="00000000">
      <w:pPr>
        <w:rPr>
          <w:i/>
        </w:rPr>
      </w:pPr>
      <w:r>
        <w:rPr>
          <w:b/>
          <w:i/>
        </w:rPr>
        <w:t>Bargaining Power of Buyers (Customers)</w:t>
      </w:r>
    </w:p>
    <w:p w14:paraId="4E25E731" w14:textId="77777777" w:rsidR="00300396" w:rsidRDefault="00000000">
      <w:r>
        <w:rPr>
          <w:i/>
        </w:rPr>
        <w:t>High</w:t>
      </w:r>
      <w:r>
        <w:t>. Customers possess numerous choices: giant chains, other standalone coffee shops, and non-organic foodstuffs. It is easy for they can switch when the prices are increased or the quality is low. Moreover, customer reviews and social media provide a voice and influence to the customers (Flavián, Akdim and Casaló, 2022, pp.328-346).</w:t>
      </w:r>
    </w:p>
    <w:p w14:paraId="1F231EBD" w14:textId="77777777" w:rsidR="00300396" w:rsidRDefault="00000000">
      <w:pPr>
        <w:rPr>
          <w:b/>
          <w:i/>
        </w:rPr>
      </w:pPr>
      <w:r>
        <w:rPr>
          <w:b/>
          <w:i/>
        </w:rPr>
        <w:lastRenderedPageBreak/>
        <w:t>Threat of Substitutes</w:t>
      </w:r>
    </w:p>
    <w:p w14:paraId="215F0DA2" w14:textId="77777777" w:rsidR="00300396" w:rsidRDefault="00000000">
      <w:r>
        <w:rPr>
          <w:i/>
        </w:rPr>
        <w:t>High</w:t>
      </w:r>
      <w:r>
        <w:t>. The possible substitutes are cheap cafes, home brewing, fast food chains that sell coffee, and cold beverage stores. Besides, non-coffee companies sell baked goods and beverages. Customers can also use cheaper or convenience substitutes, especially in price-sensitive situations.</w:t>
      </w:r>
    </w:p>
    <w:p w14:paraId="569AB294" w14:textId="77777777" w:rsidR="00300396" w:rsidRDefault="00000000">
      <w:pPr>
        <w:rPr>
          <w:b/>
          <w:i/>
        </w:rPr>
      </w:pPr>
      <w:r>
        <w:rPr>
          <w:b/>
          <w:i/>
        </w:rPr>
        <w:t>Competitive Rivalry</w:t>
      </w:r>
    </w:p>
    <w:p w14:paraId="07C1B07C" w14:textId="77777777" w:rsidR="00300396" w:rsidRDefault="00000000">
      <w:r>
        <w:rPr>
          <w:i/>
        </w:rPr>
        <w:t>High</w:t>
      </w:r>
      <w:r>
        <w:t>. Competition with well-established chains (Costa, Starbucks), coffee shops that are independent, maybe local bakeries that also sell coffee. The intensity is augmented by price rivalry, brand awareness, and economies of scale (when dealing with big chains). The reputation and location do count a lot.</w:t>
      </w:r>
    </w:p>
    <w:p w14:paraId="2C9C3AEC" w14:textId="77777777" w:rsidR="00300396" w:rsidRDefault="00300396"/>
    <w:p w14:paraId="008D3A38" w14:textId="77777777" w:rsidR="00300396" w:rsidRDefault="00300396"/>
    <w:p w14:paraId="44FF1896" w14:textId="77777777" w:rsidR="00300396" w:rsidRDefault="00300396"/>
    <w:p w14:paraId="095F0CB6" w14:textId="77777777" w:rsidR="00300396" w:rsidRDefault="00300396"/>
    <w:p w14:paraId="1E77555F" w14:textId="77777777" w:rsidR="00300396" w:rsidRDefault="00300396"/>
    <w:p w14:paraId="6312DA47" w14:textId="77777777" w:rsidR="00300396" w:rsidRDefault="00300396"/>
    <w:p w14:paraId="654CBB8B" w14:textId="77777777" w:rsidR="00300396" w:rsidRDefault="00000000">
      <w:pPr>
        <w:pStyle w:val="Heading1"/>
      </w:pPr>
      <w:bookmarkStart w:id="9" w:name="_Toc211593572"/>
      <w:r>
        <w:t>Strategic Growth Choices &amp; Proposed New Strategy</w:t>
      </w:r>
      <w:bookmarkEnd w:id="9"/>
      <w:r>
        <w:t xml:space="preserve"> </w:t>
      </w:r>
    </w:p>
    <w:p w14:paraId="4BC3B6F6" w14:textId="77777777" w:rsidR="00300396" w:rsidRDefault="00000000">
      <w:pPr>
        <w:rPr>
          <w:b/>
        </w:rPr>
      </w:pPr>
      <w:r>
        <w:rPr>
          <w:b/>
        </w:rPr>
        <w:t>Possible Strategic Growth Choices</w:t>
      </w:r>
    </w:p>
    <w:p w14:paraId="2E4ED1B0" w14:textId="77777777" w:rsidR="00300396" w:rsidRDefault="00000000">
      <w:pPr>
        <w:rPr>
          <w:b/>
        </w:rPr>
      </w:pPr>
      <w:r>
        <w:rPr>
          <w:b/>
        </w:rPr>
        <w:t>Ansoff Matrix (</w:t>
      </w:r>
      <w:r>
        <w:t>Qomaro, Nasrulloh and Salleh, 2024, pp.51-66</w:t>
      </w:r>
      <w:r>
        <w:rPr>
          <w:b/>
        </w:rPr>
        <w:t>)</w:t>
      </w:r>
    </w:p>
    <w:p w14:paraId="20CF0A02" w14:textId="77777777" w:rsidR="00300396" w:rsidRDefault="00000000">
      <w:pPr>
        <w:rPr>
          <w:b/>
        </w:rPr>
      </w:pPr>
      <w:r>
        <w:rPr>
          <w:b/>
        </w:rPr>
        <w:lastRenderedPageBreak/>
        <w:t xml:space="preserve">       </w:t>
      </w:r>
      <w:r>
        <w:rPr>
          <w:b/>
          <w:noProof/>
        </w:rPr>
        <w:drawing>
          <wp:inline distT="0" distB="0" distL="0" distR="0" wp14:anchorId="63DF2F2C" wp14:editId="04219D8E">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1BFA3A0" w14:textId="77777777" w:rsidR="00300396" w:rsidRDefault="00000000">
      <w:pPr>
        <w:jc w:val="center"/>
        <w:rPr>
          <w:b/>
        </w:rPr>
      </w:pPr>
      <w:bookmarkStart w:id="10" w:name="_5p1itq4mie2" w:colFirst="0" w:colLast="0"/>
      <w:bookmarkEnd w:id="10"/>
      <w:r>
        <w:rPr>
          <w:b/>
        </w:rPr>
        <w:t>Figure 7: Ansoff Matrix</w:t>
      </w:r>
    </w:p>
    <w:p w14:paraId="6FF5141A" w14:textId="77777777" w:rsidR="00300396" w:rsidRDefault="00000000">
      <w:pPr>
        <w:jc w:val="center"/>
        <w:rPr>
          <w:b/>
        </w:rPr>
      </w:pPr>
      <w:r>
        <w:rPr>
          <w:b/>
        </w:rPr>
        <w:t>(Source: Created by Learner)</w:t>
      </w:r>
    </w:p>
    <w:p w14:paraId="281127A0" w14:textId="77777777" w:rsidR="00300396" w:rsidRDefault="00000000">
      <w:pPr>
        <w:numPr>
          <w:ilvl w:val="0"/>
          <w:numId w:val="1"/>
        </w:numPr>
        <w:pBdr>
          <w:top w:val="nil"/>
          <w:left w:val="nil"/>
          <w:bottom w:val="nil"/>
          <w:right w:val="nil"/>
          <w:between w:val="nil"/>
        </w:pBdr>
        <w:spacing w:after="0"/>
      </w:pPr>
      <w:r>
        <w:rPr>
          <w:b/>
          <w:i/>
          <w:color w:val="000000"/>
        </w:rPr>
        <w:t>Market Penetration</w:t>
      </w:r>
      <w:r>
        <w:rPr>
          <w:color w:val="000000"/>
        </w:rPr>
        <w:t>: Sell to more current places, more often, loyalty schemes, promotions, and better marketing to get more share in the existing city (Worcester).</w:t>
      </w:r>
    </w:p>
    <w:p w14:paraId="3529FA78" w14:textId="77777777" w:rsidR="00300396" w:rsidRDefault="00000000">
      <w:pPr>
        <w:numPr>
          <w:ilvl w:val="0"/>
          <w:numId w:val="1"/>
        </w:numPr>
        <w:pBdr>
          <w:top w:val="nil"/>
          <w:left w:val="nil"/>
          <w:bottom w:val="nil"/>
          <w:right w:val="nil"/>
          <w:between w:val="nil"/>
        </w:pBdr>
        <w:spacing w:after="0"/>
      </w:pPr>
      <w:r>
        <w:rPr>
          <w:b/>
          <w:i/>
          <w:color w:val="000000"/>
        </w:rPr>
        <w:t>Market Development</w:t>
      </w:r>
      <w:r>
        <w:rPr>
          <w:color w:val="000000"/>
        </w:rPr>
        <w:t>: New places (Droitwich, other cities), new markets (students, office workers, events).</w:t>
      </w:r>
    </w:p>
    <w:p w14:paraId="267AA32A" w14:textId="77777777" w:rsidR="00300396" w:rsidRDefault="00000000">
      <w:pPr>
        <w:numPr>
          <w:ilvl w:val="0"/>
          <w:numId w:val="1"/>
        </w:numPr>
        <w:pBdr>
          <w:top w:val="nil"/>
          <w:left w:val="nil"/>
          <w:bottom w:val="nil"/>
          <w:right w:val="nil"/>
          <w:between w:val="nil"/>
        </w:pBdr>
        <w:spacing w:after="0"/>
      </w:pPr>
      <w:r>
        <w:rPr>
          <w:b/>
          <w:i/>
          <w:color w:val="000000"/>
        </w:rPr>
        <w:t>Product Development</w:t>
      </w:r>
      <w:r>
        <w:rPr>
          <w:color w:val="000000"/>
        </w:rPr>
        <w:t>: New products - maybe organic seasonal products, new pastry lines, vegan/gluten-free products to meet the niche preferences.</w:t>
      </w:r>
    </w:p>
    <w:p w14:paraId="49D2465E" w14:textId="77777777" w:rsidR="00300396" w:rsidRDefault="00000000">
      <w:pPr>
        <w:numPr>
          <w:ilvl w:val="0"/>
          <w:numId w:val="1"/>
        </w:numPr>
        <w:pBdr>
          <w:top w:val="nil"/>
          <w:left w:val="nil"/>
          <w:bottom w:val="nil"/>
          <w:right w:val="nil"/>
          <w:between w:val="nil"/>
        </w:pBdr>
      </w:pPr>
      <w:r>
        <w:rPr>
          <w:b/>
          <w:i/>
          <w:color w:val="000000"/>
        </w:rPr>
        <w:t>Diversification</w:t>
      </w:r>
      <w:r>
        <w:rPr>
          <w:color w:val="000000"/>
        </w:rPr>
        <w:t>: Dive into similar, but different places - e.g., branded packaged goods (take-home organic pastry mixes), online subscription box delivery, or even smaller retail stores of organic coffee beans.</w:t>
      </w:r>
    </w:p>
    <w:p w14:paraId="22E26243" w14:textId="77777777" w:rsidR="00300396" w:rsidRDefault="00000000">
      <w:pPr>
        <w:rPr>
          <w:b/>
        </w:rPr>
      </w:pPr>
      <w:r>
        <w:rPr>
          <w:b/>
        </w:rPr>
        <w:t xml:space="preserve">General Strategies of Porter (Porter, 1980; </w:t>
      </w:r>
      <w:r>
        <w:t>Gupta, 2022</w:t>
      </w:r>
      <w:r>
        <w:rPr>
          <w:b/>
        </w:rPr>
        <w:t>)</w:t>
      </w:r>
    </w:p>
    <w:p w14:paraId="61E05D35" w14:textId="77777777" w:rsidR="00300396" w:rsidRDefault="00000000">
      <w:pPr>
        <w:numPr>
          <w:ilvl w:val="0"/>
          <w:numId w:val="2"/>
        </w:numPr>
        <w:pBdr>
          <w:top w:val="nil"/>
          <w:left w:val="nil"/>
          <w:bottom w:val="nil"/>
          <w:right w:val="nil"/>
          <w:between w:val="nil"/>
        </w:pBdr>
        <w:spacing w:after="0"/>
      </w:pPr>
      <w:r>
        <w:rPr>
          <w:b/>
          <w:i/>
          <w:color w:val="000000"/>
        </w:rPr>
        <w:t>Cost Leadership</w:t>
      </w:r>
      <w:r>
        <w:rPr>
          <w:color w:val="000000"/>
        </w:rPr>
        <w:t>: Bench of the lowest cost sector - probably challenging due to organic sourcing and small scale.</w:t>
      </w:r>
    </w:p>
    <w:p w14:paraId="7764B548" w14:textId="77777777" w:rsidR="00300396" w:rsidRDefault="00000000">
      <w:pPr>
        <w:numPr>
          <w:ilvl w:val="0"/>
          <w:numId w:val="2"/>
        </w:numPr>
        <w:pBdr>
          <w:top w:val="nil"/>
          <w:left w:val="nil"/>
          <w:bottom w:val="nil"/>
          <w:right w:val="nil"/>
          <w:between w:val="nil"/>
        </w:pBdr>
        <w:spacing w:after="0"/>
      </w:pPr>
      <w:r>
        <w:rPr>
          <w:b/>
          <w:i/>
          <w:color w:val="000000"/>
        </w:rPr>
        <w:t>Differentiation</w:t>
      </w:r>
      <w:r>
        <w:rPr>
          <w:color w:val="000000"/>
        </w:rPr>
        <w:t>: Focus on quality, organic products, craftsmen production, and high-quality customer service.</w:t>
      </w:r>
    </w:p>
    <w:p w14:paraId="6D8B9519" w14:textId="77777777" w:rsidR="00300396" w:rsidRDefault="00000000">
      <w:pPr>
        <w:numPr>
          <w:ilvl w:val="0"/>
          <w:numId w:val="2"/>
        </w:numPr>
        <w:pBdr>
          <w:top w:val="nil"/>
          <w:left w:val="nil"/>
          <w:bottom w:val="nil"/>
          <w:right w:val="nil"/>
          <w:between w:val="nil"/>
        </w:pBdr>
      </w:pPr>
      <w:r>
        <w:rPr>
          <w:b/>
          <w:i/>
          <w:color w:val="000000"/>
        </w:rPr>
        <w:t>Focus (Niche):</w:t>
      </w:r>
      <w:r>
        <w:rPr>
          <w:color w:val="000000"/>
        </w:rPr>
        <w:t xml:space="preserve"> Target certain segments of customers (e.g., organic connoisseurs, health-conscious, event catering clients), within specified geographic locations.</w:t>
      </w:r>
    </w:p>
    <w:p w14:paraId="1EE3C95C" w14:textId="77777777" w:rsidR="00300396" w:rsidRDefault="00000000">
      <w:pPr>
        <w:rPr>
          <w:b/>
        </w:rPr>
      </w:pPr>
      <w:r>
        <w:rPr>
          <w:b/>
        </w:rPr>
        <w:lastRenderedPageBreak/>
        <w:t xml:space="preserve">Strategic Clock of Bowman (Bowman, 1996; </w:t>
      </w:r>
      <w:r>
        <w:t>Mihajlović and Miletić, 2022</w:t>
      </w:r>
      <w:r>
        <w:rPr>
          <w:b/>
        </w:rPr>
        <w:t>)</w:t>
      </w:r>
    </w:p>
    <w:p w14:paraId="23B089D8" w14:textId="77777777" w:rsidR="00300396" w:rsidRDefault="00000000">
      <w:r>
        <w:t>The clock provided by Bowman gives the option of positioning in terms of price and perceived value. The Sweet Greeks might take into consideration:</w:t>
      </w:r>
    </w:p>
    <w:p w14:paraId="46A4D885" w14:textId="77777777" w:rsidR="00300396" w:rsidRDefault="00000000">
      <w:pPr>
        <w:numPr>
          <w:ilvl w:val="0"/>
          <w:numId w:val="3"/>
        </w:numPr>
        <w:pBdr>
          <w:top w:val="nil"/>
          <w:left w:val="nil"/>
          <w:bottom w:val="nil"/>
          <w:right w:val="nil"/>
          <w:between w:val="nil"/>
        </w:pBdr>
        <w:spacing w:after="0"/>
      </w:pPr>
      <w:r>
        <w:rPr>
          <w:b/>
          <w:i/>
          <w:color w:val="000000"/>
        </w:rPr>
        <w:t>Differentiation / Moderate Premium (Clock Position 4-5-6):</w:t>
      </w:r>
      <w:r>
        <w:rPr>
          <w:color w:val="000000"/>
        </w:rPr>
        <w:t xml:space="preserve"> Sell high value and fair premium price (organic + quality warrants price).</w:t>
      </w:r>
    </w:p>
    <w:p w14:paraId="3D1330DF" w14:textId="77777777" w:rsidR="00300396" w:rsidRDefault="00000000">
      <w:pPr>
        <w:numPr>
          <w:ilvl w:val="0"/>
          <w:numId w:val="3"/>
        </w:numPr>
        <w:pBdr>
          <w:top w:val="nil"/>
          <w:left w:val="nil"/>
          <w:bottom w:val="nil"/>
          <w:right w:val="nil"/>
          <w:between w:val="nil"/>
        </w:pBdr>
        <w:spacing w:after="0"/>
      </w:pPr>
      <w:r>
        <w:rPr>
          <w:b/>
          <w:i/>
          <w:color w:val="000000"/>
        </w:rPr>
        <w:t xml:space="preserve">Focused Differentiation (Clock 7): </w:t>
      </w:r>
      <w:r>
        <w:rPr>
          <w:color w:val="000000"/>
        </w:rPr>
        <w:t>Niche premium market, preferably setting higher premiums on catering and specialty organic products.</w:t>
      </w:r>
    </w:p>
    <w:p w14:paraId="2446AA96" w14:textId="77777777" w:rsidR="00300396" w:rsidRDefault="00000000">
      <w:pPr>
        <w:numPr>
          <w:ilvl w:val="0"/>
          <w:numId w:val="3"/>
        </w:numPr>
        <w:pBdr>
          <w:top w:val="nil"/>
          <w:left w:val="nil"/>
          <w:bottom w:val="nil"/>
          <w:right w:val="nil"/>
          <w:between w:val="nil"/>
        </w:pBdr>
      </w:pPr>
      <w:r>
        <w:rPr>
          <w:color w:val="000000"/>
        </w:rPr>
        <w:t>Avoid high price/low value or low price/low value positions -this would lead to a bad reputation.</w:t>
      </w:r>
    </w:p>
    <w:p w14:paraId="460B1296" w14:textId="77777777" w:rsidR="00300396" w:rsidRDefault="00000000">
      <w:pPr>
        <w:rPr>
          <w:b/>
        </w:rPr>
      </w:pPr>
      <w:r>
        <w:rPr>
          <w:b/>
        </w:rPr>
        <w:t>Proposed New Strategy</w:t>
      </w:r>
    </w:p>
    <w:p w14:paraId="31D4D305" w14:textId="77777777" w:rsidR="00300396" w:rsidRDefault="00000000">
      <w:r>
        <w:t>The strategic plan of The Sweet Greeks focuses on the digital integration and expansion of the business into the region to achieve scalable and sustainable growth. This strategy is premised on two dimensions: geographic expansion and digital transformation.</w:t>
      </w:r>
    </w:p>
    <w:p w14:paraId="4CB02814" w14:textId="77777777" w:rsidR="00300396" w:rsidRDefault="00000000">
      <w:r>
        <w:t xml:space="preserve">With </w:t>
      </w:r>
      <w:r>
        <w:rPr>
          <w:b/>
          <w:i/>
        </w:rPr>
        <w:t>geographic expansion</w:t>
      </w:r>
      <w:r>
        <w:t>, the organisation must open other outlets in strategically chosen urban regions with a high population of young professionals and families. The specified demographic groups are sensitive to cultural food experiences in particular. The firm can keep its costs down by opening smaller satellite stores or kiosks instead of full-scale stores, which will help the firm determine the level of response in terms of demand. The brand can also be promoted in partnership with the local market, shopping malls, and event organisers as well.</w:t>
      </w:r>
    </w:p>
    <w:p w14:paraId="1CFE6920" w14:textId="77777777" w:rsidR="00300396" w:rsidRDefault="00000000">
      <w:r>
        <w:t xml:space="preserve">The online ordering and delivery system should be integrated with physical expansion in terms of </w:t>
      </w:r>
      <w:r>
        <w:rPr>
          <w:b/>
          <w:i/>
        </w:rPr>
        <w:t>digital transformation</w:t>
      </w:r>
      <w:r>
        <w:t xml:space="preserve">. The company should invest in an easy-to-use site and mobile app that would enhance customer convenience and ease of direct interaction (Alesiuniene </w:t>
      </w:r>
      <w:r>
        <w:rPr>
          <w:i/>
        </w:rPr>
        <w:t>et al</w:t>
      </w:r>
      <w:r>
        <w:t>., 2021, pp.677-701). Moreover, data analytics can be used to enable the business to know what consumers like and produce for them. Customers should be attracted and retained using social media marketing, influencer partnerships, and online loyalty programmes.</w:t>
      </w:r>
    </w:p>
    <w:p w14:paraId="6713ACA4" w14:textId="77777777" w:rsidR="00300396" w:rsidRDefault="00000000">
      <w:r>
        <w:t xml:space="preserve">The tactic also includes creating products of limited-edition or seasonal products based on Greek festivals or customs. This strategy not only strengthens brand authenticity but also forms periodic excitement and demand. </w:t>
      </w:r>
    </w:p>
    <w:p w14:paraId="78D2FC5F" w14:textId="77777777" w:rsidR="00300396" w:rsidRDefault="00000000">
      <w:r>
        <w:rPr>
          <w:b/>
        </w:rPr>
        <w:t>Why this Strategy is long-term and sustainable</w:t>
      </w:r>
      <w:r>
        <w:t>.</w:t>
      </w:r>
    </w:p>
    <w:p w14:paraId="5128BED3" w14:textId="77777777" w:rsidR="00300396" w:rsidRDefault="00000000">
      <w:r>
        <w:rPr>
          <w:b/>
          <w:i/>
        </w:rPr>
        <w:lastRenderedPageBreak/>
        <w:t>Fits the strengths</w:t>
      </w:r>
      <w:r>
        <w:t>: Rides on what Sweet Greeks already has good-quality, organic, reputation- Builds on what is already well done at Sweet Greeks. Differentiation helps the firm to avoid open competition with the large chains in terms of cost.</w:t>
      </w:r>
    </w:p>
    <w:p w14:paraId="232D774D" w14:textId="77777777" w:rsidR="00300396" w:rsidRDefault="00000000">
      <w:r>
        <w:rPr>
          <w:b/>
          <w:i/>
        </w:rPr>
        <w:t>Individualized rate of growth</w:t>
      </w:r>
      <w:r>
        <w:t>: The growth is quantitatively and discriminative. Only by expanding to areas that have demand can, risks of overextension be reduced.</w:t>
      </w:r>
    </w:p>
    <w:p w14:paraId="224685DD" w14:textId="77777777" w:rsidR="00300396" w:rsidRDefault="00000000">
      <w:r>
        <w:rPr>
          <w:b/>
          <w:i/>
        </w:rPr>
        <w:t>Stability to economic strains</w:t>
      </w:r>
      <w:r>
        <w:t>: Differentiation and branding mean some price premium; sustainable operations and efficient operations contain costs.</w:t>
      </w:r>
    </w:p>
    <w:p w14:paraId="068A2E4E" w14:textId="77777777" w:rsidR="00300396" w:rsidRDefault="00000000">
      <w:r>
        <w:rPr>
          <w:b/>
          <w:i/>
        </w:rPr>
        <w:t>Appropriate frameworks in SMEs</w:t>
      </w:r>
      <w:r>
        <w:t xml:space="preserve">: SME literature indicates that the formal strategy tools (also absent in the firm at present) correlate positively with performance when adjusted to resource limitations of SMEs (Kabange and Simatele, 2023, pp.344-365). </w:t>
      </w:r>
    </w:p>
    <w:p w14:paraId="7E1F1098" w14:textId="77777777" w:rsidR="00300396" w:rsidRDefault="00000000">
      <w:r>
        <w:rPr>
          <w:b/>
          <w:i/>
        </w:rPr>
        <w:t>Create value and customer loyalty</w:t>
      </w:r>
      <w:r>
        <w:t>: Organic, quality, and good customer service will be an emotional and experiential value creation that will result in repeat business and high brand loyalty.</w:t>
      </w:r>
    </w:p>
    <w:p w14:paraId="08CC8225" w14:textId="77777777" w:rsidR="00300396" w:rsidRDefault="00000000">
      <w:r>
        <w:rPr>
          <w:b/>
          <w:i/>
        </w:rPr>
        <w:t>External trends are in favour of differentiation</w:t>
      </w:r>
      <w:r>
        <w:t>: This approach is supported by the trends of consumers towards sustainable sourcing, ethical sourcing, organic food, local production, etc.</w:t>
      </w:r>
    </w:p>
    <w:p w14:paraId="28A980B6" w14:textId="77777777" w:rsidR="00300396" w:rsidRDefault="00000000">
      <w:r>
        <w:rPr>
          <w:b/>
          <w:i/>
        </w:rPr>
        <w:t>Threat reduction</w:t>
      </w:r>
      <w:r>
        <w:t>: The company would be in a better position to compete with substitutes, supplier influence, and competition by ensuring that it is ahead of the pack through quality, brand, and innovation.</w:t>
      </w:r>
    </w:p>
    <w:p w14:paraId="09BB9399" w14:textId="77777777" w:rsidR="00300396" w:rsidRDefault="00300396"/>
    <w:p w14:paraId="7C1A0103" w14:textId="77777777" w:rsidR="00300396" w:rsidRDefault="00300396"/>
    <w:p w14:paraId="0CA5C548" w14:textId="77777777" w:rsidR="00300396" w:rsidRDefault="00300396"/>
    <w:p w14:paraId="4E8E11EE" w14:textId="77777777" w:rsidR="00300396" w:rsidRDefault="00300396"/>
    <w:p w14:paraId="3B52A8D5" w14:textId="77777777" w:rsidR="00300396" w:rsidRDefault="00000000">
      <w:pPr>
        <w:jc w:val="left"/>
        <w:rPr>
          <w:b/>
        </w:rPr>
      </w:pPr>
      <w:r>
        <w:br w:type="page"/>
      </w:r>
    </w:p>
    <w:p w14:paraId="6D23D742" w14:textId="77777777" w:rsidR="00300396" w:rsidRDefault="00000000">
      <w:pPr>
        <w:rPr>
          <w:b/>
        </w:rPr>
      </w:pPr>
      <w:r>
        <w:rPr>
          <w:b/>
        </w:rPr>
        <w:lastRenderedPageBreak/>
        <w:t xml:space="preserve">Stakeholder Analysis &amp; Evaluation of Options </w:t>
      </w:r>
    </w:p>
    <w:p w14:paraId="1305DDB0" w14:textId="77777777" w:rsidR="00300396" w:rsidRDefault="00000000">
      <w:pPr>
        <w:rPr>
          <w:b/>
        </w:rPr>
      </w:pPr>
      <w:r>
        <w:rPr>
          <w:b/>
        </w:rPr>
        <w:t>Mendelow’s Matrix</w:t>
      </w:r>
    </w:p>
    <w:p w14:paraId="63167331" w14:textId="77777777" w:rsidR="00300396" w:rsidRDefault="00000000">
      <w:r>
        <w:t>The Matrix developed by Mendelow classifies the stakeholders according to the power (degree of influence over the decision) and the interest (degree of concern or interest). The model plays a major role in identifying the communication and engagement strategies to be adopted for every stakeholder group (Mints and Kamyshnykova, 2021, pp.372-398). The analysis of The Sweet Greeks can be represented in the following way.</w:t>
      </w:r>
    </w:p>
    <w:tbl>
      <w:tblPr>
        <w:tblStyle w:val="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52"/>
        <w:gridCol w:w="1046"/>
        <w:gridCol w:w="1030"/>
        <w:gridCol w:w="1310"/>
        <w:gridCol w:w="3412"/>
      </w:tblGrid>
      <w:tr w:rsidR="00300396" w14:paraId="2B1AADC2" w14:textId="77777777">
        <w:tc>
          <w:tcPr>
            <w:tcW w:w="2552" w:type="dxa"/>
          </w:tcPr>
          <w:p w14:paraId="6F4DF8DD" w14:textId="77777777" w:rsidR="00300396" w:rsidRDefault="00000000">
            <w:pPr>
              <w:spacing w:line="360" w:lineRule="auto"/>
              <w:rPr>
                <w:b/>
              </w:rPr>
            </w:pPr>
            <w:r>
              <w:rPr>
                <w:b/>
              </w:rPr>
              <w:t>Stakeholder Group</w:t>
            </w:r>
          </w:p>
        </w:tc>
        <w:tc>
          <w:tcPr>
            <w:tcW w:w="1046" w:type="dxa"/>
          </w:tcPr>
          <w:p w14:paraId="1D511CDD" w14:textId="77777777" w:rsidR="00300396" w:rsidRDefault="00000000">
            <w:pPr>
              <w:spacing w:line="360" w:lineRule="auto"/>
              <w:rPr>
                <w:b/>
              </w:rPr>
            </w:pPr>
            <w:r>
              <w:rPr>
                <w:b/>
              </w:rPr>
              <w:t>Power</w:t>
            </w:r>
          </w:p>
        </w:tc>
        <w:tc>
          <w:tcPr>
            <w:tcW w:w="1030" w:type="dxa"/>
          </w:tcPr>
          <w:p w14:paraId="4BCD1763" w14:textId="77777777" w:rsidR="00300396" w:rsidRDefault="00000000">
            <w:pPr>
              <w:spacing w:line="360" w:lineRule="auto"/>
              <w:rPr>
                <w:b/>
              </w:rPr>
            </w:pPr>
            <w:r>
              <w:rPr>
                <w:b/>
              </w:rPr>
              <w:t>Interest</w:t>
            </w:r>
          </w:p>
        </w:tc>
        <w:tc>
          <w:tcPr>
            <w:tcW w:w="1310" w:type="dxa"/>
          </w:tcPr>
          <w:p w14:paraId="16070749" w14:textId="77777777" w:rsidR="00300396" w:rsidRDefault="00000000">
            <w:pPr>
              <w:spacing w:line="360" w:lineRule="auto"/>
              <w:rPr>
                <w:b/>
              </w:rPr>
            </w:pPr>
            <w:r>
              <w:rPr>
                <w:b/>
              </w:rPr>
              <w:t>Category</w:t>
            </w:r>
          </w:p>
        </w:tc>
        <w:tc>
          <w:tcPr>
            <w:tcW w:w="3412" w:type="dxa"/>
          </w:tcPr>
          <w:p w14:paraId="26AF3897" w14:textId="77777777" w:rsidR="00300396" w:rsidRDefault="00000000">
            <w:pPr>
              <w:spacing w:line="360" w:lineRule="auto"/>
              <w:rPr>
                <w:b/>
              </w:rPr>
            </w:pPr>
            <w:r>
              <w:rPr>
                <w:b/>
              </w:rPr>
              <w:t>Expectations and Strategic Implications</w:t>
            </w:r>
          </w:p>
        </w:tc>
      </w:tr>
      <w:tr w:rsidR="00300396" w14:paraId="74262F7A" w14:textId="77777777">
        <w:tc>
          <w:tcPr>
            <w:tcW w:w="2552" w:type="dxa"/>
          </w:tcPr>
          <w:p w14:paraId="3988A818" w14:textId="77777777" w:rsidR="00300396" w:rsidRDefault="00000000">
            <w:pPr>
              <w:spacing w:line="360" w:lineRule="auto"/>
            </w:pPr>
            <w:r>
              <w:t>Owners/Founders</w:t>
            </w:r>
          </w:p>
        </w:tc>
        <w:tc>
          <w:tcPr>
            <w:tcW w:w="1046" w:type="dxa"/>
          </w:tcPr>
          <w:p w14:paraId="4AA57889" w14:textId="77777777" w:rsidR="00300396" w:rsidRDefault="00000000">
            <w:pPr>
              <w:spacing w:line="360" w:lineRule="auto"/>
            </w:pPr>
            <w:r>
              <w:t>High</w:t>
            </w:r>
          </w:p>
        </w:tc>
        <w:tc>
          <w:tcPr>
            <w:tcW w:w="1030" w:type="dxa"/>
          </w:tcPr>
          <w:p w14:paraId="490DF51D" w14:textId="77777777" w:rsidR="00300396" w:rsidRDefault="00000000">
            <w:pPr>
              <w:spacing w:line="360" w:lineRule="auto"/>
            </w:pPr>
            <w:r>
              <w:t>High</w:t>
            </w:r>
          </w:p>
        </w:tc>
        <w:tc>
          <w:tcPr>
            <w:tcW w:w="1310" w:type="dxa"/>
          </w:tcPr>
          <w:p w14:paraId="37812F1B" w14:textId="77777777" w:rsidR="00300396" w:rsidRDefault="00000000">
            <w:pPr>
              <w:spacing w:line="360" w:lineRule="auto"/>
            </w:pPr>
            <w:r>
              <w:t>Key Players</w:t>
            </w:r>
          </w:p>
        </w:tc>
        <w:tc>
          <w:tcPr>
            <w:tcW w:w="3412" w:type="dxa"/>
          </w:tcPr>
          <w:p w14:paraId="71F8E2EA" w14:textId="77777777" w:rsidR="00300396" w:rsidRDefault="00000000">
            <w:pPr>
              <w:spacing w:line="360" w:lineRule="auto"/>
            </w:pPr>
            <w:r>
              <w:t>Anticipate good growth, brand recognition, and stability of operations. Their participation is critical to making decisions and implementing strategic actions.</w:t>
            </w:r>
          </w:p>
        </w:tc>
      </w:tr>
      <w:tr w:rsidR="00300396" w14:paraId="734310E4" w14:textId="77777777">
        <w:tc>
          <w:tcPr>
            <w:tcW w:w="2552" w:type="dxa"/>
          </w:tcPr>
          <w:p w14:paraId="77F860EA" w14:textId="77777777" w:rsidR="00300396" w:rsidRDefault="00000000">
            <w:pPr>
              <w:spacing w:line="360" w:lineRule="auto"/>
            </w:pPr>
            <w:r>
              <w:t>Employees</w:t>
            </w:r>
          </w:p>
        </w:tc>
        <w:tc>
          <w:tcPr>
            <w:tcW w:w="1046" w:type="dxa"/>
          </w:tcPr>
          <w:p w14:paraId="0EAAEC1E" w14:textId="77777777" w:rsidR="00300396" w:rsidRDefault="00000000">
            <w:pPr>
              <w:spacing w:line="360" w:lineRule="auto"/>
            </w:pPr>
            <w:r>
              <w:t>Medium</w:t>
            </w:r>
          </w:p>
        </w:tc>
        <w:tc>
          <w:tcPr>
            <w:tcW w:w="1030" w:type="dxa"/>
          </w:tcPr>
          <w:p w14:paraId="4E30FF28" w14:textId="77777777" w:rsidR="00300396" w:rsidRDefault="00000000">
            <w:pPr>
              <w:spacing w:line="360" w:lineRule="auto"/>
            </w:pPr>
            <w:r>
              <w:t>High</w:t>
            </w:r>
          </w:p>
        </w:tc>
        <w:tc>
          <w:tcPr>
            <w:tcW w:w="1310" w:type="dxa"/>
          </w:tcPr>
          <w:p w14:paraId="48B98D94" w14:textId="77777777" w:rsidR="00300396" w:rsidRDefault="00000000">
            <w:pPr>
              <w:spacing w:line="360" w:lineRule="auto"/>
            </w:pPr>
            <w:r>
              <w:t>Keep Satisfied</w:t>
            </w:r>
          </w:p>
        </w:tc>
        <w:tc>
          <w:tcPr>
            <w:tcW w:w="3412" w:type="dxa"/>
          </w:tcPr>
          <w:p w14:paraId="11793DC3" w14:textId="77777777" w:rsidR="00300396" w:rsidRDefault="00000000">
            <w:pPr>
              <w:spacing w:line="360" w:lineRule="auto"/>
            </w:pPr>
            <w:r>
              <w:t>Demand security of jobs, good salaries, growth of career, and a healthy culture. Motivation has a direct impact on productivity and the quality of services.</w:t>
            </w:r>
          </w:p>
        </w:tc>
      </w:tr>
      <w:tr w:rsidR="00300396" w14:paraId="28323582" w14:textId="77777777">
        <w:tc>
          <w:tcPr>
            <w:tcW w:w="2552" w:type="dxa"/>
          </w:tcPr>
          <w:p w14:paraId="6EEBFDBA" w14:textId="77777777" w:rsidR="00300396" w:rsidRDefault="00000000">
            <w:pPr>
              <w:spacing w:line="360" w:lineRule="auto"/>
            </w:pPr>
            <w:r>
              <w:t>Customers</w:t>
            </w:r>
          </w:p>
        </w:tc>
        <w:tc>
          <w:tcPr>
            <w:tcW w:w="1046" w:type="dxa"/>
          </w:tcPr>
          <w:p w14:paraId="6E71AEFF" w14:textId="77777777" w:rsidR="00300396" w:rsidRDefault="00000000">
            <w:pPr>
              <w:spacing w:line="360" w:lineRule="auto"/>
            </w:pPr>
            <w:r>
              <w:t>High</w:t>
            </w:r>
          </w:p>
        </w:tc>
        <w:tc>
          <w:tcPr>
            <w:tcW w:w="1030" w:type="dxa"/>
          </w:tcPr>
          <w:p w14:paraId="1A53522B" w14:textId="77777777" w:rsidR="00300396" w:rsidRDefault="00000000">
            <w:pPr>
              <w:spacing w:line="360" w:lineRule="auto"/>
            </w:pPr>
            <w:r>
              <w:t>High</w:t>
            </w:r>
          </w:p>
        </w:tc>
        <w:tc>
          <w:tcPr>
            <w:tcW w:w="1310" w:type="dxa"/>
          </w:tcPr>
          <w:p w14:paraId="0983F3E5" w14:textId="77777777" w:rsidR="00300396" w:rsidRDefault="00000000">
            <w:pPr>
              <w:spacing w:line="360" w:lineRule="auto"/>
            </w:pPr>
            <w:r>
              <w:t>Key Players</w:t>
            </w:r>
          </w:p>
        </w:tc>
        <w:tc>
          <w:tcPr>
            <w:tcW w:w="3412" w:type="dxa"/>
          </w:tcPr>
          <w:p w14:paraId="26305B7B" w14:textId="77777777" w:rsidR="00300396" w:rsidRDefault="00000000">
            <w:pPr>
              <w:spacing w:line="360" w:lineRule="auto"/>
            </w:pPr>
            <w:r>
              <w:t>No surprises about the quality of the products, the original flavours, or unethical practices. The success in the market depends on their loyalty and feedback.</w:t>
            </w:r>
          </w:p>
        </w:tc>
      </w:tr>
      <w:tr w:rsidR="00300396" w14:paraId="79ABAE34" w14:textId="77777777">
        <w:tc>
          <w:tcPr>
            <w:tcW w:w="2552" w:type="dxa"/>
          </w:tcPr>
          <w:p w14:paraId="293B7C11" w14:textId="77777777" w:rsidR="00300396" w:rsidRDefault="00000000">
            <w:pPr>
              <w:spacing w:line="360" w:lineRule="auto"/>
            </w:pPr>
            <w:r>
              <w:t>Suppliers</w:t>
            </w:r>
          </w:p>
        </w:tc>
        <w:tc>
          <w:tcPr>
            <w:tcW w:w="1046" w:type="dxa"/>
          </w:tcPr>
          <w:p w14:paraId="6A1368B9" w14:textId="77777777" w:rsidR="00300396" w:rsidRDefault="00000000">
            <w:pPr>
              <w:spacing w:line="360" w:lineRule="auto"/>
            </w:pPr>
            <w:r>
              <w:t>Medium</w:t>
            </w:r>
          </w:p>
        </w:tc>
        <w:tc>
          <w:tcPr>
            <w:tcW w:w="1030" w:type="dxa"/>
          </w:tcPr>
          <w:p w14:paraId="05A5652A" w14:textId="77777777" w:rsidR="00300396" w:rsidRDefault="00000000">
            <w:pPr>
              <w:spacing w:line="360" w:lineRule="auto"/>
            </w:pPr>
            <w:r>
              <w:t>Medium</w:t>
            </w:r>
          </w:p>
        </w:tc>
        <w:tc>
          <w:tcPr>
            <w:tcW w:w="1310" w:type="dxa"/>
          </w:tcPr>
          <w:p w14:paraId="3526BB93" w14:textId="77777777" w:rsidR="00300396" w:rsidRDefault="00000000">
            <w:pPr>
              <w:spacing w:line="360" w:lineRule="auto"/>
            </w:pPr>
            <w:r>
              <w:t>Keep Informed</w:t>
            </w:r>
          </w:p>
        </w:tc>
        <w:tc>
          <w:tcPr>
            <w:tcW w:w="3412" w:type="dxa"/>
          </w:tcPr>
          <w:p w14:paraId="29F6BC89" w14:textId="77777777" w:rsidR="00300396" w:rsidRDefault="00000000">
            <w:pPr>
              <w:spacing w:line="360" w:lineRule="auto"/>
            </w:pPr>
            <w:r>
              <w:t>Wait to receive payments on time, long-term contracts, and open relations. The suppliers are reliable and guarantee seamless operations and quality sourcing.</w:t>
            </w:r>
          </w:p>
        </w:tc>
      </w:tr>
      <w:tr w:rsidR="00300396" w14:paraId="72996C73" w14:textId="77777777">
        <w:tc>
          <w:tcPr>
            <w:tcW w:w="2552" w:type="dxa"/>
          </w:tcPr>
          <w:p w14:paraId="4A470A4F" w14:textId="77777777" w:rsidR="00300396" w:rsidRDefault="00000000">
            <w:pPr>
              <w:spacing w:line="360" w:lineRule="auto"/>
            </w:pPr>
            <w:r>
              <w:t>Investors/Financial Partners</w:t>
            </w:r>
          </w:p>
        </w:tc>
        <w:tc>
          <w:tcPr>
            <w:tcW w:w="1046" w:type="dxa"/>
          </w:tcPr>
          <w:p w14:paraId="226357A3" w14:textId="77777777" w:rsidR="00300396" w:rsidRDefault="00000000">
            <w:pPr>
              <w:spacing w:line="360" w:lineRule="auto"/>
            </w:pPr>
            <w:r>
              <w:t>High</w:t>
            </w:r>
          </w:p>
        </w:tc>
        <w:tc>
          <w:tcPr>
            <w:tcW w:w="1030" w:type="dxa"/>
          </w:tcPr>
          <w:p w14:paraId="5825C102" w14:textId="77777777" w:rsidR="00300396" w:rsidRDefault="00000000">
            <w:pPr>
              <w:spacing w:line="360" w:lineRule="auto"/>
            </w:pPr>
            <w:r>
              <w:t>Medium</w:t>
            </w:r>
          </w:p>
        </w:tc>
        <w:tc>
          <w:tcPr>
            <w:tcW w:w="1310" w:type="dxa"/>
          </w:tcPr>
          <w:p w14:paraId="3B6A5DCB" w14:textId="77777777" w:rsidR="00300396" w:rsidRDefault="00000000">
            <w:pPr>
              <w:spacing w:line="360" w:lineRule="auto"/>
            </w:pPr>
            <w:r>
              <w:t>Key Players</w:t>
            </w:r>
          </w:p>
        </w:tc>
        <w:tc>
          <w:tcPr>
            <w:tcW w:w="3412" w:type="dxa"/>
          </w:tcPr>
          <w:p w14:paraId="7A9CF615" w14:textId="77777777" w:rsidR="00300396" w:rsidRDefault="00000000">
            <w:pPr>
              <w:spacing w:line="360" w:lineRule="auto"/>
            </w:pPr>
            <w:r>
              <w:t xml:space="preserve">Look forward to monetary gains and permanence. They help in </w:t>
            </w:r>
            <w:r>
              <w:lastRenderedPageBreak/>
              <w:t>the growth of business and investment in technology.</w:t>
            </w:r>
          </w:p>
        </w:tc>
      </w:tr>
      <w:tr w:rsidR="00300396" w14:paraId="5DC4DE90" w14:textId="77777777">
        <w:tc>
          <w:tcPr>
            <w:tcW w:w="2552" w:type="dxa"/>
          </w:tcPr>
          <w:p w14:paraId="02E27C7B" w14:textId="77777777" w:rsidR="00300396" w:rsidRDefault="00000000">
            <w:pPr>
              <w:spacing w:line="360" w:lineRule="auto"/>
            </w:pPr>
            <w:r>
              <w:lastRenderedPageBreak/>
              <w:t>Local Government/Regulatory Bodies</w:t>
            </w:r>
          </w:p>
        </w:tc>
        <w:tc>
          <w:tcPr>
            <w:tcW w:w="1046" w:type="dxa"/>
          </w:tcPr>
          <w:p w14:paraId="45CE222C" w14:textId="77777777" w:rsidR="00300396" w:rsidRDefault="00000000">
            <w:pPr>
              <w:spacing w:line="360" w:lineRule="auto"/>
            </w:pPr>
            <w:r>
              <w:t>High</w:t>
            </w:r>
          </w:p>
        </w:tc>
        <w:tc>
          <w:tcPr>
            <w:tcW w:w="1030" w:type="dxa"/>
          </w:tcPr>
          <w:p w14:paraId="1001C144" w14:textId="77777777" w:rsidR="00300396" w:rsidRDefault="00000000">
            <w:pPr>
              <w:spacing w:line="360" w:lineRule="auto"/>
            </w:pPr>
            <w:r>
              <w:t>Low</w:t>
            </w:r>
          </w:p>
        </w:tc>
        <w:tc>
          <w:tcPr>
            <w:tcW w:w="1310" w:type="dxa"/>
          </w:tcPr>
          <w:p w14:paraId="2E5FF890" w14:textId="77777777" w:rsidR="00300396" w:rsidRDefault="00000000">
            <w:pPr>
              <w:spacing w:line="360" w:lineRule="auto"/>
            </w:pPr>
            <w:r>
              <w:t>Keep Satisfied</w:t>
            </w:r>
          </w:p>
        </w:tc>
        <w:tc>
          <w:tcPr>
            <w:tcW w:w="3412" w:type="dxa"/>
          </w:tcPr>
          <w:p w14:paraId="32CF8242" w14:textId="77777777" w:rsidR="00300396" w:rsidRDefault="00000000">
            <w:pPr>
              <w:spacing w:line="360" w:lineRule="auto"/>
            </w:pPr>
            <w:r>
              <w:t>Fearful of conformity, standards of hygiene, and labor laws. Operational legitimacy is guaranteed by compliance.</w:t>
            </w:r>
          </w:p>
        </w:tc>
      </w:tr>
      <w:tr w:rsidR="00300396" w14:paraId="22AD179B" w14:textId="77777777">
        <w:tc>
          <w:tcPr>
            <w:tcW w:w="2552" w:type="dxa"/>
          </w:tcPr>
          <w:p w14:paraId="649B2A2E" w14:textId="77777777" w:rsidR="00300396" w:rsidRDefault="00000000">
            <w:pPr>
              <w:spacing w:line="360" w:lineRule="auto"/>
            </w:pPr>
            <w:r>
              <w:t>Competitors</w:t>
            </w:r>
          </w:p>
        </w:tc>
        <w:tc>
          <w:tcPr>
            <w:tcW w:w="1046" w:type="dxa"/>
          </w:tcPr>
          <w:p w14:paraId="2FAE07D2" w14:textId="77777777" w:rsidR="00300396" w:rsidRDefault="00000000">
            <w:pPr>
              <w:spacing w:line="360" w:lineRule="auto"/>
            </w:pPr>
            <w:r>
              <w:t>Low</w:t>
            </w:r>
          </w:p>
        </w:tc>
        <w:tc>
          <w:tcPr>
            <w:tcW w:w="1030" w:type="dxa"/>
          </w:tcPr>
          <w:p w14:paraId="426EC65A" w14:textId="77777777" w:rsidR="00300396" w:rsidRDefault="00000000">
            <w:pPr>
              <w:spacing w:line="360" w:lineRule="auto"/>
            </w:pPr>
            <w:r>
              <w:t>Low</w:t>
            </w:r>
          </w:p>
        </w:tc>
        <w:tc>
          <w:tcPr>
            <w:tcW w:w="1310" w:type="dxa"/>
          </w:tcPr>
          <w:p w14:paraId="2EBC33FA" w14:textId="77777777" w:rsidR="00300396" w:rsidRDefault="00000000">
            <w:pPr>
              <w:spacing w:line="360" w:lineRule="auto"/>
            </w:pPr>
            <w:r>
              <w:t>Minimal Effort</w:t>
            </w:r>
          </w:p>
        </w:tc>
        <w:tc>
          <w:tcPr>
            <w:tcW w:w="3412" w:type="dxa"/>
          </w:tcPr>
          <w:p w14:paraId="0522CA07" w14:textId="77777777" w:rsidR="00300396" w:rsidRDefault="00000000">
            <w:pPr>
              <w:spacing w:line="360" w:lineRule="auto"/>
            </w:pPr>
            <w:r>
              <w:t>Competitors do not engage in direct activity, but their activities affect the market positioning and pricing strategies.</w:t>
            </w:r>
          </w:p>
        </w:tc>
      </w:tr>
      <w:tr w:rsidR="00300396" w14:paraId="7CFA7F27" w14:textId="77777777">
        <w:tc>
          <w:tcPr>
            <w:tcW w:w="2552" w:type="dxa"/>
          </w:tcPr>
          <w:p w14:paraId="656F5D76" w14:textId="77777777" w:rsidR="00300396" w:rsidRDefault="00000000">
            <w:pPr>
              <w:spacing w:line="360" w:lineRule="auto"/>
            </w:pPr>
            <w:r>
              <w:t>Local Community</w:t>
            </w:r>
          </w:p>
        </w:tc>
        <w:tc>
          <w:tcPr>
            <w:tcW w:w="1046" w:type="dxa"/>
          </w:tcPr>
          <w:p w14:paraId="7C6174FE" w14:textId="77777777" w:rsidR="00300396" w:rsidRDefault="00000000">
            <w:pPr>
              <w:spacing w:line="360" w:lineRule="auto"/>
            </w:pPr>
            <w:r>
              <w:t>Low</w:t>
            </w:r>
          </w:p>
        </w:tc>
        <w:tc>
          <w:tcPr>
            <w:tcW w:w="1030" w:type="dxa"/>
          </w:tcPr>
          <w:p w14:paraId="41D24183" w14:textId="77777777" w:rsidR="00300396" w:rsidRDefault="00000000">
            <w:pPr>
              <w:spacing w:line="360" w:lineRule="auto"/>
            </w:pPr>
            <w:r>
              <w:t>Medium</w:t>
            </w:r>
          </w:p>
        </w:tc>
        <w:tc>
          <w:tcPr>
            <w:tcW w:w="1310" w:type="dxa"/>
          </w:tcPr>
          <w:p w14:paraId="3A282791" w14:textId="77777777" w:rsidR="00300396" w:rsidRDefault="00000000">
            <w:pPr>
              <w:spacing w:line="360" w:lineRule="auto"/>
            </w:pPr>
            <w:r>
              <w:t>Keep Informed</w:t>
            </w:r>
          </w:p>
        </w:tc>
        <w:tc>
          <w:tcPr>
            <w:tcW w:w="3412" w:type="dxa"/>
          </w:tcPr>
          <w:p w14:paraId="3182AB83" w14:textId="77777777" w:rsidR="00300396" w:rsidRDefault="00000000">
            <w:pPr>
              <w:spacing w:line="360" w:lineRule="auto"/>
            </w:pPr>
            <w:r>
              <w:t>Believe in ethical conduct of the business, community involvement, and the provision of jobs and sustainability in the area.</w:t>
            </w:r>
          </w:p>
        </w:tc>
      </w:tr>
    </w:tbl>
    <w:p w14:paraId="30ECEEB5" w14:textId="77777777" w:rsidR="00300396" w:rsidRDefault="00300396"/>
    <w:p w14:paraId="0C8E7331" w14:textId="77777777" w:rsidR="00300396" w:rsidRDefault="00000000">
      <w:pPr>
        <w:jc w:val="center"/>
        <w:rPr>
          <w:b/>
        </w:rPr>
      </w:pPr>
      <w:bookmarkStart w:id="11" w:name="_ts6jlygr9kht" w:colFirst="0" w:colLast="0"/>
      <w:bookmarkEnd w:id="11"/>
      <w:r>
        <w:rPr>
          <w:b/>
        </w:rPr>
        <w:t>Table 1: Stakeholder Analysis (Mendelow’s Matrix)</w:t>
      </w:r>
    </w:p>
    <w:p w14:paraId="4FE5E5AF" w14:textId="77777777" w:rsidR="00300396" w:rsidRDefault="00000000">
      <w:pPr>
        <w:jc w:val="center"/>
        <w:rPr>
          <w:b/>
        </w:rPr>
      </w:pPr>
      <w:r>
        <w:rPr>
          <w:b/>
        </w:rPr>
        <w:t>(Source: Created by Learner)</w:t>
      </w:r>
    </w:p>
    <w:p w14:paraId="41A93DF8" w14:textId="77777777" w:rsidR="00300396" w:rsidRDefault="00000000">
      <w:pPr>
        <w:rPr>
          <w:b/>
        </w:rPr>
      </w:pPr>
      <w:r>
        <w:rPr>
          <w:b/>
        </w:rPr>
        <w:t>RACI Model Application</w:t>
      </w:r>
    </w:p>
    <w:p w14:paraId="14BB334E" w14:textId="77777777" w:rsidR="00300396" w:rsidRDefault="00000000">
      <w:r>
        <w:t>The RACI model, which is also known as the Responsible, Accountable, Consulted, and Informed, can be used to explain the role of stakeholders in executing the growth strategy of The Sweet Greeks (Ahmad, 2024). This guarantees accountability, efficiency, and coordination between internal and external actors.</w:t>
      </w:r>
    </w:p>
    <w:tbl>
      <w:tblPr>
        <w:tblStyle w:val="a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9"/>
        <w:gridCol w:w="2112"/>
        <w:gridCol w:w="1829"/>
        <w:gridCol w:w="1712"/>
        <w:gridCol w:w="1708"/>
      </w:tblGrid>
      <w:tr w:rsidR="00300396" w14:paraId="7744091E" w14:textId="77777777">
        <w:tc>
          <w:tcPr>
            <w:tcW w:w="1989" w:type="dxa"/>
          </w:tcPr>
          <w:p w14:paraId="6CABF380" w14:textId="77777777" w:rsidR="00300396" w:rsidRDefault="00000000">
            <w:pPr>
              <w:spacing w:line="360" w:lineRule="auto"/>
              <w:rPr>
                <w:b/>
              </w:rPr>
            </w:pPr>
            <w:r>
              <w:rPr>
                <w:b/>
              </w:rPr>
              <w:t>Activity/Decision Area</w:t>
            </w:r>
          </w:p>
        </w:tc>
        <w:tc>
          <w:tcPr>
            <w:tcW w:w="2112" w:type="dxa"/>
          </w:tcPr>
          <w:p w14:paraId="1BA9703C" w14:textId="77777777" w:rsidR="00300396" w:rsidRDefault="00000000">
            <w:pPr>
              <w:spacing w:line="360" w:lineRule="auto"/>
              <w:rPr>
                <w:b/>
              </w:rPr>
            </w:pPr>
            <w:r>
              <w:rPr>
                <w:b/>
              </w:rPr>
              <w:t>Responsible (R)</w:t>
            </w:r>
          </w:p>
        </w:tc>
        <w:tc>
          <w:tcPr>
            <w:tcW w:w="1829" w:type="dxa"/>
          </w:tcPr>
          <w:p w14:paraId="4E4375A7" w14:textId="77777777" w:rsidR="00300396" w:rsidRDefault="00000000">
            <w:pPr>
              <w:spacing w:line="360" w:lineRule="auto"/>
              <w:rPr>
                <w:b/>
              </w:rPr>
            </w:pPr>
            <w:r>
              <w:rPr>
                <w:b/>
              </w:rPr>
              <w:t>Accountable (A)</w:t>
            </w:r>
          </w:p>
        </w:tc>
        <w:tc>
          <w:tcPr>
            <w:tcW w:w="1712" w:type="dxa"/>
          </w:tcPr>
          <w:p w14:paraId="0D0568EE" w14:textId="77777777" w:rsidR="00300396" w:rsidRDefault="00000000">
            <w:pPr>
              <w:spacing w:line="360" w:lineRule="auto"/>
              <w:rPr>
                <w:b/>
              </w:rPr>
            </w:pPr>
            <w:r>
              <w:rPr>
                <w:b/>
              </w:rPr>
              <w:t>Consulted (C)</w:t>
            </w:r>
          </w:p>
        </w:tc>
        <w:tc>
          <w:tcPr>
            <w:tcW w:w="1708" w:type="dxa"/>
          </w:tcPr>
          <w:p w14:paraId="23971D19" w14:textId="77777777" w:rsidR="00300396" w:rsidRDefault="00000000">
            <w:pPr>
              <w:spacing w:line="360" w:lineRule="auto"/>
              <w:rPr>
                <w:b/>
              </w:rPr>
            </w:pPr>
            <w:r>
              <w:rPr>
                <w:b/>
              </w:rPr>
              <w:t>Informed (I)</w:t>
            </w:r>
          </w:p>
        </w:tc>
      </w:tr>
      <w:tr w:rsidR="00300396" w14:paraId="3F727C89" w14:textId="77777777">
        <w:tc>
          <w:tcPr>
            <w:tcW w:w="1989" w:type="dxa"/>
          </w:tcPr>
          <w:p w14:paraId="081EB738" w14:textId="77777777" w:rsidR="00300396" w:rsidRDefault="00000000">
            <w:pPr>
              <w:spacing w:line="360" w:lineRule="auto"/>
            </w:pPr>
            <w:r>
              <w:t>Expansion Decisions and Strategic Planning</w:t>
            </w:r>
          </w:p>
        </w:tc>
        <w:tc>
          <w:tcPr>
            <w:tcW w:w="2112" w:type="dxa"/>
          </w:tcPr>
          <w:p w14:paraId="1D678170" w14:textId="77777777" w:rsidR="00300396" w:rsidRDefault="00000000">
            <w:pPr>
              <w:spacing w:line="360" w:lineRule="auto"/>
            </w:pPr>
            <w:r>
              <w:t>Senior Management</w:t>
            </w:r>
          </w:p>
        </w:tc>
        <w:tc>
          <w:tcPr>
            <w:tcW w:w="1829" w:type="dxa"/>
          </w:tcPr>
          <w:p w14:paraId="26DD71F7" w14:textId="77777777" w:rsidR="00300396" w:rsidRDefault="00000000">
            <w:pPr>
              <w:spacing w:line="360" w:lineRule="auto"/>
            </w:pPr>
            <w:r>
              <w:t>Founder/Owner</w:t>
            </w:r>
          </w:p>
        </w:tc>
        <w:tc>
          <w:tcPr>
            <w:tcW w:w="1712" w:type="dxa"/>
          </w:tcPr>
          <w:p w14:paraId="1869E720" w14:textId="77777777" w:rsidR="00300396" w:rsidRDefault="00000000">
            <w:pPr>
              <w:spacing w:line="360" w:lineRule="auto"/>
            </w:pPr>
            <w:r>
              <w:t>Investors, Financial Advisors</w:t>
            </w:r>
          </w:p>
        </w:tc>
        <w:tc>
          <w:tcPr>
            <w:tcW w:w="1708" w:type="dxa"/>
          </w:tcPr>
          <w:p w14:paraId="31D47AA9" w14:textId="77777777" w:rsidR="00300396" w:rsidRDefault="00000000">
            <w:pPr>
              <w:spacing w:line="360" w:lineRule="auto"/>
            </w:pPr>
            <w:r>
              <w:t>Employees, Customers</w:t>
            </w:r>
          </w:p>
        </w:tc>
      </w:tr>
      <w:tr w:rsidR="00300396" w14:paraId="00A32F8C" w14:textId="77777777">
        <w:tc>
          <w:tcPr>
            <w:tcW w:w="1989" w:type="dxa"/>
          </w:tcPr>
          <w:p w14:paraId="26207720" w14:textId="77777777" w:rsidR="00300396" w:rsidRDefault="00000000">
            <w:pPr>
              <w:spacing w:line="360" w:lineRule="auto"/>
            </w:pPr>
            <w:r>
              <w:t>Digital Transformation and IT Integration</w:t>
            </w:r>
          </w:p>
        </w:tc>
        <w:tc>
          <w:tcPr>
            <w:tcW w:w="2112" w:type="dxa"/>
          </w:tcPr>
          <w:p w14:paraId="4686DAEB" w14:textId="77777777" w:rsidR="00300396" w:rsidRDefault="00000000">
            <w:pPr>
              <w:spacing w:line="360" w:lineRule="auto"/>
            </w:pPr>
            <w:r>
              <w:t>IT Manager/Marketing Team</w:t>
            </w:r>
          </w:p>
        </w:tc>
        <w:tc>
          <w:tcPr>
            <w:tcW w:w="1829" w:type="dxa"/>
          </w:tcPr>
          <w:p w14:paraId="3E895079" w14:textId="77777777" w:rsidR="00300396" w:rsidRDefault="00000000">
            <w:pPr>
              <w:spacing w:line="360" w:lineRule="auto"/>
            </w:pPr>
            <w:r>
              <w:t>Founder</w:t>
            </w:r>
          </w:p>
        </w:tc>
        <w:tc>
          <w:tcPr>
            <w:tcW w:w="1712" w:type="dxa"/>
          </w:tcPr>
          <w:p w14:paraId="34E10966" w14:textId="77777777" w:rsidR="00300396" w:rsidRDefault="00000000">
            <w:pPr>
              <w:spacing w:line="360" w:lineRule="auto"/>
            </w:pPr>
            <w:r>
              <w:t>Software Vendors, Consultants</w:t>
            </w:r>
          </w:p>
        </w:tc>
        <w:tc>
          <w:tcPr>
            <w:tcW w:w="1708" w:type="dxa"/>
          </w:tcPr>
          <w:p w14:paraId="383266EC" w14:textId="77777777" w:rsidR="00300396" w:rsidRDefault="00000000">
            <w:pPr>
              <w:spacing w:line="360" w:lineRule="auto"/>
            </w:pPr>
            <w:r>
              <w:t>Customers, Staff</w:t>
            </w:r>
          </w:p>
        </w:tc>
      </w:tr>
      <w:tr w:rsidR="00300396" w14:paraId="1189B5AE" w14:textId="77777777">
        <w:tc>
          <w:tcPr>
            <w:tcW w:w="1989" w:type="dxa"/>
          </w:tcPr>
          <w:p w14:paraId="0F63D019" w14:textId="77777777" w:rsidR="00300396" w:rsidRDefault="00000000">
            <w:pPr>
              <w:spacing w:line="360" w:lineRule="auto"/>
            </w:pPr>
            <w:r>
              <w:lastRenderedPageBreak/>
              <w:t>Supplier and Logistics Management</w:t>
            </w:r>
          </w:p>
        </w:tc>
        <w:tc>
          <w:tcPr>
            <w:tcW w:w="2112" w:type="dxa"/>
          </w:tcPr>
          <w:p w14:paraId="03331871" w14:textId="77777777" w:rsidR="00300396" w:rsidRDefault="00000000">
            <w:pPr>
              <w:spacing w:line="360" w:lineRule="auto"/>
            </w:pPr>
            <w:r>
              <w:t>Operations Manager</w:t>
            </w:r>
          </w:p>
        </w:tc>
        <w:tc>
          <w:tcPr>
            <w:tcW w:w="1829" w:type="dxa"/>
          </w:tcPr>
          <w:p w14:paraId="5A3D5F5C" w14:textId="77777777" w:rsidR="00300396" w:rsidRDefault="00000000">
            <w:pPr>
              <w:spacing w:line="360" w:lineRule="auto"/>
            </w:pPr>
            <w:r>
              <w:t>Founder</w:t>
            </w:r>
          </w:p>
        </w:tc>
        <w:tc>
          <w:tcPr>
            <w:tcW w:w="1712" w:type="dxa"/>
          </w:tcPr>
          <w:p w14:paraId="7F80265F" w14:textId="77777777" w:rsidR="00300396" w:rsidRDefault="00000000">
            <w:pPr>
              <w:spacing w:line="360" w:lineRule="auto"/>
            </w:pPr>
            <w:r>
              <w:t>Suppliers</w:t>
            </w:r>
          </w:p>
        </w:tc>
        <w:tc>
          <w:tcPr>
            <w:tcW w:w="1708" w:type="dxa"/>
          </w:tcPr>
          <w:p w14:paraId="724D10C8" w14:textId="77777777" w:rsidR="00300396" w:rsidRDefault="00000000">
            <w:pPr>
              <w:spacing w:line="360" w:lineRule="auto"/>
            </w:pPr>
            <w:r>
              <w:t>Finance Team, Employees</w:t>
            </w:r>
          </w:p>
        </w:tc>
      </w:tr>
      <w:tr w:rsidR="00300396" w14:paraId="3A052194" w14:textId="77777777">
        <w:tc>
          <w:tcPr>
            <w:tcW w:w="1989" w:type="dxa"/>
          </w:tcPr>
          <w:p w14:paraId="6B0B92C6" w14:textId="77777777" w:rsidR="00300396" w:rsidRDefault="00000000">
            <w:pPr>
              <w:spacing w:line="360" w:lineRule="auto"/>
            </w:pPr>
            <w:r>
              <w:t>Brand Promotion and Marketing</w:t>
            </w:r>
          </w:p>
        </w:tc>
        <w:tc>
          <w:tcPr>
            <w:tcW w:w="2112" w:type="dxa"/>
          </w:tcPr>
          <w:p w14:paraId="360AA978" w14:textId="77777777" w:rsidR="00300396" w:rsidRDefault="00000000">
            <w:pPr>
              <w:spacing w:line="360" w:lineRule="auto"/>
            </w:pPr>
            <w:r>
              <w:t>Marketing Manager</w:t>
            </w:r>
          </w:p>
        </w:tc>
        <w:tc>
          <w:tcPr>
            <w:tcW w:w="1829" w:type="dxa"/>
          </w:tcPr>
          <w:p w14:paraId="52143E07" w14:textId="77777777" w:rsidR="00300396" w:rsidRDefault="00000000">
            <w:pPr>
              <w:spacing w:line="360" w:lineRule="auto"/>
            </w:pPr>
            <w:r>
              <w:t>Founder</w:t>
            </w:r>
          </w:p>
        </w:tc>
        <w:tc>
          <w:tcPr>
            <w:tcW w:w="1712" w:type="dxa"/>
          </w:tcPr>
          <w:p w14:paraId="6D9C7FC9" w14:textId="77777777" w:rsidR="00300396" w:rsidRDefault="00000000">
            <w:pPr>
              <w:spacing w:line="360" w:lineRule="auto"/>
            </w:pPr>
            <w:r>
              <w:t>Advertising Agencies</w:t>
            </w:r>
          </w:p>
        </w:tc>
        <w:tc>
          <w:tcPr>
            <w:tcW w:w="1708" w:type="dxa"/>
          </w:tcPr>
          <w:p w14:paraId="27DF3BC8" w14:textId="77777777" w:rsidR="00300396" w:rsidRDefault="00000000">
            <w:pPr>
              <w:spacing w:line="360" w:lineRule="auto"/>
            </w:pPr>
            <w:r>
              <w:t>Customers, Social Media Followers</w:t>
            </w:r>
          </w:p>
        </w:tc>
      </w:tr>
      <w:tr w:rsidR="00300396" w14:paraId="094D2C21" w14:textId="77777777">
        <w:tc>
          <w:tcPr>
            <w:tcW w:w="1989" w:type="dxa"/>
          </w:tcPr>
          <w:p w14:paraId="71E5EDE6" w14:textId="77777777" w:rsidR="00300396" w:rsidRDefault="00000000">
            <w:pPr>
              <w:spacing w:line="360" w:lineRule="auto"/>
            </w:pPr>
            <w:r>
              <w:t>Quality Control and Product Improvement</w:t>
            </w:r>
          </w:p>
        </w:tc>
        <w:tc>
          <w:tcPr>
            <w:tcW w:w="2112" w:type="dxa"/>
          </w:tcPr>
          <w:p w14:paraId="1CE4872B" w14:textId="77777777" w:rsidR="00300396" w:rsidRDefault="00000000">
            <w:pPr>
              <w:spacing w:line="360" w:lineRule="auto"/>
            </w:pPr>
            <w:r>
              <w:t>Head Baker/Production Lead</w:t>
            </w:r>
          </w:p>
        </w:tc>
        <w:tc>
          <w:tcPr>
            <w:tcW w:w="1829" w:type="dxa"/>
          </w:tcPr>
          <w:p w14:paraId="062244C8" w14:textId="77777777" w:rsidR="00300396" w:rsidRDefault="00000000">
            <w:pPr>
              <w:spacing w:line="360" w:lineRule="auto"/>
            </w:pPr>
            <w:r>
              <w:t>Founder</w:t>
            </w:r>
          </w:p>
        </w:tc>
        <w:tc>
          <w:tcPr>
            <w:tcW w:w="1712" w:type="dxa"/>
          </w:tcPr>
          <w:p w14:paraId="6BB55D0F" w14:textId="77777777" w:rsidR="00300396" w:rsidRDefault="00000000">
            <w:pPr>
              <w:spacing w:line="360" w:lineRule="auto"/>
            </w:pPr>
            <w:r>
              <w:t>Nutrition Experts, Suppliers</w:t>
            </w:r>
          </w:p>
        </w:tc>
        <w:tc>
          <w:tcPr>
            <w:tcW w:w="1708" w:type="dxa"/>
          </w:tcPr>
          <w:p w14:paraId="27BFEF54" w14:textId="77777777" w:rsidR="00300396" w:rsidRDefault="00000000">
            <w:pPr>
              <w:spacing w:line="360" w:lineRule="auto"/>
            </w:pPr>
            <w:r>
              <w:t>Customers</w:t>
            </w:r>
          </w:p>
        </w:tc>
      </w:tr>
      <w:tr w:rsidR="00300396" w14:paraId="558B2C74" w14:textId="77777777">
        <w:tc>
          <w:tcPr>
            <w:tcW w:w="1989" w:type="dxa"/>
          </w:tcPr>
          <w:p w14:paraId="70A2B3D2" w14:textId="77777777" w:rsidR="00300396" w:rsidRDefault="00000000">
            <w:pPr>
              <w:spacing w:line="360" w:lineRule="auto"/>
            </w:pPr>
            <w:r>
              <w:t>Risk Management and Regulatory Compliance</w:t>
            </w:r>
          </w:p>
        </w:tc>
        <w:tc>
          <w:tcPr>
            <w:tcW w:w="2112" w:type="dxa"/>
          </w:tcPr>
          <w:p w14:paraId="2CD96438" w14:textId="77777777" w:rsidR="00300396" w:rsidRDefault="00000000">
            <w:pPr>
              <w:spacing w:line="360" w:lineRule="auto"/>
            </w:pPr>
            <w:r>
              <w:t>Compliance Officer</w:t>
            </w:r>
          </w:p>
        </w:tc>
        <w:tc>
          <w:tcPr>
            <w:tcW w:w="1829" w:type="dxa"/>
          </w:tcPr>
          <w:p w14:paraId="2AE68599" w14:textId="77777777" w:rsidR="00300396" w:rsidRDefault="00000000">
            <w:pPr>
              <w:spacing w:line="360" w:lineRule="auto"/>
            </w:pPr>
            <w:r>
              <w:t>Founder</w:t>
            </w:r>
          </w:p>
        </w:tc>
        <w:tc>
          <w:tcPr>
            <w:tcW w:w="1712" w:type="dxa"/>
          </w:tcPr>
          <w:p w14:paraId="689FFC78" w14:textId="77777777" w:rsidR="00300396" w:rsidRDefault="00000000">
            <w:pPr>
              <w:spacing w:line="360" w:lineRule="auto"/>
            </w:pPr>
            <w:r>
              <w:t>Local Authorities</w:t>
            </w:r>
          </w:p>
        </w:tc>
        <w:tc>
          <w:tcPr>
            <w:tcW w:w="1708" w:type="dxa"/>
          </w:tcPr>
          <w:p w14:paraId="5CA58925" w14:textId="77777777" w:rsidR="00300396" w:rsidRDefault="00000000">
            <w:pPr>
              <w:spacing w:line="360" w:lineRule="auto"/>
            </w:pPr>
            <w:r>
              <w:t>Employees</w:t>
            </w:r>
          </w:p>
        </w:tc>
      </w:tr>
      <w:tr w:rsidR="00300396" w14:paraId="61866DC1" w14:textId="77777777">
        <w:tc>
          <w:tcPr>
            <w:tcW w:w="1989" w:type="dxa"/>
          </w:tcPr>
          <w:p w14:paraId="57353A14" w14:textId="77777777" w:rsidR="00300396" w:rsidRDefault="00000000">
            <w:pPr>
              <w:spacing w:line="360" w:lineRule="auto"/>
            </w:pPr>
            <w:r>
              <w:t>Sustainability and CSR Initiatives</w:t>
            </w:r>
          </w:p>
        </w:tc>
        <w:tc>
          <w:tcPr>
            <w:tcW w:w="2112" w:type="dxa"/>
          </w:tcPr>
          <w:p w14:paraId="3001E63C" w14:textId="77777777" w:rsidR="00300396" w:rsidRDefault="00000000">
            <w:pPr>
              <w:spacing w:line="360" w:lineRule="auto"/>
            </w:pPr>
            <w:r>
              <w:t>Operations Manager</w:t>
            </w:r>
          </w:p>
        </w:tc>
        <w:tc>
          <w:tcPr>
            <w:tcW w:w="1829" w:type="dxa"/>
          </w:tcPr>
          <w:p w14:paraId="53EA64E3" w14:textId="77777777" w:rsidR="00300396" w:rsidRDefault="00000000">
            <w:pPr>
              <w:spacing w:line="360" w:lineRule="auto"/>
            </w:pPr>
            <w:r>
              <w:t>Founder</w:t>
            </w:r>
          </w:p>
        </w:tc>
        <w:tc>
          <w:tcPr>
            <w:tcW w:w="1712" w:type="dxa"/>
          </w:tcPr>
          <w:p w14:paraId="622D312E" w14:textId="77777777" w:rsidR="00300396" w:rsidRDefault="00000000">
            <w:pPr>
              <w:spacing w:line="360" w:lineRule="auto"/>
            </w:pPr>
            <w:r>
              <w:t>Local Community, NGOs</w:t>
            </w:r>
          </w:p>
        </w:tc>
        <w:tc>
          <w:tcPr>
            <w:tcW w:w="1708" w:type="dxa"/>
          </w:tcPr>
          <w:p w14:paraId="7AC48DF2" w14:textId="77777777" w:rsidR="00300396" w:rsidRDefault="00000000">
            <w:pPr>
              <w:spacing w:line="360" w:lineRule="auto"/>
            </w:pPr>
            <w:r>
              <w:t>Employees, Customers</w:t>
            </w:r>
          </w:p>
        </w:tc>
      </w:tr>
    </w:tbl>
    <w:p w14:paraId="7D2D743B" w14:textId="77777777" w:rsidR="00300396" w:rsidRDefault="00300396"/>
    <w:p w14:paraId="53D0E395" w14:textId="77777777" w:rsidR="00300396" w:rsidRDefault="00000000">
      <w:pPr>
        <w:jc w:val="center"/>
        <w:rPr>
          <w:b/>
        </w:rPr>
      </w:pPr>
      <w:bookmarkStart w:id="12" w:name="_421jzdibdxab" w:colFirst="0" w:colLast="0"/>
      <w:bookmarkEnd w:id="12"/>
      <w:r>
        <w:rPr>
          <w:b/>
        </w:rPr>
        <w:t>Table 2: RACI Model Table</w:t>
      </w:r>
    </w:p>
    <w:p w14:paraId="0FB7B78E" w14:textId="77777777" w:rsidR="00300396" w:rsidRDefault="00000000">
      <w:pPr>
        <w:jc w:val="center"/>
        <w:rPr>
          <w:b/>
        </w:rPr>
      </w:pPr>
      <w:r>
        <w:rPr>
          <w:b/>
        </w:rPr>
        <w:t>(Source: Created by Learner)</w:t>
      </w:r>
    </w:p>
    <w:p w14:paraId="16096FB2" w14:textId="77777777" w:rsidR="00300396" w:rsidRDefault="00000000">
      <w:pPr>
        <w:rPr>
          <w:b/>
        </w:rPr>
      </w:pPr>
      <w:r>
        <w:rPr>
          <w:b/>
        </w:rPr>
        <w:t>Synthesis and Strategic Implications</w:t>
      </w:r>
    </w:p>
    <w:p w14:paraId="030EC07B" w14:textId="77777777" w:rsidR="00300396" w:rsidRDefault="00000000">
      <w:r>
        <w:t>The combination of the Matrix suggested by Mendelow and the RACI model will reveal that the alignment of stakeholders is the key to the long-term success of The Sweet Greeks. The regional growth and digital improvement strategy is appropriate because its implementation is supported by the key players (owners, customers, investors), which is possible under the conditions of the internal competency and the involvement of the employee, and which is acceptable as it follows the stakeholder demands of ethical, sustainable, and profitable growth. Constant communication, empowerment, and strengthening accountability frameworks will also improve the relationships with the stakeholders and contribute to the effective implementation of the selected strategic course (Ishola, Odunaiya and Soyombo, 2024).</w:t>
      </w:r>
    </w:p>
    <w:p w14:paraId="67FAE6BA" w14:textId="77777777" w:rsidR="00300396" w:rsidRDefault="00000000">
      <w:pPr>
        <w:jc w:val="left"/>
        <w:rPr>
          <w:b/>
          <w:color w:val="000000"/>
          <w:sz w:val="28"/>
          <w:szCs w:val="28"/>
        </w:rPr>
      </w:pPr>
      <w:r>
        <w:br w:type="page"/>
      </w:r>
    </w:p>
    <w:p w14:paraId="1F7268AF" w14:textId="77777777" w:rsidR="00300396" w:rsidRDefault="00000000">
      <w:pPr>
        <w:pStyle w:val="Heading1"/>
      </w:pPr>
      <w:bookmarkStart w:id="13" w:name="_Toc211593573"/>
      <w:r>
        <w:lastRenderedPageBreak/>
        <w:t>Key Strategic Recommendations</w:t>
      </w:r>
      <w:bookmarkEnd w:id="13"/>
    </w:p>
    <w:p w14:paraId="0326B667" w14:textId="77777777" w:rsidR="00300396" w:rsidRDefault="00000000">
      <w:pPr>
        <w:rPr>
          <w:b/>
        </w:rPr>
      </w:pPr>
      <w:r>
        <w:rPr>
          <w:b/>
        </w:rPr>
        <w:t>1. Enhancing Digital Presence</w:t>
      </w:r>
    </w:p>
    <w:p w14:paraId="7F304310" w14:textId="77777777" w:rsidR="00300396" w:rsidRDefault="00000000">
      <w:r>
        <w:t>Digital transformation should be at the center of the priorities of the Sweet Greeks to enhance its online presence and customer interaction. An integrated e-commerce system and using social media marketing will enable the company to reach more people, not just in its immediate surrounding area. The sales conversion and customer retention will be improved by investing in data-driven marketing techniques, including customer segmentation and targeted advertising (Aeby, Rao and Gupta, 2024). Better online presence also allows communicating with customers effectively and providing the offer of a personalised service, which is consistent with the current consumer preferences.</w:t>
      </w:r>
    </w:p>
    <w:p w14:paraId="7989BF1D" w14:textId="77777777" w:rsidR="00300396" w:rsidRDefault="00000000">
      <w:pPr>
        <w:rPr>
          <w:b/>
        </w:rPr>
      </w:pPr>
      <w:r>
        <w:rPr>
          <w:b/>
        </w:rPr>
        <w:t>2. Diversification and Innovation of the product</w:t>
      </w:r>
    </w:p>
    <w:p w14:paraId="3475A782" w14:textId="77777777" w:rsidR="00300396" w:rsidRDefault="00000000">
      <w:r>
        <w:t>By establishing new lines of products that resonate with the developing dietary trends, e.g., gluten-free or vegan Greek desserts, the customer base will be increased, and the existing health-conscious trends will be addressed. Innovation of products can also be enhanced by engaging local suppliers in order to maintain the freshness and genuineness. The constant development of products and seasonal services will keep the customers engaged and distinguish The Sweet Greeks among others.</w:t>
      </w:r>
    </w:p>
    <w:p w14:paraId="20A7F654" w14:textId="77777777" w:rsidR="00300396" w:rsidRDefault="00000000">
      <w:pPr>
        <w:rPr>
          <w:b/>
        </w:rPr>
      </w:pPr>
      <w:r>
        <w:rPr>
          <w:b/>
        </w:rPr>
        <w:t>3. Operational Sustainability and Efficiency</w:t>
      </w:r>
    </w:p>
    <w:p w14:paraId="66A1AEA8" w14:textId="77777777" w:rsidR="00300396" w:rsidRDefault="00000000">
      <w:r>
        <w:t xml:space="preserve">The company ought to adopt effective production mechanisms and sustainable operations in order to save money and become more environmentally friendly. The use of eco-friendly packaging, reduction of food waste, and locally sourced amenities will enhance the brand image in addition to long-term sustainability in operations (Daramola </w:t>
      </w:r>
      <w:r>
        <w:rPr>
          <w:i/>
        </w:rPr>
        <w:t>et al</w:t>
      </w:r>
      <w:r>
        <w:t>., 2025, pp.79-97). The integration of technology in supply chain management will guarantee uniformity in quality and cost-efficiency.</w:t>
      </w:r>
    </w:p>
    <w:p w14:paraId="63B6616F" w14:textId="77777777" w:rsidR="00300396" w:rsidRDefault="00000000">
      <w:pPr>
        <w:rPr>
          <w:b/>
        </w:rPr>
      </w:pPr>
      <w:r>
        <w:rPr>
          <w:b/>
        </w:rPr>
        <w:t>4. Human Resource Development and Training</w:t>
      </w:r>
    </w:p>
    <w:p w14:paraId="66C4C992" w14:textId="77777777" w:rsidR="00300396" w:rsidRDefault="00000000">
      <w:r>
        <w:t>Customer service, food safety, and digital training of employees are the key factors in order to retain the quality of service and help the strategic growth. The creation of a motivated and talented workforce will enhance productivity, innovation, and organisational culture, which will then see The Sweet Greeks experience sustainable growth and sustainability in the market.</w:t>
      </w:r>
    </w:p>
    <w:p w14:paraId="2675D59C" w14:textId="77777777" w:rsidR="00300396" w:rsidRDefault="00300396"/>
    <w:p w14:paraId="119086E9" w14:textId="77777777" w:rsidR="00300396" w:rsidRDefault="00000000">
      <w:pPr>
        <w:pStyle w:val="Heading1"/>
      </w:pPr>
      <w:bookmarkStart w:id="14" w:name="_Toc211593574"/>
      <w:r>
        <w:lastRenderedPageBreak/>
        <w:t>Conclusion</w:t>
      </w:r>
      <w:bookmarkEnd w:id="14"/>
    </w:p>
    <w:p w14:paraId="709445D3" w14:textId="77777777" w:rsidR="00300396" w:rsidRDefault="00000000">
      <w:r>
        <w:t>Finally, The Sweet Greeks, within the initial three years of operations, had established a good base that was based on quality, reputation, organic products, and high customer satisfaction. Its plans to expand its operations to other cities and increase its product and service offerings were in line with the market opportunities. However, it was not formally strategic in terms of articulating vision and mission, and setting measurable goals; its operations, marketing, and supply chain were not as strong as is the case with many SME. Environmental scan indicated that the threats are high due to cost pressure and competition, and the weaknesses within the company include the low scale and inefficiencies of the operation. The assessment of strategic growth options based on the Matrix proposed by Ansoff, the Generic Strategies, and the Digital/marketing-enhancements-focused.  The careful-expansion-based strategic clock proposed by Bowman suggested the recommendation of the focused differentiation strategy as the sustainable long-term direction. Formal planning, stakeholder involvement, operational reinforcement, and risk management ensured that The Sweet Greeks was in the right place to turn a recognized local cafe into a small chain with differentiated positioning, resistant to the external threats, and with the capability to facilitate sustainable growth.</w:t>
      </w:r>
    </w:p>
    <w:p w14:paraId="03479DCD" w14:textId="77777777" w:rsidR="00300396" w:rsidRDefault="00000000">
      <w:pPr>
        <w:jc w:val="left"/>
        <w:rPr>
          <w:b/>
          <w:color w:val="000000"/>
          <w:sz w:val="28"/>
          <w:szCs w:val="28"/>
        </w:rPr>
      </w:pPr>
      <w:r>
        <w:br w:type="page"/>
      </w:r>
    </w:p>
    <w:p w14:paraId="6D7D758C" w14:textId="77777777" w:rsidR="00300396" w:rsidRDefault="00000000">
      <w:pPr>
        <w:pStyle w:val="Heading1"/>
      </w:pPr>
      <w:bookmarkStart w:id="15" w:name="_Toc211593575"/>
      <w:r>
        <w:lastRenderedPageBreak/>
        <w:t>References</w:t>
      </w:r>
      <w:bookmarkEnd w:id="15"/>
    </w:p>
    <w:p w14:paraId="01135EEC" w14:textId="77777777" w:rsidR="00300396" w:rsidRDefault="00000000" w:rsidP="0045374A">
      <w:r>
        <w:t>Aeby, S.M., Rao, V.V.M. and Gupta, N. (2024) ‘Customer Segmentation Techniques in Predictive Analytics and Generative AI for Data-Driven Marketing Strategies’, In </w:t>
      </w:r>
      <w:r>
        <w:rPr>
          <w:i/>
        </w:rPr>
        <w:t>Predictive Analytics and Generative AI for Data-Driven Marketing Strategies</w:t>
      </w:r>
      <w:r>
        <w:t> (pp. 234-246). Chapman and Hall/CRC. https://doi.org/10.1201/9781003472544</w:t>
      </w:r>
    </w:p>
    <w:p w14:paraId="5F2D2CDE" w14:textId="77777777" w:rsidR="00300396" w:rsidRDefault="00000000" w:rsidP="0045374A">
      <w:r>
        <w:t>Ahmad, M. (2024) ‘PRACTICAL GUIDELINES FOR APPLYING THE RACI MODEL IN RECRUITMENT PRACTICES’, European Journal of Human Resource Management Studies, 7(2). https://oapub.org/soc/index.php/EJHRMS/article/download/1619/2193</w:t>
      </w:r>
    </w:p>
    <w:p w14:paraId="631F3623" w14:textId="77777777" w:rsidR="00300396" w:rsidRDefault="00000000" w:rsidP="0045374A">
      <w:r>
        <w:t>Alesiuniene, K.S., Simanaviciene, Z., Bickauske, D., Mosiiuk, S. and Belova, I. (2021) ‘Increasing the effectiveness of food supply chain logistics through digital transformation’, </w:t>
      </w:r>
      <w:r>
        <w:rPr>
          <w:i/>
        </w:rPr>
        <w:t>Independent Journal of Management &amp; Production</w:t>
      </w:r>
      <w:r>
        <w:t>, </w:t>
      </w:r>
      <w:r>
        <w:rPr>
          <w:i/>
        </w:rPr>
        <w:t>12</w:t>
      </w:r>
      <w:r>
        <w:t>(6), pp.677-701. https://dialnet.unirioja.es/descarga/articulo/8150014.pdf</w:t>
      </w:r>
    </w:p>
    <w:p w14:paraId="3F6CBAD3" w14:textId="77777777" w:rsidR="00300396" w:rsidRDefault="00000000" w:rsidP="0045374A">
      <w:r>
        <w:t>Al-hujri, A. and Bhosle, V. (2025) ‘The role of social media marketing activities to enhance customer satisfaction through brand image as mediating variable’, </w:t>
      </w:r>
      <w:r>
        <w:rPr>
          <w:i/>
        </w:rPr>
        <w:t>Journal of Emerging Technologies and Innovative Research</w:t>
      </w:r>
      <w:r>
        <w:t>, </w:t>
      </w:r>
      <w:r>
        <w:rPr>
          <w:i/>
        </w:rPr>
        <w:t>12</w:t>
      </w:r>
      <w:r>
        <w:t>, pp.204-222. https://www.researchgate.net/profile/Aqel-Al-Hujri-4/publication/389264369_The_Role_of_Social_Media_Marketing_Activities_to_Enhance_Customer_Satisfaction_Through_Brand_Image_as_Mediating_Variable/links/67bb6d50207c0c20fa93e06d/The-Role-of-Social-Media-Marketing-Activities-to-Enhance-Customer-Satisfaction-Through-Brand-Image-as-Mediating-Variable.pdf</w:t>
      </w:r>
    </w:p>
    <w:p w14:paraId="49480FE3" w14:textId="77777777" w:rsidR="00300396" w:rsidRDefault="00000000" w:rsidP="0045374A">
      <w:r>
        <w:t>Chevallier-Chantepie, A. and Batt, P.J. (2021) ‘Sustainable purchasing of fresh food by restaurants and cafes in France’, </w:t>
      </w:r>
      <w:r>
        <w:rPr>
          <w:i/>
        </w:rPr>
        <w:t>Agronomy</w:t>
      </w:r>
      <w:r>
        <w:t>, </w:t>
      </w:r>
      <w:r>
        <w:rPr>
          <w:i/>
        </w:rPr>
        <w:t>11</w:t>
      </w:r>
      <w:r>
        <w:t>(11), p.2357. https://doi.org/10.3390/agronomy11112357</w:t>
      </w:r>
    </w:p>
    <w:p w14:paraId="6C964C22" w14:textId="77777777" w:rsidR="00300396" w:rsidRDefault="00000000" w:rsidP="0045374A">
      <w:r>
        <w:t xml:space="preserve">Dale, M. (2022) ‘Time for revitalisation of value chain management: a reassessment of Porter’s view on procurement’, </w:t>
      </w:r>
      <w:r>
        <w:rPr>
          <w:i/>
        </w:rPr>
        <w:t>Global Journal of Management and Business Research:(A) Administration and Management</w:t>
      </w:r>
      <w:r>
        <w:t>, </w:t>
      </w:r>
      <w:r>
        <w:rPr>
          <w:i/>
        </w:rPr>
        <w:t>22</w:t>
      </w:r>
      <w:r>
        <w:t>(7). https://papers.ssrn.com/sol3/Delivery.cfm?abstractid=4277674</w:t>
      </w:r>
    </w:p>
    <w:p w14:paraId="5CF397EE" w14:textId="77777777" w:rsidR="00300396" w:rsidRDefault="00000000" w:rsidP="0045374A">
      <w:r>
        <w:t xml:space="preserve">Daramola, O.M., Apeh, C.E., Basiru, J.O., Onukwulu, E.C. and Paul, P.O. (2025) ‘Sustainable packaging operations: Balancing cost, functionality, and environmental concerns’, </w:t>
      </w:r>
      <w:r>
        <w:rPr>
          <w:i/>
        </w:rPr>
        <w:t>International Journal of Social Science Exceptional Research</w:t>
      </w:r>
      <w:r>
        <w:t>, </w:t>
      </w:r>
      <w:r>
        <w:rPr>
          <w:i/>
        </w:rPr>
        <w:t>4</w:t>
      </w:r>
      <w:r>
        <w:t>(1), pp.79-97. https://www.researchgate.net/profile/Anfo-Pub-2/publication/388788701_Sustainable_packaging_operations_Balancing_cost_functionality_and</w:t>
      </w:r>
      <w:r>
        <w:lastRenderedPageBreak/>
        <w:t>_environmental_concerns/links/67a607cb207c0c20fa7df262/Sustainable-packaging-operations-Balancing-cost-functionality-and-environmental-concerns.pdf</w:t>
      </w:r>
    </w:p>
    <w:p w14:paraId="08186EBD" w14:textId="77777777" w:rsidR="00300396" w:rsidRDefault="00000000" w:rsidP="0045374A">
      <w:r>
        <w:t xml:space="preserve">Flavián, C., Akdim, K. and Casaló, L.V. (2023) ‘Effects of voice assistant recommendations on consumer behavior’, </w:t>
      </w:r>
      <w:r>
        <w:rPr>
          <w:i/>
        </w:rPr>
        <w:t>Psychology &amp; Marketing</w:t>
      </w:r>
      <w:r>
        <w:t>, </w:t>
      </w:r>
      <w:r>
        <w:rPr>
          <w:i/>
        </w:rPr>
        <w:t>40</w:t>
      </w:r>
      <w:r>
        <w:t>(2), pp.328-346. https://doi.org/10.1002/mar.21765</w:t>
      </w:r>
    </w:p>
    <w:p w14:paraId="2C5D0401" w14:textId="77777777" w:rsidR="00300396" w:rsidRDefault="00000000" w:rsidP="0045374A">
      <w:r>
        <w:t>Fortin, N.D. (2022) ‘</w:t>
      </w:r>
      <w:r>
        <w:rPr>
          <w:i/>
        </w:rPr>
        <w:t>Food regulation: law, science, policy, and practice</w:t>
      </w:r>
      <w:r>
        <w:t>’, John Wiley &amp; Sons. https://books.google.com/books?hl=en&amp;lr=&amp;id=TcZ6EAAAQBAJ&amp;oi=fnd&amp;pg=PA23&amp;dq=Food+safety+regulations,+health+regulations,+labour+laws,+and+organic+certification+regulations&amp;ots=OC6z4P9sKK&amp;sig=UWhR3nz3dPjjyV0suHCaUK9wEjI</w:t>
      </w:r>
    </w:p>
    <w:p w14:paraId="076F6ED0" w14:textId="77777777" w:rsidR="00300396" w:rsidRDefault="00000000" w:rsidP="0045374A">
      <w:r>
        <w:t>Górska-Warsewicz, H., Żakowska-Biemans, S., Stangierska, D., Świątkowska, M., Bobola, A., Szlachciuk, J., Czeczotko, M., Krajewski, K. and Świstak, E. (2021) ‘Factors limiting the development of the organic food sector—perspective of processors, distributors, and retailers’, </w:t>
      </w:r>
      <w:r>
        <w:rPr>
          <w:i/>
        </w:rPr>
        <w:t>Agriculture</w:t>
      </w:r>
      <w:r>
        <w:t>, </w:t>
      </w:r>
      <w:r>
        <w:rPr>
          <w:i/>
        </w:rPr>
        <w:t>11</w:t>
      </w:r>
      <w:r>
        <w:t>(9), p.882. https://doi.org/10.3390/agriculture11090882</w:t>
      </w:r>
    </w:p>
    <w:p w14:paraId="58FAC9DF" w14:textId="77777777" w:rsidR="00300396" w:rsidRDefault="00000000" w:rsidP="0045374A">
      <w:r>
        <w:t>Gupta, V. (2022) ‘Evolution and Determination of the Porter Generic Strategy Model’, </w:t>
      </w:r>
      <w:r>
        <w:rPr>
          <w:i/>
        </w:rPr>
        <w:t>Message from the Editor-in-Chief</w:t>
      </w:r>
      <w:r>
        <w:t>. https://ijmir.org/doc/archive/special_issue/2022%20Apr'%20Special%20Issue.pdf#page=259</w:t>
      </w:r>
    </w:p>
    <w:p w14:paraId="281F6593" w14:textId="77777777" w:rsidR="00300396" w:rsidRDefault="00000000" w:rsidP="0045374A">
      <w:r>
        <w:t>Ishola, A.O., Odunaiya, O.G. and Soyombo, O.T. (2024) ‘Stakeholder communication framework for successful implementation of community-based renewable energy projects’, </w:t>
      </w:r>
      <w:r>
        <w:rPr>
          <w:i/>
        </w:rPr>
        <w:t>Journal Name</w:t>
      </w:r>
      <w:r>
        <w:t>.</w:t>
      </w:r>
    </w:p>
    <w:p w14:paraId="57889204" w14:textId="77777777" w:rsidR="00300396" w:rsidRDefault="00000000" w:rsidP="0045374A">
      <w:r>
        <w:t>Kabange, M.M. and Simatele, M. (2022) ‘Constraints to formal small business performance in the service sector in Cameroon’, </w:t>
      </w:r>
      <w:r>
        <w:rPr>
          <w:i/>
        </w:rPr>
        <w:t>African Journal of Economic and Management Studies</w:t>
      </w:r>
      <w:r>
        <w:t>, </w:t>
      </w:r>
      <w:r>
        <w:rPr>
          <w:i/>
        </w:rPr>
        <w:t>13</w:t>
      </w:r>
      <w:r>
        <w:t>(3), pp.344-365. https://www.emerald.com/insight/content/doi/10.1108/ajems-07-2021-0331/full/pdf</w:t>
      </w:r>
    </w:p>
    <w:p w14:paraId="2D568696" w14:textId="77777777" w:rsidR="00300396" w:rsidRDefault="00000000" w:rsidP="0045374A">
      <w:r>
        <w:t>Mihajlović, V. and Miletić, V. (2022) ‘LIMITING FACTORS OF STRATEGIC POSITIONIN STRATEGIC POSITIONING WITHIN ESTABLISHED BUSINESS ESTABLISHED BUSINESSES’.  !" #$</w:t>
      </w:r>
      <w:r>
        <w:tab/>
      </w:r>
    </w:p>
    <w:p w14:paraId="6B75E7E1" w14:textId="77777777" w:rsidR="00300396" w:rsidRDefault="00000000" w:rsidP="0045374A">
      <w:r>
        <w:t>Mints, A. and Kamyshnykova, E. (2021) ‘Fuzzy methods of stakeholder prioritisation in the context of stakeholder management’, </w:t>
      </w:r>
      <w:r>
        <w:rPr>
          <w:i/>
        </w:rPr>
        <w:t>International Journal of Learning and Change</w:t>
      </w:r>
      <w:r>
        <w:t>, </w:t>
      </w:r>
      <w:r>
        <w:rPr>
          <w:i/>
        </w:rPr>
        <w:t>13</w:t>
      </w:r>
      <w:r>
        <w:t>(4-5), pp.372-398. https://www.researchgate.net/profile/Evelina-Kamyshnykova/publication/353594945_Fuzzy_methods_of_stakeholder_prioritisation_in_the_context_of_stakeholder_management/links/6644762b3524304153a80859/Fuzzy-methods-of-stakeholder-prioritisation-in-the-context-of-stakeholder-management.pdf</w:t>
      </w:r>
    </w:p>
    <w:p w14:paraId="254D9634" w14:textId="77777777" w:rsidR="00300396" w:rsidRDefault="00000000" w:rsidP="0045374A">
      <w:r>
        <w:lastRenderedPageBreak/>
        <w:t xml:space="preserve">Mohammadi, M., Davatgari, A., Asgharpour, S., Shabanpour, R., Mohammadian, A., Derrible, S., Pendyala, R.M. and Salon, D. (2024) ‘The interaction between the recent evolution of working from home and online shopping’, </w:t>
      </w:r>
      <w:r>
        <w:rPr>
          <w:i/>
        </w:rPr>
        <w:t>Transportation</w:t>
      </w:r>
      <w:r>
        <w:t>, pp.1-36. DOI: https://doi.org/10.21203/rs.3.rs-3974111/v1</w:t>
      </w:r>
    </w:p>
    <w:p w14:paraId="2C881F49" w14:textId="77777777" w:rsidR="00300396" w:rsidRDefault="00000000" w:rsidP="0045374A">
      <w:r>
        <w:t>Qomaro, G.W., Nasrulloh, N. and Salleh, A.Z. (2024) ‘Leveraging The Ansoff Matrix for Strategic Growth in Packaged Food Micro-Enterprises’, </w:t>
      </w:r>
      <w:r>
        <w:rPr>
          <w:i/>
        </w:rPr>
        <w:t>Dinar: Jurnal Ekonomi dan Keuangan Islam</w:t>
      </w:r>
      <w:r>
        <w:t>, </w:t>
      </w:r>
      <w:r>
        <w:rPr>
          <w:i/>
        </w:rPr>
        <w:t>11</w:t>
      </w:r>
      <w:r>
        <w:t>(1), pp.51-66. https://journal.trunojoyo.ac.id/dinar/article/download/27163/10382</w:t>
      </w:r>
    </w:p>
    <w:p w14:paraId="7D24F78D" w14:textId="77777777" w:rsidR="00300396" w:rsidRDefault="00000000" w:rsidP="0045374A">
      <w:r>
        <w:t>Rodrí, V.M. and Ruí, A. (2024) ‘The government´ s role in sustainable food chains. Facing the climate change’, </w:t>
      </w:r>
      <w:r>
        <w:rPr>
          <w:i/>
        </w:rPr>
        <w:t>Journal of Food Science and Nutrition Research</w:t>
      </w:r>
      <w:r>
        <w:t>, </w:t>
      </w:r>
      <w:r>
        <w:rPr>
          <w:i/>
        </w:rPr>
        <w:t>7</w:t>
      </w:r>
      <w:r>
        <w:t>(3), pp.157-176. DOI: 10.26502/jfsnr.2642-110000163</w:t>
      </w:r>
    </w:p>
    <w:p w14:paraId="0E39D9BB" w14:textId="77777777" w:rsidR="00300396" w:rsidRDefault="00000000" w:rsidP="0045374A">
      <w:r>
        <w:t>Shimul, A.S. and Cheah, I. (2023) ‘Consumers' preference for eco-friendly packaged products: pride vs guilt appeal’, </w:t>
      </w:r>
      <w:r>
        <w:rPr>
          <w:i/>
        </w:rPr>
        <w:t>Marketing Intelligence &amp; Planning</w:t>
      </w:r>
      <w:r>
        <w:t>, </w:t>
      </w:r>
      <w:r>
        <w:rPr>
          <w:i/>
        </w:rPr>
        <w:t>41</w:t>
      </w:r>
      <w:r>
        <w:t>(2), pp.186-198. https://www.researchgate.net/profile/Anwar-Sadat-Shimul/publication/364225465_Consumers'_preference_for_eco-friendly_packaged_products_pride_vs_guilt_appeal/links/684f71f411be4823fbde9133/Consumers-preference-for-eco-friendly-packaged-products-pride-vs-guilt-appeal.pdf</w:t>
      </w:r>
    </w:p>
    <w:p w14:paraId="5C629800" w14:textId="77777777" w:rsidR="00300396" w:rsidRDefault="00000000" w:rsidP="0045374A">
      <w:r>
        <w:t>Thesweetgreek.com, (2025) About us. Available at: https://www.thesweetgreeks.co.uk/ (Accessed: 16 October 2025).</w:t>
      </w:r>
    </w:p>
    <w:p w14:paraId="4D6E1343" w14:textId="77777777" w:rsidR="00300396" w:rsidRDefault="00300396"/>
    <w:p w14:paraId="12E5D453" w14:textId="77777777" w:rsidR="00300396" w:rsidRDefault="00300396">
      <w:pPr>
        <w:jc w:val="left"/>
      </w:pPr>
    </w:p>
    <w:sectPr w:rsidR="00300396" w:rsidSect="0045374A">
      <w:headerReference w:type="default" r:id="rId34"/>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6A15C" w14:textId="77777777" w:rsidR="000F6F03" w:rsidRDefault="000F6F03">
      <w:pPr>
        <w:spacing w:after="0" w:line="240" w:lineRule="auto"/>
      </w:pPr>
      <w:r>
        <w:separator/>
      </w:r>
    </w:p>
  </w:endnote>
  <w:endnote w:type="continuationSeparator" w:id="0">
    <w:p w14:paraId="7192CFFB" w14:textId="77777777" w:rsidR="000F6F03" w:rsidRDefault="000F6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CFFC5" w14:textId="77777777" w:rsidR="00300396"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45374A">
      <w:rPr>
        <w:noProof/>
        <w:color w:val="000000"/>
      </w:rPr>
      <w:t>1</w:t>
    </w:r>
    <w:r>
      <w:rPr>
        <w:color w:val="000000"/>
      </w:rPr>
      <w:fldChar w:fldCharType="end"/>
    </w:r>
  </w:p>
  <w:p w14:paraId="730CDAEB" w14:textId="77777777" w:rsidR="00300396" w:rsidRDefault="0030039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2F78D" w14:textId="77777777" w:rsidR="000F6F03" w:rsidRDefault="000F6F03">
      <w:pPr>
        <w:spacing w:after="0" w:line="240" w:lineRule="auto"/>
      </w:pPr>
      <w:r>
        <w:separator/>
      </w:r>
    </w:p>
  </w:footnote>
  <w:footnote w:type="continuationSeparator" w:id="0">
    <w:p w14:paraId="79ED1837" w14:textId="77777777" w:rsidR="000F6F03" w:rsidRDefault="000F6F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41DA6E" w14:textId="77777777" w:rsidR="00300396" w:rsidRDefault="0030039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1A26D2"/>
    <w:multiLevelType w:val="multilevel"/>
    <w:tmpl w:val="E56E5F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E366573"/>
    <w:multiLevelType w:val="multilevel"/>
    <w:tmpl w:val="8A8A55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EE67FF3"/>
    <w:multiLevelType w:val="multilevel"/>
    <w:tmpl w:val="C9543E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69366471">
    <w:abstractNumId w:val="0"/>
  </w:num>
  <w:num w:numId="2" w16cid:durableId="1019162680">
    <w:abstractNumId w:val="2"/>
  </w:num>
  <w:num w:numId="3" w16cid:durableId="1218200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396"/>
    <w:rsid w:val="000F6F03"/>
    <w:rsid w:val="00300035"/>
    <w:rsid w:val="00300396"/>
    <w:rsid w:val="003157E9"/>
    <w:rsid w:val="0045374A"/>
    <w:rsid w:val="004804BC"/>
    <w:rsid w:val="00523B58"/>
    <w:rsid w:val="005C4C31"/>
    <w:rsid w:val="008C669E"/>
    <w:rsid w:val="009A2001"/>
    <w:rsid w:val="00CA4A28"/>
    <w:rsid w:val="00CE3ACF"/>
    <w:rsid w:val="00D85E49"/>
    <w:rsid w:val="00E0678A"/>
    <w:rsid w:val="00E82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F873D"/>
  <w15:docId w15:val="{514688D0-FDA1-42EA-944D-5FACDC465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jc w:val="center"/>
      <w:outlineLvl w:val="0"/>
    </w:pPr>
    <w:rPr>
      <w:b/>
      <w:color w:val="000000"/>
      <w:sz w:val="28"/>
      <w:szCs w:val="28"/>
    </w:rPr>
  </w:style>
  <w:style w:type="paragraph" w:styleId="Heading2">
    <w:name w:val="heading 2"/>
    <w:basedOn w:val="Normal"/>
    <w:next w:val="Normal"/>
    <w:uiPriority w:val="9"/>
    <w:semiHidden/>
    <w:unhideWhenUsed/>
    <w:qFormat/>
    <w:pPr>
      <w:keepNext/>
      <w:keepLines/>
      <w:spacing w:before="40" w:after="0"/>
      <w:outlineLvl w:val="1"/>
    </w:pPr>
    <w:rPr>
      <w:b/>
      <w:sz w:val="26"/>
      <w:szCs w:val="26"/>
    </w:rPr>
  </w:style>
  <w:style w:type="paragraph" w:styleId="Heading3">
    <w:name w:val="heading 3"/>
    <w:basedOn w:val="Normal"/>
    <w:next w:val="Normal"/>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0" w:line="240" w:lineRule="auto"/>
      <w:jc w:val="center"/>
    </w:pPr>
    <w:rPr>
      <w:b/>
      <w:smallCaps/>
      <w:sz w:val="36"/>
      <w:szCs w:val="36"/>
      <w:highlight w:val="white"/>
      <w:u w:val="single"/>
    </w:rPr>
  </w:style>
  <w:style w:type="paragraph" w:styleId="Subtitle">
    <w:name w:val="Subtitle"/>
    <w:basedOn w:val="Normal"/>
    <w:next w:val="Normal"/>
    <w:uiPriority w:val="11"/>
    <w:qFormat/>
    <w:rPr>
      <w:rFonts w:ascii="Calibri" w:eastAsia="Calibri" w:hAnsi="Calibri" w:cs="Calibri"/>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9A2001"/>
    <w:pPr>
      <w:spacing w:after="100"/>
    </w:pPr>
  </w:style>
  <w:style w:type="character" w:styleId="Hyperlink">
    <w:name w:val="Hyperlink"/>
    <w:basedOn w:val="DefaultParagraphFont"/>
    <w:uiPriority w:val="99"/>
    <w:unhideWhenUsed/>
    <w:rsid w:val="009A20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21" Type="http://schemas.openxmlformats.org/officeDocument/2006/relationships/diagramQuickStyle" Target="diagrams/quickStyle3.xm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8A64A2-0D4E-47DE-9AEE-5F90AF5F407F}" type="doc">
      <dgm:prSet loTypeId="urn:microsoft.com/office/officeart/2005/8/layout/radial1" loCatId="cycle" qsTypeId="urn:microsoft.com/office/officeart/2005/8/quickstyle/simple1" qsCatId="simple" csTypeId="urn:microsoft.com/office/officeart/2005/8/colors/colorful2" csCatId="colorful" phldr="1"/>
      <dgm:spPr/>
      <dgm:t>
        <a:bodyPr/>
        <a:lstStyle/>
        <a:p>
          <a:endParaRPr lang="en-US"/>
        </a:p>
      </dgm:t>
    </dgm:pt>
    <dgm:pt modelId="{8EE992BF-757F-4412-9AEF-5B923BC858DC}">
      <dgm:prSet phldrT="[Text]"/>
      <dgm:spPr/>
      <dgm:t>
        <a:bodyPr/>
        <a:lstStyle/>
        <a:p>
          <a:r>
            <a:rPr lang="en-US"/>
            <a:t>SWOT</a:t>
          </a:r>
        </a:p>
      </dgm:t>
    </dgm:pt>
    <dgm:pt modelId="{955CAEB7-5176-4D51-B45C-4DCFC8C21D4E}" type="parTrans" cxnId="{4F30338B-5A7B-4C6F-8142-32873782573C}">
      <dgm:prSet/>
      <dgm:spPr/>
      <dgm:t>
        <a:bodyPr/>
        <a:lstStyle/>
        <a:p>
          <a:endParaRPr lang="en-US"/>
        </a:p>
      </dgm:t>
    </dgm:pt>
    <dgm:pt modelId="{65FF6D66-EBD9-468C-9B13-48BFB3075AE4}" type="sibTrans" cxnId="{4F30338B-5A7B-4C6F-8142-32873782573C}">
      <dgm:prSet/>
      <dgm:spPr/>
      <dgm:t>
        <a:bodyPr/>
        <a:lstStyle/>
        <a:p>
          <a:endParaRPr lang="en-US"/>
        </a:p>
      </dgm:t>
    </dgm:pt>
    <dgm:pt modelId="{CF55F66B-4F14-4215-AF60-127CEBDA3C41}">
      <dgm:prSet phldrT="[Text]"/>
      <dgm:spPr/>
      <dgm:t>
        <a:bodyPr/>
        <a:lstStyle/>
        <a:p>
          <a:r>
            <a:rPr lang="en-US"/>
            <a:t>Strength</a:t>
          </a:r>
        </a:p>
      </dgm:t>
    </dgm:pt>
    <dgm:pt modelId="{608B38B4-0305-4236-B0DF-917086FD0CEA}" type="parTrans" cxnId="{132BFB2B-9713-458E-99F8-6F9DD6FE3866}">
      <dgm:prSet/>
      <dgm:spPr/>
      <dgm:t>
        <a:bodyPr/>
        <a:lstStyle/>
        <a:p>
          <a:endParaRPr lang="en-US"/>
        </a:p>
      </dgm:t>
    </dgm:pt>
    <dgm:pt modelId="{440CDA05-FE48-4930-A213-72B2AA9F9ECC}" type="sibTrans" cxnId="{132BFB2B-9713-458E-99F8-6F9DD6FE3866}">
      <dgm:prSet/>
      <dgm:spPr/>
      <dgm:t>
        <a:bodyPr/>
        <a:lstStyle/>
        <a:p>
          <a:endParaRPr lang="en-US"/>
        </a:p>
      </dgm:t>
    </dgm:pt>
    <dgm:pt modelId="{183317EE-56A1-46CE-9825-3B255FC3EC1B}">
      <dgm:prSet phldrT="[Text]"/>
      <dgm:spPr/>
      <dgm:t>
        <a:bodyPr/>
        <a:lstStyle/>
        <a:p>
          <a:r>
            <a:rPr lang="en-US"/>
            <a:t>Threat</a:t>
          </a:r>
        </a:p>
      </dgm:t>
    </dgm:pt>
    <dgm:pt modelId="{8A874BAC-D9E8-4B24-BE8B-89D480EAF86F}" type="parTrans" cxnId="{1DBEE3EA-D1A1-4FAE-B862-7556B1F011B1}">
      <dgm:prSet/>
      <dgm:spPr/>
      <dgm:t>
        <a:bodyPr/>
        <a:lstStyle/>
        <a:p>
          <a:endParaRPr lang="en-US"/>
        </a:p>
      </dgm:t>
    </dgm:pt>
    <dgm:pt modelId="{A1191CD0-272F-4AAB-B974-50043546462E}" type="sibTrans" cxnId="{1DBEE3EA-D1A1-4FAE-B862-7556B1F011B1}">
      <dgm:prSet/>
      <dgm:spPr/>
      <dgm:t>
        <a:bodyPr/>
        <a:lstStyle/>
        <a:p>
          <a:endParaRPr lang="en-US"/>
        </a:p>
      </dgm:t>
    </dgm:pt>
    <dgm:pt modelId="{54C18BED-B577-41D3-A32E-9523775AB46F}">
      <dgm:prSet phldrT="[Text]"/>
      <dgm:spPr/>
      <dgm:t>
        <a:bodyPr/>
        <a:lstStyle/>
        <a:p>
          <a:r>
            <a:rPr lang="en-US"/>
            <a:t>Weakness</a:t>
          </a:r>
        </a:p>
      </dgm:t>
    </dgm:pt>
    <dgm:pt modelId="{9BA93A7B-268E-4E53-B090-BDDCDFECE7DA}" type="parTrans" cxnId="{2A16D301-6B72-416C-89B2-7892ED4A26E2}">
      <dgm:prSet/>
      <dgm:spPr/>
      <dgm:t>
        <a:bodyPr/>
        <a:lstStyle/>
        <a:p>
          <a:endParaRPr lang="en-US"/>
        </a:p>
      </dgm:t>
    </dgm:pt>
    <dgm:pt modelId="{1710427A-C064-4A92-84F5-20A3B5AAA7AB}" type="sibTrans" cxnId="{2A16D301-6B72-416C-89B2-7892ED4A26E2}">
      <dgm:prSet/>
      <dgm:spPr/>
      <dgm:t>
        <a:bodyPr/>
        <a:lstStyle/>
        <a:p>
          <a:endParaRPr lang="en-US"/>
        </a:p>
      </dgm:t>
    </dgm:pt>
    <dgm:pt modelId="{C174958F-312D-44FD-9A3E-C9BBA4CE7289}">
      <dgm:prSet phldrT="[Text]"/>
      <dgm:spPr/>
      <dgm:t>
        <a:bodyPr/>
        <a:lstStyle/>
        <a:p>
          <a:r>
            <a:rPr lang="en-US"/>
            <a:t>Opportunities</a:t>
          </a:r>
        </a:p>
      </dgm:t>
    </dgm:pt>
    <dgm:pt modelId="{FEAEE951-3524-4F7E-AD59-9F7C4D708908}" type="parTrans" cxnId="{2066ABC6-E15D-4A7E-A0CD-A8615C2A89FC}">
      <dgm:prSet/>
      <dgm:spPr/>
      <dgm:t>
        <a:bodyPr/>
        <a:lstStyle/>
        <a:p>
          <a:endParaRPr lang="en-US"/>
        </a:p>
      </dgm:t>
    </dgm:pt>
    <dgm:pt modelId="{DEF4272D-B974-4327-9C89-349943F133D9}" type="sibTrans" cxnId="{2066ABC6-E15D-4A7E-A0CD-A8615C2A89FC}">
      <dgm:prSet/>
      <dgm:spPr/>
      <dgm:t>
        <a:bodyPr/>
        <a:lstStyle/>
        <a:p>
          <a:endParaRPr lang="en-US"/>
        </a:p>
      </dgm:t>
    </dgm:pt>
    <dgm:pt modelId="{C1AF2A00-0F34-42A0-B22F-83FD318B96DE}" type="pres">
      <dgm:prSet presAssocID="{428A64A2-0D4E-47DE-9AEE-5F90AF5F407F}" presName="cycle" presStyleCnt="0">
        <dgm:presLayoutVars>
          <dgm:chMax val="1"/>
          <dgm:dir/>
          <dgm:animLvl val="ctr"/>
          <dgm:resizeHandles val="exact"/>
        </dgm:presLayoutVars>
      </dgm:prSet>
      <dgm:spPr/>
    </dgm:pt>
    <dgm:pt modelId="{2D6BC225-7139-42DA-9D6C-D8754A4B7D4C}" type="pres">
      <dgm:prSet presAssocID="{8EE992BF-757F-4412-9AEF-5B923BC858DC}" presName="centerShape" presStyleLbl="node0" presStyleIdx="0" presStyleCnt="1"/>
      <dgm:spPr/>
    </dgm:pt>
    <dgm:pt modelId="{F1A11920-7BB7-4335-8435-898783972466}" type="pres">
      <dgm:prSet presAssocID="{608B38B4-0305-4236-B0DF-917086FD0CEA}" presName="Name9" presStyleLbl="parChTrans1D2" presStyleIdx="0" presStyleCnt="4"/>
      <dgm:spPr/>
    </dgm:pt>
    <dgm:pt modelId="{84F9140C-1F01-464F-8005-3ACD65A9BDFC}" type="pres">
      <dgm:prSet presAssocID="{608B38B4-0305-4236-B0DF-917086FD0CEA}" presName="connTx" presStyleLbl="parChTrans1D2" presStyleIdx="0" presStyleCnt="4"/>
      <dgm:spPr/>
    </dgm:pt>
    <dgm:pt modelId="{D77BFDB0-211D-4430-92A1-4D73021F2AA3}" type="pres">
      <dgm:prSet presAssocID="{CF55F66B-4F14-4215-AF60-127CEBDA3C41}" presName="node" presStyleLbl="node1" presStyleIdx="0" presStyleCnt="4">
        <dgm:presLayoutVars>
          <dgm:bulletEnabled val="1"/>
        </dgm:presLayoutVars>
      </dgm:prSet>
      <dgm:spPr/>
    </dgm:pt>
    <dgm:pt modelId="{742B727B-6883-47EE-8DE1-21515802AE85}" type="pres">
      <dgm:prSet presAssocID="{8A874BAC-D9E8-4B24-BE8B-89D480EAF86F}" presName="Name9" presStyleLbl="parChTrans1D2" presStyleIdx="1" presStyleCnt="4"/>
      <dgm:spPr/>
    </dgm:pt>
    <dgm:pt modelId="{DD1CFA70-32C4-4129-87D2-A1B4A9F9B17B}" type="pres">
      <dgm:prSet presAssocID="{8A874BAC-D9E8-4B24-BE8B-89D480EAF86F}" presName="connTx" presStyleLbl="parChTrans1D2" presStyleIdx="1" presStyleCnt="4"/>
      <dgm:spPr/>
    </dgm:pt>
    <dgm:pt modelId="{97924D8F-0E3A-4D88-8A56-5BAC97DEB121}" type="pres">
      <dgm:prSet presAssocID="{183317EE-56A1-46CE-9825-3B255FC3EC1B}" presName="node" presStyleLbl="node1" presStyleIdx="1" presStyleCnt="4">
        <dgm:presLayoutVars>
          <dgm:bulletEnabled val="1"/>
        </dgm:presLayoutVars>
      </dgm:prSet>
      <dgm:spPr/>
    </dgm:pt>
    <dgm:pt modelId="{FD771F56-4CDD-479F-8688-2C54CA19D2DF}" type="pres">
      <dgm:prSet presAssocID="{9BA93A7B-268E-4E53-B090-BDDCDFECE7DA}" presName="Name9" presStyleLbl="parChTrans1D2" presStyleIdx="2" presStyleCnt="4"/>
      <dgm:spPr/>
    </dgm:pt>
    <dgm:pt modelId="{34DE9D28-C260-4363-BB63-9CE6E9C82AB4}" type="pres">
      <dgm:prSet presAssocID="{9BA93A7B-268E-4E53-B090-BDDCDFECE7DA}" presName="connTx" presStyleLbl="parChTrans1D2" presStyleIdx="2" presStyleCnt="4"/>
      <dgm:spPr/>
    </dgm:pt>
    <dgm:pt modelId="{28F2A434-0EE3-48FF-8F79-E11983502CE3}" type="pres">
      <dgm:prSet presAssocID="{54C18BED-B577-41D3-A32E-9523775AB46F}" presName="node" presStyleLbl="node1" presStyleIdx="2" presStyleCnt="4">
        <dgm:presLayoutVars>
          <dgm:bulletEnabled val="1"/>
        </dgm:presLayoutVars>
      </dgm:prSet>
      <dgm:spPr/>
    </dgm:pt>
    <dgm:pt modelId="{5ED3535E-B332-47E6-B4B6-DE52155DBE11}" type="pres">
      <dgm:prSet presAssocID="{FEAEE951-3524-4F7E-AD59-9F7C4D708908}" presName="Name9" presStyleLbl="parChTrans1D2" presStyleIdx="3" presStyleCnt="4"/>
      <dgm:spPr/>
    </dgm:pt>
    <dgm:pt modelId="{99AD1743-F60E-4600-ABF3-2423AA789062}" type="pres">
      <dgm:prSet presAssocID="{FEAEE951-3524-4F7E-AD59-9F7C4D708908}" presName="connTx" presStyleLbl="parChTrans1D2" presStyleIdx="3" presStyleCnt="4"/>
      <dgm:spPr/>
    </dgm:pt>
    <dgm:pt modelId="{3185C045-AD45-4D7C-A351-F53758055DA9}" type="pres">
      <dgm:prSet presAssocID="{C174958F-312D-44FD-9A3E-C9BBA4CE7289}" presName="node" presStyleLbl="node1" presStyleIdx="3" presStyleCnt="4">
        <dgm:presLayoutVars>
          <dgm:bulletEnabled val="1"/>
        </dgm:presLayoutVars>
      </dgm:prSet>
      <dgm:spPr/>
    </dgm:pt>
  </dgm:ptLst>
  <dgm:cxnLst>
    <dgm:cxn modelId="{2A16D301-6B72-416C-89B2-7892ED4A26E2}" srcId="{8EE992BF-757F-4412-9AEF-5B923BC858DC}" destId="{54C18BED-B577-41D3-A32E-9523775AB46F}" srcOrd="2" destOrd="0" parTransId="{9BA93A7B-268E-4E53-B090-BDDCDFECE7DA}" sibTransId="{1710427A-C064-4A92-84F5-20A3B5AAA7AB}"/>
    <dgm:cxn modelId="{3A15F913-A19C-47DC-BB18-2F77ACE543D6}" type="presOf" srcId="{8A874BAC-D9E8-4B24-BE8B-89D480EAF86F}" destId="{DD1CFA70-32C4-4129-87D2-A1B4A9F9B17B}" srcOrd="1" destOrd="0" presId="urn:microsoft.com/office/officeart/2005/8/layout/radial1"/>
    <dgm:cxn modelId="{132BFB2B-9713-458E-99F8-6F9DD6FE3866}" srcId="{8EE992BF-757F-4412-9AEF-5B923BC858DC}" destId="{CF55F66B-4F14-4215-AF60-127CEBDA3C41}" srcOrd="0" destOrd="0" parTransId="{608B38B4-0305-4236-B0DF-917086FD0CEA}" sibTransId="{440CDA05-FE48-4930-A213-72B2AA9F9ECC}"/>
    <dgm:cxn modelId="{245CFF2B-2DA3-4D14-802B-047C93300600}" type="presOf" srcId="{54C18BED-B577-41D3-A32E-9523775AB46F}" destId="{28F2A434-0EE3-48FF-8F79-E11983502CE3}" srcOrd="0" destOrd="0" presId="urn:microsoft.com/office/officeart/2005/8/layout/radial1"/>
    <dgm:cxn modelId="{9021E332-B06F-4C63-9726-608ABA8B2616}" type="presOf" srcId="{FEAEE951-3524-4F7E-AD59-9F7C4D708908}" destId="{99AD1743-F60E-4600-ABF3-2423AA789062}" srcOrd="1" destOrd="0" presId="urn:microsoft.com/office/officeart/2005/8/layout/radial1"/>
    <dgm:cxn modelId="{F49A7566-1008-4803-A72D-62735E97F3E2}" type="presOf" srcId="{183317EE-56A1-46CE-9825-3B255FC3EC1B}" destId="{97924D8F-0E3A-4D88-8A56-5BAC97DEB121}" srcOrd="0" destOrd="0" presId="urn:microsoft.com/office/officeart/2005/8/layout/radial1"/>
    <dgm:cxn modelId="{B309676F-2659-4F75-ABA5-BD000B4BC3D4}" type="presOf" srcId="{9BA93A7B-268E-4E53-B090-BDDCDFECE7DA}" destId="{34DE9D28-C260-4363-BB63-9CE6E9C82AB4}" srcOrd="1" destOrd="0" presId="urn:microsoft.com/office/officeart/2005/8/layout/radial1"/>
    <dgm:cxn modelId="{E5673079-074E-4780-AA46-AC6B2FE78EA3}" type="presOf" srcId="{8EE992BF-757F-4412-9AEF-5B923BC858DC}" destId="{2D6BC225-7139-42DA-9D6C-D8754A4B7D4C}" srcOrd="0" destOrd="0" presId="urn:microsoft.com/office/officeart/2005/8/layout/radial1"/>
    <dgm:cxn modelId="{DA32D685-AD24-4341-A6B0-56BD1E79BCF6}" type="presOf" srcId="{8A874BAC-D9E8-4B24-BE8B-89D480EAF86F}" destId="{742B727B-6883-47EE-8DE1-21515802AE85}" srcOrd="0" destOrd="0" presId="urn:microsoft.com/office/officeart/2005/8/layout/radial1"/>
    <dgm:cxn modelId="{4F30338B-5A7B-4C6F-8142-32873782573C}" srcId="{428A64A2-0D4E-47DE-9AEE-5F90AF5F407F}" destId="{8EE992BF-757F-4412-9AEF-5B923BC858DC}" srcOrd="0" destOrd="0" parTransId="{955CAEB7-5176-4D51-B45C-4DCFC8C21D4E}" sibTransId="{65FF6D66-EBD9-468C-9B13-48BFB3075AE4}"/>
    <dgm:cxn modelId="{F7AFA3A9-0FE7-4682-8CC3-353A6A2CB113}" type="presOf" srcId="{608B38B4-0305-4236-B0DF-917086FD0CEA}" destId="{F1A11920-7BB7-4335-8435-898783972466}" srcOrd="0" destOrd="0" presId="urn:microsoft.com/office/officeart/2005/8/layout/radial1"/>
    <dgm:cxn modelId="{8BCB16B4-3E81-42FD-A71D-A4584A22B8E2}" type="presOf" srcId="{CF55F66B-4F14-4215-AF60-127CEBDA3C41}" destId="{D77BFDB0-211D-4430-92A1-4D73021F2AA3}" srcOrd="0" destOrd="0" presId="urn:microsoft.com/office/officeart/2005/8/layout/radial1"/>
    <dgm:cxn modelId="{B0F818BE-3D5F-4AE0-8DC1-9C8F216D803C}" type="presOf" srcId="{608B38B4-0305-4236-B0DF-917086FD0CEA}" destId="{84F9140C-1F01-464F-8005-3ACD65A9BDFC}" srcOrd="1" destOrd="0" presId="urn:microsoft.com/office/officeart/2005/8/layout/radial1"/>
    <dgm:cxn modelId="{2066ABC6-E15D-4A7E-A0CD-A8615C2A89FC}" srcId="{8EE992BF-757F-4412-9AEF-5B923BC858DC}" destId="{C174958F-312D-44FD-9A3E-C9BBA4CE7289}" srcOrd="3" destOrd="0" parTransId="{FEAEE951-3524-4F7E-AD59-9F7C4D708908}" sibTransId="{DEF4272D-B974-4327-9C89-349943F133D9}"/>
    <dgm:cxn modelId="{91BB6EC7-7076-46E0-BEF6-0F142D3A72DA}" type="presOf" srcId="{FEAEE951-3524-4F7E-AD59-9F7C4D708908}" destId="{5ED3535E-B332-47E6-B4B6-DE52155DBE11}" srcOrd="0" destOrd="0" presId="urn:microsoft.com/office/officeart/2005/8/layout/radial1"/>
    <dgm:cxn modelId="{5917BDD1-9BDE-4044-923E-22C63AE1972E}" type="presOf" srcId="{9BA93A7B-268E-4E53-B090-BDDCDFECE7DA}" destId="{FD771F56-4CDD-479F-8688-2C54CA19D2DF}" srcOrd="0" destOrd="0" presId="urn:microsoft.com/office/officeart/2005/8/layout/radial1"/>
    <dgm:cxn modelId="{F79DACDB-D6F8-4CF2-BC35-A576A916C639}" type="presOf" srcId="{428A64A2-0D4E-47DE-9AEE-5F90AF5F407F}" destId="{C1AF2A00-0F34-42A0-B22F-83FD318B96DE}" srcOrd="0" destOrd="0" presId="urn:microsoft.com/office/officeart/2005/8/layout/radial1"/>
    <dgm:cxn modelId="{1DBEE3EA-D1A1-4FAE-B862-7556B1F011B1}" srcId="{8EE992BF-757F-4412-9AEF-5B923BC858DC}" destId="{183317EE-56A1-46CE-9825-3B255FC3EC1B}" srcOrd="1" destOrd="0" parTransId="{8A874BAC-D9E8-4B24-BE8B-89D480EAF86F}" sibTransId="{A1191CD0-272F-4AAB-B974-50043546462E}"/>
    <dgm:cxn modelId="{C6E5DAF9-A62F-43FC-9617-1A3E885A0C9C}" type="presOf" srcId="{C174958F-312D-44FD-9A3E-C9BBA4CE7289}" destId="{3185C045-AD45-4D7C-A351-F53758055DA9}" srcOrd="0" destOrd="0" presId="urn:microsoft.com/office/officeart/2005/8/layout/radial1"/>
    <dgm:cxn modelId="{AB9CF09F-428A-41A2-99A1-40104885397B}" type="presParOf" srcId="{C1AF2A00-0F34-42A0-B22F-83FD318B96DE}" destId="{2D6BC225-7139-42DA-9D6C-D8754A4B7D4C}" srcOrd="0" destOrd="0" presId="urn:microsoft.com/office/officeart/2005/8/layout/radial1"/>
    <dgm:cxn modelId="{673D9C1A-93B2-4BD5-B670-116BA3F82332}" type="presParOf" srcId="{C1AF2A00-0F34-42A0-B22F-83FD318B96DE}" destId="{F1A11920-7BB7-4335-8435-898783972466}" srcOrd="1" destOrd="0" presId="urn:microsoft.com/office/officeart/2005/8/layout/radial1"/>
    <dgm:cxn modelId="{905C7AFC-1698-48C4-AA7A-69FD2845EF50}" type="presParOf" srcId="{F1A11920-7BB7-4335-8435-898783972466}" destId="{84F9140C-1F01-464F-8005-3ACD65A9BDFC}" srcOrd="0" destOrd="0" presId="urn:microsoft.com/office/officeart/2005/8/layout/radial1"/>
    <dgm:cxn modelId="{7403C180-901A-46CA-9BF7-25BA6DC72654}" type="presParOf" srcId="{C1AF2A00-0F34-42A0-B22F-83FD318B96DE}" destId="{D77BFDB0-211D-4430-92A1-4D73021F2AA3}" srcOrd="2" destOrd="0" presId="urn:microsoft.com/office/officeart/2005/8/layout/radial1"/>
    <dgm:cxn modelId="{EFEF4F26-1324-47AF-98A2-0A0C63CE8340}" type="presParOf" srcId="{C1AF2A00-0F34-42A0-B22F-83FD318B96DE}" destId="{742B727B-6883-47EE-8DE1-21515802AE85}" srcOrd="3" destOrd="0" presId="urn:microsoft.com/office/officeart/2005/8/layout/radial1"/>
    <dgm:cxn modelId="{EF34A4D0-E9AE-4E63-B9AD-39D82928A91F}" type="presParOf" srcId="{742B727B-6883-47EE-8DE1-21515802AE85}" destId="{DD1CFA70-32C4-4129-87D2-A1B4A9F9B17B}" srcOrd="0" destOrd="0" presId="urn:microsoft.com/office/officeart/2005/8/layout/radial1"/>
    <dgm:cxn modelId="{8FF75F46-F040-45B0-A377-ECCE36ED99D0}" type="presParOf" srcId="{C1AF2A00-0F34-42A0-B22F-83FD318B96DE}" destId="{97924D8F-0E3A-4D88-8A56-5BAC97DEB121}" srcOrd="4" destOrd="0" presId="urn:microsoft.com/office/officeart/2005/8/layout/radial1"/>
    <dgm:cxn modelId="{15B241B5-AF13-4C45-9AF4-BDCD26E3C87B}" type="presParOf" srcId="{C1AF2A00-0F34-42A0-B22F-83FD318B96DE}" destId="{FD771F56-4CDD-479F-8688-2C54CA19D2DF}" srcOrd="5" destOrd="0" presId="urn:microsoft.com/office/officeart/2005/8/layout/radial1"/>
    <dgm:cxn modelId="{16B76736-0B1E-4C28-AB0E-77AD5989F39C}" type="presParOf" srcId="{FD771F56-4CDD-479F-8688-2C54CA19D2DF}" destId="{34DE9D28-C260-4363-BB63-9CE6E9C82AB4}" srcOrd="0" destOrd="0" presId="urn:microsoft.com/office/officeart/2005/8/layout/radial1"/>
    <dgm:cxn modelId="{7C2CCEBA-559F-4150-B1B0-BDD1163F37C6}" type="presParOf" srcId="{C1AF2A00-0F34-42A0-B22F-83FD318B96DE}" destId="{28F2A434-0EE3-48FF-8F79-E11983502CE3}" srcOrd="6" destOrd="0" presId="urn:microsoft.com/office/officeart/2005/8/layout/radial1"/>
    <dgm:cxn modelId="{CB02B5FE-DEF6-41C7-9B60-6898002557AA}" type="presParOf" srcId="{C1AF2A00-0F34-42A0-B22F-83FD318B96DE}" destId="{5ED3535E-B332-47E6-B4B6-DE52155DBE11}" srcOrd="7" destOrd="0" presId="urn:microsoft.com/office/officeart/2005/8/layout/radial1"/>
    <dgm:cxn modelId="{DD33D6E2-DDEC-46E9-A7E3-457AFE888ED2}" type="presParOf" srcId="{5ED3535E-B332-47E6-B4B6-DE52155DBE11}" destId="{99AD1743-F60E-4600-ABF3-2423AA789062}" srcOrd="0" destOrd="0" presId="urn:microsoft.com/office/officeart/2005/8/layout/radial1"/>
    <dgm:cxn modelId="{71125F35-6605-49C3-BF34-97E15581C669}" type="presParOf" srcId="{C1AF2A00-0F34-42A0-B22F-83FD318B96DE}" destId="{3185C045-AD45-4D7C-A351-F53758055DA9}"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7841B6-A3C8-4FAC-ADB1-DBC932056259}" type="doc">
      <dgm:prSet loTypeId="urn:microsoft.com/office/officeart/2005/8/layout/default" loCatId="list" qsTypeId="urn:microsoft.com/office/officeart/2005/8/quickstyle/simple1" qsCatId="simple" csTypeId="urn:microsoft.com/office/officeart/2005/8/colors/accent6_4" csCatId="accent6" phldr="1"/>
      <dgm:spPr/>
      <dgm:t>
        <a:bodyPr/>
        <a:lstStyle/>
        <a:p>
          <a:endParaRPr lang="en-US"/>
        </a:p>
      </dgm:t>
    </dgm:pt>
    <dgm:pt modelId="{7C67C4FD-1CA1-465C-9B85-F80FF8DB4426}">
      <dgm:prSet phldrT="[Text]" custT="1"/>
      <dgm:spPr/>
      <dgm:t>
        <a:bodyPr/>
        <a:lstStyle/>
        <a:p>
          <a:pPr>
            <a:buNone/>
          </a:pPr>
          <a:r>
            <a:rPr lang="en-GB" sz="2000" b="1" i="1"/>
            <a:t>Inbound logistics</a:t>
          </a:r>
          <a:endParaRPr lang="en-US" sz="2000"/>
        </a:p>
      </dgm:t>
    </dgm:pt>
    <dgm:pt modelId="{49BA3851-60D1-4412-87E8-F7D97A8E1681}" type="parTrans" cxnId="{48395706-391D-4E26-9D77-CC2F5BCAE324}">
      <dgm:prSet/>
      <dgm:spPr/>
      <dgm:t>
        <a:bodyPr/>
        <a:lstStyle/>
        <a:p>
          <a:endParaRPr lang="en-US"/>
        </a:p>
      </dgm:t>
    </dgm:pt>
    <dgm:pt modelId="{9D304B14-9D4B-4CC0-AFE2-18434B635787}" type="sibTrans" cxnId="{48395706-391D-4E26-9D77-CC2F5BCAE324}">
      <dgm:prSet/>
      <dgm:spPr/>
      <dgm:t>
        <a:bodyPr/>
        <a:lstStyle/>
        <a:p>
          <a:endParaRPr lang="en-US"/>
        </a:p>
      </dgm:t>
    </dgm:pt>
    <dgm:pt modelId="{ED665073-0EB9-4A5E-B0DD-670FD7B4DB29}">
      <dgm:prSet phldrT="[Text]" custT="1"/>
      <dgm:spPr/>
      <dgm:t>
        <a:bodyPr/>
        <a:lstStyle/>
        <a:p>
          <a:pPr>
            <a:buNone/>
          </a:pPr>
          <a:r>
            <a:rPr lang="en-GB" sz="2000" b="1" i="1"/>
            <a:t>Operation</a:t>
          </a:r>
          <a:endParaRPr lang="en-US" sz="2000"/>
        </a:p>
      </dgm:t>
    </dgm:pt>
    <dgm:pt modelId="{44E46206-F9ED-46B7-97D3-D57E1308BF4D}" type="parTrans" cxnId="{184C49F1-1555-4D36-959F-04E75B8228BB}">
      <dgm:prSet/>
      <dgm:spPr/>
      <dgm:t>
        <a:bodyPr/>
        <a:lstStyle/>
        <a:p>
          <a:endParaRPr lang="en-US"/>
        </a:p>
      </dgm:t>
    </dgm:pt>
    <dgm:pt modelId="{CC4CB1A0-9AA9-4AC0-BAE6-21F386475E5E}" type="sibTrans" cxnId="{184C49F1-1555-4D36-959F-04E75B8228BB}">
      <dgm:prSet/>
      <dgm:spPr/>
      <dgm:t>
        <a:bodyPr/>
        <a:lstStyle/>
        <a:p>
          <a:endParaRPr lang="en-US"/>
        </a:p>
      </dgm:t>
    </dgm:pt>
    <dgm:pt modelId="{EC92217D-A8F7-468F-8681-25620606983E}">
      <dgm:prSet phldrT="[Text]" custT="1"/>
      <dgm:spPr/>
      <dgm:t>
        <a:bodyPr/>
        <a:lstStyle/>
        <a:p>
          <a:pPr>
            <a:buNone/>
          </a:pPr>
          <a:r>
            <a:rPr lang="en-GB" sz="2000" b="1" i="1"/>
            <a:t>Outbound logistics</a:t>
          </a:r>
          <a:endParaRPr lang="en-US" sz="2000"/>
        </a:p>
      </dgm:t>
    </dgm:pt>
    <dgm:pt modelId="{320CE71D-D136-4A93-8624-EC92995D368B}" type="parTrans" cxnId="{41927BC6-6E9E-4B49-ABD5-8A94D0867470}">
      <dgm:prSet/>
      <dgm:spPr/>
      <dgm:t>
        <a:bodyPr/>
        <a:lstStyle/>
        <a:p>
          <a:endParaRPr lang="en-US"/>
        </a:p>
      </dgm:t>
    </dgm:pt>
    <dgm:pt modelId="{28FA70D2-A390-4949-A100-347EC46C161B}" type="sibTrans" cxnId="{41927BC6-6E9E-4B49-ABD5-8A94D0867470}">
      <dgm:prSet/>
      <dgm:spPr/>
      <dgm:t>
        <a:bodyPr/>
        <a:lstStyle/>
        <a:p>
          <a:endParaRPr lang="en-US"/>
        </a:p>
      </dgm:t>
    </dgm:pt>
    <dgm:pt modelId="{7895D4DE-31B6-48B3-AA41-20B834F4063F}">
      <dgm:prSet phldrT="[Text]" custT="1"/>
      <dgm:spPr/>
      <dgm:t>
        <a:bodyPr/>
        <a:lstStyle/>
        <a:p>
          <a:pPr>
            <a:buNone/>
          </a:pPr>
          <a:r>
            <a:rPr lang="en-GB" sz="2000" b="1" i="1"/>
            <a:t>Marketing &amp; Sales</a:t>
          </a:r>
          <a:endParaRPr lang="en-US" sz="2000"/>
        </a:p>
      </dgm:t>
    </dgm:pt>
    <dgm:pt modelId="{FD07645D-B47B-4E89-8FC9-490CC35C64D2}" type="parTrans" cxnId="{E23C761C-ED0E-407E-928C-D66042C86901}">
      <dgm:prSet/>
      <dgm:spPr/>
      <dgm:t>
        <a:bodyPr/>
        <a:lstStyle/>
        <a:p>
          <a:endParaRPr lang="en-US"/>
        </a:p>
      </dgm:t>
    </dgm:pt>
    <dgm:pt modelId="{77C6250C-E19E-46EF-B670-0365E27C3AFE}" type="sibTrans" cxnId="{E23C761C-ED0E-407E-928C-D66042C86901}">
      <dgm:prSet/>
      <dgm:spPr/>
      <dgm:t>
        <a:bodyPr/>
        <a:lstStyle/>
        <a:p>
          <a:endParaRPr lang="en-US"/>
        </a:p>
      </dgm:t>
    </dgm:pt>
    <dgm:pt modelId="{38F11955-A77B-40E4-9122-9FDC9A9446E1}">
      <dgm:prSet phldrT="[Text]" custT="1"/>
      <dgm:spPr/>
      <dgm:t>
        <a:bodyPr/>
        <a:lstStyle/>
        <a:p>
          <a:pPr>
            <a:buNone/>
          </a:pPr>
          <a:r>
            <a:rPr lang="en-GB" sz="2000" b="1" i="1"/>
            <a:t>Service</a:t>
          </a:r>
          <a:endParaRPr lang="en-US" sz="2000"/>
        </a:p>
      </dgm:t>
    </dgm:pt>
    <dgm:pt modelId="{977C99FB-B61F-429A-AFC1-D9CC11AE2807}" type="parTrans" cxnId="{FF4E6B30-3FBB-4204-AD3F-0407A0D732D8}">
      <dgm:prSet/>
      <dgm:spPr/>
      <dgm:t>
        <a:bodyPr/>
        <a:lstStyle/>
        <a:p>
          <a:endParaRPr lang="en-US"/>
        </a:p>
      </dgm:t>
    </dgm:pt>
    <dgm:pt modelId="{850DCD88-1D9F-43E6-B437-4F57EFB9392D}" type="sibTrans" cxnId="{FF4E6B30-3FBB-4204-AD3F-0407A0D732D8}">
      <dgm:prSet/>
      <dgm:spPr/>
      <dgm:t>
        <a:bodyPr/>
        <a:lstStyle/>
        <a:p>
          <a:endParaRPr lang="en-US"/>
        </a:p>
      </dgm:t>
    </dgm:pt>
    <dgm:pt modelId="{A4DD88BF-425B-4348-B798-F78E95160393}" type="pres">
      <dgm:prSet presAssocID="{0A7841B6-A3C8-4FAC-ADB1-DBC932056259}" presName="diagram" presStyleCnt="0">
        <dgm:presLayoutVars>
          <dgm:dir/>
          <dgm:resizeHandles val="exact"/>
        </dgm:presLayoutVars>
      </dgm:prSet>
      <dgm:spPr/>
    </dgm:pt>
    <dgm:pt modelId="{02415557-BD3C-4B96-A6BE-0B0F5AAA8AE5}" type="pres">
      <dgm:prSet presAssocID="{7C67C4FD-1CA1-465C-9B85-F80FF8DB4426}" presName="node" presStyleLbl="node1" presStyleIdx="0" presStyleCnt="5">
        <dgm:presLayoutVars>
          <dgm:bulletEnabled val="1"/>
        </dgm:presLayoutVars>
      </dgm:prSet>
      <dgm:spPr/>
    </dgm:pt>
    <dgm:pt modelId="{AEB7FD31-0F86-4B2A-9FE1-F42A998AA2D1}" type="pres">
      <dgm:prSet presAssocID="{9D304B14-9D4B-4CC0-AFE2-18434B635787}" presName="sibTrans" presStyleCnt="0"/>
      <dgm:spPr/>
    </dgm:pt>
    <dgm:pt modelId="{0D44CF85-343F-477B-B158-103230655F16}" type="pres">
      <dgm:prSet presAssocID="{ED665073-0EB9-4A5E-B0DD-670FD7B4DB29}" presName="node" presStyleLbl="node1" presStyleIdx="1" presStyleCnt="5">
        <dgm:presLayoutVars>
          <dgm:bulletEnabled val="1"/>
        </dgm:presLayoutVars>
      </dgm:prSet>
      <dgm:spPr/>
    </dgm:pt>
    <dgm:pt modelId="{8048B828-30AF-414A-B848-F85D6310097A}" type="pres">
      <dgm:prSet presAssocID="{CC4CB1A0-9AA9-4AC0-BAE6-21F386475E5E}" presName="sibTrans" presStyleCnt="0"/>
      <dgm:spPr/>
    </dgm:pt>
    <dgm:pt modelId="{94A54D83-AC4C-429C-97BA-65F4AEA54E1D}" type="pres">
      <dgm:prSet presAssocID="{EC92217D-A8F7-468F-8681-25620606983E}" presName="node" presStyleLbl="node1" presStyleIdx="2" presStyleCnt="5">
        <dgm:presLayoutVars>
          <dgm:bulletEnabled val="1"/>
        </dgm:presLayoutVars>
      </dgm:prSet>
      <dgm:spPr/>
    </dgm:pt>
    <dgm:pt modelId="{3B946AD8-3A4E-4A41-B900-AEDE420FF9F8}" type="pres">
      <dgm:prSet presAssocID="{28FA70D2-A390-4949-A100-347EC46C161B}" presName="sibTrans" presStyleCnt="0"/>
      <dgm:spPr/>
    </dgm:pt>
    <dgm:pt modelId="{CC22D0A6-2750-4251-B9DC-F5260625C9A2}" type="pres">
      <dgm:prSet presAssocID="{7895D4DE-31B6-48B3-AA41-20B834F4063F}" presName="node" presStyleLbl="node1" presStyleIdx="3" presStyleCnt="5">
        <dgm:presLayoutVars>
          <dgm:bulletEnabled val="1"/>
        </dgm:presLayoutVars>
      </dgm:prSet>
      <dgm:spPr/>
    </dgm:pt>
    <dgm:pt modelId="{FA484AA9-BEA7-44EA-89C3-48F6D19939BA}" type="pres">
      <dgm:prSet presAssocID="{77C6250C-E19E-46EF-B670-0365E27C3AFE}" presName="sibTrans" presStyleCnt="0"/>
      <dgm:spPr/>
    </dgm:pt>
    <dgm:pt modelId="{4106029B-341D-41FE-8D83-0A2D20D94765}" type="pres">
      <dgm:prSet presAssocID="{38F11955-A77B-40E4-9122-9FDC9A9446E1}" presName="node" presStyleLbl="node1" presStyleIdx="4" presStyleCnt="5">
        <dgm:presLayoutVars>
          <dgm:bulletEnabled val="1"/>
        </dgm:presLayoutVars>
      </dgm:prSet>
      <dgm:spPr/>
    </dgm:pt>
  </dgm:ptLst>
  <dgm:cxnLst>
    <dgm:cxn modelId="{48395706-391D-4E26-9D77-CC2F5BCAE324}" srcId="{0A7841B6-A3C8-4FAC-ADB1-DBC932056259}" destId="{7C67C4FD-1CA1-465C-9B85-F80FF8DB4426}" srcOrd="0" destOrd="0" parTransId="{49BA3851-60D1-4412-87E8-F7D97A8E1681}" sibTransId="{9D304B14-9D4B-4CC0-AFE2-18434B635787}"/>
    <dgm:cxn modelId="{E23C761C-ED0E-407E-928C-D66042C86901}" srcId="{0A7841B6-A3C8-4FAC-ADB1-DBC932056259}" destId="{7895D4DE-31B6-48B3-AA41-20B834F4063F}" srcOrd="3" destOrd="0" parTransId="{FD07645D-B47B-4E89-8FC9-490CC35C64D2}" sibTransId="{77C6250C-E19E-46EF-B670-0365E27C3AFE}"/>
    <dgm:cxn modelId="{FF4E6B30-3FBB-4204-AD3F-0407A0D732D8}" srcId="{0A7841B6-A3C8-4FAC-ADB1-DBC932056259}" destId="{38F11955-A77B-40E4-9122-9FDC9A9446E1}" srcOrd="4" destOrd="0" parTransId="{977C99FB-B61F-429A-AFC1-D9CC11AE2807}" sibTransId="{850DCD88-1D9F-43E6-B437-4F57EFB9392D}"/>
    <dgm:cxn modelId="{17310735-CFFA-4319-974F-5B305C84DE63}" type="presOf" srcId="{7C67C4FD-1CA1-465C-9B85-F80FF8DB4426}" destId="{02415557-BD3C-4B96-A6BE-0B0F5AAA8AE5}" srcOrd="0" destOrd="0" presId="urn:microsoft.com/office/officeart/2005/8/layout/default"/>
    <dgm:cxn modelId="{F5672466-FBBD-48E8-98DD-2363B8E820EB}" type="presOf" srcId="{0A7841B6-A3C8-4FAC-ADB1-DBC932056259}" destId="{A4DD88BF-425B-4348-B798-F78E95160393}" srcOrd="0" destOrd="0" presId="urn:microsoft.com/office/officeart/2005/8/layout/default"/>
    <dgm:cxn modelId="{F445F457-9E03-47B4-B32B-73F512BD6919}" type="presOf" srcId="{7895D4DE-31B6-48B3-AA41-20B834F4063F}" destId="{CC22D0A6-2750-4251-B9DC-F5260625C9A2}" srcOrd="0" destOrd="0" presId="urn:microsoft.com/office/officeart/2005/8/layout/default"/>
    <dgm:cxn modelId="{1CD4E39F-611C-4597-A9D3-976D01B8768A}" type="presOf" srcId="{ED665073-0EB9-4A5E-B0DD-670FD7B4DB29}" destId="{0D44CF85-343F-477B-B158-103230655F16}" srcOrd="0" destOrd="0" presId="urn:microsoft.com/office/officeart/2005/8/layout/default"/>
    <dgm:cxn modelId="{3D59A7A6-CC6B-482E-8368-8A10C4438D88}" type="presOf" srcId="{38F11955-A77B-40E4-9122-9FDC9A9446E1}" destId="{4106029B-341D-41FE-8D83-0A2D20D94765}" srcOrd="0" destOrd="0" presId="urn:microsoft.com/office/officeart/2005/8/layout/default"/>
    <dgm:cxn modelId="{41927BC6-6E9E-4B49-ABD5-8A94D0867470}" srcId="{0A7841B6-A3C8-4FAC-ADB1-DBC932056259}" destId="{EC92217D-A8F7-468F-8681-25620606983E}" srcOrd="2" destOrd="0" parTransId="{320CE71D-D136-4A93-8624-EC92995D368B}" sibTransId="{28FA70D2-A390-4949-A100-347EC46C161B}"/>
    <dgm:cxn modelId="{184C49F1-1555-4D36-959F-04E75B8228BB}" srcId="{0A7841B6-A3C8-4FAC-ADB1-DBC932056259}" destId="{ED665073-0EB9-4A5E-B0DD-670FD7B4DB29}" srcOrd="1" destOrd="0" parTransId="{44E46206-F9ED-46B7-97D3-D57E1308BF4D}" sibTransId="{CC4CB1A0-9AA9-4AC0-BAE6-21F386475E5E}"/>
    <dgm:cxn modelId="{77DC69FD-9AC5-4405-ACEB-D4AF682F5637}" type="presOf" srcId="{EC92217D-A8F7-468F-8681-25620606983E}" destId="{94A54D83-AC4C-429C-97BA-65F4AEA54E1D}" srcOrd="0" destOrd="0" presId="urn:microsoft.com/office/officeart/2005/8/layout/default"/>
    <dgm:cxn modelId="{1628C4DB-861D-434F-B180-073BDFC68F6B}" type="presParOf" srcId="{A4DD88BF-425B-4348-B798-F78E95160393}" destId="{02415557-BD3C-4B96-A6BE-0B0F5AAA8AE5}" srcOrd="0" destOrd="0" presId="urn:microsoft.com/office/officeart/2005/8/layout/default"/>
    <dgm:cxn modelId="{3C5D685A-89F5-4D39-BE75-E71C8EEB0245}" type="presParOf" srcId="{A4DD88BF-425B-4348-B798-F78E95160393}" destId="{AEB7FD31-0F86-4B2A-9FE1-F42A998AA2D1}" srcOrd="1" destOrd="0" presId="urn:microsoft.com/office/officeart/2005/8/layout/default"/>
    <dgm:cxn modelId="{1741ED9F-9F0F-4212-9AA7-8674330E026C}" type="presParOf" srcId="{A4DD88BF-425B-4348-B798-F78E95160393}" destId="{0D44CF85-343F-477B-B158-103230655F16}" srcOrd="2" destOrd="0" presId="urn:microsoft.com/office/officeart/2005/8/layout/default"/>
    <dgm:cxn modelId="{090B3F6A-6B47-49E0-9235-CDE2DF596E76}" type="presParOf" srcId="{A4DD88BF-425B-4348-B798-F78E95160393}" destId="{8048B828-30AF-414A-B848-F85D6310097A}" srcOrd="3" destOrd="0" presId="urn:microsoft.com/office/officeart/2005/8/layout/default"/>
    <dgm:cxn modelId="{816D6715-74D6-4F52-BE08-9B17573570E0}" type="presParOf" srcId="{A4DD88BF-425B-4348-B798-F78E95160393}" destId="{94A54D83-AC4C-429C-97BA-65F4AEA54E1D}" srcOrd="4" destOrd="0" presId="urn:microsoft.com/office/officeart/2005/8/layout/default"/>
    <dgm:cxn modelId="{D7FC334F-66CB-4494-AD1D-241A36F10B53}" type="presParOf" srcId="{A4DD88BF-425B-4348-B798-F78E95160393}" destId="{3B946AD8-3A4E-4A41-B900-AEDE420FF9F8}" srcOrd="5" destOrd="0" presId="urn:microsoft.com/office/officeart/2005/8/layout/default"/>
    <dgm:cxn modelId="{9DDB1831-2109-490D-BFA3-273EDC32B508}" type="presParOf" srcId="{A4DD88BF-425B-4348-B798-F78E95160393}" destId="{CC22D0A6-2750-4251-B9DC-F5260625C9A2}" srcOrd="6" destOrd="0" presId="urn:microsoft.com/office/officeart/2005/8/layout/default"/>
    <dgm:cxn modelId="{4DA67EE2-CE67-4455-8701-A4C2AF4FC8D3}" type="presParOf" srcId="{A4DD88BF-425B-4348-B798-F78E95160393}" destId="{FA484AA9-BEA7-44EA-89C3-48F6D19939BA}" srcOrd="7" destOrd="0" presId="urn:microsoft.com/office/officeart/2005/8/layout/default"/>
    <dgm:cxn modelId="{24070DE8-DC78-4637-8A81-8E5ABEABC1CB}" type="presParOf" srcId="{A4DD88BF-425B-4348-B798-F78E95160393}" destId="{4106029B-341D-41FE-8D83-0A2D20D94765}" srcOrd="8" destOrd="0" presId="urn:microsoft.com/office/officeart/2005/8/layout/defaul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7AB858D-1DEE-46BA-9585-248A8B622C73}" type="doc">
      <dgm:prSet loTypeId="urn:microsoft.com/office/officeart/2011/layout/HexagonRadial" loCatId="cycle" qsTypeId="urn:microsoft.com/office/officeart/2005/8/quickstyle/simple1" qsCatId="simple" csTypeId="urn:microsoft.com/office/officeart/2005/8/colors/accent5_3" csCatId="accent5" phldr="1"/>
      <dgm:spPr/>
      <dgm:t>
        <a:bodyPr/>
        <a:lstStyle/>
        <a:p>
          <a:endParaRPr lang="en-US"/>
        </a:p>
      </dgm:t>
    </dgm:pt>
    <dgm:pt modelId="{65EC801F-90C5-42DD-A17F-5FC84A41CBD4}">
      <dgm:prSet phldrT="[Text]"/>
      <dgm:spPr/>
      <dgm:t>
        <a:bodyPr/>
        <a:lstStyle/>
        <a:p>
          <a:pPr algn="ctr"/>
          <a:r>
            <a:rPr lang="en-US"/>
            <a:t>PESTEL</a:t>
          </a:r>
        </a:p>
      </dgm:t>
    </dgm:pt>
    <dgm:pt modelId="{9EC88E2C-42CB-4019-B318-24A73EEDEA76}" type="parTrans" cxnId="{A75CBD10-79A2-448B-AE4E-5A515C5C82BB}">
      <dgm:prSet/>
      <dgm:spPr/>
      <dgm:t>
        <a:bodyPr/>
        <a:lstStyle/>
        <a:p>
          <a:pPr algn="ctr"/>
          <a:endParaRPr lang="en-US"/>
        </a:p>
      </dgm:t>
    </dgm:pt>
    <dgm:pt modelId="{4FFF2D0D-3949-4F1D-868B-448D23CC3DCF}" type="sibTrans" cxnId="{A75CBD10-79A2-448B-AE4E-5A515C5C82BB}">
      <dgm:prSet/>
      <dgm:spPr/>
      <dgm:t>
        <a:bodyPr/>
        <a:lstStyle/>
        <a:p>
          <a:pPr algn="ctr"/>
          <a:endParaRPr lang="en-US"/>
        </a:p>
      </dgm:t>
    </dgm:pt>
    <dgm:pt modelId="{7567B181-F354-4D70-A459-2320F4FDDB4C}">
      <dgm:prSet phldrT="[Text]"/>
      <dgm:spPr/>
      <dgm:t>
        <a:bodyPr/>
        <a:lstStyle/>
        <a:p>
          <a:pPr algn="ctr">
            <a:buNone/>
          </a:pPr>
          <a:r>
            <a:rPr lang="en-GB" b="1" i="1"/>
            <a:t>Political</a:t>
          </a:r>
          <a:r>
            <a:rPr lang="en-GB"/>
            <a:t> </a:t>
          </a:r>
          <a:endParaRPr lang="en-US"/>
        </a:p>
      </dgm:t>
    </dgm:pt>
    <dgm:pt modelId="{14C4B1F3-65E9-4B22-8B13-FC5C0131A57F}" type="parTrans" cxnId="{00533822-A169-43A6-A125-BED178F4FEE7}">
      <dgm:prSet/>
      <dgm:spPr/>
      <dgm:t>
        <a:bodyPr/>
        <a:lstStyle/>
        <a:p>
          <a:pPr algn="ctr"/>
          <a:endParaRPr lang="en-US"/>
        </a:p>
      </dgm:t>
    </dgm:pt>
    <dgm:pt modelId="{6869C3D8-07AA-4A75-9399-2C6E31E40637}" type="sibTrans" cxnId="{00533822-A169-43A6-A125-BED178F4FEE7}">
      <dgm:prSet/>
      <dgm:spPr/>
      <dgm:t>
        <a:bodyPr/>
        <a:lstStyle/>
        <a:p>
          <a:pPr algn="ctr"/>
          <a:endParaRPr lang="en-US"/>
        </a:p>
      </dgm:t>
    </dgm:pt>
    <dgm:pt modelId="{90DE11EF-397C-4F63-A1B4-91B5470816E5}">
      <dgm:prSet phldrT="[Text]"/>
      <dgm:spPr/>
      <dgm:t>
        <a:bodyPr/>
        <a:lstStyle/>
        <a:p>
          <a:pPr algn="ctr">
            <a:buNone/>
          </a:pPr>
          <a:r>
            <a:rPr lang="en-GB" b="1" i="1"/>
            <a:t>Economic</a:t>
          </a:r>
          <a:r>
            <a:rPr lang="en-GB"/>
            <a:t> </a:t>
          </a:r>
          <a:endParaRPr lang="en-US"/>
        </a:p>
      </dgm:t>
    </dgm:pt>
    <dgm:pt modelId="{8B0B7209-8B55-4306-9CB3-22D3C4807E59}" type="parTrans" cxnId="{81720E91-D647-4BCA-9CF0-3122E33A7106}">
      <dgm:prSet/>
      <dgm:spPr/>
      <dgm:t>
        <a:bodyPr/>
        <a:lstStyle/>
        <a:p>
          <a:pPr algn="ctr"/>
          <a:endParaRPr lang="en-US"/>
        </a:p>
      </dgm:t>
    </dgm:pt>
    <dgm:pt modelId="{B3099FE9-C271-4DAA-8E5A-A8F5B395A4F9}" type="sibTrans" cxnId="{81720E91-D647-4BCA-9CF0-3122E33A7106}">
      <dgm:prSet/>
      <dgm:spPr/>
      <dgm:t>
        <a:bodyPr/>
        <a:lstStyle/>
        <a:p>
          <a:pPr algn="ctr"/>
          <a:endParaRPr lang="en-US"/>
        </a:p>
      </dgm:t>
    </dgm:pt>
    <dgm:pt modelId="{CC34F1FE-B378-490D-A9C8-D82D50757706}">
      <dgm:prSet phldrT="[Text]"/>
      <dgm:spPr/>
      <dgm:t>
        <a:bodyPr/>
        <a:lstStyle/>
        <a:p>
          <a:pPr algn="ctr">
            <a:buNone/>
          </a:pPr>
          <a:r>
            <a:rPr lang="en-GB" b="1" i="1"/>
            <a:t>Social</a:t>
          </a:r>
          <a:r>
            <a:rPr lang="en-GB"/>
            <a:t>  </a:t>
          </a:r>
          <a:endParaRPr lang="en-US"/>
        </a:p>
      </dgm:t>
    </dgm:pt>
    <dgm:pt modelId="{37DD739E-01C1-4D98-89B2-DE10B49FDEB7}" type="parTrans" cxnId="{9DE93F54-F6FB-49DA-8702-A6C46709F011}">
      <dgm:prSet/>
      <dgm:spPr/>
      <dgm:t>
        <a:bodyPr/>
        <a:lstStyle/>
        <a:p>
          <a:pPr algn="ctr"/>
          <a:endParaRPr lang="en-US"/>
        </a:p>
      </dgm:t>
    </dgm:pt>
    <dgm:pt modelId="{5A162AED-FF11-48F7-9463-E96C53D25965}" type="sibTrans" cxnId="{9DE93F54-F6FB-49DA-8702-A6C46709F011}">
      <dgm:prSet/>
      <dgm:spPr/>
      <dgm:t>
        <a:bodyPr/>
        <a:lstStyle/>
        <a:p>
          <a:pPr algn="ctr"/>
          <a:endParaRPr lang="en-US"/>
        </a:p>
      </dgm:t>
    </dgm:pt>
    <dgm:pt modelId="{21A69D1D-5FA0-46AB-9A1B-705CC06C938C}">
      <dgm:prSet phldrT="[Text]"/>
      <dgm:spPr/>
      <dgm:t>
        <a:bodyPr/>
        <a:lstStyle/>
        <a:p>
          <a:pPr algn="ctr">
            <a:buNone/>
          </a:pPr>
          <a:r>
            <a:rPr lang="en-GB" b="1" i="1"/>
            <a:t>Technological</a:t>
          </a:r>
          <a:r>
            <a:rPr lang="en-GB"/>
            <a:t> </a:t>
          </a:r>
          <a:endParaRPr lang="en-US"/>
        </a:p>
      </dgm:t>
    </dgm:pt>
    <dgm:pt modelId="{B4E81301-DE15-4429-944E-A8648BE9DCF2}" type="parTrans" cxnId="{90570177-3404-4B6F-BC1E-14F1F14BB472}">
      <dgm:prSet/>
      <dgm:spPr/>
      <dgm:t>
        <a:bodyPr/>
        <a:lstStyle/>
        <a:p>
          <a:pPr algn="ctr"/>
          <a:endParaRPr lang="en-US"/>
        </a:p>
      </dgm:t>
    </dgm:pt>
    <dgm:pt modelId="{2E7C5F07-64A2-4AA1-A07E-11AC517218CE}" type="sibTrans" cxnId="{90570177-3404-4B6F-BC1E-14F1F14BB472}">
      <dgm:prSet/>
      <dgm:spPr/>
      <dgm:t>
        <a:bodyPr/>
        <a:lstStyle/>
        <a:p>
          <a:pPr algn="ctr"/>
          <a:endParaRPr lang="en-US"/>
        </a:p>
      </dgm:t>
    </dgm:pt>
    <dgm:pt modelId="{0067411A-8040-4A32-A93A-F5AD5460B0FC}">
      <dgm:prSet phldrT="[Text]"/>
      <dgm:spPr/>
      <dgm:t>
        <a:bodyPr/>
        <a:lstStyle/>
        <a:p>
          <a:pPr algn="ctr">
            <a:buNone/>
          </a:pPr>
          <a:r>
            <a:rPr lang="en-GB" b="1" i="1"/>
            <a:t>Environmental</a:t>
          </a:r>
          <a:r>
            <a:rPr lang="en-GB"/>
            <a:t> </a:t>
          </a:r>
          <a:endParaRPr lang="en-US"/>
        </a:p>
      </dgm:t>
    </dgm:pt>
    <dgm:pt modelId="{544CD0E3-0EEF-4950-8C73-4BC8A1A4523E}" type="parTrans" cxnId="{638C5C58-621B-49E4-BB8F-DE2AEDC1C074}">
      <dgm:prSet/>
      <dgm:spPr/>
      <dgm:t>
        <a:bodyPr/>
        <a:lstStyle/>
        <a:p>
          <a:pPr algn="ctr"/>
          <a:endParaRPr lang="en-US"/>
        </a:p>
      </dgm:t>
    </dgm:pt>
    <dgm:pt modelId="{AECA70F6-F37C-4852-B3B6-BDD3C92F8594}" type="sibTrans" cxnId="{638C5C58-621B-49E4-BB8F-DE2AEDC1C074}">
      <dgm:prSet/>
      <dgm:spPr/>
      <dgm:t>
        <a:bodyPr/>
        <a:lstStyle/>
        <a:p>
          <a:pPr algn="ctr"/>
          <a:endParaRPr lang="en-US"/>
        </a:p>
      </dgm:t>
    </dgm:pt>
    <dgm:pt modelId="{F2A7669B-F7AF-43D1-9880-4361696A2FA3}">
      <dgm:prSet phldrT="[Text]"/>
      <dgm:spPr/>
      <dgm:t>
        <a:bodyPr/>
        <a:lstStyle/>
        <a:p>
          <a:pPr algn="ctr"/>
          <a:r>
            <a:rPr lang="en-US"/>
            <a:t>Legal</a:t>
          </a:r>
        </a:p>
      </dgm:t>
    </dgm:pt>
    <dgm:pt modelId="{B3BA9CDD-CF11-48B0-BEB0-99DCD84C8DFD}" type="parTrans" cxnId="{C2A5A322-6AC9-47DE-B6F5-AE24794A1AEF}">
      <dgm:prSet/>
      <dgm:spPr/>
      <dgm:t>
        <a:bodyPr/>
        <a:lstStyle/>
        <a:p>
          <a:pPr algn="ctr"/>
          <a:endParaRPr lang="en-US"/>
        </a:p>
      </dgm:t>
    </dgm:pt>
    <dgm:pt modelId="{5542EBC9-7EA5-476A-97EE-456D708E3C24}" type="sibTrans" cxnId="{C2A5A322-6AC9-47DE-B6F5-AE24794A1AEF}">
      <dgm:prSet/>
      <dgm:spPr/>
      <dgm:t>
        <a:bodyPr/>
        <a:lstStyle/>
        <a:p>
          <a:pPr algn="ctr"/>
          <a:endParaRPr lang="en-US"/>
        </a:p>
      </dgm:t>
    </dgm:pt>
    <dgm:pt modelId="{633BFA6F-6621-4A56-BAC7-FB476586178F}" type="pres">
      <dgm:prSet presAssocID="{97AB858D-1DEE-46BA-9585-248A8B622C73}" presName="Name0" presStyleCnt="0">
        <dgm:presLayoutVars>
          <dgm:chMax val="1"/>
          <dgm:chPref val="1"/>
          <dgm:dir/>
          <dgm:animOne val="branch"/>
          <dgm:animLvl val="lvl"/>
        </dgm:presLayoutVars>
      </dgm:prSet>
      <dgm:spPr/>
    </dgm:pt>
    <dgm:pt modelId="{5E2ED3C5-2A65-452D-81EA-702DD99A3CCF}" type="pres">
      <dgm:prSet presAssocID="{65EC801F-90C5-42DD-A17F-5FC84A41CBD4}" presName="Parent" presStyleLbl="node0" presStyleIdx="0" presStyleCnt="1">
        <dgm:presLayoutVars>
          <dgm:chMax val="6"/>
          <dgm:chPref val="6"/>
        </dgm:presLayoutVars>
      </dgm:prSet>
      <dgm:spPr/>
    </dgm:pt>
    <dgm:pt modelId="{64313D79-E24E-438F-871B-2F6CA82B798E}" type="pres">
      <dgm:prSet presAssocID="{7567B181-F354-4D70-A459-2320F4FDDB4C}" presName="Accent1" presStyleCnt="0"/>
      <dgm:spPr/>
    </dgm:pt>
    <dgm:pt modelId="{27FAA78E-70E7-41B7-A3AE-3623D990289C}" type="pres">
      <dgm:prSet presAssocID="{7567B181-F354-4D70-A459-2320F4FDDB4C}" presName="Accent" presStyleLbl="bgShp" presStyleIdx="0" presStyleCnt="6"/>
      <dgm:spPr/>
    </dgm:pt>
    <dgm:pt modelId="{87F1A9CC-2B65-48EF-8B65-094F6DBEF22E}" type="pres">
      <dgm:prSet presAssocID="{7567B181-F354-4D70-A459-2320F4FDDB4C}" presName="Child1" presStyleLbl="node1" presStyleIdx="0" presStyleCnt="6">
        <dgm:presLayoutVars>
          <dgm:chMax val="0"/>
          <dgm:chPref val="0"/>
          <dgm:bulletEnabled val="1"/>
        </dgm:presLayoutVars>
      </dgm:prSet>
      <dgm:spPr/>
    </dgm:pt>
    <dgm:pt modelId="{20F1CA79-10DA-409A-B446-6C0D0448D1A9}" type="pres">
      <dgm:prSet presAssocID="{90DE11EF-397C-4F63-A1B4-91B5470816E5}" presName="Accent2" presStyleCnt="0"/>
      <dgm:spPr/>
    </dgm:pt>
    <dgm:pt modelId="{DA914585-5929-4CCD-A8A8-B73828ACFB75}" type="pres">
      <dgm:prSet presAssocID="{90DE11EF-397C-4F63-A1B4-91B5470816E5}" presName="Accent" presStyleLbl="bgShp" presStyleIdx="1" presStyleCnt="6"/>
      <dgm:spPr/>
    </dgm:pt>
    <dgm:pt modelId="{07C2E911-597E-4C53-8038-8480A523A72F}" type="pres">
      <dgm:prSet presAssocID="{90DE11EF-397C-4F63-A1B4-91B5470816E5}" presName="Child2" presStyleLbl="node1" presStyleIdx="1" presStyleCnt="6">
        <dgm:presLayoutVars>
          <dgm:chMax val="0"/>
          <dgm:chPref val="0"/>
          <dgm:bulletEnabled val="1"/>
        </dgm:presLayoutVars>
      </dgm:prSet>
      <dgm:spPr/>
    </dgm:pt>
    <dgm:pt modelId="{16C8D995-757A-4706-A254-D4259BBB65F6}" type="pres">
      <dgm:prSet presAssocID="{CC34F1FE-B378-490D-A9C8-D82D50757706}" presName="Accent3" presStyleCnt="0"/>
      <dgm:spPr/>
    </dgm:pt>
    <dgm:pt modelId="{778646C1-BBD7-4567-9A17-B4E3496F0336}" type="pres">
      <dgm:prSet presAssocID="{CC34F1FE-B378-490D-A9C8-D82D50757706}" presName="Accent" presStyleLbl="bgShp" presStyleIdx="2" presStyleCnt="6"/>
      <dgm:spPr/>
    </dgm:pt>
    <dgm:pt modelId="{08172FC1-C790-4436-91DE-DD04F47306F8}" type="pres">
      <dgm:prSet presAssocID="{CC34F1FE-B378-490D-A9C8-D82D50757706}" presName="Child3" presStyleLbl="node1" presStyleIdx="2" presStyleCnt="6">
        <dgm:presLayoutVars>
          <dgm:chMax val="0"/>
          <dgm:chPref val="0"/>
          <dgm:bulletEnabled val="1"/>
        </dgm:presLayoutVars>
      </dgm:prSet>
      <dgm:spPr/>
    </dgm:pt>
    <dgm:pt modelId="{BB42EB78-4390-4464-B437-962AF4C49C21}" type="pres">
      <dgm:prSet presAssocID="{21A69D1D-5FA0-46AB-9A1B-705CC06C938C}" presName="Accent4" presStyleCnt="0"/>
      <dgm:spPr/>
    </dgm:pt>
    <dgm:pt modelId="{B0F1F14C-3E84-48AC-A230-E25ACC5ED9EE}" type="pres">
      <dgm:prSet presAssocID="{21A69D1D-5FA0-46AB-9A1B-705CC06C938C}" presName="Accent" presStyleLbl="bgShp" presStyleIdx="3" presStyleCnt="6"/>
      <dgm:spPr/>
    </dgm:pt>
    <dgm:pt modelId="{E7BDCC70-9AD4-406F-B387-4F587834831A}" type="pres">
      <dgm:prSet presAssocID="{21A69D1D-5FA0-46AB-9A1B-705CC06C938C}" presName="Child4" presStyleLbl="node1" presStyleIdx="3" presStyleCnt="6">
        <dgm:presLayoutVars>
          <dgm:chMax val="0"/>
          <dgm:chPref val="0"/>
          <dgm:bulletEnabled val="1"/>
        </dgm:presLayoutVars>
      </dgm:prSet>
      <dgm:spPr/>
    </dgm:pt>
    <dgm:pt modelId="{6E6AAE6B-1970-4885-A52C-6FB14706438F}" type="pres">
      <dgm:prSet presAssocID="{0067411A-8040-4A32-A93A-F5AD5460B0FC}" presName="Accent5" presStyleCnt="0"/>
      <dgm:spPr/>
    </dgm:pt>
    <dgm:pt modelId="{7FE50E73-89D5-49A7-B795-2FC45A5A3FC9}" type="pres">
      <dgm:prSet presAssocID="{0067411A-8040-4A32-A93A-F5AD5460B0FC}" presName="Accent" presStyleLbl="bgShp" presStyleIdx="4" presStyleCnt="6"/>
      <dgm:spPr/>
    </dgm:pt>
    <dgm:pt modelId="{0DE3FD82-8081-44E9-AD9F-34B706AE113B}" type="pres">
      <dgm:prSet presAssocID="{0067411A-8040-4A32-A93A-F5AD5460B0FC}" presName="Child5" presStyleLbl="node1" presStyleIdx="4" presStyleCnt="6">
        <dgm:presLayoutVars>
          <dgm:chMax val="0"/>
          <dgm:chPref val="0"/>
          <dgm:bulletEnabled val="1"/>
        </dgm:presLayoutVars>
      </dgm:prSet>
      <dgm:spPr/>
    </dgm:pt>
    <dgm:pt modelId="{7A6E848C-0FA5-4E39-A7E9-260D612F505B}" type="pres">
      <dgm:prSet presAssocID="{F2A7669B-F7AF-43D1-9880-4361696A2FA3}" presName="Accent6" presStyleCnt="0"/>
      <dgm:spPr/>
    </dgm:pt>
    <dgm:pt modelId="{BA28926E-4C91-4647-B1A3-242592E50B4E}" type="pres">
      <dgm:prSet presAssocID="{F2A7669B-F7AF-43D1-9880-4361696A2FA3}" presName="Accent" presStyleLbl="bgShp" presStyleIdx="5" presStyleCnt="6"/>
      <dgm:spPr/>
    </dgm:pt>
    <dgm:pt modelId="{C49E7065-5C5A-432F-92CA-8D6D8A94C012}" type="pres">
      <dgm:prSet presAssocID="{F2A7669B-F7AF-43D1-9880-4361696A2FA3}" presName="Child6" presStyleLbl="node1" presStyleIdx="5" presStyleCnt="6">
        <dgm:presLayoutVars>
          <dgm:chMax val="0"/>
          <dgm:chPref val="0"/>
          <dgm:bulletEnabled val="1"/>
        </dgm:presLayoutVars>
      </dgm:prSet>
      <dgm:spPr/>
    </dgm:pt>
  </dgm:ptLst>
  <dgm:cxnLst>
    <dgm:cxn modelId="{6A51B809-2C4F-486B-9AF5-36889CF46D7B}" type="presOf" srcId="{97AB858D-1DEE-46BA-9585-248A8B622C73}" destId="{633BFA6F-6621-4A56-BAC7-FB476586178F}" srcOrd="0" destOrd="0" presId="urn:microsoft.com/office/officeart/2011/layout/HexagonRadial"/>
    <dgm:cxn modelId="{A75CBD10-79A2-448B-AE4E-5A515C5C82BB}" srcId="{97AB858D-1DEE-46BA-9585-248A8B622C73}" destId="{65EC801F-90C5-42DD-A17F-5FC84A41CBD4}" srcOrd="0" destOrd="0" parTransId="{9EC88E2C-42CB-4019-B318-24A73EEDEA76}" sibTransId="{4FFF2D0D-3949-4F1D-868B-448D23CC3DCF}"/>
    <dgm:cxn modelId="{00533822-A169-43A6-A125-BED178F4FEE7}" srcId="{65EC801F-90C5-42DD-A17F-5FC84A41CBD4}" destId="{7567B181-F354-4D70-A459-2320F4FDDB4C}" srcOrd="0" destOrd="0" parTransId="{14C4B1F3-65E9-4B22-8B13-FC5C0131A57F}" sibTransId="{6869C3D8-07AA-4A75-9399-2C6E31E40637}"/>
    <dgm:cxn modelId="{C2A5A322-6AC9-47DE-B6F5-AE24794A1AEF}" srcId="{65EC801F-90C5-42DD-A17F-5FC84A41CBD4}" destId="{F2A7669B-F7AF-43D1-9880-4361696A2FA3}" srcOrd="5" destOrd="0" parTransId="{B3BA9CDD-CF11-48B0-BEB0-99DCD84C8DFD}" sibTransId="{5542EBC9-7EA5-476A-97EE-456D708E3C24}"/>
    <dgm:cxn modelId="{B4B08F52-3E2B-47F2-9D12-A4B4090A1997}" type="presOf" srcId="{0067411A-8040-4A32-A93A-F5AD5460B0FC}" destId="{0DE3FD82-8081-44E9-AD9F-34B706AE113B}" srcOrd="0" destOrd="0" presId="urn:microsoft.com/office/officeart/2011/layout/HexagonRadial"/>
    <dgm:cxn modelId="{9DE93F54-F6FB-49DA-8702-A6C46709F011}" srcId="{65EC801F-90C5-42DD-A17F-5FC84A41CBD4}" destId="{CC34F1FE-B378-490D-A9C8-D82D50757706}" srcOrd="2" destOrd="0" parTransId="{37DD739E-01C1-4D98-89B2-DE10B49FDEB7}" sibTransId="{5A162AED-FF11-48F7-9463-E96C53D25965}"/>
    <dgm:cxn modelId="{90570177-3404-4B6F-BC1E-14F1F14BB472}" srcId="{65EC801F-90C5-42DD-A17F-5FC84A41CBD4}" destId="{21A69D1D-5FA0-46AB-9A1B-705CC06C938C}" srcOrd="3" destOrd="0" parTransId="{B4E81301-DE15-4429-944E-A8648BE9DCF2}" sibTransId="{2E7C5F07-64A2-4AA1-A07E-11AC517218CE}"/>
    <dgm:cxn modelId="{638C5C58-621B-49E4-BB8F-DE2AEDC1C074}" srcId="{65EC801F-90C5-42DD-A17F-5FC84A41CBD4}" destId="{0067411A-8040-4A32-A93A-F5AD5460B0FC}" srcOrd="4" destOrd="0" parTransId="{544CD0E3-0EEF-4950-8C73-4BC8A1A4523E}" sibTransId="{AECA70F6-F37C-4852-B3B6-BDD3C92F8594}"/>
    <dgm:cxn modelId="{4B83D27C-FF71-44D8-8A16-0C333B67D4DC}" type="presOf" srcId="{21A69D1D-5FA0-46AB-9A1B-705CC06C938C}" destId="{E7BDCC70-9AD4-406F-B387-4F587834831A}" srcOrd="0" destOrd="0" presId="urn:microsoft.com/office/officeart/2011/layout/HexagonRadial"/>
    <dgm:cxn modelId="{DE594F8A-67DC-4558-81FF-22D2E9A26EEE}" type="presOf" srcId="{65EC801F-90C5-42DD-A17F-5FC84A41CBD4}" destId="{5E2ED3C5-2A65-452D-81EA-702DD99A3CCF}" srcOrd="0" destOrd="0" presId="urn:microsoft.com/office/officeart/2011/layout/HexagonRadial"/>
    <dgm:cxn modelId="{81720E91-D647-4BCA-9CF0-3122E33A7106}" srcId="{65EC801F-90C5-42DD-A17F-5FC84A41CBD4}" destId="{90DE11EF-397C-4F63-A1B4-91B5470816E5}" srcOrd="1" destOrd="0" parTransId="{8B0B7209-8B55-4306-9CB3-22D3C4807E59}" sibTransId="{B3099FE9-C271-4DAA-8E5A-A8F5B395A4F9}"/>
    <dgm:cxn modelId="{6EEBB994-7BD2-4431-8B1C-7DBC67A0B071}" type="presOf" srcId="{F2A7669B-F7AF-43D1-9880-4361696A2FA3}" destId="{C49E7065-5C5A-432F-92CA-8D6D8A94C012}" srcOrd="0" destOrd="0" presId="urn:microsoft.com/office/officeart/2011/layout/HexagonRadial"/>
    <dgm:cxn modelId="{1511ABAB-6468-4585-8842-477219633989}" type="presOf" srcId="{7567B181-F354-4D70-A459-2320F4FDDB4C}" destId="{87F1A9CC-2B65-48EF-8B65-094F6DBEF22E}" srcOrd="0" destOrd="0" presId="urn:microsoft.com/office/officeart/2011/layout/HexagonRadial"/>
    <dgm:cxn modelId="{ECCF38E2-6D3F-491C-9DD3-DB1753B64238}" type="presOf" srcId="{90DE11EF-397C-4F63-A1B4-91B5470816E5}" destId="{07C2E911-597E-4C53-8038-8480A523A72F}" srcOrd="0" destOrd="0" presId="urn:microsoft.com/office/officeart/2011/layout/HexagonRadial"/>
    <dgm:cxn modelId="{3F9050E4-C7F1-4D5D-B5A5-5558244448EA}" type="presOf" srcId="{CC34F1FE-B378-490D-A9C8-D82D50757706}" destId="{08172FC1-C790-4436-91DE-DD04F47306F8}" srcOrd="0" destOrd="0" presId="urn:microsoft.com/office/officeart/2011/layout/HexagonRadial"/>
    <dgm:cxn modelId="{285880C7-7873-49EC-AFC4-6F8A829AFF09}" type="presParOf" srcId="{633BFA6F-6621-4A56-BAC7-FB476586178F}" destId="{5E2ED3C5-2A65-452D-81EA-702DD99A3CCF}" srcOrd="0" destOrd="0" presId="urn:microsoft.com/office/officeart/2011/layout/HexagonRadial"/>
    <dgm:cxn modelId="{7120150B-4C96-4257-A0B8-8103CAD56EA0}" type="presParOf" srcId="{633BFA6F-6621-4A56-BAC7-FB476586178F}" destId="{64313D79-E24E-438F-871B-2F6CA82B798E}" srcOrd="1" destOrd="0" presId="urn:microsoft.com/office/officeart/2011/layout/HexagonRadial"/>
    <dgm:cxn modelId="{BD91729D-5D95-40B7-9C02-6595382B772C}" type="presParOf" srcId="{64313D79-E24E-438F-871B-2F6CA82B798E}" destId="{27FAA78E-70E7-41B7-A3AE-3623D990289C}" srcOrd="0" destOrd="0" presId="urn:microsoft.com/office/officeart/2011/layout/HexagonRadial"/>
    <dgm:cxn modelId="{F1B3433D-72F5-4EA1-A52A-5A87CBE8E3CD}" type="presParOf" srcId="{633BFA6F-6621-4A56-BAC7-FB476586178F}" destId="{87F1A9CC-2B65-48EF-8B65-094F6DBEF22E}" srcOrd="2" destOrd="0" presId="urn:microsoft.com/office/officeart/2011/layout/HexagonRadial"/>
    <dgm:cxn modelId="{B8C644A8-C08E-4FD5-BC2C-F72AC0FEB2CE}" type="presParOf" srcId="{633BFA6F-6621-4A56-BAC7-FB476586178F}" destId="{20F1CA79-10DA-409A-B446-6C0D0448D1A9}" srcOrd="3" destOrd="0" presId="urn:microsoft.com/office/officeart/2011/layout/HexagonRadial"/>
    <dgm:cxn modelId="{F5F93231-A3E8-4116-9A99-0157BBDE784D}" type="presParOf" srcId="{20F1CA79-10DA-409A-B446-6C0D0448D1A9}" destId="{DA914585-5929-4CCD-A8A8-B73828ACFB75}" srcOrd="0" destOrd="0" presId="urn:microsoft.com/office/officeart/2011/layout/HexagonRadial"/>
    <dgm:cxn modelId="{ED0C08F3-6533-44EB-AC77-F8F006B38672}" type="presParOf" srcId="{633BFA6F-6621-4A56-BAC7-FB476586178F}" destId="{07C2E911-597E-4C53-8038-8480A523A72F}" srcOrd="4" destOrd="0" presId="urn:microsoft.com/office/officeart/2011/layout/HexagonRadial"/>
    <dgm:cxn modelId="{8082563C-1C4C-485E-B800-C6C0C7B3FEB0}" type="presParOf" srcId="{633BFA6F-6621-4A56-BAC7-FB476586178F}" destId="{16C8D995-757A-4706-A254-D4259BBB65F6}" srcOrd="5" destOrd="0" presId="urn:microsoft.com/office/officeart/2011/layout/HexagonRadial"/>
    <dgm:cxn modelId="{52BC03FD-28DD-47A5-A8C0-DABC1A6BD8ED}" type="presParOf" srcId="{16C8D995-757A-4706-A254-D4259BBB65F6}" destId="{778646C1-BBD7-4567-9A17-B4E3496F0336}" srcOrd="0" destOrd="0" presId="urn:microsoft.com/office/officeart/2011/layout/HexagonRadial"/>
    <dgm:cxn modelId="{F7C811FC-E1C1-4E52-8864-8A9444D5536D}" type="presParOf" srcId="{633BFA6F-6621-4A56-BAC7-FB476586178F}" destId="{08172FC1-C790-4436-91DE-DD04F47306F8}" srcOrd="6" destOrd="0" presId="urn:microsoft.com/office/officeart/2011/layout/HexagonRadial"/>
    <dgm:cxn modelId="{A3585E12-28F6-467A-8967-457E6A8452C6}" type="presParOf" srcId="{633BFA6F-6621-4A56-BAC7-FB476586178F}" destId="{BB42EB78-4390-4464-B437-962AF4C49C21}" srcOrd="7" destOrd="0" presId="urn:microsoft.com/office/officeart/2011/layout/HexagonRadial"/>
    <dgm:cxn modelId="{C89C56D0-51AD-47FE-A70E-9492BBE48BAF}" type="presParOf" srcId="{BB42EB78-4390-4464-B437-962AF4C49C21}" destId="{B0F1F14C-3E84-48AC-A230-E25ACC5ED9EE}" srcOrd="0" destOrd="0" presId="urn:microsoft.com/office/officeart/2011/layout/HexagonRadial"/>
    <dgm:cxn modelId="{323AD9E5-69E7-4676-A59D-F42CE78D730D}" type="presParOf" srcId="{633BFA6F-6621-4A56-BAC7-FB476586178F}" destId="{E7BDCC70-9AD4-406F-B387-4F587834831A}" srcOrd="8" destOrd="0" presId="urn:microsoft.com/office/officeart/2011/layout/HexagonRadial"/>
    <dgm:cxn modelId="{B5327AC2-70DC-4AE1-9A08-D6DA06337B90}" type="presParOf" srcId="{633BFA6F-6621-4A56-BAC7-FB476586178F}" destId="{6E6AAE6B-1970-4885-A52C-6FB14706438F}" srcOrd="9" destOrd="0" presId="urn:microsoft.com/office/officeart/2011/layout/HexagonRadial"/>
    <dgm:cxn modelId="{DAEF09E1-0A12-4684-B86C-D0142790F286}" type="presParOf" srcId="{6E6AAE6B-1970-4885-A52C-6FB14706438F}" destId="{7FE50E73-89D5-49A7-B795-2FC45A5A3FC9}" srcOrd="0" destOrd="0" presId="urn:microsoft.com/office/officeart/2011/layout/HexagonRadial"/>
    <dgm:cxn modelId="{E965D175-B029-439F-8DBA-16B7888EB6E7}" type="presParOf" srcId="{633BFA6F-6621-4A56-BAC7-FB476586178F}" destId="{0DE3FD82-8081-44E9-AD9F-34B706AE113B}" srcOrd="10" destOrd="0" presId="urn:microsoft.com/office/officeart/2011/layout/HexagonRadial"/>
    <dgm:cxn modelId="{4A026CA4-609B-4A0F-9888-F5027A96E584}" type="presParOf" srcId="{633BFA6F-6621-4A56-BAC7-FB476586178F}" destId="{7A6E848C-0FA5-4E39-A7E9-260D612F505B}" srcOrd="11" destOrd="0" presId="urn:microsoft.com/office/officeart/2011/layout/HexagonRadial"/>
    <dgm:cxn modelId="{5B1D9869-6C77-479C-9E67-713D8EECDBB1}" type="presParOf" srcId="{7A6E848C-0FA5-4E39-A7E9-260D612F505B}" destId="{BA28926E-4C91-4647-B1A3-242592E50B4E}" srcOrd="0" destOrd="0" presId="urn:microsoft.com/office/officeart/2011/layout/HexagonRadial"/>
    <dgm:cxn modelId="{990261B6-A35D-4C43-A7B5-C8F11ADC5473}" type="presParOf" srcId="{633BFA6F-6621-4A56-BAC7-FB476586178F}" destId="{C49E7065-5C5A-432F-92CA-8D6D8A94C012}"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99C66DD-4402-40A3-ABD8-4017522EC37A}" type="doc">
      <dgm:prSet loTypeId="urn:microsoft.com/office/officeart/2005/8/layout/radial6" loCatId="relationship" qsTypeId="urn:microsoft.com/office/officeart/2005/8/quickstyle/simple1" qsCatId="simple" csTypeId="urn:microsoft.com/office/officeart/2005/8/colors/accent2_4" csCatId="accent2" phldr="1"/>
      <dgm:spPr/>
      <dgm:t>
        <a:bodyPr/>
        <a:lstStyle/>
        <a:p>
          <a:endParaRPr lang="en-US"/>
        </a:p>
      </dgm:t>
    </dgm:pt>
    <dgm:pt modelId="{DCDE41B7-32BC-4CF1-AA43-839A444FF026}">
      <dgm:prSet phldrT="[Text]"/>
      <dgm:spPr/>
      <dgm:t>
        <a:bodyPr/>
        <a:lstStyle/>
        <a:p>
          <a:pPr algn="ctr"/>
          <a:r>
            <a:rPr lang="en-US"/>
            <a:t>Porter's 5 Forces</a:t>
          </a:r>
        </a:p>
      </dgm:t>
    </dgm:pt>
    <dgm:pt modelId="{D57E6464-2FF5-4201-8556-EBB84DD865E3}" type="parTrans" cxnId="{6CC548D5-B209-44E7-9380-4C31C4FB4DC4}">
      <dgm:prSet/>
      <dgm:spPr/>
      <dgm:t>
        <a:bodyPr/>
        <a:lstStyle/>
        <a:p>
          <a:pPr algn="ctr"/>
          <a:endParaRPr lang="en-US"/>
        </a:p>
      </dgm:t>
    </dgm:pt>
    <dgm:pt modelId="{938CE6CA-CB56-4587-8C6E-6E8642E9AD49}" type="sibTrans" cxnId="{6CC548D5-B209-44E7-9380-4C31C4FB4DC4}">
      <dgm:prSet/>
      <dgm:spPr/>
      <dgm:t>
        <a:bodyPr/>
        <a:lstStyle/>
        <a:p>
          <a:pPr algn="ctr"/>
          <a:endParaRPr lang="en-US"/>
        </a:p>
      </dgm:t>
    </dgm:pt>
    <dgm:pt modelId="{B62F2CD7-07EC-4702-8C1F-2FBB41D8BCEF}">
      <dgm:prSet phldrT="[Text]"/>
      <dgm:spPr/>
      <dgm:t>
        <a:bodyPr/>
        <a:lstStyle/>
        <a:p>
          <a:pPr algn="ctr">
            <a:buNone/>
          </a:pPr>
          <a:r>
            <a:rPr lang="en-GB" b="1" i="1"/>
            <a:t>Threat of New Entrants</a:t>
          </a:r>
          <a:endParaRPr lang="en-US"/>
        </a:p>
      </dgm:t>
    </dgm:pt>
    <dgm:pt modelId="{4136E6B1-5F31-489A-90D0-0193D388E318}" type="parTrans" cxnId="{7EC57FDA-7AE3-45E9-B68F-FF143EC9B887}">
      <dgm:prSet/>
      <dgm:spPr/>
      <dgm:t>
        <a:bodyPr/>
        <a:lstStyle/>
        <a:p>
          <a:pPr algn="ctr"/>
          <a:endParaRPr lang="en-US"/>
        </a:p>
      </dgm:t>
    </dgm:pt>
    <dgm:pt modelId="{42FA960A-3972-4512-974A-86B5AF52C2CB}" type="sibTrans" cxnId="{7EC57FDA-7AE3-45E9-B68F-FF143EC9B887}">
      <dgm:prSet/>
      <dgm:spPr/>
      <dgm:t>
        <a:bodyPr/>
        <a:lstStyle/>
        <a:p>
          <a:pPr algn="ctr"/>
          <a:endParaRPr lang="en-US"/>
        </a:p>
      </dgm:t>
    </dgm:pt>
    <dgm:pt modelId="{877F10FD-706A-42A3-BFE7-2ADC35CEF800}">
      <dgm:prSet phldrT="[Text]"/>
      <dgm:spPr/>
      <dgm:t>
        <a:bodyPr/>
        <a:lstStyle/>
        <a:p>
          <a:pPr algn="ctr">
            <a:buNone/>
          </a:pPr>
          <a:r>
            <a:rPr lang="en-GB" b="1" i="1"/>
            <a:t>Bargaining Power of Suppliers </a:t>
          </a:r>
          <a:endParaRPr lang="en-US"/>
        </a:p>
      </dgm:t>
    </dgm:pt>
    <dgm:pt modelId="{E3B9451F-F1DA-4D27-93AD-802B5635CD7B}" type="parTrans" cxnId="{CFE39DCD-C8C1-4185-8AD7-4701292AE86D}">
      <dgm:prSet/>
      <dgm:spPr/>
      <dgm:t>
        <a:bodyPr/>
        <a:lstStyle/>
        <a:p>
          <a:pPr algn="ctr"/>
          <a:endParaRPr lang="en-US"/>
        </a:p>
      </dgm:t>
    </dgm:pt>
    <dgm:pt modelId="{3BF03F16-D0A8-4E18-A6DB-4F67C649CD49}" type="sibTrans" cxnId="{CFE39DCD-C8C1-4185-8AD7-4701292AE86D}">
      <dgm:prSet/>
      <dgm:spPr/>
      <dgm:t>
        <a:bodyPr/>
        <a:lstStyle/>
        <a:p>
          <a:pPr algn="ctr"/>
          <a:endParaRPr lang="en-US"/>
        </a:p>
      </dgm:t>
    </dgm:pt>
    <dgm:pt modelId="{9A204B6D-804B-4F6B-822D-E944952D1A4A}">
      <dgm:prSet phldrT="[Text]"/>
      <dgm:spPr/>
      <dgm:t>
        <a:bodyPr/>
        <a:lstStyle/>
        <a:p>
          <a:pPr algn="ctr">
            <a:buNone/>
          </a:pPr>
          <a:r>
            <a:rPr lang="en-GB" b="1" i="1"/>
            <a:t>Threat of Substitutes</a:t>
          </a:r>
          <a:endParaRPr lang="en-US"/>
        </a:p>
      </dgm:t>
    </dgm:pt>
    <dgm:pt modelId="{A0704A39-42E0-4B49-AAF3-67BB9E4DA926}" type="parTrans" cxnId="{39A90F28-CC4C-4901-BD06-8FD56115FDF2}">
      <dgm:prSet/>
      <dgm:spPr/>
      <dgm:t>
        <a:bodyPr/>
        <a:lstStyle/>
        <a:p>
          <a:pPr algn="ctr"/>
          <a:endParaRPr lang="en-US"/>
        </a:p>
      </dgm:t>
    </dgm:pt>
    <dgm:pt modelId="{3FB48CB9-34BA-4AD5-8B11-F24069A78525}" type="sibTrans" cxnId="{39A90F28-CC4C-4901-BD06-8FD56115FDF2}">
      <dgm:prSet/>
      <dgm:spPr/>
      <dgm:t>
        <a:bodyPr/>
        <a:lstStyle/>
        <a:p>
          <a:pPr algn="ctr"/>
          <a:endParaRPr lang="en-US"/>
        </a:p>
      </dgm:t>
    </dgm:pt>
    <dgm:pt modelId="{8F385F51-E66D-4147-A0FC-D4EC3F9BC460}">
      <dgm:prSet phldrT="[Text]"/>
      <dgm:spPr/>
      <dgm:t>
        <a:bodyPr/>
        <a:lstStyle/>
        <a:p>
          <a:pPr algn="ctr">
            <a:buNone/>
          </a:pPr>
          <a:r>
            <a:rPr lang="en-GB" b="1" i="1"/>
            <a:t>Competitive Rivalry</a:t>
          </a:r>
          <a:endParaRPr lang="en-US"/>
        </a:p>
      </dgm:t>
    </dgm:pt>
    <dgm:pt modelId="{06D2F4BC-5E5A-431A-9033-F2B191C1D5B2}" type="parTrans" cxnId="{F68F8FB8-4498-418A-8604-994E97649BFD}">
      <dgm:prSet/>
      <dgm:spPr/>
      <dgm:t>
        <a:bodyPr/>
        <a:lstStyle/>
        <a:p>
          <a:pPr algn="ctr"/>
          <a:endParaRPr lang="en-US"/>
        </a:p>
      </dgm:t>
    </dgm:pt>
    <dgm:pt modelId="{42158B14-F9FD-425B-8BA8-241EA342EF31}" type="sibTrans" cxnId="{F68F8FB8-4498-418A-8604-994E97649BFD}">
      <dgm:prSet/>
      <dgm:spPr/>
      <dgm:t>
        <a:bodyPr/>
        <a:lstStyle/>
        <a:p>
          <a:pPr algn="ctr"/>
          <a:endParaRPr lang="en-US"/>
        </a:p>
      </dgm:t>
    </dgm:pt>
    <dgm:pt modelId="{3C0BEC2D-23C5-4F95-B465-F6B5303D3B51}">
      <dgm:prSet phldrT="[Text]"/>
      <dgm:spPr/>
      <dgm:t>
        <a:bodyPr/>
        <a:lstStyle/>
        <a:p>
          <a:pPr algn="ctr">
            <a:buNone/>
          </a:pPr>
          <a:r>
            <a:rPr lang="en-GB" b="1" i="1"/>
            <a:t>Bargaining Power of Buyers </a:t>
          </a:r>
          <a:endParaRPr lang="en-US"/>
        </a:p>
      </dgm:t>
    </dgm:pt>
    <dgm:pt modelId="{93016235-401D-4FA5-B9FC-155FF1C9660D}" type="parTrans" cxnId="{AF311531-53D6-4146-98EE-1135000C25DF}">
      <dgm:prSet/>
      <dgm:spPr/>
      <dgm:t>
        <a:bodyPr/>
        <a:lstStyle/>
        <a:p>
          <a:pPr algn="ctr"/>
          <a:endParaRPr lang="en-US"/>
        </a:p>
      </dgm:t>
    </dgm:pt>
    <dgm:pt modelId="{807800A7-C6E8-43FF-81AE-FF639CACFABD}" type="sibTrans" cxnId="{AF311531-53D6-4146-98EE-1135000C25DF}">
      <dgm:prSet/>
      <dgm:spPr/>
      <dgm:t>
        <a:bodyPr/>
        <a:lstStyle/>
        <a:p>
          <a:pPr algn="ctr"/>
          <a:endParaRPr lang="en-US"/>
        </a:p>
      </dgm:t>
    </dgm:pt>
    <dgm:pt modelId="{EB1F3B09-D127-4CC0-B6BC-E94301D8B6E8}" type="pres">
      <dgm:prSet presAssocID="{199C66DD-4402-40A3-ABD8-4017522EC37A}" presName="Name0" presStyleCnt="0">
        <dgm:presLayoutVars>
          <dgm:chMax val="1"/>
          <dgm:dir/>
          <dgm:animLvl val="ctr"/>
          <dgm:resizeHandles val="exact"/>
        </dgm:presLayoutVars>
      </dgm:prSet>
      <dgm:spPr/>
    </dgm:pt>
    <dgm:pt modelId="{60F73578-B6DA-46BC-8251-45E870E382D1}" type="pres">
      <dgm:prSet presAssocID="{DCDE41B7-32BC-4CF1-AA43-839A444FF026}" presName="centerShape" presStyleLbl="node0" presStyleIdx="0" presStyleCnt="1"/>
      <dgm:spPr/>
    </dgm:pt>
    <dgm:pt modelId="{CCDA7D78-5465-48A0-90B5-33F113FA68CD}" type="pres">
      <dgm:prSet presAssocID="{B62F2CD7-07EC-4702-8C1F-2FBB41D8BCEF}" presName="node" presStyleLbl="node1" presStyleIdx="0" presStyleCnt="5">
        <dgm:presLayoutVars>
          <dgm:bulletEnabled val="1"/>
        </dgm:presLayoutVars>
      </dgm:prSet>
      <dgm:spPr/>
    </dgm:pt>
    <dgm:pt modelId="{AABB03B1-71B9-48D1-87DB-DFAC86AC2054}" type="pres">
      <dgm:prSet presAssocID="{B62F2CD7-07EC-4702-8C1F-2FBB41D8BCEF}" presName="dummy" presStyleCnt="0"/>
      <dgm:spPr/>
    </dgm:pt>
    <dgm:pt modelId="{5D587518-7312-414D-97B8-A8F159D1A16A}" type="pres">
      <dgm:prSet presAssocID="{42FA960A-3972-4512-974A-86B5AF52C2CB}" presName="sibTrans" presStyleLbl="sibTrans2D1" presStyleIdx="0" presStyleCnt="5"/>
      <dgm:spPr/>
    </dgm:pt>
    <dgm:pt modelId="{8AEB50A1-58D2-47E8-B4B0-FDE9B4B7B28A}" type="pres">
      <dgm:prSet presAssocID="{877F10FD-706A-42A3-BFE7-2ADC35CEF800}" presName="node" presStyleLbl="node1" presStyleIdx="1" presStyleCnt="5">
        <dgm:presLayoutVars>
          <dgm:bulletEnabled val="1"/>
        </dgm:presLayoutVars>
      </dgm:prSet>
      <dgm:spPr/>
    </dgm:pt>
    <dgm:pt modelId="{44F94F74-F0C5-4D5B-8D33-0A02845045A3}" type="pres">
      <dgm:prSet presAssocID="{877F10FD-706A-42A3-BFE7-2ADC35CEF800}" presName="dummy" presStyleCnt="0"/>
      <dgm:spPr/>
    </dgm:pt>
    <dgm:pt modelId="{0002E43E-3A46-4852-BDD6-23706F384272}" type="pres">
      <dgm:prSet presAssocID="{3BF03F16-D0A8-4E18-A6DB-4F67C649CD49}" presName="sibTrans" presStyleLbl="sibTrans2D1" presStyleIdx="1" presStyleCnt="5"/>
      <dgm:spPr/>
    </dgm:pt>
    <dgm:pt modelId="{C434DEFE-A88A-4098-A102-FC301ECB95E6}" type="pres">
      <dgm:prSet presAssocID="{3C0BEC2D-23C5-4F95-B465-F6B5303D3B51}" presName="node" presStyleLbl="node1" presStyleIdx="2" presStyleCnt="5">
        <dgm:presLayoutVars>
          <dgm:bulletEnabled val="1"/>
        </dgm:presLayoutVars>
      </dgm:prSet>
      <dgm:spPr/>
    </dgm:pt>
    <dgm:pt modelId="{62B6D627-1950-470C-8BD9-9700CC667BB8}" type="pres">
      <dgm:prSet presAssocID="{3C0BEC2D-23C5-4F95-B465-F6B5303D3B51}" presName="dummy" presStyleCnt="0"/>
      <dgm:spPr/>
    </dgm:pt>
    <dgm:pt modelId="{21DF71CB-47A4-454F-A6C7-A8580E515F10}" type="pres">
      <dgm:prSet presAssocID="{807800A7-C6E8-43FF-81AE-FF639CACFABD}" presName="sibTrans" presStyleLbl="sibTrans2D1" presStyleIdx="2" presStyleCnt="5"/>
      <dgm:spPr/>
    </dgm:pt>
    <dgm:pt modelId="{23B2C22F-5991-4607-B308-6F386AB53BCF}" type="pres">
      <dgm:prSet presAssocID="{9A204B6D-804B-4F6B-822D-E944952D1A4A}" presName="node" presStyleLbl="node1" presStyleIdx="3" presStyleCnt="5">
        <dgm:presLayoutVars>
          <dgm:bulletEnabled val="1"/>
        </dgm:presLayoutVars>
      </dgm:prSet>
      <dgm:spPr/>
    </dgm:pt>
    <dgm:pt modelId="{5536B122-4158-4CB2-AA50-A5790D131F7D}" type="pres">
      <dgm:prSet presAssocID="{9A204B6D-804B-4F6B-822D-E944952D1A4A}" presName="dummy" presStyleCnt="0"/>
      <dgm:spPr/>
    </dgm:pt>
    <dgm:pt modelId="{60548820-9EED-4478-A62C-204EB84704A1}" type="pres">
      <dgm:prSet presAssocID="{3FB48CB9-34BA-4AD5-8B11-F24069A78525}" presName="sibTrans" presStyleLbl="sibTrans2D1" presStyleIdx="3" presStyleCnt="5"/>
      <dgm:spPr/>
    </dgm:pt>
    <dgm:pt modelId="{18786B4B-6F87-4553-B6A3-93AAF938CCB4}" type="pres">
      <dgm:prSet presAssocID="{8F385F51-E66D-4147-A0FC-D4EC3F9BC460}" presName="node" presStyleLbl="node1" presStyleIdx="4" presStyleCnt="5">
        <dgm:presLayoutVars>
          <dgm:bulletEnabled val="1"/>
        </dgm:presLayoutVars>
      </dgm:prSet>
      <dgm:spPr/>
    </dgm:pt>
    <dgm:pt modelId="{76E38BC9-FEAB-49B3-B9BE-6BBD4B534D8A}" type="pres">
      <dgm:prSet presAssocID="{8F385F51-E66D-4147-A0FC-D4EC3F9BC460}" presName="dummy" presStyleCnt="0"/>
      <dgm:spPr/>
    </dgm:pt>
    <dgm:pt modelId="{3A43A5A6-2789-4F62-94FE-1E0925D9463A}" type="pres">
      <dgm:prSet presAssocID="{42158B14-F9FD-425B-8BA8-241EA342EF31}" presName="sibTrans" presStyleLbl="sibTrans2D1" presStyleIdx="4" presStyleCnt="5"/>
      <dgm:spPr/>
    </dgm:pt>
  </dgm:ptLst>
  <dgm:cxnLst>
    <dgm:cxn modelId="{6176B701-C31B-43EF-B81A-22D39BD6B3BD}" type="presOf" srcId="{9A204B6D-804B-4F6B-822D-E944952D1A4A}" destId="{23B2C22F-5991-4607-B308-6F386AB53BCF}" srcOrd="0" destOrd="0" presId="urn:microsoft.com/office/officeart/2005/8/layout/radial6"/>
    <dgm:cxn modelId="{39A90F28-CC4C-4901-BD06-8FD56115FDF2}" srcId="{DCDE41B7-32BC-4CF1-AA43-839A444FF026}" destId="{9A204B6D-804B-4F6B-822D-E944952D1A4A}" srcOrd="3" destOrd="0" parTransId="{A0704A39-42E0-4B49-AAF3-67BB9E4DA926}" sibTransId="{3FB48CB9-34BA-4AD5-8B11-F24069A78525}"/>
    <dgm:cxn modelId="{2051722F-1D3C-41DB-B31E-DCBD0F3C8768}" type="presOf" srcId="{8F385F51-E66D-4147-A0FC-D4EC3F9BC460}" destId="{18786B4B-6F87-4553-B6A3-93AAF938CCB4}" srcOrd="0" destOrd="0" presId="urn:microsoft.com/office/officeart/2005/8/layout/radial6"/>
    <dgm:cxn modelId="{AF311531-53D6-4146-98EE-1135000C25DF}" srcId="{DCDE41B7-32BC-4CF1-AA43-839A444FF026}" destId="{3C0BEC2D-23C5-4F95-B465-F6B5303D3B51}" srcOrd="2" destOrd="0" parTransId="{93016235-401D-4FA5-B9FC-155FF1C9660D}" sibTransId="{807800A7-C6E8-43FF-81AE-FF639CACFABD}"/>
    <dgm:cxn modelId="{5E934A65-0148-4DDC-8B04-F61045F1448E}" type="presOf" srcId="{3C0BEC2D-23C5-4F95-B465-F6B5303D3B51}" destId="{C434DEFE-A88A-4098-A102-FC301ECB95E6}" srcOrd="0" destOrd="0" presId="urn:microsoft.com/office/officeart/2005/8/layout/radial6"/>
    <dgm:cxn modelId="{34FE9768-85C0-4244-A1CA-7991D8D7DCC7}" type="presOf" srcId="{42FA960A-3972-4512-974A-86B5AF52C2CB}" destId="{5D587518-7312-414D-97B8-A8F159D1A16A}" srcOrd="0" destOrd="0" presId="urn:microsoft.com/office/officeart/2005/8/layout/radial6"/>
    <dgm:cxn modelId="{D69A6B4B-EF98-4F34-80CB-F3B8000178FD}" type="presOf" srcId="{807800A7-C6E8-43FF-81AE-FF639CACFABD}" destId="{21DF71CB-47A4-454F-A6C7-A8580E515F10}" srcOrd="0" destOrd="0" presId="urn:microsoft.com/office/officeart/2005/8/layout/radial6"/>
    <dgm:cxn modelId="{787EA94C-4E5A-43AC-8AC9-A71803587872}" type="presOf" srcId="{42158B14-F9FD-425B-8BA8-241EA342EF31}" destId="{3A43A5A6-2789-4F62-94FE-1E0925D9463A}" srcOrd="0" destOrd="0" presId="urn:microsoft.com/office/officeart/2005/8/layout/radial6"/>
    <dgm:cxn modelId="{0720EB7A-1C40-4166-B490-9D2F915652BE}" type="presOf" srcId="{199C66DD-4402-40A3-ABD8-4017522EC37A}" destId="{EB1F3B09-D127-4CC0-B6BC-E94301D8B6E8}" srcOrd="0" destOrd="0" presId="urn:microsoft.com/office/officeart/2005/8/layout/radial6"/>
    <dgm:cxn modelId="{CE303B85-8C8B-44C2-900F-EE0512015CD6}" type="presOf" srcId="{3FB48CB9-34BA-4AD5-8B11-F24069A78525}" destId="{60548820-9EED-4478-A62C-204EB84704A1}" srcOrd="0" destOrd="0" presId="urn:microsoft.com/office/officeart/2005/8/layout/radial6"/>
    <dgm:cxn modelId="{63F31D8A-5B99-45CC-A10A-23E8D415CE5A}" type="presOf" srcId="{DCDE41B7-32BC-4CF1-AA43-839A444FF026}" destId="{60F73578-B6DA-46BC-8251-45E870E382D1}" srcOrd="0" destOrd="0" presId="urn:microsoft.com/office/officeart/2005/8/layout/radial6"/>
    <dgm:cxn modelId="{F68F8FB8-4498-418A-8604-994E97649BFD}" srcId="{DCDE41B7-32BC-4CF1-AA43-839A444FF026}" destId="{8F385F51-E66D-4147-A0FC-D4EC3F9BC460}" srcOrd="4" destOrd="0" parTransId="{06D2F4BC-5E5A-431A-9033-F2B191C1D5B2}" sibTransId="{42158B14-F9FD-425B-8BA8-241EA342EF31}"/>
    <dgm:cxn modelId="{0CD1ACBB-69F2-4734-B1FF-770E87330A2D}" type="presOf" srcId="{877F10FD-706A-42A3-BFE7-2ADC35CEF800}" destId="{8AEB50A1-58D2-47E8-B4B0-FDE9B4B7B28A}" srcOrd="0" destOrd="0" presId="urn:microsoft.com/office/officeart/2005/8/layout/radial6"/>
    <dgm:cxn modelId="{CFE39DCD-C8C1-4185-8AD7-4701292AE86D}" srcId="{DCDE41B7-32BC-4CF1-AA43-839A444FF026}" destId="{877F10FD-706A-42A3-BFE7-2ADC35CEF800}" srcOrd="1" destOrd="0" parTransId="{E3B9451F-F1DA-4D27-93AD-802B5635CD7B}" sibTransId="{3BF03F16-D0A8-4E18-A6DB-4F67C649CD49}"/>
    <dgm:cxn modelId="{14BFACD3-698A-414E-B6E5-7EA3B639CBD9}" type="presOf" srcId="{3BF03F16-D0A8-4E18-A6DB-4F67C649CD49}" destId="{0002E43E-3A46-4852-BDD6-23706F384272}" srcOrd="0" destOrd="0" presId="urn:microsoft.com/office/officeart/2005/8/layout/radial6"/>
    <dgm:cxn modelId="{6CC548D5-B209-44E7-9380-4C31C4FB4DC4}" srcId="{199C66DD-4402-40A3-ABD8-4017522EC37A}" destId="{DCDE41B7-32BC-4CF1-AA43-839A444FF026}" srcOrd="0" destOrd="0" parTransId="{D57E6464-2FF5-4201-8556-EBB84DD865E3}" sibTransId="{938CE6CA-CB56-4587-8C6E-6E8642E9AD49}"/>
    <dgm:cxn modelId="{7EC57FDA-7AE3-45E9-B68F-FF143EC9B887}" srcId="{DCDE41B7-32BC-4CF1-AA43-839A444FF026}" destId="{B62F2CD7-07EC-4702-8C1F-2FBB41D8BCEF}" srcOrd="0" destOrd="0" parTransId="{4136E6B1-5F31-489A-90D0-0193D388E318}" sibTransId="{42FA960A-3972-4512-974A-86B5AF52C2CB}"/>
    <dgm:cxn modelId="{979474DC-0EB5-4A80-A4A6-8CAF4788E7B4}" type="presOf" srcId="{B62F2CD7-07EC-4702-8C1F-2FBB41D8BCEF}" destId="{CCDA7D78-5465-48A0-90B5-33F113FA68CD}" srcOrd="0" destOrd="0" presId="urn:microsoft.com/office/officeart/2005/8/layout/radial6"/>
    <dgm:cxn modelId="{17E238C9-B1DC-4826-B6B1-E436C8FB44EE}" type="presParOf" srcId="{EB1F3B09-D127-4CC0-B6BC-E94301D8B6E8}" destId="{60F73578-B6DA-46BC-8251-45E870E382D1}" srcOrd="0" destOrd="0" presId="urn:microsoft.com/office/officeart/2005/8/layout/radial6"/>
    <dgm:cxn modelId="{E78102FB-C30A-4B89-AEEA-2100BDF907E4}" type="presParOf" srcId="{EB1F3B09-D127-4CC0-B6BC-E94301D8B6E8}" destId="{CCDA7D78-5465-48A0-90B5-33F113FA68CD}" srcOrd="1" destOrd="0" presId="urn:microsoft.com/office/officeart/2005/8/layout/radial6"/>
    <dgm:cxn modelId="{EB7DF8F5-28F3-41AE-9BFB-880538D016FF}" type="presParOf" srcId="{EB1F3B09-D127-4CC0-B6BC-E94301D8B6E8}" destId="{AABB03B1-71B9-48D1-87DB-DFAC86AC2054}" srcOrd="2" destOrd="0" presId="urn:microsoft.com/office/officeart/2005/8/layout/radial6"/>
    <dgm:cxn modelId="{72F8C17E-C0CD-4B61-B853-8578AC23DED4}" type="presParOf" srcId="{EB1F3B09-D127-4CC0-B6BC-E94301D8B6E8}" destId="{5D587518-7312-414D-97B8-A8F159D1A16A}" srcOrd="3" destOrd="0" presId="urn:microsoft.com/office/officeart/2005/8/layout/radial6"/>
    <dgm:cxn modelId="{41FE466C-86C9-4491-9B11-A4166F3C53CA}" type="presParOf" srcId="{EB1F3B09-D127-4CC0-B6BC-E94301D8B6E8}" destId="{8AEB50A1-58D2-47E8-B4B0-FDE9B4B7B28A}" srcOrd="4" destOrd="0" presId="urn:microsoft.com/office/officeart/2005/8/layout/radial6"/>
    <dgm:cxn modelId="{84A6ACA3-B64F-4EC4-BA2B-90FFC9434945}" type="presParOf" srcId="{EB1F3B09-D127-4CC0-B6BC-E94301D8B6E8}" destId="{44F94F74-F0C5-4D5B-8D33-0A02845045A3}" srcOrd="5" destOrd="0" presId="urn:microsoft.com/office/officeart/2005/8/layout/radial6"/>
    <dgm:cxn modelId="{EA9FEA88-521B-416E-BD2D-3ED8B5415AF6}" type="presParOf" srcId="{EB1F3B09-D127-4CC0-B6BC-E94301D8B6E8}" destId="{0002E43E-3A46-4852-BDD6-23706F384272}" srcOrd="6" destOrd="0" presId="urn:microsoft.com/office/officeart/2005/8/layout/radial6"/>
    <dgm:cxn modelId="{C10C6DBE-05C3-4EE0-9858-748CBD8E6409}" type="presParOf" srcId="{EB1F3B09-D127-4CC0-B6BC-E94301D8B6E8}" destId="{C434DEFE-A88A-4098-A102-FC301ECB95E6}" srcOrd="7" destOrd="0" presId="urn:microsoft.com/office/officeart/2005/8/layout/radial6"/>
    <dgm:cxn modelId="{2167C25A-BC1D-45BF-89DD-0C60568B0642}" type="presParOf" srcId="{EB1F3B09-D127-4CC0-B6BC-E94301D8B6E8}" destId="{62B6D627-1950-470C-8BD9-9700CC667BB8}" srcOrd="8" destOrd="0" presId="urn:microsoft.com/office/officeart/2005/8/layout/radial6"/>
    <dgm:cxn modelId="{D6F996B6-8E40-47C1-9ABB-772FD1331251}" type="presParOf" srcId="{EB1F3B09-D127-4CC0-B6BC-E94301D8B6E8}" destId="{21DF71CB-47A4-454F-A6C7-A8580E515F10}" srcOrd="9" destOrd="0" presId="urn:microsoft.com/office/officeart/2005/8/layout/radial6"/>
    <dgm:cxn modelId="{898E2EDB-98D4-4691-A16E-7B041D4A0F8B}" type="presParOf" srcId="{EB1F3B09-D127-4CC0-B6BC-E94301D8B6E8}" destId="{23B2C22F-5991-4607-B308-6F386AB53BCF}" srcOrd="10" destOrd="0" presId="urn:microsoft.com/office/officeart/2005/8/layout/radial6"/>
    <dgm:cxn modelId="{69098AC5-E51B-4229-AD0A-03811D5405E6}" type="presParOf" srcId="{EB1F3B09-D127-4CC0-B6BC-E94301D8B6E8}" destId="{5536B122-4158-4CB2-AA50-A5790D131F7D}" srcOrd="11" destOrd="0" presId="urn:microsoft.com/office/officeart/2005/8/layout/radial6"/>
    <dgm:cxn modelId="{7EB957A6-B0EF-40E7-AA40-BA805F7C7C71}" type="presParOf" srcId="{EB1F3B09-D127-4CC0-B6BC-E94301D8B6E8}" destId="{60548820-9EED-4478-A62C-204EB84704A1}" srcOrd="12" destOrd="0" presId="urn:microsoft.com/office/officeart/2005/8/layout/radial6"/>
    <dgm:cxn modelId="{84211F88-81F4-4C30-862E-DD7C27D76016}" type="presParOf" srcId="{EB1F3B09-D127-4CC0-B6BC-E94301D8B6E8}" destId="{18786B4B-6F87-4553-B6A3-93AAF938CCB4}" srcOrd="13" destOrd="0" presId="urn:microsoft.com/office/officeart/2005/8/layout/radial6"/>
    <dgm:cxn modelId="{A3393441-B988-409E-8648-7ADEDFD5B019}" type="presParOf" srcId="{EB1F3B09-D127-4CC0-B6BC-E94301D8B6E8}" destId="{76E38BC9-FEAB-49B3-B9BE-6BBD4B534D8A}" srcOrd="14" destOrd="0" presId="urn:microsoft.com/office/officeart/2005/8/layout/radial6"/>
    <dgm:cxn modelId="{BE3A1DAD-19BD-4A42-A3B0-F80BB42C839F}" type="presParOf" srcId="{EB1F3B09-D127-4CC0-B6BC-E94301D8B6E8}" destId="{3A43A5A6-2789-4F62-94FE-1E0925D9463A}" srcOrd="15" destOrd="0" presId="urn:microsoft.com/office/officeart/2005/8/layout/radial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D7384DC1-E9F1-4DCA-877B-1DF6E28F95EA}"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US"/>
        </a:p>
      </dgm:t>
    </dgm:pt>
    <dgm:pt modelId="{E1559D8F-EDAC-4F04-A48D-821474F665C8}">
      <dgm:prSet phldrT="[Text]"/>
      <dgm:spPr/>
      <dgm:t>
        <a:bodyPr/>
        <a:lstStyle/>
        <a:p>
          <a:pPr>
            <a:buNone/>
          </a:pPr>
          <a:r>
            <a:rPr lang="en-GB" b="1" i="1"/>
            <a:t>Market Penetration</a:t>
          </a:r>
          <a:endParaRPr lang="en-US"/>
        </a:p>
      </dgm:t>
    </dgm:pt>
    <dgm:pt modelId="{5FE40A6C-C9D9-483E-97EB-E8E21CF78FC8}" type="parTrans" cxnId="{DC1204BF-8B09-4429-AB3C-7B434071EAD6}">
      <dgm:prSet/>
      <dgm:spPr/>
      <dgm:t>
        <a:bodyPr/>
        <a:lstStyle/>
        <a:p>
          <a:endParaRPr lang="en-US"/>
        </a:p>
      </dgm:t>
    </dgm:pt>
    <dgm:pt modelId="{940D1F2B-9154-4373-A105-EB0F5B80E49A}" type="sibTrans" cxnId="{DC1204BF-8B09-4429-AB3C-7B434071EAD6}">
      <dgm:prSet/>
      <dgm:spPr/>
      <dgm:t>
        <a:bodyPr/>
        <a:lstStyle/>
        <a:p>
          <a:endParaRPr lang="en-US"/>
        </a:p>
      </dgm:t>
    </dgm:pt>
    <dgm:pt modelId="{BDC67E00-4529-4DBC-95D8-DF08DA309B04}">
      <dgm:prSet phldrT="[Text]"/>
      <dgm:spPr/>
      <dgm:t>
        <a:bodyPr/>
        <a:lstStyle/>
        <a:p>
          <a:pPr>
            <a:buNone/>
          </a:pPr>
          <a:r>
            <a:rPr lang="en-GB" b="1" i="1"/>
            <a:t>Market Development</a:t>
          </a:r>
          <a:endParaRPr lang="en-US"/>
        </a:p>
      </dgm:t>
    </dgm:pt>
    <dgm:pt modelId="{F3C01323-4A96-4C7E-9551-F68F6D55E8AC}" type="parTrans" cxnId="{EAF57D10-8BBA-4406-B070-BE5B33C25C11}">
      <dgm:prSet/>
      <dgm:spPr/>
      <dgm:t>
        <a:bodyPr/>
        <a:lstStyle/>
        <a:p>
          <a:endParaRPr lang="en-US"/>
        </a:p>
      </dgm:t>
    </dgm:pt>
    <dgm:pt modelId="{253A362A-4BD7-497C-B22D-5181C046CE5B}" type="sibTrans" cxnId="{EAF57D10-8BBA-4406-B070-BE5B33C25C11}">
      <dgm:prSet/>
      <dgm:spPr/>
      <dgm:t>
        <a:bodyPr/>
        <a:lstStyle/>
        <a:p>
          <a:endParaRPr lang="en-US"/>
        </a:p>
      </dgm:t>
    </dgm:pt>
    <dgm:pt modelId="{E9AFD20E-BAA4-4DDA-90A4-9F3EF6645F1F}">
      <dgm:prSet phldrT="[Text]"/>
      <dgm:spPr/>
      <dgm:t>
        <a:bodyPr/>
        <a:lstStyle/>
        <a:p>
          <a:pPr>
            <a:buNone/>
          </a:pPr>
          <a:r>
            <a:rPr lang="en-GB" b="1" i="1"/>
            <a:t>Product Development</a:t>
          </a:r>
          <a:endParaRPr lang="en-US"/>
        </a:p>
      </dgm:t>
    </dgm:pt>
    <dgm:pt modelId="{BC404E35-EDFA-468A-BA23-81D98AFAE467}" type="parTrans" cxnId="{16326DF8-54CE-449A-BAB4-185E5F22D585}">
      <dgm:prSet/>
      <dgm:spPr/>
      <dgm:t>
        <a:bodyPr/>
        <a:lstStyle/>
        <a:p>
          <a:endParaRPr lang="en-US"/>
        </a:p>
      </dgm:t>
    </dgm:pt>
    <dgm:pt modelId="{74E25523-44BB-4CA4-AC70-E7AFC4D57834}" type="sibTrans" cxnId="{16326DF8-54CE-449A-BAB4-185E5F22D585}">
      <dgm:prSet/>
      <dgm:spPr/>
      <dgm:t>
        <a:bodyPr/>
        <a:lstStyle/>
        <a:p>
          <a:endParaRPr lang="en-US"/>
        </a:p>
      </dgm:t>
    </dgm:pt>
    <dgm:pt modelId="{7505DA53-1A29-4A34-9CC0-3BF570CC3778}">
      <dgm:prSet phldrT="[Text]"/>
      <dgm:spPr/>
      <dgm:t>
        <a:bodyPr/>
        <a:lstStyle/>
        <a:p>
          <a:pPr>
            <a:buNone/>
          </a:pPr>
          <a:r>
            <a:rPr lang="en-GB" b="1" i="1"/>
            <a:t>Diversification</a:t>
          </a:r>
          <a:endParaRPr lang="en-US"/>
        </a:p>
      </dgm:t>
    </dgm:pt>
    <dgm:pt modelId="{B88A2A09-0BB5-4E40-91D5-DCFE83C0A4CB}" type="parTrans" cxnId="{A8997306-ABDF-446A-B2CA-8BF3DCEE814A}">
      <dgm:prSet/>
      <dgm:spPr/>
      <dgm:t>
        <a:bodyPr/>
        <a:lstStyle/>
        <a:p>
          <a:endParaRPr lang="en-US"/>
        </a:p>
      </dgm:t>
    </dgm:pt>
    <dgm:pt modelId="{A52945DD-DB41-4C37-9508-FB95A6407701}" type="sibTrans" cxnId="{A8997306-ABDF-446A-B2CA-8BF3DCEE814A}">
      <dgm:prSet/>
      <dgm:spPr/>
      <dgm:t>
        <a:bodyPr/>
        <a:lstStyle/>
        <a:p>
          <a:endParaRPr lang="en-US"/>
        </a:p>
      </dgm:t>
    </dgm:pt>
    <dgm:pt modelId="{AEDF5E87-E3B9-4088-958E-C546BCD92FC6}" type="pres">
      <dgm:prSet presAssocID="{D7384DC1-E9F1-4DCA-877B-1DF6E28F95EA}" presName="matrix" presStyleCnt="0">
        <dgm:presLayoutVars>
          <dgm:chMax val="1"/>
          <dgm:dir/>
          <dgm:resizeHandles val="exact"/>
        </dgm:presLayoutVars>
      </dgm:prSet>
      <dgm:spPr/>
    </dgm:pt>
    <dgm:pt modelId="{FEE8E7C4-7508-4887-AF0C-00B4F53753E2}" type="pres">
      <dgm:prSet presAssocID="{D7384DC1-E9F1-4DCA-877B-1DF6E28F95EA}" presName="axisShape" presStyleLbl="bgShp" presStyleIdx="0" presStyleCnt="1"/>
      <dgm:spPr/>
    </dgm:pt>
    <dgm:pt modelId="{AE5F8946-77E4-45C6-B7D7-5DB259A2987C}" type="pres">
      <dgm:prSet presAssocID="{D7384DC1-E9F1-4DCA-877B-1DF6E28F95EA}" presName="rect1" presStyleLbl="node1" presStyleIdx="0" presStyleCnt="4">
        <dgm:presLayoutVars>
          <dgm:chMax val="0"/>
          <dgm:chPref val="0"/>
          <dgm:bulletEnabled val="1"/>
        </dgm:presLayoutVars>
      </dgm:prSet>
      <dgm:spPr/>
    </dgm:pt>
    <dgm:pt modelId="{C147BECE-6911-490C-A67B-914664835FBA}" type="pres">
      <dgm:prSet presAssocID="{D7384DC1-E9F1-4DCA-877B-1DF6E28F95EA}" presName="rect2" presStyleLbl="node1" presStyleIdx="1" presStyleCnt="4">
        <dgm:presLayoutVars>
          <dgm:chMax val="0"/>
          <dgm:chPref val="0"/>
          <dgm:bulletEnabled val="1"/>
        </dgm:presLayoutVars>
      </dgm:prSet>
      <dgm:spPr/>
    </dgm:pt>
    <dgm:pt modelId="{4FEED53A-A621-4BDC-B28A-DCBD20E286CF}" type="pres">
      <dgm:prSet presAssocID="{D7384DC1-E9F1-4DCA-877B-1DF6E28F95EA}" presName="rect3" presStyleLbl="node1" presStyleIdx="2" presStyleCnt="4">
        <dgm:presLayoutVars>
          <dgm:chMax val="0"/>
          <dgm:chPref val="0"/>
          <dgm:bulletEnabled val="1"/>
        </dgm:presLayoutVars>
      </dgm:prSet>
      <dgm:spPr/>
    </dgm:pt>
    <dgm:pt modelId="{F2E194C8-3796-46AF-BCB5-5B5E1AAFA1E0}" type="pres">
      <dgm:prSet presAssocID="{D7384DC1-E9F1-4DCA-877B-1DF6E28F95EA}" presName="rect4" presStyleLbl="node1" presStyleIdx="3" presStyleCnt="4">
        <dgm:presLayoutVars>
          <dgm:chMax val="0"/>
          <dgm:chPref val="0"/>
          <dgm:bulletEnabled val="1"/>
        </dgm:presLayoutVars>
      </dgm:prSet>
      <dgm:spPr/>
    </dgm:pt>
  </dgm:ptLst>
  <dgm:cxnLst>
    <dgm:cxn modelId="{A8997306-ABDF-446A-B2CA-8BF3DCEE814A}" srcId="{D7384DC1-E9F1-4DCA-877B-1DF6E28F95EA}" destId="{7505DA53-1A29-4A34-9CC0-3BF570CC3778}" srcOrd="3" destOrd="0" parTransId="{B88A2A09-0BB5-4E40-91D5-DCFE83C0A4CB}" sibTransId="{A52945DD-DB41-4C37-9508-FB95A6407701}"/>
    <dgm:cxn modelId="{EAF57D10-8BBA-4406-B070-BE5B33C25C11}" srcId="{D7384DC1-E9F1-4DCA-877B-1DF6E28F95EA}" destId="{BDC67E00-4529-4DBC-95D8-DF08DA309B04}" srcOrd="1" destOrd="0" parTransId="{F3C01323-4A96-4C7E-9551-F68F6D55E8AC}" sibTransId="{253A362A-4BD7-497C-B22D-5181C046CE5B}"/>
    <dgm:cxn modelId="{EC202D2F-B757-4761-B628-C6CF6B21E116}" type="presOf" srcId="{E9AFD20E-BAA4-4DDA-90A4-9F3EF6645F1F}" destId="{4FEED53A-A621-4BDC-B28A-DCBD20E286CF}" srcOrd="0" destOrd="0" presId="urn:microsoft.com/office/officeart/2005/8/layout/matrix2"/>
    <dgm:cxn modelId="{7D6E8E7A-53CC-40D0-ADAE-C35C59CE73BF}" type="presOf" srcId="{D7384DC1-E9F1-4DCA-877B-1DF6E28F95EA}" destId="{AEDF5E87-E3B9-4088-958E-C546BCD92FC6}" srcOrd="0" destOrd="0" presId="urn:microsoft.com/office/officeart/2005/8/layout/matrix2"/>
    <dgm:cxn modelId="{DC1204BF-8B09-4429-AB3C-7B434071EAD6}" srcId="{D7384DC1-E9F1-4DCA-877B-1DF6E28F95EA}" destId="{E1559D8F-EDAC-4F04-A48D-821474F665C8}" srcOrd="0" destOrd="0" parTransId="{5FE40A6C-C9D9-483E-97EB-E8E21CF78FC8}" sibTransId="{940D1F2B-9154-4373-A105-EB0F5B80E49A}"/>
    <dgm:cxn modelId="{F960B4D6-5B90-4B80-8974-3A4F0B45888F}" type="presOf" srcId="{BDC67E00-4529-4DBC-95D8-DF08DA309B04}" destId="{C147BECE-6911-490C-A67B-914664835FBA}" srcOrd="0" destOrd="0" presId="urn:microsoft.com/office/officeart/2005/8/layout/matrix2"/>
    <dgm:cxn modelId="{9500FCD9-0819-44DE-A96D-EDF6BEBEEC48}" type="presOf" srcId="{E1559D8F-EDAC-4F04-A48D-821474F665C8}" destId="{AE5F8946-77E4-45C6-B7D7-5DB259A2987C}" srcOrd="0" destOrd="0" presId="urn:microsoft.com/office/officeart/2005/8/layout/matrix2"/>
    <dgm:cxn modelId="{BB34EDDA-19CB-4D4A-8DBE-8FF3AA0B9037}" type="presOf" srcId="{7505DA53-1A29-4A34-9CC0-3BF570CC3778}" destId="{F2E194C8-3796-46AF-BCB5-5B5E1AAFA1E0}" srcOrd="0" destOrd="0" presId="urn:microsoft.com/office/officeart/2005/8/layout/matrix2"/>
    <dgm:cxn modelId="{16326DF8-54CE-449A-BAB4-185E5F22D585}" srcId="{D7384DC1-E9F1-4DCA-877B-1DF6E28F95EA}" destId="{E9AFD20E-BAA4-4DDA-90A4-9F3EF6645F1F}" srcOrd="2" destOrd="0" parTransId="{BC404E35-EDFA-468A-BA23-81D98AFAE467}" sibTransId="{74E25523-44BB-4CA4-AC70-E7AFC4D57834}"/>
    <dgm:cxn modelId="{104233E9-28B3-457A-AB39-447B19CA4C11}" type="presParOf" srcId="{AEDF5E87-E3B9-4088-958E-C546BCD92FC6}" destId="{FEE8E7C4-7508-4887-AF0C-00B4F53753E2}" srcOrd="0" destOrd="0" presId="urn:microsoft.com/office/officeart/2005/8/layout/matrix2"/>
    <dgm:cxn modelId="{1A61406F-4F58-4409-BCE1-3420001A0C67}" type="presParOf" srcId="{AEDF5E87-E3B9-4088-958E-C546BCD92FC6}" destId="{AE5F8946-77E4-45C6-B7D7-5DB259A2987C}" srcOrd="1" destOrd="0" presId="urn:microsoft.com/office/officeart/2005/8/layout/matrix2"/>
    <dgm:cxn modelId="{510072B6-B21F-4DBC-9B5C-7DDFC76D3ADB}" type="presParOf" srcId="{AEDF5E87-E3B9-4088-958E-C546BCD92FC6}" destId="{C147BECE-6911-490C-A67B-914664835FBA}" srcOrd="2" destOrd="0" presId="urn:microsoft.com/office/officeart/2005/8/layout/matrix2"/>
    <dgm:cxn modelId="{32AFB10B-E5F4-45EF-9850-CA7E70EBDE4E}" type="presParOf" srcId="{AEDF5E87-E3B9-4088-958E-C546BCD92FC6}" destId="{4FEED53A-A621-4BDC-B28A-DCBD20E286CF}" srcOrd="3" destOrd="0" presId="urn:microsoft.com/office/officeart/2005/8/layout/matrix2"/>
    <dgm:cxn modelId="{62341B6E-9FD0-47AE-842A-530326564BF3}" type="presParOf" srcId="{AEDF5E87-E3B9-4088-958E-C546BCD92FC6}" destId="{F2E194C8-3796-46AF-BCB5-5B5E1AAFA1E0}" srcOrd="4" destOrd="0" presId="urn:microsoft.com/office/officeart/2005/8/layout/matrix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6BC225-7139-42DA-9D6C-D8754A4B7D4C}">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SWOT</a:t>
          </a:r>
        </a:p>
      </dsp:txBody>
      <dsp:txXfrm>
        <a:off x="2429224" y="1286224"/>
        <a:ext cx="627951" cy="627951"/>
      </dsp:txXfrm>
    </dsp:sp>
    <dsp:sp modelId="{F1A11920-7BB7-4335-8435-898783972466}">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D77BFDB0-211D-4430-92A1-4D73021F2AA3}">
      <dsp:nvSpPr>
        <dsp:cNvPr id="0" name=""/>
        <dsp:cNvSpPr/>
      </dsp:nvSpPr>
      <dsp:spPr>
        <a:xfrm>
          <a:off x="2299171" y="1594"/>
          <a:ext cx="888057" cy="888057"/>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Strength</a:t>
          </a:r>
        </a:p>
      </dsp:txBody>
      <dsp:txXfrm>
        <a:off x="2429224" y="131647"/>
        <a:ext cx="627951" cy="627951"/>
      </dsp:txXfrm>
    </dsp:sp>
    <dsp:sp modelId="{742B727B-6883-47EE-8DE1-21515802AE85}">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97924D8F-0E3A-4D88-8A56-5BAC97DEB121}">
      <dsp:nvSpPr>
        <dsp:cNvPr id="0" name=""/>
        <dsp:cNvSpPr/>
      </dsp:nvSpPr>
      <dsp:spPr>
        <a:xfrm>
          <a:off x="3453748" y="1156171"/>
          <a:ext cx="888057" cy="888057"/>
        </a:xfrm>
        <a:prstGeom prst="ellipse">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Threat</a:t>
          </a:r>
        </a:p>
      </dsp:txBody>
      <dsp:txXfrm>
        <a:off x="3583801" y="1286224"/>
        <a:ext cx="627951" cy="627951"/>
      </dsp:txXfrm>
    </dsp:sp>
    <dsp:sp modelId="{FD771F56-4CDD-479F-8688-2C54CA19D2DF}">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28F2A434-0EE3-48FF-8F79-E11983502CE3}">
      <dsp:nvSpPr>
        <dsp:cNvPr id="0" name=""/>
        <dsp:cNvSpPr/>
      </dsp:nvSpPr>
      <dsp:spPr>
        <a:xfrm>
          <a:off x="2299171" y="2310748"/>
          <a:ext cx="888057" cy="888057"/>
        </a:xfrm>
        <a:prstGeom prst="ellipse">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Weakness</a:t>
          </a:r>
        </a:p>
      </dsp:txBody>
      <dsp:txXfrm>
        <a:off x="2429224" y="2440801"/>
        <a:ext cx="627951" cy="627951"/>
      </dsp:txXfrm>
    </dsp:sp>
    <dsp:sp modelId="{5ED3535E-B332-47E6-B4B6-DE52155DBE11}">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3185C045-AD45-4D7C-A351-F53758055DA9}">
      <dsp:nvSpPr>
        <dsp:cNvPr id="0" name=""/>
        <dsp:cNvSpPr/>
      </dsp:nvSpPr>
      <dsp:spPr>
        <a:xfrm>
          <a:off x="1144594" y="1156171"/>
          <a:ext cx="888057" cy="888057"/>
        </a:xfrm>
        <a:prstGeom prst="ellips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Opportunities</a:t>
          </a:r>
        </a:p>
      </dsp:txBody>
      <dsp:txXfrm>
        <a:off x="1274647" y="1286224"/>
        <a:ext cx="627951" cy="6279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415557-BD3C-4B96-A6BE-0B0F5AAA8AE5}">
      <dsp:nvSpPr>
        <dsp:cNvPr id="0" name=""/>
        <dsp:cNvSpPr/>
      </dsp:nvSpPr>
      <dsp:spPr>
        <a:xfrm>
          <a:off x="0" y="401954"/>
          <a:ext cx="1714499" cy="1028700"/>
        </a:xfrm>
        <a:prstGeom prst="rect">
          <a:avLst/>
        </a:prstGeom>
        <a:solidFill>
          <a:schemeClr val="accent6">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i="1" kern="1200"/>
            <a:t>Inbound logistics</a:t>
          </a:r>
          <a:endParaRPr lang="en-US" sz="2000" kern="1200"/>
        </a:p>
      </dsp:txBody>
      <dsp:txXfrm>
        <a:off x="0" y="401954"/>
        <a:ext cx="1714499" cy="1028700"/>
      </dsp:txXfrm>
    </dsp:sp>
    <dsp:sp modelId="{0D44CF85-343F-477B-B158-103230655F16}">
      <dsp:nvSpPr>
        <dsp:cNvPr id="0" name=""/>
        <dsp:cNvSpPr/>
      </dsp:nvSpPr>
      <dsp:spPr>
        <a:xfrm>
          <a:off x="1885950" y="401954"/>
          <a:ext cx="1714499" cy="1028700"/>
        </a:xfrm>
        <a:prstGeom prst="rect">
          <a:avLst/>
        </a:prstGeom>
        <a:solidFill>
          <a:schemeClr val="accent6">
            <a:shade val="50000"/>
            <a:hueOff val="-184678"/>
            <a:satOff val="12312"/>
            <a:lumOff val="1607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i="1" kern="1200"/>
            <a:t>Operation</a:t>
          </a:r>
          <a:endParaRPr lang="en-US" sz="2000" kern="1200"/>
        </a:p>
      </dsp:txBody>
      <dsp:txXfrm>
        <a:off x="1885950" y="401954"/>
        <a:ext cx="1714499" cy="1028700"/>
      </dsp:txXfrm>
    </dsp:sp>
    <dsp:sp modelId="{94A54D83-AC4C-429C-97BA-65F4AEA54E1D}">
      <dsp:nvSpPr>
        <dsp:cNvPr id="0" name=""/>
        <dsp:cNvSpPr/>
      </dsp:nvSpPr>
      <dsp:spPr>
        <a:xfrm>
          <a:off x="3771900" y="401954"/>
          <a:ext cx="1714499" cy="1028700"/>
        </a:xfrm>
        <a:prstGeom prst="rect">
          <a:avLst/>
        </a:prstGeom>
        <a:solidFill>
          <a:schemeClr val="accent6">
            <a:shade val="50000"/>
            <a:hueOff val="-369356"/>
            <a:satOff val="24624"/>
            <a:lumOff val="3214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i="1" kern="1200"/>
            <a:t>Outbound logistics</a:t>
          </a:r>
          <a:endParaRPr lang="en-US" sz="2000" kern="1200"/>
        </a:p>
      </dsp:txBody>
      <dsp:txXfrm>
        <a:off x="3771900" y="401954"/>
        <a:ext cx="1714499" cy="1028700"/>
      </dsp:txXfrm>
    </dsp:sp>
    <dsp:sp modelId="{CC22D0A6-2750-4251-B9DC-F5260625C9A2}">
      <dsp:nvSpPr>
        <dsp:cNvPr id="0" name=""/>
        <dsp:cNvSpPr/>
      </dsp:nvSpPr>
      <dsp:spPr>
        <a:xfrm>
          <a:off x="942975" y="1602105"/>
          <a:ext cx="1714499" cy="1028700"/>
        </a:xfrm>
        <a:prstGeom prst="rect">
          <a:avLst/>
        </a:prstGeom>
        <a:solidFill>
          <a:schemeClr val="accent6">
            <a:shade val="50000"/>
            <a:hueOff val="-369356"/>
            <a:satOff val="24624"/>
            <a:lumOff val="3214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i="1" kern="1200"/>
            <a:t>Marketing &amp; Sales</a:t>
          </a:r>
          <a:endParaRPr lang="en-US" sz="2000" kern="1200"/>
        </a:p>
      </dsp:txBody>
      <dsp:txXfrm>
        <a:off x="942975" y="1602105"/>
        <a:ext cx="1714499" cy="1028700"/>
      </dsp:txXfrm>
    </dsp:sp>
    <dsp:sp modelId="{4106029B-341D-41FE-8D83-0A2D20D94765}">
      <dsp:nvSpPr>
        <dsp:cNvPr id="0" name=""/>
        <dsp:cNvSpPr/>
      </dsp:nvSpPr>
      <dsp:spPr>
        <a:xfrm>
          <a:off x="2828925" y="1602105"/>
          <a:ext cx="1714499" cy="1028700"/>
        </a:xfrm>
        <a:prstGeom prst="rect">
          <a:avLst/>
        </a:prstGeom>
        <a:solidFill>
          <a:schemeClr val="accent6">
            <a:shade val="50000"/>
            <a:hueOff val="-184678"/>
            <a:satOff val="12312"/>
            <a:lumOff val="1607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i="1" kern="1200"/>
            <a:t>Service</a:t>
          </a:r>
          <a:endParaRPr lang="en-US" sz="2000" kern="1200"/>
        </a:p>
      </dsp:txBody>
      <dsp:txXfrm>
        <a:off x="2828925" y="1602105"/>
        <a:ext cx="1714499" cy="10287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2ED3C5-2A65-452D-81EA-702DD99A3CCF}">
      <dsp:nvSpPr>
        <dsp:cNvPr id="0" name=""/>
        <dsp:cNvSpPr/>
      </dsp:nvSpPr>
      <dsp:spPr>
        <a:xfrm>
          <a:off x="2338238" y="716978"/>
          <a:ext cx="911310" cy="788320"/>
        </a:xfrm>
        <a:prstGeom prst="hexagon">
          <a:avLst>
            <a:gd name="adj" fmla="val 28570"/>
            <a:gd name="vf" fmla="val 115470"/>
          </a:avLst>
        </a:prstGeom>
        <a:solidFill>
          <a:schemeClr val="accent5">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PESTEL</a:t>
          </a:r>
        </a:p>
      </dsp:txBody>
      <dsp:txXfrm>
        <a:off x="2489255" y="847614"/>
        <a:ext cx="609276" cy="527048"/>
      </dsp:txXfrm>
    </dsp:sp>
    <dsp:sp modelId="{DA914585-5929-4CCD-A8A8-B73828ACFB75}">
      <dsp:nvSpPr>
        <dsp:cNvPr id="0" name=""/>
        <dsp:cNvSpPr/>
      </dsp:nvSpPr>
      <dsp:spPr>
        <a:xfrm>
          <a:off x="2908894" y="339820"/>
          <a:ext cx="343834" cy="296259"/>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7F1A9CC-2B65-48EF-8B65-094F6DBEF22E}">
      <dsp:nvSpPr>
        <dsp:cNvPr id="0" name=""/>
        <dsp:cNvSpPr/>
      </dsp:nvSpPr>
      <dsp:spPr>
        <a:xfrm>
          <a:off x="2422183" y="0"/>
          <a:ext cx="746812" cy="646080"/>
        </a:xfrm>
        <a:prstGeom prst="hexagon">
          <a:avLst>
            <a:gd name="adj" fmla="val 28570"/>
            <a:gd name="vf" fmla="val 115470"/>
          </a:avLst>
        </a:prstGeom>
        <a:solidFill>
          <a:schemeClr val="accent5">
            <a:shade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i="1" kern="1200"/>
            <a:t>Political</a:t>
          </a:r>
          <a:r>
            <a:rPr lang="en-GB" sz="500" kern="1200"/>
            <a:t> </a:t>
          </a:r>
          <a:endParaRPr lang="en-US" sz="500" kern="1200"/>
        </a:p>
      </dsp:txBody>
      <dsp:txXfrm>
        <a:off x="2545946" y="107069"/>
        <a:ext cx="499286" cy="431942"/>
      </dsp:txXfrm>
    </dsp:sp>
    <dsp:sp modelId="{778646C1-BBD7-4567-9A17-B4E3496F0336}">
      <dsp:nvSpPr>
        <dsp:cNvPr id="0" name=""/>
        <dsp:cNvSpPr/>
      </dsp:nvSpPr>
      <dsp:spPr>
        <a:xfrm>
          <a:off x="3310176" y="893667"/>
          <a:ext cx="343834" cy="296259"/>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7C2E911-597E-4C53-8038-8480A523A72F}">
      <dsp:nvSpPr>
        <dsp:cNvPr id="0" name=""/>
        <dsp:cNvSpPr/>
      </dsp:nvSpPr>
      <dsp:spPr>
        <a:xfrm>
          <a:off x="3107097" y="397382"/>
          <a:ext cx="746812" cy="646080"/>
        </a:xfrm>
        <a:prstGeom prst="hexagon">
          <a:avLst>
            <a:gd name="adj" fmla="val 28570"/>
            <a:gd name="vf" fmla="val 115470"/>
          </a:avLst>
        </a:prstGeom>
        <a:solidFill>
          <a:schemeClr val="accent5">
            <a:shade val="80000"/>
            <a:hueOff val="41044"/>
            <a:satOff val="-448"/>
            <a:lumOff val="511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i="1" kern="1200"/>
            <a:t>Economic</a:t>
          </a:r>
          <a:r>
            <a:rPr lang="en-GB" sz="500" kern="1200"/>
            <a:t> </a:t>
          </a:r>
          <a:endParaRPr lang="en-US" sz="500" kern="1200"/>
        </a:p>
      </dsp:txBody>
      <dsp:txXfrm>
        <a:off x="3230860" y="504451"/>
        <a:ext cx="499286" cy="431942"/>
      </dsp:txXfrm>
    </dsp:sp>
    <dsp:sp modelId="{B0F1F14C-3E84-48AC-A230-E25ACC5ED9EE}">
      <dsp:nvSpPr>
        <dsp:cNvPr id="0" name=""/>
        <dsp:cNvSpPr/>
      </dsp:nvSpPr>
      <dsp:spPr>
        <a:xfrm>
          <a:off x="3031419" y="1518856"/>
          <a:ext cx="343834" cy="296259"/>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172FC1-C790-4436-91DE-DD04F47306F8}">
      <dsp:nvSpPr>
        <dsp:cNvPr id="0" name=""/>
        <dsp:cNvSpPr/>
      </dsp:nvSpPr>
      <dsp:spPr>
        <a:xfrm>
          <a:off x="3107097" y="1178591"/>
          <a:ext cx="746812" cy="646080"/>
        </a:xfrm>
        <a:prstGeom prst="hexagon">
          <a:avLst>
            <a:gd name="adj" fmla="val 28570"/>
            <a:gd name="vf" fmla="val 115470"/>
          </a:avLst>
        </a:prstGeom>
        <a:solidFill>
          <a:schemeClr val="accent5">
            <a:shade val="80000"/>
            <a:hueOff val="82088"/>
            <a:satOff val="-895"/>
            <a:lumOff val="1023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i="1" kern="1200"/>
            <a:t>Social</a:t>
          </a:r>
          <a:r>
            <a:rPr lang="en-GB" sz="500" kern="1200"/>
            <a:t>  </a:t>
          </a:r>
          <a:endParaRPr lang="en-US" sz="500" kern="1200"/>
        </a:p>
      </dsp:txBody>
      <dsp:txXfrm>
        <a:off x="3230860" y="1285660"/>
        <a:ext cx="499286" cy="431942"/>
      </dsp:txXfrm>
    </dsp:sp>
    <dsp:sp modelId="{7FE50E73-89D5-49A7-B795-2FC45A5A3FC9}">
      <dsp:nvSpPr>
        <dsp:cNvPr id="0" name=""/>
        <dsp:cNvSpPr/>
      </dsp:nvSpPr>
      <dsp:spPr>
        <a:xfrm>
          <a:off x="2339934" y="1583753"/>
          <a:ext cx="343834" cy="296259"/>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7BDCC70-9AD4-406F-B387-4F587834831A}">
      <dsp:nvSpPr>
        <dsp:cNvPr id="0" name=""/>
        <dsp:cNvSpPr/>
      </dsp:nvSpPr>
      <dsp:spPr>
        <a:xfrm>
          <a:off x="2422183" y="1576419"/>
          <a:ext cx="746812" cy="646080"/>
        </a:xfrm>
        <a:prstGeom prst="hexagon">
          <a:avLst>
            <a:gd name="adj" fmla="val 28570"/>
            <a:gd name="vf" fmla="val 115470"/>
          </a:avLst>
        </a:prstGeom>
        <a:solidFill>
          <a:schemeClr val="accent5">
            <a:shade val="80000"/>
            <a:hueOff val="123133"/>
            <a:satOff val="-1343"/>
            <a:lumOff val="1534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i="1" kern="1200"/>
            <a:t>Technological</a:t>
          </a:r>
          <a:r>
            <a:rPr lang="en-GB" sz="500" kern="1200"/>
            <a:t> </a:t>
          </a:r>
          <a:endParaRPr lang="en-US" sz="500" kern="1200"/>
        </a:p>
      </dsp:txBody>
      <dsp:txXfrm>
        <a:off x="2545946" y="1683488"/>
        <a:ext cx="499286" cy="431942"/>
      </dsp:txXfrm>
    </dsp:sp>
    <dsp:sp modelId="{BA28926E-4C91-4647-B1A3-242592E50B4E}">
      <dsp:nvSpPr>
        <dsp:cNvPr id="0" name=""/>
        <dsp:cNvSpPr/>
      </dsp:nvSpPr>
      <dsp:spPr>
        <a:xfrm>
          <a:off x="1932080" y="1030128"/>
          <a:ext cx="343834" cy="296259"/>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DE3FD82-8081-44E9-AD9F-34B706AE113B}">
      <dsp:nvSpPr>
        <dsp:cNvPr id="0" name=""/>
        <dsp:cNvSpPr/>
      </dsp:nvSpPr>
      <dsp:spPr>
        <a:xfrm>
          <a:off x="1734089" y="1179036"/>
          <a:ext cx="746812" cy="646080"/>
        </a:xfrm>
        <a:prstGeom prst="hexagon">
          <a:avLst>
            <a:gd name="adj" fmla="val 28570"/>
            <a:gd name="vf" fmla="val 115470"/>
          </a:avLst>
        </a:prstGeom>
        <a:solidFill>
          <a:schemeClr val="accent5">
            <a:shade val="80000"/>
            <a:hueOff val="164177"/>
            <a:satOff val="-1790"/>
            <a:lumOff val="2046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i="1" kern="1200"/>
            <a:t>Environmental</a:t>
          </a:r>
          <a:r>
            <a:rPr lang="en-GB" sz="500" kern="1200"/>
            <a:t> </a:t>
          </a:r>
          <a:endParaRPr lang="en-US" sz="500" kern="1200"/>
        </a:p>
      </dsp:txBody>
      <dsp:txXfrm>
        <a:off x="1857852" y="1286105"/>
        <a:ext cx="499286" cy="431942"/>
      </dsp:txXfrm>
    </dsp:sp>
    <dsp:sp modelId="{C49E7065-5C5A-432F-92CA-8D6D8A94C012}">
      <dsp:nvSpPr>
        <dsp:cNvPr id="0" name=""/>
        <dsp:cNvSpPr/>
      </dsp:nvSpPr>
      <dsp:spPr>
        <a:xfrm>
          <a:off x="1734089" y="396493"/>
          <a:ext cx="746812" cy="646080"/>
        </a:xfrm>
        <a:prstGeom prst="hexagon">
          <a:avLst>
            <a:gd name="adj" fmla="val 28570"/>
            <a:gd name="vf" fmla="val 115470"/>
          </a:avLst>
        </a:prstGeom>
        <a:solidFill>
          <a:schemeClr val="accent5">
            <a:shade val="80000"/>
            <a:hueOff val="205221"/>
            <a:satOff val="-2238"/>
            <a:lumOff val="2557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Legal</a:t>
          </a:r>
        </a:p>
      </dsp:txBody>
      <dsp:txXfrm>
        <a:off x="1857852" y="503562"/>
        <a:ext cx="499286" cy="43194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43A5A6-2789-4F62-94FE-1E0925D9463A}">
      <dsp:nvSpPr>
        <dsp:cNvPr id="0" name=""/>
        <dsp:cNvSpPr/>
      </dsp:nvSpPr>
      <dsp:spPr>
        <a:xfrm>
          <a:off x="1601927" y="374640"/>
          <a:ext cx="2492095" cy="2492095"/>
        </a:xfrm>
        <a:prstGeom prst="blockArc">
          <a:avLst>
            <a:gd name="adj1" fmla="val 11880000"/>
            <a:gd name="adj2" fmla="val 16200000"/>
            <a:gd name="adj3" fmla="val 4640"/>
          </a:avLst>
        </a:prstGeom>
        <a:solidFill>
          <a:schemeClr val="accent2">
            <a:shade val="90000"/>
            <a:hueOff val="-16400"/>
            <a:satOff val="-2778"/>
            <a:lumOff val="1284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548820-9EED-4478-A62C-204EB84704A1}">
      <dsp:nvSpPr>
        <dsp:cNvPr id="0" name=""/>
        <dsp:cNvSpPr/>
      </dsp:nvSpPr>
      <dsp:spPr>
        <a:xfrm>
          <a:off x="1601927" y="374640"/>
          <a:ext cx="2492095" cy="2492095"/>
        </a:xfrm>
        <a:prstGeom prst="blockArc">
          <a:avLst>
            <a:gd name="adj1" fmla="val 7560000"/>
            <a:gd name="adj2" fmla="val 11880000"/>
            <a:gd name="adj3" fmla="val 4640"/>
          </a:avLst>
        </a:prstGeom>
        <a:solidFill>
          <a:schemeClr val="accent2">
            <a:shade val="90000"/>
            <a:hueOff val="-32801"/>
            <a:satOff val="-5555"/>
            <a:lumOff val="2569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1DF71CB-47A4-454F-A6C7-A8580E515F10}">
      <dsp:nvSpPr>
        <dsp:cNvPr id="0" name=""/>
        <dsp:cNvSpPr/>
      </dsp:nvSpPr>
      <dsp:spPr>
        <a:xfrm>
          <a:off x="1601927" y="374640"/>
          <a:ext cx="2492095" cy="2492095"/>
        </a:xfrm>
        <a:prstGeom prst="blockArc">
          <a:avLst>
            <a:gd name="adj1" fmla="val 3240000"/>
            <a:gd name="adj2" fmla="val 7560000"/>
            <a:gd name="adj3" fmla="val 4640"/>
          </a:avLst>
        </a:prstGeom>
        <a:solidFill>
          <a:schemeClr val="accent2">
            <a:shade val="90000"/>
            <a:hueOff val="-32801"/>
            <a:satOff val="-5555"/>
            <a:lumOff val="2569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002E43E-3A46-4852-BDD6-23706F384272}">
      <dsp:nvSpPr>
        <dsp:cNvPr id="0" name=""/>
        <dsp:cNvSpPr/>
      </dsp:nvSpPr>
      <dsp:spPr>
        <a:xfrm>
          <a:off x="1601927" y="374640"/>
          <a:ext cx="2492095" cy="2492095"/>
        </a:xfrm>
        <a:prstGeom prst="blockArc">
          <a:avLst>
            <a:gd name="adj1" fmla="val 20520000"/>
            <a:gd name="adj2" fmla="val 3240000"/>
            <a:gd name="adj3" fmla="val 4640"/>
          </a:avLst>
        </a:prstGeom>
        <a:solidFill>
          <a:schemeClr val="accent2">
            <a:shade val="90000"/>
            <a:hueOff val="-16400"/>
            <a:satOff val="-2778"/>
            <a:lumOff val="1284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587518-7312-414D-97B8-A8F159D1A16A}">
      <dsp:nvSpPr>
        <dsp:cNvPr id="0" name=""/>
        <dsp:cNvSpPr/>
      </dsp:nvSpPr>
      <dsp:spPr>
        <a:xfrm>
          <a:off x="1601927" y="374640"/>
          <a:ext cx="2492095" cy="2492095"/>
        </a:xfrm>
        <a:prstGeom prst="blockArc">
          <a:avLst>
            <a:gd name="adj1" fmla="val 16200000"/>
            <a:gd name="adj2" fmla="val 20520000"/>
            <a:gd name="adj3" fmla="val 4640"/>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0F73578-B6DA-46BC-8251-45E870E382D1}">
      <dsp:nvSpPr>
        <dsp:cNvPr id="0" name=""/>
        <dsp:cNvSpPr/>
      </dsp:nvSpPr>
      <dsp:spPr>
        <a:xfrm>
          <a:off x="2274347" y="1047060"/>
          <a:ext cx="1147255" cy="1147255"/>
        </a:xfrm>
        <a:prstGeom prst="ellipse">
          <a:avLst/>
        </a:prstGeom>
        <a:solidFill>
          <a:schemeClr val="accent2">
            <a:shade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Porter's 5 Forces</a:t>
          </a:r>
        </a:p>
      </dsp:txBody>
      <dsp:txXfrm>
        <a:off x="2442359" y="1215072"/>
        <a:ext cx="811231" cy="811231"/>
      </dsp:txXfrm>
    </dsp:sp>
    <dsp:sp modelId="{CCDA7D78-5465-48A0-90B5-33F113FA68CD}">
      <dsp:nvSpPr>
        <dsp:cNvPr id="0" name=""/>
        <dsp:cNvSpPr/>
      </dsp:nvSpPr>
      <dsp:spPr>
        <a:xfrm>
          <a:off x="2446435" y="2011"/>
          <a:ext cx="803078" cy="803078"/>
        </a:xfrm>
        <a:prstGeom prst="ellipse">
          <a:avLst/>
        </a:prstGeom>
        <a:solidFill>
          <a:schemeClr val="accent2">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Threat of New Entrants</a:t>
          </a:r>
          <a:endParaRPr lang="en-US" sz="800" kern="1200"/>
        </a:p>
      </dsp:txBody>
      <dsp:txXfrm>
        <a:off x="2564043" y="119619"/>
        <a:ext cx="567862" cy="567862"/>
      </dsp:txXfrm>
    </dsp:sp>
    <dsp:sp modelId="{8AEB50A1-58D2-47E8-B4B0-FDE9B4B7B28A}">
      <dsp:nvSpPr>
        <dsp:cNvPr id="0" name=""/>
        <dsp:cNvSpPr/>
      </dsp:nvSpPr>
      <dsp:spPr>
        <a:xfrm>
          <a:off x="3604001" y="843032"/>
          <a:ext cx="803078" cy="803078"/>
        </a:xfrm>
        <a:prstGeom prst="ellipse">
          <a:avLst/>
        </a:prstGeom>
        <a:solidFill>
          <a:schemeClr val="accent2">
            <a:shade val="50000"/>
            <a:hueOff val="-16594"/>
            <a:satOff val="-3364"/>
            <a:lumOff val="1850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Bargaining Power of Suppliers </a:t>
          </a:r>
          <a:endParaRPr lang="en-US" sz="800" kern="1200"/>
        </a:p>
      </dsp:txBody>
      <dsp:txXfrm>
        <a:off x="3721609" y="960640"/>
        <a:ext cx="567862" cy="567862"/>
      </dsp:txXfrm>
    </dsp:sp>
    <dsp:sp modelId="{C434DEFE-A88A-4098-A102-FC301ECB95E6}">
      <dsp:nvSpPr>
        <dsp:cNvPr id="0" name=""/>
        <dsp:cNvSpPr/>
      </dsp:nvSpPr>
      <dsp:spPr>
        <a:xfrm>
          <a:off x="3161850" y="2203832"/>
          <a:ext cx="803078" cy="803078"/>
        </a:xfrm>
        <a:prstGeom prst="ellipse">
          <a:avLst/>
        </a:prstGeom>
        <a:solidFill>
          <a:schemeClr val="accent2">
            <a:shade val="50000"/>
            <a:hueOff val="-33187"/>
            <a:satOff val="-6727"/>
            <a:lumOff val="3700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Bargaining Power of Buyers </a:t>
          </a:r>
          <a:endParaRPr lang="en-US" sz="800" kern="1200"/>
        </a:p>
      </dsp:txBody>
      <dsp:txXfrm>
        <a:off x="3279458" y="2321440"/>
        <a:ext cx="567862" cy="567862"/>
      </dsp:txXfrm>
    </dsp:sp>
    <dsp:sp modelId="{23B2C22F-5991-4607-B308-6F386AB53BCF}">
      <dsp:nvSpPr>
        <dsp:cNvPr id="0" name=""/>
        <dsp:cNvSpPr/>
      </dsp:nvSpPr>
      <dsp:spPr>
        <a:xfrm>
          <a:off x="1731020" y="2203832"/>
          <a:ext cx="803078" cy="803078"/>
        </a:xfrm>
        <a:prstGeom prst="ellipse">
          <a:avLst/>
        </a:prstGeom>
        <a:solidFill>
          <a:schemeClr val="accent2">
            <a:shade val="50000"/>
            <a:hueOff val="-33187"/>
            <a:satOff val="-6727"/>
            <a:lumOff val="3700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Threat of Substitutes</a:t>
          </a:r>
          <a:endParaRPr lang="en-US" sz="800" kern="1200"/>
        </a:p>
      </dsp:txBody>
      <dsp:txXfrm>
        <a:off x="1848628" y="2321440"/>
        <a:ext cx="567862" cy="567862"/>
      </dsp:txXfrm>
    </dsp:sp>
    <dsp:sp modelId="{18786B4B-6F87-4553-B6A3-93AAF938CCB4}">
      <dsp:nvSpPr>
        <dsp:cNvPr id="0" name=""/>
        <dsp:cNvSpPr/>
      </dsp:nvSpPr>
      <dsp:spPr>
        <a:xfrm>
          <a:off x="1288869" y="843032"/>
          <a:ext cx="803078" cy="803078"/>
        </a:xfrm>
        <a:prstGeom prst="ellipse">
          <a:avLst/>
        </a:prstGeom>
        <a:solidFill>
          <a:schemeClr val="accent2">
            <a:shade val="50000"/>
            <a:hueOff val="-16594"/>
            <a:satOff val="-3364"/>
            <a:lumOff val="1850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Competitive Rivalry</a:t>
          </a:r>
          <a:endParaRPr lang="en-US" sz="800" kern="1200"/>
        </a:p>
      </dsp:txBody>
      <dsp:txXfrm>
        <a:off x="1406477" y="960640"/>
        <a:ext cx="567862" cy="56786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E8E7C4-7508-4887-AF0C-00B4F53753E2}">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E5F8946-77E4-45C6-B7D7-5DB259A2987C}">
      <dsp:nvSpPr>
        <dsp:cNvPr id="0" name=""/>
        <dsp:cNvSpPr/>
      </dsp:nvSpPr>
      <dsp:spPr>
        <a:xfrm>
          <a:off x="1351026" y="208026"/>
          <a:ext cx="128016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Market Penetration</a:t>
          </a:r>
          <a:endParaRPr lang="en-US" sz="1200" kern="1200"/>
        </a:p>
      </dsp:txBody>
      <dsp:txXfrm>
        <a:off x="1413518" y="270518"/>
        <a:ext cx="1155176" cy="1155176"/>
      </dsp:txXfrm>
    </dsp:sp>
    <dsp:sp modelId="{C147BECE-6911-490C-A67B-914664835FBA}">
      <dsp:nvSpPr>
        <dsp:cNvPr id="0" name=""/>
        <dsp:cNvSpPr/>
      </dsp:nvSpPr>
      <dsp:spPr>
        <a:xfrm>
          <a:off x="2855214" y="208026"/>
          <a:ext cx="128016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Market Development</a:t>
          </a:r>
          <a:endParaRPr lang="en-US" sz="1200" kern="1200"/>
        </a:p>
      </dsp:txBody>
      <dsp:txXfrm>
        <a:off x="2917706" y="270518"/>
        <a:ext cx="1155176" cy="1155176"/>
      </dsp:txXfrm>
    </dsp:sp>
    <dsp:sp modelId="{4FEED53A-A621-4BDC-B28A-DCBD20E286CF}">
      <dsp:nvSpPr>
        <dsp:cNvPr id="0" name=""/>
        <dsp:cNvSpPr/>
      </dsp:nvSpPr>
      <dsp:spPr>
        <a:xfrm>
          <a:off x="1351026" y="1712214"/>
          <a:ext cx="128016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Product Development</a:t>
          </a:r>
          <a:endParaRPr lang="en-US" sz="1200" kern="1200"/>
        </a:p>
      </dsp:txBody>
      <dsp:txXfrm>
        <a:off x="1413518" y="1774706"/>
        <a:ext cx="1155176" cy="1155176"/>
      </dsp:txXfrm>
    </dsp:sp>
    <dsp:sp modelId="{F2E194C8-3796-46AF-BCB5-5B5E1AAFA1E0}">
      <dsp:nvSpPr>
        <dsp:cNvPr id="0" name=""/>
        <dsp:cNvSpPr/>
      </dsp:nvSpPr>
      <dsp:spPr>
        <a:xfrm>
          <a:off x="2855214" y="1712214"/>
          <a:ext cx="1280160" cy="128016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i="1" kern="1200"/>
            <a:t>Diversification</a:t>
          </a:r>
          <a:endParaRPr lang="en-US" sz="1200" kern="1200"/>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22</Pages>
  <Words>4790</Words>
  <Characters>27307</Characters>
  <Application>Microsoft Office Word</Application>
  <DocSecurity>0</DocSecurity>
  <Lines>227</Lines>
  <Paragraphs>64</Paragraphs>
  <ScaleCrop>false</ScaleCrop>
  <Company/>
  <LinksUpToDate>false</LinksUpToDate>
  <CharactersWithSpaces>32033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Butcaru</cp:lastModifiedBy>
  <cp:revision>5</cp:revision>
  <dcterms:created xsi:type="dcterms:W3CDTF">2025-10-17T06:01:00Z</dcterms:created>
  <dcterms:modified xsi:type="dcterms:W3CDTF">2025-11-07T07:38:00Z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834051a5-47c6-4ffc-acef-9df42c517b59</vt:lpwstr>
  </property>
</Properties>
</file>