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1244D1" w14:textId="77777777" w:rsidR="004404D1" w:rsidRPr="00121980" w:rsidRDefault="004404D1" w:rsidP="004404D1">
      <w:pPr>
        <w:jc w:val="center"/>
        <w:rPr>
          <w:rFonts w:asciiTheme="majorHAnsi" w:hAnsiTheme="majorHAnsi"/>
          <w:sz w:val="24"/>
          <w:szCs w:val="24"/>
          <w:u w:val="single"/>
        </w:rPr>
      </w:pPr>
      <w:r w:rsidRPr="00121980">
        <w:rPr>
          <w:rFonts w:asciiTheme="majorHAnsi" w:hAnsiTheme="majorHAnsi"/>
          <w:sz w:val="24"/>
          <w:szCs w:val="24"/>
          <w:u w:val="single"/>
        </w:rPr>
        <w:t>Analysis of a War Badge Document</w:t>
      </w:r>
    </w:p>
    <w:p w14:paraId="2F8EC9C3" w14:textId="77777777" w:rsidR="004404D1" w:rsidRDefault="004404D1" w:rsidP="004404D1">
      <w:pPr>
        <w:jc w:val="center"/>
        <w:rPr>
          <w:sz w:val="24"/>
          <w:szCs w:val="24"/>
        </w:rPr>
      </w:pPr>
    </w:p>
    <w:p w14:paraId="6FE16849" w14:textId="77777777" w:rsidR="004404D1" w:rsidRDefault="004404D1" w:rsidP="004404D1">
      <w:pPr>
        <w:rPr>
          <w:sz w:val="24"/>
          <w:szCs w:val="24"/>
        </w:rPr>
      </w:pPr>
    </w:p>
    <w:p w14:paraId="1AEA4393" w14:textId="419284D8" w:rsidR="004404D1" w:rsidRDefault="004404D1" w:rsidP="004404D1">
      <w:pPr>
        <w:rPr>
          <w:sz w:val="24"/>
          <w:szCs w:val="24"/>
        </w:rPr>
      </w:pPr>
      <w:r>
        <w:rPr>
          <w:noProof/>
          <w:sz w:val="24"/>
          <w:szCs w:val="24"/>
        </w:rPr>
        <w:drawing>
          <wp:anchor distT="0" distB="0" distL="114300" distR="114300" simplePos="0" relativeHeight="251657216" behindDoc="1" locked="0" layoutInCell="1" allowOverlap="1" wp14:anchorId="1E7C60EE" wp14:editId="668BB3E8">
            <wp:simplePos x="0" y="0"/>
            <wp:positionH relativeFrom="column">
              <wp:posOffset>-28575</wp:posOffset>
            </wp:positionH>
            <wp:positionV relativeFrom="paragraph">
              <wp:posOffset>2574290</wp:posOffset>
            </wp:positionV>
            <wp:extent cx="5756910" cy="3347720"/>
            <wp:effectExtent l="0" t="0" r="0" b="0"/>
            <wp:wrapTight wrapText="bothSides">
              <wp:wrapPolygon edited="0">
                <wp:start x="0" y="0"/>
                <wp:lineTo x="0" y="21510"/>
                <wp:lineTo x="21514" y="21510"/>
                <wp:lineTo x="21514" y="0"/>
                <wp:lineTo x="0" y="0"/>
              </wp:wrapPolygon>
            </wp:wrapTight>
            <wp:docPr id="1007963215" name="Picture 1" descr="A white board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963215" name="Picture 1" descr="A white board with writing on it&#10;&#10;Description automatically generated"/>
                    <pic:cNvPicPr/>
                  </pic:nvPicPr>
                  <pic:blipFill rotWithShape="1">
                    <a:blip r:embed="rId8" cstate="print">
                      <a:extLst>
                        <a:ext uri="{28A0092B-C50C-407E-A947-70E740481C1C}">
                          <a14:useLocalDpi xmlns:a14="http://schemas.microsoft.com/office/drawing/2010/main" val="0"/>
                        </a:ext>
                      </a:extLst>
                    </a:blip>
                    <a:srcRect l="8227" r="14331"/>
                    <a:stretch/>
                  </pic:blipFill>
                  <pic:spPr bwMode="auto">
                    <a:xfrm>
                      <a:off x="0" y="0"/>
                      <a:ext cx="5756910" cy="3347720"/>
                    </a:xfrm>
                    <a:prstGeom prst="rect">
                      <a:avLst/>
                    </a:prstGeom>
                    <a:ln>
                      <a:noFill/>
                    </a:ln>
                    <a:extLst>
                      <a:ext uri="{53640926-AAD7-44D8-BBD7-CCE9431645EC}">
                        <a14:shadowObscured xmlns:a14="http://schemas.microsoft.com/office/drawing/2010/main"/>
                      </a:ext>
                    </a:extLst>
                  </pic:spPr>
                </pic:pic>
              </a:graphicData>
            </a:graphic>
          </wp:anchor>
        </w:drawing>
      </w:r>
      <w:r w:rsidRPr="004404D1">
        <w:rPr>
          <w:sz w:val="24"/>
          <w:szCs w:val="24"/>
        </w:rPr>
        <w:t>The analysis of primary sources is a cornerstone of historical inquiry, offering a window into the events and sentiments of the past. One such artefact is a meticulously detailed World War I document entitled the "</w:t>
      </w:r>
      <w:r w:rsidR="00240925">
        <w:rPr>
          <w:sz w:val="24"/>
          <w:szCs w:val="24"/>
        </w:rPr>
        <w:t xml:space="preserve">Roll </w:t>
      </w:r>
      <w:proofErr w:type="gramStart"/>
      <w:r w:rsidR="00240925">
        <w:rPr>
          <w:sz w:val="24"/>
          <w:szCs w:val="24"/>
        </w:rPr>
        <w:t>Of</w:t>
      </w:r>
      <w:proofErr w:type="gramEnd"/>
      <w:r w:rsidR="00240925">
        <w:rPr>
          <w:sz w:val="24"/>
          <w:szCs w:val="24"/>
        </w:rPr>
        <w:t xml:space="preserve"> Individuals Entitled To The </w:t>
      </w:r>
      <w:r w:rsidRPr="004404D1">
        <w:rPr>
          <w:sz w:val="24"/>
          <w:szCs w:val="24"/>
        </w:rPr>
        <w:t xml:space="preserve">War Badge," dated September </w:t>
      </w:r>
      <w:r w:rsidR="005D5732">
        <w:rPr>
          <w:sz w:val="24"/>
          <w:szCs w:val="24"/>
        </w:rPr>
        <w:t>11</w:t>
      </w:r>
      <w:r w:rsidRPr="004404D1">
        <w:rPr>
          <w:sz w:val="24"/>
          <w:szCs w:val="24"/>
        </w:rPr>
        <w:t xml:space="preserve">, 1918. This document lists service members awarded for their commitment and sacrifices made during the war. It is a manifest of names, ranks, service numbers, and other critical military service details, serving not only as a record of honour but also as an essential data point for historians seeking to understand the multifaceted nature of the war. </w:t>
      </w:r>
      <w:r w:rsidR="00C53C69">
        <w:rPr>
          <w:sz w:val="24"/>
          <w:szCs w:val="24"/>
        </w:rPr>
        <w:t xml:space="preserve">It is also important </w:t>
      </w:r>
      <w:r w:rsidRPr="004404D1">
        <w:rPr>
          <w:sz w:val="24"/>
          <w:szCs w:val="24"/>
        </w:rPr>
        <w:t>to evaluate the reliability and usefulness of this document, providing insights into the historical narrative of World War I. By dissecting its creation, purpose, audience, and content, the analysis will illuminate the document's role in shaping our comprehension of the Great War's human aspects.</w:t>
      </w:r>
    </w:p>
    <w:p w14:paraId="7C95AC2B" w14:textId="77777777" w:rsidR="004404D1" w:rsidRDefault="004404D1" w:rsidP="004404D1">
      <w:pPr>
        <w:rPr>
          <w:sz w:val="24"/>
          <w:szCs w:val="24"/>
        </w:rPr>
      </w:pPr>
    </w:p>
    <w:p w14:paraId="14B4033B" w14:textId="77777777" w:rsidR="00F62DE1" w:rsidRDefault="00F62DE1" w:rsidP="00726684">
      <w:pPr>
        <w:rPr>
          <w:sz w:val="24"/>
          <w:szCs w:val="24"/>
        </w:rPr>
      </w:pPr>
      <w:r>
        <w:rPr>
          <w:sz w:val="24"/>
          <w:szCs w:val="24"/>
        </w:rPr>
        <w:t xml:space="preserve">The </w:t>
      </w:r>
      <w:r w:rsidRPr="004404D1">
        <w:rPr>
          <w:sz w:val="24"/>
          <w:szCs w:val="24"/>
        </w:rPr>
        <w:t>'War Badge' document is a testament to military administration during times of immense upheaval. The ledger lists comprehensive details such as the individual's regiment number, rank, full name, date of enlistment, date and reason for discharge, and notes on overseas service. These entries are not mere numbers and names; they encapsulate stories of service, sacrifice, and the monumental scale of war mobilisation.</w:t>
      </w:r>
    </w:p>
    <w:p w14:paraId="0F4737A9" w14:textId="6E100B84" w:rsidR="004404D1" w:rsidRDefault="00726684" w:rsidP="00726684">
      <w:pPr>
        <w:rPr>
          <w:sz w:val="24"/>
          <w:szCs w:val="24"/>
        </w:rPr>
      </w:pPr>
      <w:r>
        <w:rPr>
          <w:sz w:val="24"/>
          <w:szCs w:val="24"/>
        </w:rPr>
        <w:lastRenderedPageBreak/>
        <w:t>Within this document</w:t>
      </w:r>
      <w:r w:rsidR="008B13BF">
        <w:rPr>
          <w:sz w:val="24"/>
          <w:szCs w:val="24"/>
        </w:rPr>
        <w:t xml:space="preserve"> my</w:t>
      </w:r>
      <w:r w:rsidRPr="00726684">
        <w:rPr>
          <w:sz w:val="24"/>
          <w:szCs w:val="24"/>
        </w:rPr>
        <w:t xml:space="preserve"> great-great-grandfather Joseph Barker</w:t>
      </w:r>
      <w:r w:rsidR="008B13BF">
        <w:rPr>
          <w:sz w:val="24"/>
          <w:szCs w:val="24"/>
        </w:rPr>
        <w:t xml:space="preserve"> is listed</w:t>
      </w:r>
      <w:r w:rsidRPr="00726684">
        <w:rPr>
          <w:sz w:val="24"/>
          <w:szCs w:val="24"/>
        </w:rPr>
        <w:t xml:space="preserve">, who bravely </w:t>
      </w:r>
      <w:r w:rsidR="00B87D5A">
        <w:rPr>
          <w:sz w:val="24"/>
          <w:szCs w:val="24"/>
        </w:rPr>
        <w:t>and voluntarily signed up for</w:t>
      </w:r>
      <w:r w:rsidRPr="00726684">
        <w:rPr>
          <w:sz w:val="24"/>
          <w:szCs w:val="24"/>
        </w:rPr>
        <w:t xml:space="preserve"> the military on January 12, 1915, before the Derby Scheme's October introduction.</w:t>
      </w:r>
      <w:r w:rsidR="00390332">
        <w:rPr>
          <w:rStyle w:val="FootnoteReference"/>
          <w:sz w:val="24"/>
          <w:szCs w:val="24"/>
        </w:rPr>
        <w:footnoteReference w:id="1"/>
      </w:r>
      <w:r w:rsidRPr="00726684">
        <w:rPr>
          <w:sz w:val="24"/>
          <w:szCs w:val="24"/>
        </w:rPr>
        <w:t xml:space="preserve"> His service began with the Gallipoli Campaign and was marked by significant events. He was injured in this campaign on November 9, 1916, and returned to England to recover at Cambuslang War Hospital. He healed physically and met his future wife during this time.</w:t>
      </w:r>
      <w:r w:rsidR="008B13BF">
        <w:rPr>
          <w:sz w:val="24"/>
          <w:szCs w:val="24"/>
        </w:rPr>
        <w:t xml:space="preserve"> </w:t>
      </w:r>
      <w:r w:rsidRPr="00726684">
        <w:rPr>
          <w:sz w:val="24"/>
          <w:szCs w:val="24"/>
        </w:rPr>
        <w:t>Joseph Barker's military career continued with the 1917 Battle of Thiepval Ridge, a crucial World War I event. The August 1918 Ypres-Lys Offensive showed his unwavering dedication to the war. He was captured after being severely injured during this offensive. A prisoner exchange, common in the Great War, likely helped him return home.</w:t>
      </w:r>
      <w:r w:rsidR="00A07D62">
        <w:rPr>
          <w:rStyle w:val="FootnoteReference"/>
          <w:sz w:val="24"/>
          <w:szCs w:val="24"/>
        </w:rPr>
        <w:footnoteReference w:id="2"/>
      </w:r>
      <w:r w:rsidR="008B13BF">
        <w:rPr>
          <w:sz w:val="24"/>
          <w:szCs w:val="24"/>
        </w:rPr>
        <w:t xml:space="preserve"> </w:t>
      </w:r>
      <w:r w:rsidRPr="00726684">
        <w:rPr>
          <w:sz w:val="24"/>
          <w:szCs w:val="24"/>
        </w:rPr>
        <w:t xml:space="preserve">Joseph Barker's military career ended with an honourable discharge for his bravery and sacrifice. He also received a War Badge for his bravery in unprecedented global conflict. </w:t>
      </w:r>
    </w:p>
    <w:p w14:paraId="57CB719F" w14:textId="77777777" w:rsidR="008B13BF" w:rsidRDefault="008B13BF" w:rsidP="004404D1">
      <w:pPr>
        <w:rPr>
          <w:sz w:val="24"/>
          <w:szCs w:val="24"/>
        </w:rPr>
      </w:pPr>
    </w:p>
    <w:p w14:paraId="60845D62" w14:textId="77777777" w:rsidR="004404D1" w:rsidRPr="004404D1" w:rsidRDefault="004404D1" w:rsidP="004404D1">
      <w:pPr>
        <w:rPr>
          <w:sz w:val="24"/>
          <w:szCs w:val="24"/>
        </w:rPr>
      </w:pPr>
      <w:r w:rsidRPr="004404D1">
        <w:rPr>
          <w:sz w:val="24"/>
          <w:szCs w:val="24"/>
        </w:rPr>
        <w:t>The document originates from the War Office, the administrative heart of the British Army during World War I. The requirement to systematically record the discharge of soldiers due to injuries or illness prompted its creation. The precision of the document, with its official stamps and signatures, indicates a high level of bureaucratic order amidst the chaos of war, ensuring that the sacrifices of servicemen were officially acknowledged and recorded.</w:t>
      </w:r>
    </w:p>
    <w:p w14:paraId="50FF5EA7" w14:textId="77777777" w:rsidR="004404D1" w:rsidRPr="004404D1" w:rsidRDefault="004404D1" w:rsidP="004404D1">
      <w:pPr>
        <w:rPr>
          <w:sz w:val="24"/>
          <w:szCs w:val="24"/>
        </w:rPr>
      </w:pPr>
      <w:r w:rsidRPr="004404D1">
        <w:rPr>
          <w:sz w:val="24"/>
          <w:szCs w:val="24"/>
        </w:rPr>
        <w:t> </w:t>
      </w:r>
    </w:p>
    <w:p w14:paraId="6FDF15A4" w14:textId="6EF425E6" w:rsidR="004404D1" w:rsidRPr="004404D1" w:rsidRDefault="004404D1" w:rsidP="004404D1">
      <w:pPr>
        <w:rPr>
          <w:sz w:val="24"/>
          <w:szCs w:val="24"/>
        </w:rPr>
      </w:pPr>
      <w:r w:rsidRPr="004404D1">
        <w:rPr>
          <w:sz w:val="24"/>
          <w:szCs w:val="24"/>
        </w:rPr>
        <w:t xml:space="preserve">Introduced in </w:t>
      </w:r>
      <w:r w:rsidR="00A95E63">
        <w:rPr>
          <w:sz w:val="24"/>
          <w:szCs w:val="24"/>
        </w:rPr>
        <w:t xml:space="preserve">September </w:t>
      </w:r>
      <w:r w:rsidRPr="004404D1">
        <w:rPr>
          <w:sz w:val="24"/>
          <w:szCs w:val="24"/>
        </w:rPr>
        <w:t>1916, the Silver War Badge was awarded to service members discharged due to wounds or sickness attributable to service in World War I. It symbolised their bravery and prevented societal stigmatisation, as it distinguished them from those who hadn't served. The badge also served an administrative purpose, documenting the war's attrition rate and providing a means of managing the demobilisation process as soldiers returned to civilian life.</w:t>
      </w:r>
      <w:r w:rsidR="00D07C83">
        <w:rPr>
          <w:rStyle w:val="FootnoteReference"/>
          <w:sz w:val="24"/>
          <w:szCs w:val="24"/>
        </w:rPr>
        <w:footnoteReference w:id="3"/>
      </w:r>
      <w:r w:rsidRPr="004404D1">
        <w:rPr>
          <w:sz w:val="24"/>
          <w:szCs w:val="24"/>
        </w:rPr>
        <w:t xml:space="preserve"> The document in question not only reflects the individual histories of soldiers but also acts as a collective memory of a nation's wartime experience.</w:t>
      </w:r>
    </w:p>
    <w:p w14:paraId="5C4E20C6" w14:textId="3D3043D7" w:rsidR="004404D1" w:rsidRPr="004404D1" w:rsidRDefault="004404D1" w:rsidP="004404D1">
      <w:pPr>
        <w:rPr>
          <w:sz w:val="24"/>
          <w:szCs w:val="24"/>
        </w:rPr>
      </w:pPr>
      <w:r w:rsidRPr="004404D1">
        <w:rPr>
          <w:sz w:val="24"/>
          <w:szCs w:val="24"/>
        </w:rPr>
        <w:t> </w:t>
      </w:r>
    </w:p>
    <w:p w14:paraId="3C4C30DC" w14:textId="6098D6B9" w:rsidR="004404D1" w:rsidRPr="004404D1" w:rsidRDefault="004404D1" w:rsidP="004404D1">
      <w:pPr>
        <w:rPr>
          <w:sz w:val="24"/>
          <w:szCs w:val="24"/>
        </w:rPr>
      </w:pPr>
      <w:r w:rsidRPr="004404D1">
        <w:rPr>
          <w:sz w:val="24"/>
          <w:szCs w:val="24"/>
        </w:rPr>
        <w:t xml:space="preserve">The purpose of the 'War Badge' document transcends a mere listing of names and service details. It served as a formal recognition of service and a safeguard against the social ostracism of discharged soldiers. The document was not only intended for military and governmental archives but also for the service members themselves, who received the badges and certificates. This served to verify their honourable discharge </w:t>
      </w:r>
      <w:r w:rsidRPr="004404D1">
        <w:rPr>
          <w:sz w:val="24"/>
          <w:szCs w:val="24"/>
        </w:rPr>
        <w:lastRenderedPageBreak/>
        <w:t>due to war-inflicted ailments, ensuring that they were seen as veterans who had fulfilled their patriotic duty.</w:t>
      </w:r>
    </w:p>
    <w:p w14:paraId="51FB3519" w14:textId="672B11F1" w:rsidR="004404D1" w:rsidRPr="004404D1" w:rsidRDefault="004404D1" w:rsidP="004404D1">
      <w:pPr>
        <w:rPr>
          <w:sz w:val="24"/>
          <w:szCs w:val="24"/>
        </w:rPr>
      </w:pPr>
      <w:r w:rsidRPr="004404D1">
        <w:rPr>
          <w:sz w:val="24"/>
          <w:szCs w:val="24"/>
        </w:rPr>
        <w:t> </w:t>
      </w:r>
    </w:p>
    <w:p w14:paraId="2D30DD5F" w14:textId="7A5C3206" w:rsidR="004404D1" w:rsidRDefault="00D72744" w:rsidP="004404D1">
      <w:pPr>
        <w:rPr>
          <w:sz w:val="24"/>
          <w:szCs w:val="24"/>
        </w:rPr>
      </w:pPr>
      <w:r>
        <w:rPr>
          <w:noProof/>
          <w:sz w:val="24"/>
          <w:szCs w:val="24"/>
        </w:rPr>
        <w:drawing>
          <wp:anchor distT="0" distB="0" distL="114300" distR="114300" simplePos="0" relativeHeight="251658240" behindDoc="0" locked="0" layoutInCell="1" allowOverlap="1" wp14:anchorId="3BAE752D" wp14:editId="65FD93BF">
            <wp:simplePos x="0" y="0"/>
            <wp:positionH relativeFrom="column">
              <wp:posOffset>2366645</wp:posOffset>
            </wp:positionH>
            <wp:positionV relativeFrom="paragraph">
              <wp:posOffset>4445</wp:posOffset>
            </wp:positionV>
            <wp:extent cx="3672840" cy="4663440"/>
            <wp:effectExtent l="0" t="0" r="0" b="0"/>
            <wp:wrapSquare wrapText="bothSides"/>
            <wp:docPr id="885322493"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322493" name="Picture 1" descr="A close-up of a documen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72840" cy="4663440"/>
                    </a:xfrm>
                    <a:prstGeom prst="rect">
                      <a:avLst/>
                    </a:prstGeom>
                  </pic:spPr>
                </pic:pic>
              </a:graphicData>
            </a:graphic>
            <wp14:sizeRelH relativeFrom="margin">
              <wp14:pctWidth>0</wp14:pctWidth>
            </wp14:sizeRelH>
            <wp14:sizeRelV relativeFrom="margin">
              <wp14:pctHeight>0</wp14:pctHeight>
            </wp14:sizeRelV>
          </wp:anchor>
        </w:drawing>
      </w:r>
      <w:r w:rsidR="004404D1" w:rsidRPr="004404D1">
        <w:rPr>
          <w:sz w:val="24"/>
          <w:szCs w:val="24"/>
        </w:rPr>
        <w:t>Moreover, the document was designed to serve as a reference for future pension claims and as a tool for the societal reintegration of veterans. It addressed a broader audience, including the families of the servicemen and the wider community. In a time when returning soldiers faced the challenges of re-entering civilian life, such documentation provided a crucial link between their military service and their civilian status. The badge itself was a physical token that could be displayed, symbolising a soldier's service to their country. The document, therefore, can be seen as both an administrative record and a medium of social communication, conveying respect and acknowledgment from the nation to the individual soldier.</w:t>
      </w:r>
    </w:p>
    <w:p w14:paraId="46A93E75" w14:textId="3DF80A77" w:rsidR="004404D1" w:rsidRPr="004404D1" w:rsidRDefault="004404D1" w:rsidP="004404D1">
      <w:pPr>
        <w:rPr>
          <w:sz w:val="24"/>
          <w:szCs w:val="24"/>
        </w:rPr>
      </w:pPr>
    </w:p>
    <w:p w14:paraId="65CDEA24" w14:textId="77777777" w:rsidR="004404D1" w:rsidRPr="004404D1" w:rsidRDefault="004404D1" w:rsidP="004404D1">
      <w:pPr>
        <w:rPr>
          <w:sz w:val="24"/>
          <w:szCs w:val="24"/>
        </w:rPr>
      </w:pPr>
      <w:r w:rsidRPr="004404D1">
        <w:rPr>
          <w:sz w:val="24"/>
          <w:szCs w:val="24"/>
        </w:rPr>
        <w:t>The interpretation and subsequent use of the 'War Badge' document are inherently influenced by its original purpose and audience. Historians and researchers use such documents to extract data on military service patterns, the health impacts of the war, and the social history of veterans. The level of detail provided allows for the construction of statistical analyses, such as the frequency and nature of injuries leading to discharge or the demographics of those who served overseas. However, the document's use is not without limitations. While it provides extensive data, it does not capture the full narrative of each individual's experiences. The causes of discharge are succinctly noted, and while this brevity was likely necessary for the practical purposes of the time, it restricts the depth of understanding one might gain from more comprehensive accounts.</w:t>
      </w:r>
    </w:p>
    <w:p w14:paraId="279C468A" w14:textId="77777777" w:rsidR="004404D1" w:rsidRPr="004404D1" w:rsidRDefault="004404D1" w:rsidP="004404D1">
      <w:pPr>
        <w:rPr>
          <w:sz w:val="24"/>
          <w:szCs w:val="24"/>
        </w:rPr>
      </w:pPr>
      <w:r w:rsidRPr="004404D1">
        <w:rPr>
          <w:sz w:val="24"/>
          <w:szCs w:val="24"/>
        </w:rPr>
        <w:t> </w:t>
      </w:r>
    </w:p>
    <w:p w14:paraId="314ADF58" w14:textId="77777777" w:rsidR="004404D1" w:rsidRPr="004404D1" w:rsidRDefault="004404D1" w:rsidP="004404D1">
      <w:pPr>
        <w:rPr>
          <w:sz w:val="24"/>
          <w:szCs w:val="24"/>
        </w:rPr>
      </w:pPr>
      <w:r w:rsidRPr="004404D1">
        <w:rPr>
          <w:sz w:val="24"/>
          <w:szCs w:val="24"/>
        </w:rPr>
        <w:lastRenderedPageBreak/>
        <w:t>Additionally, the document is a product of its time and is subject to the beliefs, attitudes, and administrative procedures of that period. Modern interpretations must consider the potential for bias or omission within the context of early 20th-century military and societal structures. For instance, the reasons for discharge categorised as "sickness" could encompass a range of conditions, including psychological trauma, which may not have been fully understood or acknowledged at the time.</w:t>
      </w:r>
    </w:p>
    <w:p w14:paraId="20670A30" w14:textId="77777777" w:rsidR="004404D1" w:rsidRPr="004404D1" w:rsidRDefault="004404D1" w:rsidP="004404D1">
      <w:pPr>
        <w:rPr>
          <w:sz w:val="24"/>
          <w:szCs w:val="24"/>
        </w:rPr>
      </w:pPr>
      <w:r w:rsidRPr="004404D1">
        <w:rPr>
          <w:sz w:val="24"/>
          <w:szCs w:val="24"/>
        </w:rPr>
        <w:t> </w:t>
      </w:r>
    </w:p>
    <w:p w14:paraId="2BFE9766" w14:textId="49B7E136" w:rsidR="004404D1" w:rsidRPr="004404D1" w:rsidRDefault="004404D1" w:rsidP="004404D1">
      <w:pPr>
        <w:rPr>
          <w:sz w:val="24"/>
          <w:szCs w:val="24"/>
        </w:rPr>
      </w:pPr>
      <w:r w:rsidRPr="004404D1">
        <w:rPr>
          <w:sz w:val="24"/>
          <w:szCs w:val="24"/>
        </w:rPr>
        <w:t>The enlistment and discharge dates recorded in the 'War Badge' document provide a temporal framework that reveals much about the servicemen's experiences during World War I. Several enlistments predate the implementation of the Derby Scheme in late 1915, which was a precursor to full conscription in 1916.</w:t>
      </w:r>
      <w:r w:rsidR="00FB5B81">
        <w:rPr>
          <w:rStyle w:val="FootnoteReference"/>
          <w:sz w:val="24"/>
          <w:szCs w:val="24"/>
        </w:rPr>
        <w:footnoteReference w:id="4"/>
      </w:r>
      <w:r w:rsidRPr="004404D1">
        <w:rPr>
          <w:sz w:val="24"/>
          <w:szCs w:val="24"/>
        </w:rPr>
        <w:t xml:space="preserve"> This indicates that a number of the men listed volunteered for service early in the war, perhaps driven by a sense of duty or the pervasive patriotic fervour of the time, such as the white feather campaign, a symbol </w:t>
      </w:r>
      <w:r w:rsidR="001138A6">
        <w:rPr>
          <w:sz w:val="24"/>
          <w:szCs w:val="24"/>
        </w:rPr>
        <w:t xml:space="preserve">of </w:t>
      </w:r>
      <w:r w:rsidR="008D10CB">
        <w:rPr>
          <w:sz w:val="24"/>
          <w:szCs w:val="24"/>
        </w:rPr>
        <w:t xml:space="preserve">cowardice or conscientious pacifism </w:t>
      </w:r>
      <w:r w:rsidRPr="004404D1">
        <w:rPr>
          <w:sz w:val="24"/>
          <w:szCs w:val="24"/>
        </w:rPr>
        <w:t>to shame men into signing up to join the war effort.</w:t>
      </w:r>
      <w:r w:rsidR="00FB5B81">
        <w:rPr>
          <w:rStyle w:val="FootnoteReference"/>
          <w:sz w:val="24"/>
          <w:szCs w:val="24"/>
        </w:rPr>
        <w:footnoteReference w:id="5"/>
      </w:r>
      <w:r w:rsidR="00272518">
        <w:rPr>
          <w:rStyle w:val="FootnoteReference"/>
          <w:sz w:val="24"/>
          <w:szCs w:val="24"/>
        </w:rPr>
        <w:footnoteReference w:id="6"/>
      </w:r>
      <w:r w:rsidRPr="004404D1">
        <w:rPr>
          <w:sz w:val="24"/>
          <w:szCs w:val="24"/>
        </w:rPr>
        <w:t xml:space="preserve"> These early volunteers may have experienced the full trajectory of the war, from the initial mobilisation to the weariness that characterised its latter years.</w:t>
      </w:r>
    </w:p>
    <w:p w14:paraId="6102F43A" w14:textId="77777777" w:rsidR="004404D1" w:rsidRPr="004404D1" w:rsidRDefault="004404D1" w:rsidP="004404D1">
      <w:pPr>
        <w:rPr>
          <w:sz w:val="24"/>
          <w:szCs w:val="24"/>
        </w:rPr>
      </w:pPr>
      <w:r w:rsidRPr="004404D1">
        <w:rPr>
          <w:sz w:val="24"/>
          <w:szCs w:val="24"/>
        </w:rPr>
        <w:t> </w:t>
      </w:r>
    </w:p>
    <w:p w14:paraId="49603C8C" w14:textId="5A7FDFEC" w:rsidR="004404D1" w:rsidRPr="004404D1" w:rsidRDefault="004404D1" w:rsidP="004404D1">
      <w:pPr>
        <w:rPr>
          <w:sz w:val="24"/>
          <w:szCs w:val="24"/>
        </w:rPr>
      </w:pPr>
      <w:r w:rsidRPr="004404D1">
        <w:rPr>
          <w:sz w:val="24"/>
          <w:szCs w:val="24"/>
        </w:rPr>
        <w:t xml:space="preserve">The discharge dates can be poignant indicators of the war's toll on these individuals. </w:t>
      </w:r>
      <w:r w:rsidR="00C76DDF">
        <w:rPr>
          <w:sz w:val="24"/>
          <w:szCs w:val="24"/>
        </w:rPr>
        <w:t>The</w:t>
      </w:r>
      <w:r w:rsidRPr="004404D1">
        <w:rPr>
          <w:sz w:val="24"/>
          <w:szCs w:val="24"/>
        </w:rPr>
        <w:t xml:space="preserve"> discharges occurred </w:t>
      </w:r>
      <w:r w:rsidR="00C76DDF">
        <w:rPr>
          <w:sz w:val="24"/>
          <w:szCs w:val="24"/>
        </w:rPr>
        <w:t xml:space="preserve">listed all occurred on the </w:t>
      </w:r>
      <w:proofErr w:type="gramStart"/>
      <w:r w:rsidR="00C76DDF">
        <w:rPr>
          <w:sz w:val="24"/>
          <w:szCs w:val="24"/>
        </w:rPr>
        <w:t>16</w:t>
      </w:r>
      <w:r w:rsidR="00C76DDF" w:rsidRPr="00C76DDF">
        <w:rPr>
          <w:sz w:val="24"/>
          <w:szCs w:val="24"/>
          <w:vertAlign w:val="superscript"/>
        </w:rPr>
        <w:t>th</w:t>
      </w:r>
      <w:proofErr w:type="gramEnd"/>
      <w:r w:rsidR="00C76DDF">
        <w:rPr>
          <w:sz w:val="24"/>
          <w:szCs w:val="24"/>
        </w:rPr>
        <w:t xml:space="preserve"> September </w:t>
      </w:r>
      <w:r w:rsidRPr="004404D1">
        <w:rPr>
          <w:sz w:val="24"/>
          <w:szCs w:val="24"/>
        </w:rPr>
        <w:t xml:space="preserve">1918, </w:t>
      </w:r>
      <w:r w:rsidR="001E38C2">
        <w:rPr>
          <w:sz w:val="24"/>
          <w:szCs w:val="24"/>
        </w:rPr>
        <w:t>the months before this date are</w:t>
      </w:r>
      <w:r w:rsidRPr="004404D1">
        <w:rPr>
          <w:sz w:val="24"/>
          <w:szCs w:val="24"/>
        </w:rPr>
        <w:t xml:space="preserve"> marked by some of the most intense and deadly battles of the conflict. It is reasonable to speculate that these soldiers could have been involved in significant battles</w:t>
      </w:r>
      <w:r w:rsidR="00B447F8">
        <w:rPr>
          <w:sz w:val="24"/>
          <w:szCs w:val="24"/>
        </w:rPr>
        <w:t>, including:</w:t>
      </w:r>
      <w:r w:rsidRPr="004404D1">
        <w:rPr>
          <w:sz w:val="24"/>
          <w:szCs w:val="24"/>
        </w:rPr>
        <w:t xml:space="preserve"> </w:t>
      </w:r>
      <w:r w:rsidR="00B447F8">
        <w:rPr>
          <w:sz w:val="24"/>
          <w:szCs w:val="24"/>
        </w:rPr>
        <w:t xml:space="preserve">The German </w:t>
      </w:r>
      <w:r w:rsidRPr="004404D1">
        <w:rPr>
          <w:sz w:val="24"/>
          <w:szCs w:val="24"/>
        </w:rPr>
        <w:t>Spring Offensive</w:t>
      </w:r>
      <w:r w:rsidR="00B447F8">
        <w:rPr>
          <w:sz w:val="24"/>
          <w:szCs w:val="24"/>
        </w:rPr>
        <w:t>,</w:t>
      </w:r>
      <w:r w:rsidR="00CA4EC0">
        <w:rPr>
          <w:sz w:val="24"/>
          <w:szCs w:val="24"/>
        </w:rPr>
        <w:t xml:space="preserve"> Belleau Wood,</w:t>
      </w:r>
      <w:r w:rsidR="00B447F8">
        <w:rPr>
          <w:sz w:val="24"/>
          <w:szCs w:val="24"/>
        </w:rPr>
        <w:t xml:space="preserve"> </w:t>
      </w:r>
      <w:r w:rsidR="00D72C72">
        <w:rPr>
          <w:sz w:val="24"/>
          <w:szCs w:val="24"/>
        </w:rPr>
        <w:t>Hundred Days Offensive,</w:t>
      </w:r>
      <w:r w:rsidR="00477C3F">
        <w:rPr>
          <w:sz w:val="24"/>
          <w:szCs w:val="24"/>
        </w:rPr>
        <w:t xml:space="preserve"> 2</w:t>
      </w:r>
      <w:r w:rsidR="00477C3F" w:rsidRPr="00477C3F">
        <w:rPr>
          <w:sz w:val="24"/>
          <w:szCs w:val="24"/>
          <w:vertAlign w:val="superscript"/>
        </w:rPr>
        <w:t>nd</w:t>
      </w:r>
      <w:r w:rsidR="00477C3F">
        <w:rPr>
          <w:sz w:val="24"/>
          <w:szCs w:val="24"/>
        </w:rPr>
        <w:t xml:space="preserve"> Battle </w:t>
      </w:r>
      <w:proofErr w:type="gramStart"/>
      <w:r w:rsidR="00477C3F">
        <w:rPr>
          <w:sz w:val="24"/>
          <w:szCs w:val="24"/>
        </w:rPr>
        <w:t>Of</w:t>
      </w:r>
      <w:proofErr w:type="gramEnd"/>
      <w:r w:rsidR="00477C3F">
        <w:rPr>
          <w:sz w:val="24"/>
          <w:szCs w:val="24"/>
        </w:rPr>
        <w:t xml:space="preserve"> The Marne</w:t>
      </w:r>
      <w:r w:rsidR="00BD38D1">
        <w:rPr>
          <w:sz w:val="24"/>
          <w:szCs w:val="24"/>
        </w:rPr>
        <w:t>, The Battle of Amiens</w:t>
      </w:r>
      <w:r w:rsidRPr="004404D1">
        <w:rPr>
          <w:sz w:val="24"/>
          <w:szCs w:val="24"/>
        </w:rPr>
        <w:t>.</w:t>
      </w:r>
      <w:r w:rsidR="003156BA">
        <w:rPr>
          <w:rStyle w:val="FootnoteReference"/>
          <w:sz w:val="24"/>
          <w:szCs w:val="24"/>
        </w:rPr>
        <w:footnoteReference w:id="7"/>
      </w:r>
      <w:r w:rsidRPr="004404D1">
        <w:rPr>
          <w:sz w:val="24"/>
          <w:szCs w:val="24"/>
        </w:rPr>
        <w:t xml:space="preserve"> The timing of their discharges, often due to wounds, aligns with the aftermath of these notorious engagements. The physical and psychological scars borne by these soldiers likely led to their release from service, granting them the 'War Badge' as a token of their sacrifice.</w:t>
      </w:r>
    </w:p>
    <w:p w14:paraId="0BFF9AC8" w14:textId="77777777" w:rsidR="004404D1" w:rsidRPr="004404D1" w:rsidRDefault="004404D1" w:rsidP="004404D1">
      <w:pPr>
        <w:rPr>
          <w:sz w:val="24"/>
          <w:szCs w:val="24"/>
        </w:rPr>
      </w:pPr>
      <w:r w:rsidRPr="004404D1">
        <w:rPr>
          <w:sz w:val="24"/>
          <w:szCs w:val="24"/>
        </w:rPr>
        <w:t> </w:t>
      </w:r>
    </w:p>
    <w:p w14:paraId="67E1AEEA" w14:textId="77777777" w:rsidR="004404D1" w:rsidRPr="004404D1" w:rsidRDefault="004404D1" w:rsidP="004404D1">
      <w:pPr>
        <w:rPr>
          <w:sz w:val="24"/>
          <w:szCs w:val="24"/>
        </w:rPr>
      </w:pPr>
      <w:r w:rsidRPr="004404D1">
        <w:rPr>
          <w:sz w:val="24"/>
          <w:szCs w:val="24"/>
        </w:rPr>
        <w:t xml:space="preserve">The enlistment and discharge dates also raise questions about the individual experiences of these soldiers. Did they enlist in good faith only to become discouraged by the horrors of trench warfare? How did their service and subsequent discharge shape the rest of their lives in post-war Britain? While the document cannot answer these </w:t>
      </w:r>
      <w:r w:rsidRPr="004404D1">
        <w:rPr>
          <w:sz w:val="24"/>
          <w:szCs w:val="24"/>
        </w:rPr>
        <w:lastRenderedPageBreak/>
        <w:t>questions definitively, it prompts a thoughtful exploration of the personal narratives that underlie each entry.</w:t>
      </w:r>
    </w:p>
    <w:p w14:paraId="5800330E" w14:textId="77777777" w:rsidR="004404D1" w:rsidRPr="004404D1" w:rsidRDefault="004404D1" w:rsidP="004404D1">
      <w:pPr>
        <w:rPr>
          <w:sz w:val="24"/>
          <w:szCs w:val="24"/>
        </w:rPr>
      </w:pPr>
      <w:r w:rsidRPr="004404D1">
        <w:rPr>
          <w:sz w:val="24"/>
          <w:szCs w:val="24"/>
        </w:rPr>
        <w:t> </w:t>
      </w:r>
    </w:p>
    <w:p w14:paraId="0822891D" w14:textId="7BAC58E4" w:rsidR="004404D1" w:rsidRPr="004404D1" w:rsidRDefault="004404D1" w:rsidP="004404D1">
      <w:pPr>
        <w:rPr>
          <w:sz w:val="24"/>
          <w:szCs w:val="24"/>
        </w:rPr>
      </w:pPr>
      <w:r w:rsidRPr="004404D1">
        <w:rPr>
          <w:sz w:val="24"/>
          <w:szCs w:val="24"/>
        </w:rPr>
        <w:t>Furthermore, the varying lengths of service among the men listed suggest a diversity of experiences. Those who served longer may have been subjected to prolonged exposure to combat, while others, perhaps discharged relatively quickly due to severe injuries or illness, had their military service abruptly cut short. The document does not detail their battles, units, or the conditions they faced, leaving a gap that invites speculation and further research.</w:t>
      </w:r>
      <w:r w:rsidR="00FF085B">
        <w:rPr>
          <w:sz w:val="24"/>
          <w:szCs w:val="24"/>
        </w:rPr>
        <w:t xml:space="preserve"> </w:t>
      </w:r>
      <w:r w:rsidRPr="004404D1">
        <w:rPr>
          <w:sz w:val="24"/>
          <w:szCs w:val="24"/>
        </w:rPr>
        <w:t xml:space="preserve">In light of these considerations, the 'War Badge' document is not just a record of service; it is a starting point for inquiry into the lived experiences of soldiers during World War I. The enlistment and discharge dates </w:t>
      </w:r>
      <w:r w:rsidR="00332A5A" w:rsidRPr="004404D1">
        <w:rPr>
          <w:sz w:val="24"/>
          <w:szCs w:val="24"/>
        </w:rPr>
        <w:t>open</w:t>
      </w:r>
      <w:r w:rsidRPr="004404D1">
        <w:rPr>
          <w:sz w:val="24"/>
          <w:szCs w:val="24"/>
        </w:rPr>
        <w:t xml:space="preserve"> avenues for understanding not only the military aspects of the war but also its profound personal and societal repercussions.</w:t>
      </w:r>
    </w:p>
    <w:p w14:paraId="2FF2DD9A" w14:textId="77777777" w:rsidR="004404D1" w:rsidRPr="004404D1" w:rsidRDefault="004404D1" w:rsidP="004404D1">
      <w:pPr>
        <w:rPr>
          <w:sz w:val="24"/>
          <w:szCs w:val="24"/>
        </w:rPr>
      </w:pPr>
      <w:r w:rsidRPr="004404D1">
        <w:rPr>
          <w:sz w:val="24"/>
          <w:szCs w:val="24"/>
        </w:rPr>
        <w:t> </w:t>
      </w:r>
    </w:p>
    <w:p w14:paraId="132C1C0A" w14:textId="77777777" w:rsidR="004404D1" w:rsidRPr="004404D1" w:rsidRDefault="004404D1" w:rsidP="004404D1">
      <w:pPr>
        <w:rPr>
          <w:sz w:val="24"/>
          <w:szCs w:val="24"/>
        </w:rPr>
      </w:pPr>
      <w:r w:rsidRPr="004404D1">
        <w:rPr>
          <w:sz w:val="24"/>
          <w:szCs w:val="24"/>
        </w:rPr>
        <w:t>One of the document's primary strengths lies in its authenticity and specificity. As an official military record, it carries a high degree of credibility. The precise details of names, ranks, and service numbers provide a valuable resource for genealogical research, allowing descendants to trace their ancestors' military history. Another strength is its breadth of coverage, offering a snapshot of a cross-section of the military population affected by the war. This inclusivity makes it a critical piece for social history studies, reflecting the scale of the war's impact on individual lives and the nation.</w:t>
      </w:r>
    </w:p>
    <w:p w14:paraId="1E3C5CDD" w14:textId="77777777" w:rsidR="004404D1" w:rsidRPr="004404D1" w:rsidRDefault="004404D1" w:rsidP="004404D1">
      <w:pPr>
        <w:rPr>
          <w:sz w:val="24"/>
          <w:szCs w:val="24"/>
        </w:rPr>
      </w:pPr>
      <w:r w:rsidRPr="004404D1">
        <w:rPr>
          <w:sz w:val="24"/>
          <w:szCs w:val="24"/>
        </w:rPr>
        <w:t> </w:t>
      </w:r>
    </w:p>
    <w:p w14:paraId="0CC34ABA" w14:textId="77777777" w:rsidR="004404D1" w:rsidRPr="004404D1" w:rsidRDefault="004404D1" w:rsidP="004404D1">
      <w:pPr>
        <w:rPr>
          <w:sz w:val="24"/>
          <w:szCs w:val="24"/>
        </w:rPr>
      </w:pPr>
      <w:r w:rsidRPr="004404D1">
        <w:rPr>
          <w:sz w:val="24"/>
          <w:szCs w:val="24"/>
        </w:rPr>
        <w:t>Conversely, the document's weaknesses stem from its inherent limitations as a primary source. The data is static and does not provide the dynamic narratives of the soldiers' experiences. It lacks the emotional and personal context that letters, diaries, or memoirs might offer. Additionally, it is limited to those who received the war badge, excluding soldiers who died in service or were discharged under different circumstances, potentially skewing historical interpretations towards those who survived. Another weakness is the potential for clerical errors or omissions. In the vast administrative machinery of wartime record-keeping, inaccuracies could occur, affecting the reliability of the document for precise historical reconstruction.</w:t>
      </w:r>
    </w:p>
    <w:p w14:paraId="3B167D24" w14:textId="77777777" w:rsidR="004404D1" w:rsidRPr="004404D1" w:rsidRDefault="004404D1" w:rsidP="004404D1">
      <w:pPr>
        <w:rPr>
          <w:sz w:val="24"/>
          <w:szCs w:val="24"/>
        </w:rPr>
      </w:pPr>
      <w:r w:rsidRPr="004404D1">
        <w:rPr>
          <w:sz w:val="24"/>
          <w:szCs w:val="24"/>
        </w:rPr>
        <w:t> </w:t>
      </w:r>
    </w:p>
    <w:p w14:paraId="68CB9110" w14:textId="77777777" w:rsidR="004404D1" w:rsidRPr="004404D1" w:rsidRDefault="004404D1" w:rsidP="004404D1">
      <w:pPr>
        <w:rPr>
          <w:sz w:val="24"/>
          <w:szCs w:val="24"/>
        </w:rPr>
      </w:pPr>
      <w:r w:rsidRPr="004404D1">
        <w:rPr>
          <w:sz w:val="24"/>
          <w:szCs w:val="24"/>
        </w:rPr>
        <w:t>The War Office of the British Army, which is where the "War Badge" document's official origin originates, supports its legitimacy. The formal processes of verification, as indicated by the meticulous recording and authentication through signatures and stamps, enhance its credibility. Cross-referencing this document with other military records from the time, such as service and pension records, can affirm the accuracy of the information presented. Historians and researchers rely on such documents for their veracity, as they often form the backbone of quantitative historical analyses.</w:t>
      </w:r>
    </w:p>
    <w:p w14:paraId="6488FB7C" w14:textId="77777777" w:rsidR="004404D1" w:rsidRPr="004404D1" w:rsidRDefault="004404D1" w:rsidP="004404D1">
      <w:pPr>
        <w:rPr>
          <w:sz w:val="24"/>
          <w:szCs w:val="24"/>
        </w:rPr>
      </w:pPr>
      <w:r w:rsidRPr="004404D1">
        <w:rPr>
          <w:sz w:val="24"/>
          <w:szCs w:val="24"/>
        </w:rPr>
        <w:lastRenderedPageBreak/>
        <w:t> </w:t>
      </w:r>
    </w:p>
    <w:p w14:paraId="7624BABB" w14:textId="77777777" w:rsidR="004404D1" w:rsidRPr="004404D1" w:rsidRDefault="004404D1" w:rsidP="004404D1">
      <w:pPr>
        <w:rPr>
          <w:sz w:val="24"/>
          <w:szCs w:val="24"/>
        </w:rPr>
      </w:pPr>
      <w:r w:rsidRPr="004404D1">
        <w:rPr>
          <w:sz w:val="24"/>
          <w:szCs w:val="24"/>
        </w:rPr>
        <w:t>However, the reliability of historical documents is not absolute. It must be considered alongside the knowledge that errors and biases can exist, especially in mass-produced records from chaotic periods like World War I. The potential for clerical errors, while small, can impact individual entries. Moreover, the criteria for awarding the war badge and the classification of discharge reasons could be subjected to interpretation and policy changes over time, which might affect consistency.</w:t>
      </w:r>
    </w:p>
    <w:p w14:paraId="7A1C8D58" w14:textId="77777777" w:rsidR="004404D1" w:rsidRPr="004404D1" w:rsidRDefault="004404D1" w:rsidP="004404D1">
      <w:pPr>
        <w:rPr>
          <w:sz w:val="24"/>
          <w:szCs w:val="24"/>
        </w:rPr>
      </w:pPr>
      <w:r w:rsidRPr="004404D1">
        <w:rPr>
          <w:sz w:val="24"/>
          <w:szCs w:val="24"/>
        </w:rPr>
        <w:t> </w:t>
      </w:r>
    </w:p>
    <w:p w14:paraId="34675B16" w14:textId="77777777" w:rsidR="004404D1" w:rsidRPr="004404D1" w:rsidRDefault="004404D1" w:rsidP="004404D1">
      <w:pPr>
        <w:rPr>
          <w:sz w:val="24"/>
          <w:szCs w:val="24"/>
        </w:rPr>
      </w:pPr>
      <w:r w:rsidRPr="004404D1">
        <w:rPr>
          <w:sz w:val="24"/>
          <w:szCs w:val="24"/>
        </w:rPr>
        <w:t>The usefulness of the 'War Badge' document extends beyond its function as a military record. It provides historians with a framework to understand the scale and consequences of World War I, particularly in terms of human cost. The document aids in constructing demographic profiles of soldiers, analysing patterns in military service, and assessing the impact of war on physical and mental health.</w:t>
      </w:r>
    </w:p>
    <w:p w14:paraId="7C1E270B" w14:textId="77777777" w:rsidR="004404D1" w:rsidRPr="004404D1" w:rsidRDefault="004404D1" w:rsidP="004404D1">
      <w:pPr>
        <w:rPr>
          <w:sz w:val="24"/>
          <w:szCs w:val="24"/>
        </w:rPr>
      </w:pPr>
      <w:r w:rsidRPr="004404D1">
        <w:rPr>
          <w:sz w:val="24"/>
          <w:szCs w:val="24"/>
        </w:rPr>
        <w:t> </w:t>
      </w:r>
    </w:p>
    <w:p w14:paraId="2BCCB8D9" w14:textId="77777777" w:rsidR="004404D1" w:rsidRPr="004404D1" w:rsidRDefault="004404D1" w:rsidP="004404D1">
      <w:pPr>
        <w:rPr>
          <w:sz w:val="24"/>
          <w:szCs w:val="24"/>
        </w:rPr>
      </w:pPr>
      <w:r w:rsidRPr="004404D1">
        <w:rPr>
          <w:sz w:val="24"/>
          <w:szCs w:val="24"/>
        </w:rPr>
        <w:t>Although the document is a rich source of information, its scope and the circumstances surrounding its creation limit its usefulness. It captures only a segment of the military population, specifically those who were discharged and awarded the badge. Therefore, while it is a treasure trove for certain types of analysis, it does not present a complete picture of all servicemen's experiences during the war. To fully leverage its usefulness, it should be used in conjunction with other primary and secondary sources to build a more comprehensive historical narrative.</w:t>
      </w:r>
    </w:p>
    <w:p w14:paraId="56779753" w14:textId="27AFD26E" w:rsidR="003763DA" w:rsidRDefault="004404D1" w:rsidP="004404D1">
      <w:pPr>
        <w:rPr>
          <w:sz w:val="24"/>
          <w:szCs w:val="24"/>
        </w:rPr>
      </w:pPr>
      <w:r w:rsidRPr="004404D1">
        <w:rPr>
          <w:sz w:val="24"/>
          <w:szCs w:val="24"/>
        </w:rPr>
        <w:t> </w:t>
      </w:r>
    </w:p>
    <w:p w14:paraId="43340FE8" w14:textId="0B8E1EFC" w:rsidR="00A20A77" w:rsidRDefault="00A20A77" w:rsidP="00A20A77">
      <w:pPr>
        <w:rPr>
          <w:sz w:val="24"/>
          <w:szCs w:val="24"/>
          <w:lang w:eastAsia="en-GB"/>
        </w:rPr>
      </w:pPr>
      <w:r w:rsidRPr="00A20A77">
        <w:rPr>
          <w:sz w:val="24"/>
          <w:szCs w:val="24"/>
          <w:lang w:eastAsia="en-GB"/>
        </w:rPr>
        <w:t>In summary, the 'War Badge' document is an invaluable historical artefact that sheds light on the sacrifices and services of World War I soldiers. It offers crucial data for genealogical and socio-military research, symbolizing national recognition of service. The inclusion of individuals like my great-great-grandfather, Joseph Barker, ensures personal bravery is commemorated within the broader context of war. However, its focus on those awarded the badge and potential clerical inaccuracies underscore the need for diverse sources in historical studies.</w:t>
      </w:r>
      <w:r w:rsidR="00267229">
        <w:rPr>
          <w:sz w:val="24"/>
          <w:szCs w:val="24"/>
          <w:lang w:eastAsia="en-GB"/>
        </w:rPr>
        <w:t xml:space="preserve"> </w:t>
      </w:r>
      <w:r w:rsidRPr="00A20A77">
        <w:rPr>
          <w:sz w:val="24"/>
          <w:szCs w:val="24"/>
          <w:lang w:eastAsia="en-GB"/>
        </w:rPr>
        <w:t>While rich in detail, the document's lack of personal narratives and its restricted scope highlight the complexity of war and its aftermath. It is a poignant reminder of the human aspects of military history, encouraging a deeper exploration into the lives of those who served. Ultimately, the 'War Badge' document is more than a list of names and service details; it is a gateway to understanding the immense human cost of war and the resilience of those who endured it.</w:t>
      </w:r>
    </w:p>
    <w:p w14:paraId="03D015DC" w14:textId="77777777" w:rsidR="00390332" w:rsidRDefault="00390332" w:rsidP="00A20A77">
      <w:pPr>
        <w:rPr>
          <w:sz w:val="24"/>
          <w:szCs w:val="24"/>
          <w:lang w:eastAsia="en-GB"/>
        </w:rPr>
      </w:pPr>
    </w:p>
    <w:p w14:paraId="65DE4C74" w14:textId="77777777" w:rsidR="00804E3D" w:rsidRDefault="00804E3D" w:rsidP="00A20A77">
      <w:pPr>
        <w:rPr>
          <w:sz w:val="28"/>
          <w:szCs w:val="28"/>
          <w:u w:val="single"/>
          <w:lang w:eastAsia="en-GB"/>
        </w:rPr>
      </w:pPr>
    </w:p>
    <w:p w14:paraId="451EAA19" w14:textId="77777777" w:rsidR="00804E3D" w:rsidRDefault="00804E3D" w:rsidP="00A20A77">
      <w:pPr>
        <w:rPr>
          <w:sz w:val="28"/>
          <w:szCs w:val="28"/>
          <w:u w:val="single"/>
          <w:lang w:eastAsia="en-GB"/>
        </w:rPr>
      </w:pPr>
    </w:p>
    <w:p w14:paraId="0BFC4AF6" w14:textId="1C27FCEC" w:rsidR="00390332" w:rsidRPr="00390332" w:rsidRDefault="00390332" w:rsidP="00A20A77">
      <w:pPr>
        <w:rPr>
          <w:sz w:val="28"/>
          <w:szCs w:val="28"/>
          <w:u w:val="single"/>
          <w:lang w:eastAsia="en-GB"/>
        </w:rPr>
      </w:pPr>
      <w:r w:rsidRPr="00390332">
        <w:rPr>
          <w:sz w:val="28"/>
          <w:szCs w:val="28"/>
          <w:u w:val="single"/>
          <w:lang w:eastAsia="en-GB"/>
        </w:rPr>
        <w:lastRenderedPageBreak/>
        <w:t>Reference list</w:t>
      </w:r>
    </w:p>
    <w:p w14:paraId="51FBC6BC" w14:textId="77777777" w:rsidR="00390332" w:rsidRPr="00CA28DB" w:rsidRDefault="00390332" w:rsidP="00A20A77">
      <w:pPr>
        <w:rPr>
          <w:sz w:val="24"/>
          <w:szCs w:val="24"/>
          <w:lang w:eastAsia="en-GB"/>
        </w:rPr>
      </w:pPr>
    </w:p>
    <w:p w14:paraId="4E1DAD38" w14:textId="77777777" w:rsidR="00390332" w:rsidRPr="00CA28DB" w:rsidRDefault="00390332" w:rsidP="00390332">
      <w:pPr>
        <w:pStyle w:val="muitypography-root"/>
        <w:numPr>
          <w:ilvl w:val="0"/>
          <w:numId w:val="1"/>
        </w:numPr>
        <w:rPr>
          <w:rFonts w:asciiTheme="minorHAnsi" w:hAnsiTheme="minorHAnsi"/>
        </w:rPr>
      </w:pPr>
      <w:r w:rsidRPr="00CA28DB">
        <w:rPr>
          <w:rFonts w:asciiTheme="minorHAnsi" w:hAnsiTheme="minorHAnsi"/>
          <w:i/>
          <w:iCs/>
        </w:rPr>
        <w:t>The Group System (Derby Scheme) - The Long, Long Trail</w:t>
      </w:r>
      <w:r w:rsidRPr="00CA28DB">
        <w:rPr>
          <w:rFonts w:asciiTheme="minorHAnsi" w:hAnsiTheme="minorHAnsi"/>
        </w:rPr>
        <w:t xml:space="preserve">. (2022, December 2). The Long, Long Trail. </w:t>
      </w:r>
      <w:r w:rsidRPr="00CA28DB">
        <w:rPr>
          <w:rFonts w:asciiTheme="minorHAnsi" w:hAnsiTheme="minorHAnsi"/>
          <w:color w:val="156082" w:themeColor="accent1"/>
        </w:rPr>
        <w:t>https://www.longlongtrail.co.uk/soldiers/a-soldiers-life-1914-1918/enlisting-into-the-army/the-group-scheme-derby-scheme/</w:t>
      </w:r>
    </w:p>
    <w:p w14:paraId="130A3952" w14:textId="0FE4310C" w:rsidR="00A07D62" w:rsidRPr="00CA28DB" w:rsidRDefault="00A07D62" w:rsidP="00A07D62">
      <w:pPr>
        <w:pStyle w:val="ListParagraph"/>
        <w:numPr>
          <w:ilvl w:val="0"/>
          <w:numId w:val="1"/>
        </w:numPr>
        <w:spacing w:before="100" w:beforeAutospacing="1" w:after="100" w:afterAutospacing="1" w:line="240" w:lineRule="auto"/>
        <w:rPr>
          <w:rFonts w:eastAsia="Times New Roman" w:cs="Times New Roman"/>
          <w:kern w:val="0"/>
          <w:sz w:val="24"/>
          <w:szCs w:val="24"/>
          <w:lang w:eastAsia="en-GB"/>
          <w14:ligatures w14:val="none"/>
        </w:rPr>
      </w:pPr>
      <w:r w:rsidRPr="00CA28DB">
        <w:rPr>
          <w:rFonts w:eastAsia="Times New Roman" w:cs="Times New Roman"/>
          <w:kern w:val="0"/>
          <w:sz w:val="24"/>
          <w:szCs w:val="24"/>
          <w:lang w:eastAsia="en-GB"/>
          <w14:ligatures w14:val="none"/>
        </w:rPr>
        <w:t xml:space="preserve">Office, G. B. W. (1914, January 1). </w:t>
      </w:r>
      <w:r w:rsidRPr="00CA28DB">
        <w:rPr>
          <w:rFonts w:eastAsia="Times New Roman" w:cs="Times New Roman"/>
          <w:i/>
          <w:iCs/>
          <w:kern w:val="0"/>
          <w:sz w:val="24"/>
          <w:szCs w:val="24"/>
          <w:lang w:eastAsia="en-GB"/>
          <w14:ligatures w14:val="none"/>
        </w:rPr>
        <w:t>Manual of Military Law</w:t>
      </w:r>
      <w:r w:rsidRPr="00CA28DB">
        <w:rPr>
          <w:rFonts w:eastAsia="Times New Roman" w:cs="Times New Roman"/>
          <w:kern w:val="0"/>
          <w:sz w:val="24"/>
          <w:szCs w:val="24"/>
          <w:lang w:eastAsia="en-GB"/>
          <w14:ligatures w14:val="none"/>
        </w:rPr>
        <w:t xml:space="preserve">. </w:t>
      </w:r>
    </w:p>
    <w:p w14:paraId="1ED19FE3" w14:textId="77777777" w:rsidR="00BA3B50" w:rsidRPr="00CA28DB" w:rsidRDefault="00BA3B50" w:rsidP="00BA3B50">
      <w:pPr>
        <w:pStyle w:val="ListParagraph"/>
        <w:numPr>
          <w:ilvl w:val="0"/>
          <w:numId w:val="1"/>
        </w:numPr>
        <w:spacing w:before="100" w:beforeAutospacing="1" w:after="100" w:afterAutospacing="1" w:line="240" w:lineRule="auto"/>
        <w:rPr>
          <w:rFonts w:eastAsia="Times New Roman" w:cs="Times New Roman"/>
          <w:kern w:val="0"/>
          <w:sz w:val="24"/>
          <w:szCs w:val="24"/>
          <w:lang w:eastAsia="en-GB"/>
          <w14:ligatures w14:val="none"/>
        </w:rPr>
      </w:pPr>
      <w:r w:rsidRPr="00CA28DB">
        <w:rPr>
          <w:rFonts w:eastAsia="Times New Roman" w:cs="Times New Roman"/>
          <w:i/>
          <w:iCs/>
          <w:kern w:val="0"/>
          <w:sz w:val="24"/>
          <w:szCs w:val="24"/>
          <w:lang w:eastAsia="en-GB"/>
          <w14:ligatures w14:val="none"/>
        </w:rPr>
        <w:t>Silver War Badge and Kings Certificate of Discharge</w:t>
      </w:r>
      <w:r w:rsidRPr="00CA28DB">
        <w:rPr>
          <w:rFonts w:eastAsia="Times New Roman" w:cs="Times New Roman"/>
          <w:kern w:val="0"/>
          <w:sz w:val="24"/>
          <w:szCs w:val="24"/>
          <w:lang w:eastAsia="en-GB"/>
          <w14:ligatures w14:val="none"/>
        </w:rPr>
        <w:t xml:space="preserve">. (n.d.). Imperial War Museums. </w:t>
      </w:r>
      <w:r w:rsidRPr="00CA28DB">
        <w:rPr>
          <w:rFonts w:eastAsia="Times New Roman" w:cs="Times New Roman"/>
          <w:color w:val="156082" w:themeColor="accent1"/>
          <w:kern w:val="0"/>
          <w:sz w:val="24"/>
          <w:szCs w:val="24"/>
          <w:lang w:eastAsia="en-GB"/>
          <w14:ligatures w14:val="none"/>
        </w:rPr>
        <w:t>https://www.iwm.org.uk/history/silver-war-badge-and-kings-certificate-of-discharge</w:t>
      </w:r>
    </w:p>
    <w:p w14:paraId="59906C8C" w14:textId="77777777" w:rsidR="00CD756B" w:rsidRPr="00CA28DB" w:rsidRDefault="00CD756B" w:rsidP="00CD756B">
      <w:pPr>
        <w:pStyle w:val="ListParagraph"/>
        <w:numPr>
          <w:ilvl w:val="0"/>
          <w:numId w:val="1"/>
        </w:numPr>
        <w:spacing w:before="100" w:beforeAutospacing="1" w:after="100" w:afterAutospacing="1" w:line="240" w:lineRule="auto"/>
        <w:rPr>
          <w:rFonts w:eastAsia="Times New Roman" w:cs="Times New Roman"/>
          <w:kern w:val="0"/>
          <w:sz w:val="24"/>
          <w:szCs w:val="24"/>
          <w:lang w:eastAsia="en-GB"/>
          <w14:ligatures w14:val="none"/>
        </w:rPr>
      </w:pPr>
      <w:r w:rsidRPr="00CA28DB">
        <w:rPr>
          <w:rFonts w:eastAsia="Times New Roman" w:cs="Times New Roman"/>
          <w:kern w:val="0"/>
          <w:sz w:val="24"/>
          <w:szCs w:val="24"/>
          <w:lang w:eastAsia="en-GB"/>
          <w14:ligatures w14:val="none"/>
        </w:rPr>
        <w:t xml:space="preserve">McGhee, B. B. (2017, June 19). </w:t>
      </w:r>
      <w:r w:rsidRPr="00CA28DB">
        <w:rPr>
          <w:rFonts w:eastAsia="Times New Roman" w:cs="Times New Roman"/>
          <w:i/>
          <w:iCs/>
          <w:kern w:val="0"/>
          <w:sz w:val="24"/>
          <w:szCs w:val="24"/>
          <w:lang w:eastAsia="en-GB"/>
          <w14:ligatures w14:val="none"/>
        </w:rPr>
        <w:t>Attitudes Towards Conscription - WW1 East Sussex</w:t>
      </w:r>
      <w:r w:rsidRPr="00CA28DB">
        <w:rPr>
          <w:rFonts w:eastAsia="Times New Roman" w:cs="Times New Roman"/>
          <w:kern w:val="0"/>
          <w:sz w:val="24"/>
          <w:szCs w:val="24"/>
          <w:lang w:eastAsia="en-GB"/>
          <w14:ligatures w14:val="none"/>
        </w:rPr>
        <w:t xml:space="preserve">. WW1 East Sussex. </w:t>
      </w:r>
      <w:r w:rsidRPr="00CA28DB">
        <w:rPr>
          <w:rFonts w:eastAsia="Times New Roman" w:cs="Times New Roman"/>
          <w:color w:val="156082" w:themeColor="accent1"/>
          <w:kern w:val="0"/>
          <w:sz w:val="24"/>
          <w:szCs w:val="24"/>
          <w:lang w:eastAsia="en-GB"/>
          <w14:ligatures w14:val="none"/>
        </w:rPr>
        <w:t>https://web.archive.org/web/20201112024909/http://www.eastsussexww1.org.uk/attitudes-towards-conscription/index.html</w:t>
      </w:r>
    </w:p>
    <w:p w14:paraId="225D1EBB" w14:textId="77777777" w:rsidR="00246900" w:rsidRPr="00CA28DB" w:rsidRDefault="00246900" w:rsidP="00246900">
      <w:pPr>
        <w:pStyle w:val="ListParagraph"/>
        <w:numPr>
          <w:ilvl w:val="0"/>
          <w:numId w:val="1"/>
        </w:numPr>
        <w:spacing w:before="100" w:beforeAutospacing="1" w:after="100" w:afterAutospacing="1" w:line="240" w:lineRule="auto"/>
        <w:rPr>
          <w:rFonts w:eastAsia="Times New Roman" w:cs="Times New Roman"/>
          <w:kern w:val="0"/>
          <w:sz w:val="24"/>
          <w:szCs w:val="24"/>
          <w:lang w:eastAsia="en-GB"/>
          <w14:ligatures w14:val="none"/>
        </w:rPr>
      </w:pPr>
      <w:r w:rsidRPr="00CA28DB">
        <w:rPr>
          <w:rFonts w:eastAsia="Times New Roman" w:cs="Times New Roman"/>
          <w:i/>
          <w:iCs/>
          <w:kern w:val="0"/>
          <w:sz w:val="24"/>
          <w:szCs w:val="24"/>
          <w:lang w:eastAsia="en-GB"/>
          <w14:ligatures w14:val="none"/>
        </w:rPr>
        <w:t>White Feather Diaries</w:t>
      </w:r>
      <w:r w:rsidRPr="00CA28DB">
        <w:rPr>
          <w:rFonts w:eastAsia="Times New Roman" w:cs="Times New Roman"/>
          <w:kern w:val="0"/>
          <w:sz w:val="24"/>
          <w:szCs w:val="24"/>
          <w:lang w:eastAsia="en-GB"/>
          <w14:ligatures w14:val="none"/>
        </w:rPr>
        <w:t xml:space="preserve">. (2022, December 9). Quaker Strongrooms. </w:t>
      </w:r>
      <w:r w:rsidRPr="00CA28DB">
        <w:rPr>
          <w:rFonts w:eastAsia="Times New Roman" w:cs="Times New Roman"/>
          <w:color w:val="156082" w:themeColor="accent1"/>
          <w:kern w:val="0"/>
          <w:sz w:val="24"/>
          <w:szCs w:val="24"/>
          <w:lang w:eastAsia="en-GB"/>
          <w14:ligatures w14:val="none"/>
        </w:rPr>
        <w:t>https://quakerstrongrooms.org/2014/07/31/whitefeatherdiaries/</w:t>
      </w:r>
    </w:p>
    <w:p w14:paraId="536825ED" w14:textId="77777777" w:rsidR="00272518" w:rsidRPr="00CA28DB" w:rsidRDefault="00272518" w:rsidP="00272518">
      <w:pPr>
        <w:pStyle w:val="ListParagraph"/>
        <w:numPr>
          <w:ilvl w:val="0"/>
          <w:numId w:val="1"/>
        </w:numPr>
        <w:spacing w:before="100" w:beforeAutospacing="1" w:after="100" w:afterAutospacing="1" w:line="240" w:lineRule="auto"/>
        <w:rPr>
          <w:rFonts w:eastAsia="Times New Roman" w:cs="Times New Roman"/>
          <w:kern w:val="0"/>
          <w:sz w:val="24"/>
          <w:szCs w:val="24"/>
          <w:lang w:eastAsia="en-GB"/>
          <w14:ligatures w14:val="none"/>
        </w:rPr>
      </w:pPr>
      <w:r w:rsidRPr="00CA28DB">
        <w:rPr>
          <w:rFonts w:eastAsia="Times New Roman" w:cs="Times New Roman"/>
          <w:kern w:val="0"/>
          <w:sz w:val="24"/>
          <w:szCs w:val="24"/>
          <w:lang w:eastAsia="en-GB"/>
          <w14:ligatures w14:val="none"/>
        </w:rPr>
        <w:t xml:space="preserve">Beckett, F. (2008, November 10). </w:t>
      </w:r>
      <w:r w:rsidRPr="00CA28DB">
        <w:rPr>
          <w:rFonts w:eastAsia="Times New Roman" w:cs="Times New Roman"/>
          <w:i/>
          <w:iCs/>
          <w:kern w:val="0"/>
          <w:sz w:val="24"/>
          <w:szCs w:val="24"/>
          <w:lang w:eastAsia="en-GB"/>
          <w14:ligatures w14:val="none"/>
        </w:rPr>
        <w:t>The men who would not fight</w:t>
      </w:r>
      <w:r w:rsidRPr="00CA28DB">
        <w:rPr>
          <w:rFonts w:eastAsia="Times New Roman" w:cs="Times New Roman"/>
          <w:kern w:val="0"/>
          <w:sz w:val="24"/>
          <w:szCs w:val="24"/>
          <w:lang w:eastAsia="en-GB"/>
          <w14:ligatures w14:val="none"/>
        </w:rPr>
        <w:t xml:space="preserve">. The Guardian. </w:t>
      </w:r>
      <w:r w:rsidRPr="00CA28DB">
        <w:rPr>
          <w:rFonts w:eastAsia="Times New Roman" w:cs="Times New Roman"/>
          <w:color w:val="156082" w:themeColor="accent1"/>
          <w:kern w:val="0"/>
          <w:sz w:val="24"/>
          <w:szCs w:val="24"/>
          <w:lang w:eastAsia="en-GB"/>
          <w14:ligatures w14:val="none"/>
        </w:rPr>
        <w:t>https://www.theguardian.com/world/2008/nov/11/first-world-war-white-feather-cowardice</w:t>
      </w:r>
    </w:p>
    <w:p w14:paraId="5D7D235A" w14:textId="77777777" w:rsidR="00D03C1D" w:rsidRPr="00CA28DB" w:rsidRDefault="00D03C1D" w:rsidP="00D03C1D">
      <w:pPr>
        <w:pStyle w:val="ListParagraph"/>
        <w:numPr>
          <w:ilvl w:val="0"/>
          <w:numId w:val="1"/>
        </w:numPr>
        <w:spacing w:before="100" w:beforeAutospacing="1" w:after="100" w:afterAutospacing="1" w:line="240" w:lineRule="auto"/>
        <w:rPr>
          <w:rFonts w:eastAsia="Times New Roman" w:cs="Times New Roman"/>
          <w:kern w:val="0"/>
          <w:sz w:val="24"/>
          <w:szCs w:val="24"/>
          <w:lang w:eastAsia="en-GB"/>
          <w14:ligatures w14:val="none"/>
        </w:rPr>
      </w:pPr>
      <w:r w:rsidRPr="00CA28DB">
        <w:rPr>
          <w:rFonts w:eastAsia="Times New Roman" w:cs="Times New Roman"/>
          <w:i/>
          <w:iCs/>
          <w:kern w:val="0"/>
          <w:sz w:val="24"/>
          <w:szCs w:val="24"/>
          <w:lang w:eastAsia="en-GB"/>
          <w14:ligatures w14:val="none"/>
        </w:rPr>
        <w:t>The most significant WWI Battles of 1918</w:t>
      </w:r>
      <w:r w:rsidRPr="00CA28DB">
        <w:rPr>
          <w:rFonts w:eastAsia="Times New Roman" w:cs="Times New Roman"/>
          <w:kern w:val="0"/>
          <w:sz w:val="24"/>
          <w:szCs w:val="24"/>
          <w:lang w:eastAsia="en-GB"/>
          <w14:ligatures w14:val="none"/>
        </w:rPr>
        <w:t xml:space="preserve">. (n.d.). History Skills. </w:t>
      </w:r>
      <w:r w:rsidRPr="00CA28DB">
        <w:rPr>
          <w:rFonts w:eastAsia="Times New Roman" w:cs="Times New Roman"/>
          <w:color w:val="156082" w:themeColor="accent1"/>
          <w:kern w:val="0"/>
          <w:sz w:val="24"/>
          <w:szCs w:val="24"/>
          <w:lang w:eastAsia="en-GB"/>
          <w14:ligatures w14:val="none"/>
        </w:rPr>
        <w:t>https://www.historyskills.com/classroom/year-9/yr-9-1918-battles-reading/</w:t>
      </w:r>
    </w:p>
    <w:p w14:paraId="0CDBB04F" w14:textId="098B984F" w:rsidR="00390332" w:rsidRPr="00804E3D" w:rsidRDefault="00390332" w:rsidP="00804E3D">
      <w:pPr>
        <w:ind w:left="360"/>
        <w:rPr>
          <w:sz w:val="24"/>
          <w:szCs w:val="24"/>
          <w:lang w:eastAsia="en-GB"/>
        </w:rPr>
      </w:pPr>
    </w:p>
    <w:p w14:paraId="6FD01A76" w14:textId="77777777" w:rsidR="00A20A77" w:rsidRPr="00A20A77" w:rsidRDefault="00A20A77" w:rsidP="00A20A77">
      <w:pPr>
        <w:rPr>
          <w:sz w:val="24"/>
          <w:szCs w:val="24"/>
        </w:rPr>
      </w:pPr>
    </w:p>
    <w:p w14:paraId="1AB3D35E" w14:textId="77777777" w:rsidR="004404D1" w:rsidRPr="00A20A77" w:rsidRDefault="004404D1" w:rsidP="00A20A77">
      <w:pPr>
        <w:rPr>
          <w:sz w:val="24"/>
          <w:szCs w:val="24"/>
        </w:rPr>
      </w:pPr>
      <w:r w:rsidRPr="00A20A77">
        <w:rPr>
          <w:sz w:val="24"/>
          <w:szCs w:val="24"/>
        </w:rPr>
        <w:t> </w:t>
      </w:r>
    </w:p>
    <w:p w14:paraId="7FC079E9" w14:textId="77777777" w:rsidR="004404D1" w:rsidRPr="004404D1" w:rsidRDefault="004404D1" w:rsidP="004404D1">
      <w:pPr>
        <w:rPr>
          <w:sz w:val="24"/>
          <w:szCs w:val="24"/>
        </w:rPr>
      </w:pPr>
      <w:r w:rsidRPr="004404D1">
        <w:rPr>
          <w:sz w:val="24"/>
          <w:szCs w:val="24"/>
        </w:rPr>
        <w:t> </w:t>
      </w:r>
    </w:p>
    <w:p w14:paraId="07C89975" w14:textId="77777777" w:rsidR="00E33468" w:rsidRDefault="00E33468"/>
    <w:sectPr w:rsidR="00E334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C5F3DF" w14:textId="77777777" w:rsidR="00D23AF6" w:rsidRDefault="00D23AF6" w:rsidP="00390332">
      <w:pPr>
        <w:spacing w:after="0" w:line="240" w:lineRule="auto"/>
      </w:pPr>
      <w:r>
        <w:separator/>
      </w:r>
    </w:p>
  </w:endnote>
  <w:endnote w:type="continuationSeparator" w:id="0">
    <w:p w14:paraId="26000128" w14:textId="77777777" w:rsidR="00D23AF6" w:rsidRDefault="00D23AF6" w:rsidP="003903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841255" w14:textId="77777777" w:rsidR="00D23AF6" w:rsidRDefault="00D23AF6" w:rsidP="00390332">
      <w:pPr>
        <w:spacing w:after="0" w:line="240" w:lineRule="auto"/>
      </w:pPr>
      <w:r>
        <w:separator/>
      </w:r>
    </w:p>
  </w:footnote>
  <w:footnote w:type="continuationSeparator" w:id="0">
    <w:p w14:paraId="55C648CC" w14:textId="77777777" w:rsidR="00D23AF6" w:rsidRDefault="00D23AF6" w:rsidP="00390332">
      <w:pPr>
        <w:spacing w:after="0" w:line="240" w:lineRule="auto"/>
      </w:pPr>
      <w:r>
        <w:continuationSeparator/>
      </w:r>
    </w:p>
  </w:footnote>
  <w:footnote w:id="1">
    <w:p w14:paraId="669AEFB2" w14:textId="3D69A056" w:rsidR="00523561" w:rsidRPr="00035E12" w:rsidRDefault="00523561" w:rsidP="00523561">
      <w:pPr>
        <w:pStyle w:val="ListParagraph"/>
        <w:numPr>
          <w:ilvl w:val="0"/>
          <w:numId w:val="2"/>
        </w:numPr>
        <w:rPr>
          <w:rFonts w:asciiTheme="majorHAnsi" w:hAnsiTheme="majorHAnsi"/>
          <w:i/>
          <w:iCs/>
        </w:rPr>
      </w:pPr>
      <w:r w:rsidRPr="00035E12">
        <w:rPr>
          <w:rFonts w:asciiTheme="majorHAnsi" w:hAnsiTheme="majorHAnsi"/>
          <w:i/>
          <w:iCs/>
        </w:rPr>
        <w:t>(The Group System (Derby Scheme) - the Long, Long Trail, 2022)</w:t>
      </w:r>
    </w:p>
    <w:p w14:paraId="73E09242" w14:textId="77777777" w:rsidR="00332A5A" w:rsidRPr="00035E12" w:rsidRDefault="00332A5A" w:rsidP="00332A5A">
      <w:pPr>
        <w:pStyle w:val="ListParagraph"/>
        <w:numPr>
          <w:ilvl w:val="0"/>
          <w:numId w:val="2"/>
        </w:numPr>
        <w:spacing w:before="100" w:beforeAutospacing="1" w:after="100" w:afterAutospacing="1" w:line="240" w:lineRule="auto"/>
        <w:rPr>
          <w:rFonts w:asciiTheme="majorHAnsi" w:eastAsia="Times New Roman" w:hAnsiTheme="majorHAnsi" w:cs="Times New Roman"/>
          <w:i/>
          <w:iCs/>
          <w:kern w:val="0"/>
          <w:lang w:eastAsia="en-GB"/>
          <w14:ligatures w14:val="none"/>
        </w:rPr>
      </w:pPr>
      <w:r w:rsidRPr="00035E12">
        <w:rPr>
          <w:rFonts w:asciiTheme="majorHAnsi" w:eastAsia="Times New Roman" w:hAnsiTheme="majorHAnsi" w:cs="Times New Roman"/>
          <w:i/>
          <w:iCs/>
          <w:kern w:val="0"/>
          <w:lang w:eastAsia="en-GB"/>
          <w14:ligatures w14:val="none"/>
        </w:rPr>
        <w:t>(Office, 1914)</w:t>
      </w:r>
    </w:p>
    <w:p w14:paraId="2C27388D" w14:textId="44C57C8F" w:rsidR="00390332" w:rsidRPr="007D591B" w:rsidRDefault="00D07C83" w:rsidP="007D591B">
      <w:pPr>
        <w:pStyle w:val="ListParagraph"/>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35E12">
        <w:rPr>
          <w:rFonts w:asciiTheme="majorHAnsi" w:eastAsia="Times New Roman" w:hAnsiTheme="majorHAnsi" w:cs="Times New Roman"/>
          <w:i/>
          <w:iCs/>
          <w:kern w:val="0"/>
          <w:lang w:eastAsia="en-GB"/>
          <w14:ligatures w14:val="none"/>
        </w:rPr>
        <w:t>(Silver War Badge and Kings Certificate of Discharge, n.d.</w:t>
      </w:r>
      <w:r w:rsidR="007D591B" w:rsidRPr="00035E12">
        <w:rPr>
          <w:rFonts w:asciiTheme="majorHAnsi" w:eastAsia="Times New Roman" w:hAnsiTheme="majorHAnsi" w:cs="Times New Roman"/>
          <w:i/>
          <w:iCs/>
          <w:kern w:val="0"/>
          <w:lang w:eastAsia="en-GB"/>
          <w14:ligatures w14:val="none"/>
        </w:rPr>
        <w:t>)</w:t>
      </w:r>
    </w:p>
  </w:footnote>
  <w:footnote w:id="2">
    <w:p w14:paraId="7896BA44" w14:textId="140A0CF7" w:rsidR="00A07D62" w:rsidRPr="00523561" w:rsidRDefault="00A07D62" w:rsidP="00523561">
      <w:pPr>
        <w:pStyle w:val="muitypography-root"/>
        <w:rPr>
          <w:sz w:val="22"/>
          <w:szCs w:val="22"/>
          <w14:ligatures w14:val="none"/>
        </w:rPr>
      </w:pPr>
    </w:p>
  </w:footnote>
  <w:footnote w:id="3">
    <w:p w14:paraId="38D0F8FF" w14:textId="32513DFD" w:rsidR="00D07C83" w:rsidRDefault="00D07C83">
      <w:pPr>
        <w:pStyle w:val="FootnoteText"/>
      </w:pPr>
    </w:p>
  </w:footnote>
  <w:footnote w:id="4">
    <w:p w14:paraId="3B36FA8F" w14:textId="3C5DA564" w:rsidR="00E47507" w:rsidRPr="003C68B9" w:rsidRDefault="00E47507" w:rsidP="00E47507">
      <w:pPr>
        <w:pStyle w:val="muitypography-root"/>
        <w:numPr>
          <w:ilvl w:val="0"/>
          <w:numId w:val="2"/>
        </w:numPr>
        <w:rPr>
          <w:rFonts w:asciiTheme="majorHAnsi" w:hAnsiTheme="majorHAnsi"/>
          <w:i/>
          <w:iCs/>
          <w:sz w:val="22"/>
          <w:szCs w:val="22"/>
          <w14:ligatures w14:val="none"/>
        </w:rPr>
      </w:pPr>
      <w:r w:rsidRPr="003C68B9">
        <w:rPr>
          <w:rFonts w:asciiTheme="majorHAnsi" w:hAnsiTheme="majorHAnsi"/>
          <w:i/>
          <w:iCs/>
          <w:sz w:val="22"/>
          <w:szCs w:val="22"/>
          <w14:ligatures w14:val="none"/>
        </w:rPr>
        <w:t xml:space="preserve"> (</w:t>
      </w:r>
      <w:r w:rsidRPr="003C68B9">
        <w:rPr>
          <w:rFonts w:asciiTheme="majorHAnsi" w:hAnsiTheme="majorHAnsi"/>
          <w:i/>
          <w:iCs/>
          <w:sz w:val="22"/>
          <w:szCs w:val="22"/>
          <w14:ligatures w14:val="none"/>
        </w:rPr>
        <w:t>McGhee, 2017)</w:t>
      </w:r>
    </w:p>
    <w:p w14:paraId="49B18AD6" w14:textId="77777777" w:rsidR="000D659C" w:rsidRPr="003C68B9" w:rsidRDefault="000D659C" w:rsidP="000D659C">
      <w:pPr>
        <w:pStyle w:val="ListParagraph"/>
        <w:numPr>
          <w:ilvl w:val="0"/>
          <w:numId w:val="2"/>
        </w:numPr>
        <w:spacing w:before="100" w:beforeAutospacing="1" w:after="100" w:afterAutospacing="1" w:line="240" w:lineRule="auto"/>
        <w:rPr>
          <w:rFonts w:asciiTheme="majorHAnsi" w:eastAsia="Times New Roman" w:hAnsiTheme="majorHAnsi" w:cs="Times New Roman"/>
          <w:i/>
          <w:iCs/>
          <w:kern w:val="0"/>
          <w:lang w:eastAsia="en-GB"/>
          <w14:ligatures w14:val="none"/>
        </w:rPr>
      </w:pPr>
      <w:r w:rsidRPr="003C68B9">
        <w:rPr>
          <w:rFonts w:asciiTheme="majorHAnsi" w:eastAsia="Times New Roman" w:hAnsiTheme="majorHAnsi" w:cs="Times New Roman"/>
          <w:i/>
          <w:iCs/>
          <w:kern w:val="0"/>
          <w:lang w:eastAsia="en-GB"/>
          <w14:ligatures w14:val="none"/>
        </w:rPr>
        <w:t>(White Feather Diaries, 2022)</w:t>
      </w:r>
    </w:p>
    <w:p w14:paraId="541A774F" w14:textId="77777777" w:rsidR="00996CC7" w:rsidRPr="003C68B9" w:rsidRDefault="00996CC7" w:rsidP="00996CC7">
      <w:pPr>
        <w:pStyle w:val="ListParagraph"/>
        <w:numPr>
          <w:ilvl w:val="0"/>
          <w:numId w:val="2"/>
        </w:numPr>
        <w:spacing w:before="100" w:beforeAutospacing="1" w:after="100" w:afterAutospacing="1" w:line="240" w:lineRule="auto"/>
        <w:rPr>
          <w:rFonts w:asciiTheme="majorHAnsi" w:eastAsia="Times New Roman" w:hAnsiTheme="majorHAnsi" w:cs="Times New Roman"/>
          <w:i/>
          <w:iCs/>
          <w:kern w:val="0"/>
          <w:lang w:eastAsia="en-GB"/>
          <w14:ligatures w14:val="none"/>
        </w:rPr>
      </w:pPr>
      <w:r w:rsidRPr="003C68B9">
        <w:rPr>
          <w:rFonts w:asciiTheme="majorHAnsi" w:eastAsia="Times New Roman" w:hAnsiTheme="majorHAnsi" w:cs="Times New Roman"/>
          <w:i/>
          <w:iCs/>
          <w:kern w:val="0"/>
          <w:lang w:eastAsia="en-GB"/>
          <w14:ligatures w14:val="none"/>
        </w:rPr>
        <w:t>(Beckett, 2008)</w:t>
      </w:r>
    </w:p>
    <w:p w14:paraId="385CF907" w14:textId="1FDFDD68" w:rsidR="00E47507" w:rsidRPr="00591D15" w:rsidRDefault="003C68B9" w:rsidP="00591D15">
      <w:pPr>
        <w:pStyle w:val="ListParagraph"/>
        <w:numPr>
          <w:ilvl w:val="0"/>
          <w:numId w:val="2"/>
        </w:numPr>
        <w:spacing w:before="100" w:beforeAutospacing="1" w:after="100" w:afterAutospacing="1" w:line="240" w:lineRule="auto"/>
        <w:rPr>
          <w:rFonts w:asciiTheme="majorHAnsi" w:eastAsia="Times New Roman" w:hAnsiTheme="majorHAnsi" w:cs="Times New Roman"/>
          <w:kern w:val="0"/>
          <w:lang w:eastAsia="en-GB"/>
          <w14:ligatures w14:val="none"/>
        </w:rPr>
      </w:pPr>
      <w:r w:rsidRPr="003C68B9">
        <w:rPr>
          <w:rFonts w:asciiTheme="majorHAnsi" w:eastAsia="Times New Roman" w:hAnsiTheme="majorHAnsi" w:cs="Times New Roman"/>
          <w:kern w:val="0"/>
          <w:lang w:eastAsia="en-GB"/>
          <w14:ligatures w14:val="none"/>
        </w:rPr>
        <w:t>(</w:t>
      </w:r>
      <w:r w:rsidRPr="003C68B9">
        <w:rPr>
          <w:rFonts w:asciiTheme="majorHAnsi" w:eastAsia="Times New Roman" w:hAnsiTheme="majorHAnsi" w:cs="Times New Roman"/>
          <w:i/>
          <w:iCs/>
          <w:kern w:val="0"/>
          <w:lang w:eastAsia="en-GB"/>
          <w14:ligatures w14:val="none"/>
        </w:rPr>
        <w:t>The Most Significant WWI Battles of 1918</w:t>
      </w:r>
      <w:r w:rsidRPr="003C68B9">
        <w:rPr>
          <w:rFonts w:asciiTheme="majorHAnsi" w:eastAsia="Times New Roman" w:hAnsiTheme="majorHAnsi" w:cs="Times New Roman"/>
          <w:kern w:val="0"/>
          <w:lang w:eastAsia="en-GB"/>
          <w14:ligatures w14:val="none"/>
        </w:rPr>
        <w:t>, n.d.</w:t>
      </w:r>
      <w:r w:rsidR="00CA28DB">
        <w:rPr>
          <w:rFonts w:asciiTheme="majorHAnsi" w:eastAsia="Times New Roman" w:hAnsiTheme="majorHAnsi" w:cs="Times New Roman"/>
          <w:kern w:val="0"/>
          <w:lang w:eastAsia="en-GB"/>
          <w14:ligatures w14:val="none"/>
        </w:rPr>
        <w:t>)</w:t>
      </w:r>
    </w:p>
    <w:p w14:paraId="22B022CF" w14:textId="47370974" w:rsidR="00FB5B81" w:rsidRDefault="00FB5B81">
      <w:pPr>
        <w:pStyle w:val="FootnoteText"/>
      </w:pPr>
    </w:p>
  </w:footnote>
  <w:footnote w:id="5">
    <w:p w14:paraId="60B66236" w14:textId="7C8E9ABD" w:rsidR="00FB5B81" w:rsidRDefault="00FB5B81">
      <w:pPr>
        <w:pStyle w:val="FootnoteText"/>
      </w:pPr>
    </w:p>
  </w:footnote>
  <w:footnote w:id="6">
    <w:p w14:paraId="2E47B6ED" w14:textId="2E29DFEA" w:rsidR="00272518" w:rsidRDefault="00272518">
      <w:pPr>
        <w:pStyle w:val="FootnoteText"/>
      </w:pPr>
    </w:p>
  </w:footnote>
  <w:footnote w:id="7">
    <w:p w14:paraId="76BE4596" w14:textId="5994330C" w:rsidR="003156BA" w:rsidRDefault="003156BA">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EE374D"/>
    <w:multiLevelType w:val="hybridMultilevel"/>
    <w:tmpl w:val="A260BE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117763"/>
    <w:multiLevelType w:val="hybridMultilevel"/>
    <w:tmpl w:val="3466A4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07922706">
    <w:abstractNumId w:val="0"/>
  </w:num>
  <w:num w:numId="2" w16cid:durableId="17024408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404D1"/>
    <w:rsid w:val="00035E12"/>
    <w:rsid w:val="000B3085"/>
    <w:rsid w:val="000D659C"/>
    <w:rsid w:val="0010556D"/>
    <w:rsid w:val="001138A6"/>
    <w:rsid w:val="001A6359"/>
    <w:rsid w:val="001E38C2"/>
    <w:rsid w:val="00240925"/>
    <w:rsid w:val="00246900"/>
    <w:rsid w:val="00267229"/>
    <w:rsid w:val="00272518"/>
    <w:rsid w:val="002A3EA5"/>
    <w:rsid w:val="003156BA"/>
    <w:rsid w:val="00332A5A"/>
    <w:rsid w:val="003763DA"/>
    <w:rsid w:val="00390332"/>
    <w:rsid w:val="003C68B9"/>
    <w:rsid w:val="004404D1"/>
    <w:rsid w:val="00477C3F"/>
    <w:rsid w:val="00523561"/>
    <w:rsid w:val="00591D15"/>
    <w:rsid w:val="005D5732"/>
    <w:rsid w:val="00726684"/>
    <w:rsid w:val="007D591B"/>
    <w:rsid w:val="00804E3D"/>
    <w:rsid w:val="008B13BF"/>
    <w:rsid w:val="008D10CB"/>
    <w:rsid w:val="00996CC7"/>
    <w:rsid w:val="00A07D62"/>
    <w:rsid w:val="00A20A77"/>
    <w:rsid w:val="00A53492"/>
    <w:rsid w:val="00A95E63"/>
    <w:rsid w:val="00B447F8"/>
    <w:rsid w:val="00B87D5A"/>
    <w:rsid w:val="00BA3B50"/>
    <w:rsid w:val="00BD38D1"/>
    <w:rsid w:val="00BF5CCE"/>
    <w:rsid w:val="00C53C69"/>
    <w:rsid w:val="00C76DDF"/>
    <w:rsid w:val="00CA28DB"/>
    <w:rsid w:val="00CA4EC0"/>
    <w:rsid w:val="00CD756B"/>
    <w:rsid w:val="00D03C1D"/>
    <w:rsid w:val="00D07C83"/>
    <w:rsid w:val="00D211F4"/>
    <w:rsid w:val="00D23AF6"/>
    <w:rsid w:val="00D72744"/>
    <w:rsid w:val="00D72C72"/>
    <w:rsid w:val="00E33468"/>
    <w:rsid w:val="00E47507"/>
    <w:rsid w:val="00F62DE1"/>
    <w:rsid w:val="00F640BA"/>
    <w:rsid w:val="00FB5B81"/>
    <w:rsid w:val="00FF08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FF1BFF"/>
  <w15:docId w15:val="{F5A6F5B3-33BB-4225-81FD-38A6AAC4F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404D1"/>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FootnoteText">
    <w:name w:val="footnote text"/>
    <w:basedOn w:val="Normal"/>
    <w:link w:val="FootnoteTextChar"/>
    <w:uiPriority w:val="99"/>
    <w:semiHidden/>
    <w:unhideWhenUsed/>
    <w:rsid w:val="0039033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90332"/>
    <w:rPr>
      <w:sz w:val="20"/>
      <w:szCs w:val="20"/>
    </w:rPr>
  </w:style>
  <w:style w:type="character" w:styleId="FootnoteReference">
    <w:name w:val="footnote reference"/>
    <w:basedOn w:val="DefaultParagraphFont"/>
    <w:uiPriority w:val="99"/>
    <w:semiHidden/>
    <w:unhideWhenUsed/>
    <w:rsid w:val="00390332"/>
    <w:rPr>
      <w:vertAlign w:val="superscript"/>
    </w:rPr>
  </w:style>
  <w:style w:type="paragraph" w:styleId="ListParagraph">
    <w:name w:val="List Paragraph"/>
    <w:basedOn w:val="Normal"/>
    <w:uiPriority w:val="34"/>
    <w:qFormat/>
    <w:rsid w:val="00390332"/>
    <w:pPr>
      <w:ind w:left="720"/>
      <w:contextualSpacing/>
    </w:pPr>
  </w:style>
  <w:style w:type="paragraph" w:customStyle="1" w:styleId="muitypography-root">
    <w:name w:val="muitypography-root"/>
    <w:basedOn w:val="Normal"/>
    <w:rsid w:val="00390332"/>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274021">
      <w:bodyDiv w:val="1"/>
      <w:marLeft w:val="0"/>
      <w:marRight w:val="0"/>
      <w:marTop w:val="0"/>
      <w:marBottom w:val="0"/>
      <w:divBdr>
        <w:top w:val="none" w:sz="0" w:space="0" w:color="auto"/>
        <w:left w:val="none" w:sz="0" w:space="0" w:color="auto"/>
        <w:bottom w:val="none" w:sz="0" w:space="0" w:color="auto"/>
        <w:right w:val="none" w:sz="0" w:space="0" w:color="auto"/>
      </w:divBdr>
    </w:div>
    <w:div w:id="154033325">
      <w:bodyDiv w:val="1"/>
      <w:marLeft w:val="0"/>
      <w:marRight w:val="0"/>
      <w:marTop w:val="0"/>
      <w:marBottom w:val="0"/>
      <w:divBdr>
        <w:top w:val="none" w:sz="0" w:space="0" w:color="auto"/>
        <w:left w:val="none" w:sz="0" w:space="0" w:color="auto"/>
        <w:bottom w:val="none" w:sz="0" w:space="0" w:color="auto"/>
        <w:right w:val="none" w:sz="0" w:space="0" w:color="auto"/>
      </w:divBdr>
    </w:div>
    <w:div w:id="179246534">
      <w:bodyDiv w:val="1"/>
      <w:marLeft w:val="0"/>
      <w:marRight w:val="0"/>
      <w:marTop w:val="0"/>
      <w:marBottom w:val="0"/>
      <w:divBdr>
        <w:top w:val="none" w:sz="0" w:space="0" w:color="auto"/>
        <w:left w:val="none" w:sz="0" w:space="0" w:color="auto"/>
        <w:bottom w:val="none" w:sz="0" w:space="0" w:color="auto"/>
        <w:right w:val="none" w:sz="0" w:space="0" w:color="auto"/>
      </w:divBdr>
    </w:div>
    <w:div w:id="222761595">
      <w:bodyDiv w:val="1"/>
      <w:marLeft w:val="0"/>
      <w:marRight w:val="0"/>
      <w:marTop w:val="0"/>
      <w:marBottom w:val="0"/>
      <w:divBdr>
        <w:top w:val="none" w:sz="0" w:space="0" w:color="auto"/>
        <w:left w:val="none" w:sz="0" w:space="0" w:color="auto"/>
        <w:bottom w:val="none" w:sz="0" w:space="0" w:color="auto"/>
        <w:right w:val="none" w:sz="0" w:space="0" w:color="auto"/>
      </w:divBdr>
    </w:div>
    <w:div w:id="251204647">
      <w:bodyDiv w:val="1"/>
      <w:marLeft w:val="0"/>
      <w:marRight w:val="0"/>
      <w:marTop w:val="0"/>
      <w:marBottom w:val="0"/>
      <w:divBdr>
        <w:top w:val="none" w:sz="0" w:space="0" w:color="auto"/>
        <w:left w:val="none" w:sz="0" w:space="0" w:color="auto"/>
        <w:bottom w:val="none" w:sz="0" w:space="0" w:color="auto"/>
        <w:right w:val="none" w:sz="0" w:space="0" w:color="auto"/>
      </w:divBdr>
    </w:div>
    <w:div w:id="330765319">
      <w:bodyDiv w:val="1"/>
      <w:marLeft w:val="0"/>
      <w:marRight w:val="0"/>
      <w:marTop w:val="0"/>
      <w:marBottom w:val="0"/>
      <w:divBdr>
        <w:top w:val="none" w:sz="0" w:space="0" w:color="auto"/>
        <w:left w:val="none" w:sz="0" w:space="0" w:color="auto"/>
        <w:bottom w:val="none" w:sz="0" w:space="0" w:color="auto"/>
        <w:right w:val="none" w:sz="0" w:space="0" w:color="auto"/>
      </w:divBdr>
    </w:div>
    <w:div w:id="361521349">
      <w:bodyDiv w:val="1"/>
      <w:marLeft w:val="0"/>
      <w:marRight w:val="0"/>
      <w:marTop w:val="0"/>
      <w:marBottom w:val="0"/>
      <w:divBdr>
        <w:top w:val="none" w:sz="0" w:space="0" w:color="auto"/>
        <w:left w:val="none" w:sz="0" w:space="0" w:color="auto"/>
        <w:bottom w:val="none" w:sz="0" w:space="0" w:color="auto"/>
        <w:right w:val="none" w:sz="0" w:space="0" w:color="auto"/>
      </w:divBdr>
    </w:div>
    <w:div w:id="660618374">
      <w:bodyDiv w:val="1"/>
      <w:marLeft w:val="0"/>
      <w:marRight w:val="0"/>
      <w:marTop w:val="0"/>
      <w:marBottom w:val="0"/>
      <w:divBdr>
        <w:top w:val="none" w:sz="0" w:space="0" w:color="auto"/>
        <w:left w:val="none" w:sz="0" w:space="0" w:color="auto"/>
        <w:bottom w:val="none" w:sz="0" w:space="0" w:color="auto"/>
        <w:right w:val="none" w:sz="0" w:space="0" w:color="auto"/>
      </w:divBdr>
    </w:div>
    <w:div w:id="678000038">
      <w:bodyDiv w:val="1"/>
      <w:marLeft w:val="0"/>
      <w:marRight w:val="0"/>
      <w:marTop w:val="0"/>
      <w:marBottom w:val="0"/>
      <w:divBdr>
        <w:top w:val="none" w:sz="0" w:space="0" w:color="auto"/>
        <w:left w:val="none" w:sz="0" w:space="0" w:color="auto"/>
        <w:bottom w:val="none" w:sz="0" w:space="0" w:color="auto"/>
        <w:right w:val="none" w:sz="0" w:space="0" w:color="auto"/>
      </w:divBdr>
    </w:div>
    <w:div w:id="874461849">
      <w:bodyDiv w:val="1"/>
      <w:marLeft w:val="0"/>
      <w:marRight w:val="0"/>
      <w:marTop w:val="0"/>
      <w:marBottom w:val="0"/>
      <w:divBdr>
        <w:top w:val="none" w:sz="0" w:space="0" w:color="auto"/>
        <w:left w:val="none" w:sz="0" w:space="0" w:color="auto"/>
        <w:bottom w:val="none" w:sz="0" w:space="0" w:color="auto"/>
        <w:right w:val="none" w:sz="0" w:space="0" w:color="auto"/>
      </w:divBdr>
    </w:div>
    <w:div w:id="956762732">
      <w:bodyDiv w:val="1"/>
      <w:marLeft w:val="0"/>
      <w:marRight w:val="0"/>
      <w:marTop w:val="0"/>
      <w:marBottom w:val="0"/>
      <w:divBdr>
        <w:top w:val="none" w:sz="0" w:space="0" w:color="auto"/>
        <w:left w:val="none" w:sz="0" w:space="0" w:color="auto"/>
        <w:bottom w:val="none" w:sz="0" w:space="0" w:color="auto"/>
        <w:right w:val="none" w:sz="0" w:space="0" w:color="auto"/>
      </w:divBdr>
    </w:div>
    <w:div w:id="962734734">
      <w:bodyDiv w:val="1"/>
      <w:marLeft w:val="0"/>
      <w:marRight w:val="0"/>
      <w:marTop w:val="0"/>
      <w:marBottom w:val="0"/>
      <w:divBdr>
        <w:top w:val="none" w:sz="0" w:space="0" w:color="auto"/>
        <w:left w:val="none" w:sz="0" w:space="0" w:color="auto"/>
        <w:bottom w:val="none" w:sz="0" w:space="0" w:color="auto"/>
        <w:right w:val="none" w:sz="0" w:space="0" w:color="auto"/>
      </w:divBdr>
    </w:div>
    <w:div w:id="992834001">
      <w:bodyDiv w:val="1"/>
      <w:marLeft w:val="0"/>
      <w:marRight w:val="0"/>
      <w:marTop w:val="0"/>
      <w:marBottom w:val="0"/>
      <w:divBdr>
        <w:top w:val="none" w:sz="0" w:space="0" w:color="auto"/>
        <w:left w:val="none" w:sz="0" w:space="0" w:color="auto"/>
        <w:bottom w:val="none" w:sz="0" w:space="0" w:color="auto"/>
        <w:right w:val="none" w:sz="0" w:space="0" w:color="auto"/>
      </w:divBdr>
    </w:div>
    <w:div w:id="1145004663">
      <w:bodyDiv w:val="1"/>
      <w:marLeft w:val="0"/>
      <w:marRight w:val="0"/>
      <w:marTop w:val="0"/>
      <w:marBottom w:val="0"/>
      <w:divBdr>
        <w:top w:val="none" w:sz="0" w:space="0" w:color="auto"/>
        <w:left w:val="none" w:sz="0" w:space="0" w:color="auto"/>
        <w:bottom w:val="none" w:sz="0" w:space="0" w:color="auto"/>
        <w:right w:val="none" w:sz="0" w:space="0" w:color="auto"/>
      </w:divBdr>
    </w:div>
    <w:div w:id="1275135782">
      <w:bodyDiv w:val="1"/>
      <w:marLeft w:val="0"/>
      <w:marRight w:val="0"/>
      <w:marTop w:val="0"/>
      <w:marBottom w:val="0"/>
      <w:divBdr>
        <w:top w:val="none" w:sz="0" w:space="0" w:color="auto"/>
        <w:left w:val="none" w:sz="0" w:space="0" w:color="auto"/>
        <w:bottom w:val="none" w:sz="0" w:space="0" w:color="auto"/>
        <w:right w:val="none" w:sz="0" w:space="0" w:color="auto"/>
      </w:divBdr>
    </w:div>
    <w:div w:id="1441486126">
      <w:bodyDiv w:val="1"/>
      <w:marLeft w:val="0"/>
      <w:marRight w:val="0"/>
      <w:marTop w:val="0"/>
      <w:marBottom w:val="0"/>
      <w:divBdr>
        <w:top w:val="none" w:sz="0" w:space="0" w:color="auto"/>
        <w:left w:val="none" w:sz="0" w:space="0" w:color="auto"/>
        <w:bottom w:val="none" w:sz="0" w:space="0" w:color="auto"/>
        <w:right w:val="none" w:sz="0" w:space="0" w:color="auto"/>
      </w:divBdr>
    </w:div>
    <w:div w:id="1463616852">
      <w:bodyDiv w:val="1"/>
      <w:marLeft w:val="0"/>
      <w:marRight w:val="0"/>
      <w:marTop w:val="0"/>
      <w:marBottom w:val="0"/>
      <w:divBdr>
        <w:top w:val="none" w:sz="0" w:space="0" w:color="auto"/>
        <w:left w:val="none" w:sz="0" w:space="0" w:color="auto"/>
        <w:bottom w:val="none" w:sz="0" w:space="0" w:color="auto"/>
        <w:right w:val="none" w:sz="0" w:space="0" w:color="auto"/>
      </w:divBdr>
    </w:div>
    <w:div w:id="1537549143">
      <w:bodyDiv w:val="1"/>
      <w:marLeft w:val="0"/>
      <w:marRight w:val="0"/>
      <w:marTop w:val="0"/>
      <w:marBottom w:val="0"/>
      <w:divBdr>
        <w:top w:val="none" w:sz="0" w:space="0" w:color="auto"/>
        <w:left w:val="none" w:sz="0" w:space="0" w:color="auto"/>
        <w:bottom w:val="none" w:sz="0" w:space="0" w:color="auto"/>
        <w:right w:val="none" w:sz="0" w:space="0" w:color="auto"/>
      </w:divBdr>
    </w:div>
    <w:div w:id="19208699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09AC45-F5E6-463F-BBDF-735CA447DA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TotalTime>
  <Pages>7</Pages>
  <Words>2160</Words>
  <Characters>12312</Characters>
  <Application>Microsoft Office Word</Application>
  <DocSecurity>0</DocSecurity>
  <Lines>102</Lines>
  <Paragraphs>28</Paragraphs>
  <ScaleCrop>false</ScaleCrop>
  <Company/>
  <LinksUpToDate>false</LinksUpToDate>
  <CharactersWithSpaces>14444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Broc Morgan</dc:creator>
  <cp:keywords/>
  <dc:description/>
  <cp:lastModifiedBy>Broc Morgan</cp:lastModifiedBy>
  <cp:revision>49</cp:revision>
  <dcterms:created xsi:type="dcterms:W3CDTF">2024-01-26T14:02:00Z</dcterms:created>
  <dcterms:modified xsi:type="dcterms:W3CDTF">2024-01-28T19:25:00Z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c0e0c7b3817760a4410452504f31c40e4629fba82c5cda836eb88446e55813f7</vt:lpwstr>
  </property>
</Properties>
</file>