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68C65881" w:rsidP="1003F1BD" w:rsidRDefault="68C65881" w14:paraId="5E10BE10" w14:textId="59ED5809">
      <w:pPr>
        <w:pStyle w:val="Heading3"/>
        <w:spacing w:before="281" w:after="281"/>
        <w:rPr>
          <w:rFonts w:ascii="Aptos" w:hAnsi="Aptos" w:eastAsia="Aptos" w:cs="Aptos"/>
          <w:b w:val="1"/>
          <w:bCs w:val="1"/>
          <w:sz w:val="24"/>
          <w:szCs w:val="24"/>
        </w:rPr>
      </w:pPr>
      <w:r w:rsidRPr="636C82AA" w:rsidR="68C65881">
        <w:rPr>
          <w:rFonts w:ascii="Aptos" w:hAnsi="Aptos" w:eastAsia="Aptos" w:cs="Aptos"/>
          <w:b w:val="1"/>
          <w:bCs w:val="1"/>
          <w:sz w:val="24"/>
          <w:szCs w:val="24"/>
        </w:rPr>
        <w:t>Importance for Children in Early Years Development</w:t>
      </w:r>
    </w:p>
    <w:p w:rsidR="68C65881" w:rsidP="02A8193B" w:rsidRDefault="68C65881" w14:paraId="1157B9FF" w14:textId="394D4F2A">
      <w:pPr>
        <w:pStyle w:val="Heading3"/>
        <w:spacing w:before="281" w:after="281"/>
      </w:pPr>
      <w:r w:rsidRPr="02A8193B">
        <w:rPr>
          <w:rFonts w:ascii="Aptos" w:hAnsi="Aptos" w:eastAsia="Aptos" w:cs="Aptos"/>
          <w:b/>
          <w:bCs/>
          <w:sz w:val="24"/>
          <w:szCs w:val="24"/>
        </w:rPr>
        <w:t>Conclusion</w:t>
      </w:r>
    </w:p>
    <w:p w:rsidR="68C65881" w:rsidP="02A8193B" w:rsidRDefault="68C65881" w14:paraId="1EE19E41" w14:textId="28085BC2">
      <w:pPr>
        <w:spacing w:before="240" w:after="240"/>
      </w:pPr>
      <w:r w:rsidRPr="1003F1BD" w:rsidR="68C65881">
        <w:rPr>
          <w:rFonts w:ascii="Aptos" w:hAnsi="Aptos" w:eastAsia="Aptos" w:cs="Aptos"/>
        </w:rPr>
        <w:t xml:space="preserve">Health, well-being, and lifestyle are integral to the holistic development of children in their early years. Early Years practitioners play a critical role in shaping these aspects by creating supportive environments, promoting healthy habits, and collaborating with families. By prioritizing these concepts, we can ensure that children have </w:t>
      </w:r>
      <w:r w:rsidRPr="1003F1BD" w:rsidR="68C65881">
        <w:rPr>
          <w:rFonts w:ascii="Aptos" w:hAnsi="Aptos" w:eastAsia="Aptos" w:cs="Aptos"/>
        </w:rPr>
        <w:t>a strong foundation</w:t>
      </w:r>
      <w:r w:rsidRPr="1003F1BD" w:rsidR="68C65881">
        <w:rPr>
          <w:rFonts w:ascii="Aptos" w:hAnsi="Aptos" w:eastAsia="Aptos" w:cs="Aptos"/>
        </w:rPr>
        <w:t xml:space="preserve"> for a healthy, happy, and successful life.</w:t>
      </w:r>
    </w:p>
    <w:p w:rsidR="68C65881" w:rsidP="02A8193B" w:rsidRDefault="68C65881" w14:paraId="0AA90398" w14:textId="777BEF14">
      <w:pPr>
        <w:pStyle w:val="Heading3"/>
        <w:spacing w:before="281" w:after="281"/>
      </w:pPr>
      <w:r w:rsidRPr="02A8193B">
        <w:rPr>
          <w:rFonts w:ascii="Aptos" w:hAnsi="Aptos" w:eastAsia="Aptos" w:cs="Aptos"/>
          <w:b/>
          <w:bCs/>
          <w:sz w:val="24"/>
          <w:szCs w:val="24"/>
        </w:rPr>
        <w:t>References</w:t>
      </w:r>
    </w:p>
    <w:p w:rsidR="68C65881" w:rsidP="02A8193B" w:rsidRDefault="68C65881" w14:paraId="7A13318B" w14:textId="3A1907D4">
      <w:pPr>
        <w:pStyle w:val="ListParagraph"/>
        <w:numPr>
          <w:ilvl w:val="0"/>
          <w:numId w:val="2"/>
        </w:numPr>
        <w:spacing w:after="0"/>
        <w:rPr>
          <w:rFonts w:ascii="Aptos" w:hAnsi="Aptos" w:eastAsia="Aptos" w:cs="Aptos"/>
        </w:rPr>
      </w:pPr>
      <w:r w:rsidRPr="1003F1BD" w:rsidR="68C65881">
        <w:rPr>
          <w:rFonts w:ascii="Aptos" w:hAnsi="Aptos" w:eastAsia="Aptos" w:cs="Aptos"/>
        </w:rPr>
        <w:t>World Health Organization (WHO). (2021). "</w:t>
      </w:r>
      <w:r w:rsidRPr="1003F1BD" w:rsidR="222DD1B3">
        <w:rPr>
          <w:rFonts w:ascii="Aptos" w:hAnsi="Aptos" w:eastAsia="Aptos" w:cs="Aptos"/>
        </w:rPr>
        <w:t>Promoting healthy growth and development</w:t>
      </w:r>
      <w:r w:rsidRPr="1003F1BD" w:rsidR="68C65881">
        <w:rPr>
          <w:rFonts w:ascii="Aptos" w:hAnsi="Aptos" w:eastAsia="Aptos" w:cs="Aptos"/>
        </w:rPr>
        <w:t>" [</w:t>
      </w:r>
      <w:r w:rsidRPr="1003F1BD" w:rsidR="7DB0F002">
        <w:rPr>
          <w:rFonts w:ascii="Aptos" w:hAnsi="Aptos" w:eastAsia="Aptos" w:cs="Aptos"/>
        </w:rPr>
        <w:t>https://www.who.int/activities/promoting-healthy-growth-and-development</w:t>
      </w:r>
      <w:r w:rsidRPr="1003F1BD" w:rsidR="68C65881">
        <w:rPr>
          <w:rFonts w:ascii="Aptos" w:hAnsi="Aptos" w:eastAsia="Aptos" w:cs="Aptos"/>
        </w:rPr>
        <w:t>]</w:t>
      </w:r>
    </w:p>
    <w:p w:rsidR="68C65881" w:rsidP="02A8193B" w:rsidRDefault="68C65881" w14:paraId="64E1F625" w14:textId="6D3558F6">
      <w:pPr>
        <w:pStyle w:val="ListParagraph"/>
        <w:numPr>
          <w:ilvl w:val="0"/>
          <w:numId w:val="2"/>
        </w:numPr>
        <w:spacing w:after="0"/>
        <w:rPr>
          <w:rFonts w:ascii="Aptos" w:hAnsi="Aptos" w:eastAsia="Aptos" w:cs="Aptos"/>
        </w:rPr>
      </w:pPr>
      <w:r w:rsidRPr="1003F1BD" w:rsidR="68C65881">
        <w:rPr>
          <w:rFonts w:ascii="Aptos" w:hAnsi="Aptos" w:eastAsia="Aptos" w:cs="Aptos"/>
        </w:rPr>
        <w:t>Centers for Disease Control and Prevention (CDC). (2022). "Child Development Basics." [Link to resource]</w:t>
      </w:r>
    </w:p>
    <w:p w:rsidR="68C65881" w:rsidP="02A8193B" w:rsidRDefault="68C65881" w14:paraId="6D8DBA71" w14:textId="22495220">
      <w:pPr>
        <w:pStyle w:val="ListParagraph"/>
        <w:numPr>
          <w:ilvl w:val="0"/>
          <w:numId w:val="2"/>
        </w:numPr>
        <w:spacing w:after="0"/>
        <w:rPr>
          <w:rFonts w:ascii="Aptos" w:hAnsi="Aptos" w:eastAsia="Aptos" w:cs="Aptos"/>
        </w:rPr>
      </w:pPr>
      <w:r w:rsidRPr="1003F1BD" w:rsidR="68C65881">
        <w:rPr>
          <w:rFonts w:ascii="Aptos" w:hAnsi="Aptos" w:eastAsia="Aptos" w:cs="Aptos"/>
        </w:rPr>
        <w:t>Early Years Foundation Stage (EYFS) Framework. (2021). "Standards and guidelines for early years providers." [Link to resource]</w:t>
      </w:r>
    </w:p>
    <w:p w:rsidR="02A8193B" w:rsidRDefault="02A8193B" w14:paraId="253DFFA2" w14:textId="48DF73F9"/>
    <w:p w:rsidR="68C65881" w:rsidP="02A8193B" w:rsidRDefault="68C65881" w14:paraId="1B0403F0" w14:textId="7886C37F">
      <w:pPr>
        <w:spacing w:before="240" w:after="240"/>
      </w:pPr>
      <w:r w:rsidRPr="1003F1BD" w:rsidR="68C65881">
        <w:rPr>
          <w:rFonts w:ascii="Aptos" w:hAnsi="Aptos" w:eastAsia="Aptos" w:cs="Aptos"/>
        </w:rPr>
        <w:t xml:space="preserve">This poster aims to provide a comprehensive overview of the significance of health, well-being, and lifestyle in the </w:t>
      </w:r>
      <w:r w:rsidRPr="1003F1BD" w:rsidR="68C65881">
        <w:rPr>
          <w:rFonts w:ascii="Aptos" w:hAnsi="Aptos" w:eastAsia="Aptos" w:cs="Aptos"/>
        </w:rPr>
        <w:t>early stages</w:t>
      </w:r>
      <w:r w:rsidRPr="1003F1BD" w:rsidR="68C65881">
        <w:rPr>
          <w:rFonts w:ascii="Aptos" w:hAnsi="Aptos" w:eastAsia="Aptos" w:cs="Aptos"/>
        </w:rPr>
        <w:t xml:space="preserve"> of childhood development and the critical role Early Years practitioners play in this process.</w:t>
      </w:r>
    </w:p>
    <w:p w:rsidR="02A8193B" w:rsidP="02A8193B" w:rsidRDefault="02A8193B" w14:paraId="77A7F06F" w14:textId="6EB343CD"/>
    <w:p w:rsidR="02A8193B" w:rsidP="614EA854" w:rsidRDefault="02A8193B" w14:paraId="56498321" w14:textId="06E62BE0">
      <w:pPr>
        <w:pStyle w:val="Heading4"/>
        <w:spacing w:before="319" w:after="319"/>
        <w:rPr>
          <w:rFonts w:ascii="Aptos" w:hAnsi="Aptos" w:eastAsia="Aptos" w:cs="Aptos"/>
          <w:b w:val="1"/>
          <w:bCs w:val="1"/>
        </w:rPr>
      </w:pPr>
    </w:p>
    <w:p w:rsidR="5B14127A" w:rsidP="02A8193B" w:rsidRDefault="5B14127A" w14:paraId="058A0088" w14:textId="1226B03B">
      <w:pPr>
        <w:pStyle w:val="Heading4"/>
        <w:spacing w:before="319" w:after="319"/>
      </w:pPr>
      <w:r w:rsidRPr="1003F1BD" w:rsidR="5B14127A">
        <w:rPr>
          <w:rFonts w:ascii="Aptos" w:hAnsi="Aptos" w:eastAsia="Aptos" w:cs="Aptos"/>
          <w:b w:val="1"/>
          <w:bCs w:val="1"/>
        </w:rPr>
        <w:t>Importance for Early Years Development</w:t>
      </w:r>
    </w:p>
    <w:p w:rsidR="02A8193B" w:rsidRDefault="02A8193B" w14:paraId="42ED37E3" w14:textId="007EB5FA"/>
    <w:p w:rsidR="5B14127A" w:rsidP="02A8193B" w:rsidRDefault="5B14127A" w14:paraId="24DBE078" w14:textId="7C73ADED">
      <w:pPr>
        <w:pStyle w:val="Heading4"/>
        <w:spacing w:before="319" w:after="319"/>
      </w:pPr>
      <w:r w:rsidRPr="28C4E6D7" w:rsidR="5B14127A">
        <w:rPr>
          <w:rFonts w:ascii="Aptos" w:hAnsi="Aptos" w:eastAsia="Aptos" w:cs="Aptos"/>
          <w:b w:val="1"/>
          <w:bCs w:val="1"/>
        </w:rPr>
        <w:t>Role of Early Years Practitioners</w:t>
      </w:r>
    </w:p>
    <w:p w:rsidR="5B14127A" w:rsidP="28C4E6D7" w:rsidRDefault="5B14127A" w14:paraId="10F8B4A1" w14:textId="560DFE9E">
      <w:pPr>
        <w:pStyle w:val="Normal"/>
        <w:spacing w:before="240" w:after="240"/>
        <w:ind w:left="0"/>
        <w:rPr>
          <w:rFonts w:ascii="Aptos" w:hAnsi="Aptos" w:eastAsia="Aptos" w:cs="Aptos"/>
          <w:b w:val="1"/>
          <w:bCs w:val="1"/>
        </w:rPr>
      </w:pPr>
    </w:p>
    <w:p w:rsidR="02A8193B" w:rsidRDefault="02A8193B" w14:paraId="7AB14842" w14:textId="78D8D312"/>
    <w:p w:rsidR="5B14127A" w:rsidP="02A8193B" w:rsidRDefault="5B14127A" w14:paraId="7F8E0F7D" w14:textId="7CBE1C34">
      <w:pPr>
        <w:pStyle w:val="Heading4"/>
        <w:spacing w:before="319" w:after="319"/>
      </w:pPr>
      <w:r w:rsidRPr="02A8193B">
        <w:rPr>
          <w:rFonts w:ascii="Aptos" w:hAnsi="Aptos" w:eastAsia="Aptos" w:cs="Aptos"/>
          <w:b/>
          <w:bCs/>
        </w:rPr>
        <w:t>Conclusion</w:t>
      </w:r>
    </w:p>
    <w:p w:rsidR="5B14127A" w:rsidP="02A8193B" w:rsidRDefault="5B14127A" w14:paraId="1467EEAA" w14:textId="241207CE">
      <w:pPr>
        <w:spacing w:before="240" w:after="240"/>
      </w:pPr>
      <w:r w:rsidRPr="02A8193B">
        <w:rPr>
          <w:rFonts w:ascii="Aptos" w:hAnsi="Aptos" w:eastAsia="Aptos" w:cs="Aptos"/>
        </w:rPr>
        <w:t>Health, well-being, and lifestyle are foundational to the overall development of children in their early years. Early Years practitioners play a pivotal role in nurturing these aspects, thereby laying the groundwork for lifelong health and success.</w:t>
      </w:r>
    </w:p>
    <w:p w:rsidR="02A8193B" w:rsidRDefault="02A8193B" w14:paraId="52591D08" w14:textId="382EE79D"/>
    <w:p w:rsidR="5B14127A" w:rsidP="02A8193B" w:rsidRDefault="5B14127A" w14:paraId="15AEE1B2" w14:textId="5A96539B">
      <w:pPr>
        <w:pStyle w:val="Heading4"/>
        <w:spacing w:before="319" w:after="319"/>
      </w:pPr>
      <w:r w:rsidRPr="02A8193B">
        <w:rPr>
          <w:rFonts w:ascii="Aptos" w:hAnsi="Aptos" w:eastAsia="Aptos" w:cs="Aptos"/>
          <w:b/>
          <w:bCs/>
        </w:rPr>
        <w:t>References</w:t>
      </w:r>
    </w:p>
    <w:p w:rsidR="5B14127A" w:rsidP="02A8193B" w:rsidRDefault="5B14127A" w14:paraId="330F6FE6" w14:textId="1D6D7129">
      <w:pPr>
        <w:pStyle w:val="ListParagraph"/>
        <w:numPr>
          <w:ilvl w:val="0"/>
          <w:numId w:val="2"/>
        </w:numPr>
        <w:spacing w:after="0"/>
        <w:rPr>
          <w:rFonts w:ascii="Aptos" w:hAnsi="Aptos" w:eastAsia="Aptos" w:cs="Aptos"/>
        </w:rPr>
      </w:pPr>
      <w:r w:rsidRPr="1003F1BD" w:rsidR="5B14127A">
        <w:rPr>
          <w:rFonts w:ascii="Aptos" w:hAnsi="Aptos" w:eastAsia="Aptos" w:cs="Aptos"/>
        </w:rPr>
        <w:t>World Health Organization. (1948). Preamble to the Constitution of WHO as adopted by the International Health Conference.</w:t>
      </w:r>
    </w:p>
    <w:p w:rsidR="5B14127A" w:rsidP="02A8193B" w:rsidRDefault="5B14127A" w14:paraId="07D46A48" w14:textId="5EF4DB45">
      <w:pPr>
        <w:pStyle w:val="ListParagraph"/>
        <w:numPr>
          <w:ilvl w:val="0"/>
          <w:numId w:val="2"/>
        </w:numPr>
        <w:spacing w:after="0"/>
        <w:rPr>
          <w:rFonts w:ascii="Aptos" w:hAnsi="Aptos" w:eastAsia="Aptos" w:cs="Aptos"/>
        </w:rPr>
      </w:pPr>
      <w:r w:rsidRPr="1003F1BD" w:rsidR="5B14127A">
        <w:rPr>
          <w:rFonts w:ascii="Aptos" w:hAnsi="Aptos" w:eastAsia="Aptos" w:cs="Aptos"/>
        </w:rPr>
        <w:t>National Association for the Education of Young Children (NAEYC). (2019). Advancing Equity in Early Childhood Education.</w:t>
      </w:r>
    </w:p>
    <w:p w:rsidR="5B14127A" w:rsidP="02A8193B" w:rsidRDefault="5B14127A" w14:paraId="3BB61A84" w14:textId="388241BB">
      <w:pPr>
        <w:pStyle w:val="ListParagraph"/>
        <w:numPr>
          <w:ilvl w:val="0"/>
          <w:numId w:val="2"/>
        </w:numPr>
        <w:spacing w:after="0"/>
        <w:rPr>
          <w:rFonts w:ascii="Aptos" w:hAnsi="Aptos" w:eastAsia="Aptos" w:cs="Aptos"/>
        </w:rPr>
      </w:pPr>
      <w:r w:rsidRPr="1003F1BD" w:rsidR="5B14127A">
        <w:rPr>
          <w:rFonts w:ascii="Aptos" w:hAnsi="Aptos" w:eastAsia="Aptos" w:cs="Aptos"/>
        </w:rPr>
        <w:t>National Health Service (NHS). (2020). Early years: health for under-fives.</w:t>
      </w:r>
    </w:p>
    <w:p w:rsidR="02A8193B" w:rsidRDefault="02A8193B" w14:paraId="14C4153D" w14:textId="519EF5FC"/>
    <w:p w:rsidR="5B14127A" w:rsidP="02A8193B" w:rsidRDefault="5B14127A" w14:paraId="1BDEDE7E" w14:textId="53DA25F1">
      <w:pPr>
        <w:spacing w:before="240" w:after="240"/>
      </w:pPr>
      <w:r w:rsidRPr="02A8193B">
        <w:rPr>
          <w:rFonts w:ascii="Aptos" w:hAnsi="Aptos" w:eastAsia="Aptos" w:cs="Aptos"/>
        </w:rPr>
        <w:t>This poster aims to shed light on the critical role of health, well-being, and lifestyle in early childhood development, emphasizing the influence of Early Years practitioners in shaping a healthy future for children.</w:t>
      </w:r>
    </w:p>
    <w:p w:rsidR="3944E508" w:rsidP="02A8193B" w:rsidRDefault="3944E508" w14:paraId="4FC0F1DE" w14:textId="0B55817D">
      <w:r w:rsidR="3944E508">
        <w:rPr/>
        <w:t>-------------</w:t>
      </w:r>
    </w:p>
    <w:p w:rsidR="1003F1BD" w:rsidP="1003F1BD" w:rsidRDefault="1003F1BD" w14:paraId="131F8C6D" w14:textId="001925E7">
      <w:pPr>
        <w:spacing w:before="240" w:beforeAutospacing="off" w:after="240" w:afterAutospacing="off"/>
        <w:rPr>
          <w:rFonts w:ascii="Arial Nova" w:hAnsi="Arial Nova" w:eastAsia="Arial Nova" w:cs="Arial Nova"/>
          <w:noProof w:val="0"/>
          <w:sz w:val="22"/>
          <w:szCs w:val="22"/>
          <w:lang w:val="en-GB"/>
        </w:rPr>
      </w:pPr>
    </w:p>
    <w:p w:rsidR="1003F1BD" w:rsidP="1003F1BD" w:rsidRDefault="1003F1BD" w14:paraId="125D6F13" w14:textId="1A6D20CC">
      <w:pPr>
        <w:spacing w:before="0" w:beforeAutospacing="off" w:after="0" w:afterAutospacing="off"/>
      </w:pPr>
    </w:p>
    <w:p w:rsidR="28023FA5" w:rsidP="1003F1BD" w:rsidRDefault="28023FA5" w14:paraId="7576C087" w14:textId="2DB08E7A">
      <w:pPr>
        <w:spacing w:before="240" w:beforeAutospacing="off" w:after="240" w:afterAutospacing="off"/>
        <w:rPr>
          <w:rFonts w:ascii="Arial Nova" w:hAnsi="Arial Nova" w:eastAsia="Arial Nova" w:cs="Arial Nova"/>
          <w:noProof w:val="0"/>
          <w:sz w:val="18"/>
          <w:szCs w:val="18"/>
          <w:lang w:val="en-GB"/>
        </w:rPr>
      </w:pPr>
      <w:r w:rsidRPr="1003F1BD" w:rsidR="28023FA5">
        <w:rPr>
          <w:rFonts w:ascii="Arial Nova" w:hAnsi="Arial Nova" w:eastAsia="Arial Nova" w:cs="Arial Nova"/>
          <w:noProof w:val="0"/>
          <w:sz w:val="18"/>
          <w:szCs w:val="18"/>
          <w:lang w:val="en-GB"/>
        </w:rPr>
        <w:t>This poster examines the interconnected concepts of health, well-being, and lifestyle, focusing on their importance in early childhood development and their role in promoting holistic growth. It explores definitions, underscores their significance, and discusses the crucial role of Early Years practitioners in fostering these elements. The World Health Organization (WHO) defines health as a positive concept that emphasises social and personal resources, highlighting the connection between health and emotional well-being (WHO, 1986). This definition suggests that emotional well-being depends on positive social interactions with others and is also tied to our relationship with ourselves. This underscores the importance of fostering self-reliance and resilience in children, thereby highlighting the role of practitioners in supporting these aspects of development (Musgrave, 2017).</w:t>
      </w:r>
    </w:p>
    <w:p w:rsidR="28023FA5" w:rsidP="1003F1BD" w:rsidRDefault="28023FA5" w14:paraId="0B50B7A8" w14:textId="5DDEB31A">
      <w:pPr>
        <w:spacing w:before="240" w:beforeAutospacing="off" w:after="240" w:afterAutospacing="off"/>
        <w:rPr>
          <w:rFonts w:ascii="Arial Nova" w:hAnsi="Arial Nova" w:eastAsia="Arial Nova" w:cs="Arial Nova"/>
          <w:noProof w:val="0"/>
          <w:sz w:val="18"/>
          <w:szCs w:val="18"/>
          <w:lang w:val="en-GB"/>
        </w:rPr>
      </w:pPr>
      <w:r w:rsidRPr="1003F1BD" w:rsidR="28023FA5">
        <w:rPr>
          <w:rFonts w:ascii="Arial Nova" w:hAnsi="Arial Nova" w:eastAsia="Arial Nova" w:cs="Arial Nova"/>
          <w:noProof w:val="0"/>
          <w:sz w:val="18"/>
          <w:szCs w:val="18"/>
          <w:lang w:val="en-GB"/>
        </w:rPr>
        <w:t xml:space="preserve">Health, well-being, and lifestyle are closely interconnected concepts that significantly influence early childhood development (Cheung, 2018). These elements can be likened to the fire triangle, where changes in one directly </w:t>
      </w:r>
      <w:r w:rsidRPr="1003F1BD" w:rsidR="28023FA5">
        <w:rPr>
          <w:rFonts w:ascii="Arial Nova" w:hAnsi="Arial Nova" w:eastAsia="Arial Nova" w:cs="Arial Nova"/>
          <w:noProof w:val="0"/>
          <w:sz w:val="18"/>
          <w:szCs w:val="18"/>
          <w:lang w:val="en-GB"/>
        </w:rPr>
        <w:t>impact</w:t>
      </w:r>
      <w:r w:rsidRPr="1003F1BD" w:rsidR="28023FA5">
        <w:rPr>
          <w:rFonts w:ascii="Arial Nova" w:hAnsi="Arial Nova" w:eastAsia="Arial Nova" w:cs="Arial Nova"/>
          <w:noProof w:val="0"/>
          <w:sz w:val="18"/>
          <w:szCs w:val="18"/>
          <w:lang w:val="en-GB"/>
        </w:rPr>
        <w:t xml:space="preserve"> the others. This poster highlights these interconnections, stresses their importance for young children, and incorporates their perspectives. It also emphasises the critical role of Early Years practitioners in nurturing these dimensions. Musgrave (2017) notes that an individual's understanding of health and well-being is often shaped by </w:t>
      </w:r>
      <w:r w:rsidRPr="1003F1BD" w:rsidR="28023FA5">
        <w:rPr>
          <w:rFonts w:ascii="Arial Nova" w:hAnsi="Arial Nova" w:eastAsia="Arial Nova" w:cs="Arial Nova"/>
          <w:noProof w:val="0"/>
          <w:sz w:val="18"/>
          <w:szCs w:val="18"/>
          <w:lang w:val="en-GB"/>
        </w:rPr>
        <w:t>personal experiences</w:t>
      </w:r>
      <w:r w:rsidRPr="1003F1BD" w:rsidR="28023FA5">
        <w:rPr>
          <w:rFonts w:ascii="Arial Nova" w:hAnsi="Arial Nova" w:eastAsia="Arial Nova" w:cs="Arial Nova"/>
          <w:noProof w:val="0"/>
          <w:sz w:val="18"/>
          <w:szCs w:val="18"/>
          <w:lang w:val="en-GB"/>
        </w:rPr>
        <w:t xml:space="preserve">, which may provide only a limited perspective. However, within the early years sector, practitioners have a unique opportunity to develop a comprehensive understanding by promoting and </w:t>
      </w:r>
      <w:r w:rsidRPr="1003F1BD" w:rsidR="28023FA5">
        <w:rPr>
          <w:rFonts w:ascii="Arial Nova" w:hAnsi="Arial Nova" w:eastAsia="Arial Nova" w:cs="Arial Nova"/>
          <w:noProof w:val="0"/>
          <w:sz w:val="18"/>
          <w:szCs w:val="18"/>
          <w:lang w:val="en-GB"/>
        </w:rPr>
        <w:t>maintaining</w:t>
      </w:r>
      <w:r w:rsidRPr="1003F1BD" w:rsidR="28023FA5">
        <w:rPr>
          <w:rFonts w:ascii="Arial Nova" w:hAnsi="Arial Nova" w:eastAsia="Arial Nova" w:cs="Arial Nova"/>
          <w:noProof w:val="0"/>
          <w:sz w:val="18"/>
          <w:szCs w:val="18"/>
          <w:lang w:val="en-GB"/>
        </w:rPr>
        <w:t xml:space="preserve"> children's health while learning and sharing insights from each other’s experiences.</w:t>
      </w:r>
    </w:p>
    <w:p w:rsidR="1003F1BD" w:rsidP="1003F1BD" w:rsidRDefault="1003F1BD" w14:paraId="672EA27E" w14:textId="61049F13">
      <w:pPr>
        <w:rPr>
          <w:rFonts w:ascii="Arial Nova" w:hAnsi="Arial Nova"/>
          <w:sz w:val="18"/>
          <w:szCs w:val="18"/>
        </w:rPr>
      </w:pPr>
    </w:p>
    <w:p w:rsidRPr="00A12F3B" w:rsidR="09647F7C" w:rsidP="614794D6" w:rsidRDefault="09647F7C" w14:paraId="3190A2E2" w14:textId="4FE84E1A">
      <w:pPr>
        <w:rPr>
          <w:rFonts w:ascii="Arial Nova" w:hAnsi="Arial Nova"/>
          <w:sz w:val="22"/>
          <w:szCs w:val="22"/>
        </w:rPr>
      </w:pPr>
      <w:r w:rsidRPr="1003F1BD" w:rsidR="09647F7C">
        <w:rPr>
          <w:rFonts w:ascii="Arial Nova" w:hAnsi="Arial Nova"/>
          <w:b w:val="1"/>
          <w:bCs w:val="1"/>
          <w:sz w:val="22"/>
          <w:szCs w:val="22"/>
        </w:rPr>
        <w:t>Health</w:t>
      </w:r>
    </w:p>
    <w:p w:rsidR="5E03AAED" w:rsidP="0660D9C3" w:rsidRDefault="5E03AAED" w14:paraId="3EA4C893" w14:textId="67B3ACFA">
      <w:pPr>
        <w:rPr>
          <w:rFonts w:ascii="Arial Nova" w:hAnsi="Arial Nova"/>
          <w:b w:val="1"/>
          <w:bCs w:val="1"/>
          <w:sz w:val="22"/>
          <w:szCs w:val="22"/>
        </w:rPr>
      </w:pPr>
      <w:r w:rsidRPr="1003F1BD" w:rsidR="5E03AAED">
        <w:rPr>
          <w:rFonts w:ascii="Arial Nova" w:hAnsi="Arial Nova"/>
          <w:b w:val="1"/>
          <w:bCs w:val="1"/>
          <w:sz w:val="22"/>
          <w:szCs w:val="22"/>
        </w:rPr>
        <w:t>Concepts</w:t>
      </w:r>
    </w:p>
    <w:p w:rsidR="35C29BEE" w:rsidP="1003F1BD" w:rsidRDefault="35C29BEE" w14:paraId="7A086241" w14:textId="4BB64C30">
      <w:pPr>
        <w:spacing w:before="240" w:beforeAutospacing="off" w:after="240" w:afterAutospacing="off"/>
      </w:pPr>
      <w:r w:rsidRPr="1003F1BD" w:rsidR="35C29BEE">
        <w:rPr>
          <w:rFonts w:ascii="Arial Nova" w:hAnsi="Arial Nova" w:eastAsia="Arial Nova" w:cs="Arial Nova"/>
          <w:noProof w:val="0"/>
          <w:sz w:val="18"/>
          <w:szCs w:val="18"/>
          <w:lang w:val="en-GB"/>
        </w:rPr>
        <w:t>According to the World Health Organization (1948), health is defined as a state of complete physical, mental, and social well-being, not merely the absence of disease or infirmity. This definition highlights the body's ability to perform daily functions, supported by proper nutrition, regular physical activity, adequate rest, and access to medical care. Mental health encompasses emotional, psychological, and social well-being, influencing how children think, feel, and act. This view is supported by Hong, Ra, and Jang (2015), who found that a child's perception of happiness is essential for leading a fulfilling life.</w:t>
      </w:r>
    </w:p>
    <w:p w:rsidR="35C29BEE" w:rsidP="1003F1BD" w:rsidRDefault="35C29BEE" w14:paraId="7BD14775" w14:textId="57D0AAE1">
      <w:pPr>
        <w:spacing w:before="240" w:beforeAutospacing="off" w:after="240" w:afterAutospacing="off"/>
      </w:pPr>
      <w:r w:rsidRPr="1003F1BD" w:rsidR="35C29BEE">
        <w:rPr>
          <w:rFonts w:ascii="Arial Nova" w:hAnsi="Arial Nova" w:eastAsia="Arial Nova" w:cs="Arial Nova"/>
          <w:noProof w:val="0"/>
          <w:sz w:val="18"/>
          <w:szCs w:val="18"/>
          <w:lang w:val="en-GB"/>
        </w:rPr>
        <w:t>However, Rose, Gilbert, and Richards (2016) argue that defining health is complex, as its interpretation varies across different socio-cultural contexts. Musgrave (2017) echoes this sentiment, suggesting that there is no universally accepted definition of health. The World Health Organization's updated perspective (1998) expands on this, describing health as the ability to realise aspirations, meet needs, cope with changes, and manage one’s environment. This view positions health as a resource for everyday life rather than the ultimate goal of living, emphasising social and personal resources alongside physical capabilities. Musgrave (2017) acknowledges this definition as ambitious, aiming to provide an inclusive explanation that applies across diverse contexts.</w:t>
      </w:r>
    </w:p>
    <w:p w:rsidR="1003F1BD" w:rsidP="1003F1BD" w:rsidRDefault="1003F1BD" w14:paraId="3B6050C3" w14:textId="5A785772">
      <w:pPr>
        <w:spacing w:before="240" w:after="240"/>
        <w:rPr>
          <w:rFonts w:ascii="Arial Nova" w:hAnsi="Arial Nova" w:eastAsia="Aptos" w:cs="Aptos"/>
          <w:sz w:val="18"/>
          <w:szCs w:val="18"/>
        </w:rPr>
      </w:pPr>
    </w:p>
    <w:p w:rsidR="0DA7D1E9" w:rsidP="0660D9C3" w:rsidRDefault="0DA7D1E9" w14:paraId="37F7AC25" w14:textId="35EE6195">
      <w:pPr>
        <w:spacing w:before="240" w:after="240"/>
        <w:rPr>
          <w:rFonts w:ascii="Arial Nova" w:hAnsi="Arial Nova" w:eastAsia="Aptos" w:cs="Aptos"/>
          <w:sz w:val="18"/>
          <w:szCs w:val="18"/>
        </w:rPr>
      </w:pPr>
      <w:r w:rsidRPr="1003F1BD" w:rsidR="0DA7D1E9">
        <w:rPr>
          <w:rFonts w:ascii="Arial Nova" w:hAnsi="Arial Nova" w:eastAsia="Aptos" w:cs="Aptos"/>
          <w:sz w:val="18"/>
          <w:szCs w:val="18"/>
        </w:rPr>
        <w:t>Impact on Early Years development</w:t>
      </w:r>
    </w:p>
    <w:p w:rsidR="05F7C98C" w:rsidP="1003F1BD" w:rsidRDefault="05F7C98C" w14:paraId="48474C9A" w14:textId="7DE92E99">
      <w:pPr>
        <w:bidi w:val="0"/>
        <w:spacing w:before="240" w:beforeAutospacing="off" w:after="240" w:afterAutospacing="off"/>
      </w:pPr>
      <w:r w:rsidRPr="1003F1BD" w:rsidR="0456FCBF">
        <w:rPr>
          <w:rFonts w:ascii="Arial Nova" w:hAnsi="Arial Nova" w:eastAsia="Arial Nova" w:cs="Arial Nova"/>
          <w:noProof w:val="0"/>
          <w:sz w:val="18"/>
          <w:szCs w:val="18"/>
          <w:lang w:val="en-GB"/>
        </w:rPr>
        <w:t>Healthy development in early childhood lays the foundation for children's readiness and success in early years settings and future educational experiences (Currie, 2005). Currie (2005) also highlights that early life stress and adverse events can have lasting effects on children's mental and physical health. Specifically, early life stress can lead to developmental delays and negatively impact long-term health outcomes (Developing Child, 2010; Noble, Candliss, and Farah, 2007).</w:t>
      </w:r>
    </w:p>
    <w:p w:rsidR="05F7C98C" w:rsidP="1003F1BD" w:rsidRDefault="05F7C98C" w14:paraId="7102CB90" w14:textId="2F8D1496">
      <w:pPr>
        <w:bidi w:val="0"/>
        <w:spacing w:before="240" w:beforeAutospacing="off" w:after="240" w:afterAutospacing="off"/>
      </w:pPr>
      <w:r w:rsidRPr="1003F1BD" w:rsidR="0456FCBF">
        <w:rPr>
          <w:rFonts w:ascii="Arial Nova" w:hAnsi="Arial Nova" w:eastAsia="Arial Nova" w:cs="Arial Nova"/>
          <w:noProof w:val="0"/>
          <w:sz w:val="18"/>
          <w:szCs w:val="18"/>
          <w:lang w:val="en-GB"/>
        </w:rPr>
        <w:t xml:space="preserve">Early childhood development and education programs play a crucial role in reducing educational disparities. For instance, </w:t>
      </w:r>
      <w:r w:rsidRPr="1003F1BD" w:rsidR="0456FCBF">
        <w:rPr>
          <w:rFonts w:ascii="Arial Nova" w:hAnsi="Arial Nova" w:eastAsia="Arial Nova" w:cs="Arial Nova"/>
          <w:i w:val="1"/>
          <w:iCs w:val="1"/>
          <w:noProof w:val="0"/>
          <w:sz w:val="18"/>
          <w:szCs w:val="18"/>
          <w:lang w:val="en-GB"/>
        </w:rPr>
        <w:t>Flying Start</w:t>
      </w:r>
      <w:r w:rsidRPr="1003F1BD" w:rsidR="0456FCBF">
        <w:rPr>
          <w:rFonts w:ascii="Arial Nova" w:hAnsi="Arial Nova" w:eastAsia="Arial Nova" w:cs="Arial Nova"/>
          <w:noProof w:val="0"/>
          <w:sz w:val="18"/>
          <w:szCs w:val="18"/>
          <w:lang w:val="en-GB"/>
        </w:rPr>
        <w:t>, a Welsh Government-funded initiative, provides support services for families with children under four in disadvantaged areas of Wales (Welsh Government, 2017). Positive early experiences are vital for building a child's brain architecture, laying the foundation for lifelong learning and skill development. The period from pregnancy to age three is particularly critical, as the brain is most sensitive to environmental influences during this time (UNICEF, no date).</w:t>
      </w:r>
    </w:p>
    <w:p w:rsidR="05F7C98C" w:rsidP="1003F1BD" w:rsidRDefault="05F7C98C" w14:paraId="59051C6D" w14:textId="793BEFBF">
      <w:pPr>
        <w:bidi w:val="0"/>
        <w:spacing w:before="240" w:beforeAutospacing="off" w:after="240" w:afterAutospacing="off"/>
      </w:pPr>
      <w:r w:rsidRPr="1003F1BD" w:rsidR="0456FCBF">
        <w:rPr>
          <w:rFonts w:ascii="Arial Nova" w:hAnsi="Arial Nova" w:eastAsia="Arial Nova" w:cs="Arial Nova"/>
          <w:noProof w:val="0"/>
          <w:sz w:val="18"/>
          <w:szCs w:val="18"/>
          <w:lang w:val="en-GB"/>
        </w:rPr>
        <w:t>The Institute of Early Years Education (2024) emphasises that a healthy, balanced diet during early childhood promotes growth, supports brain development, and lowers the risk of chronic diseases. They also underscore that, according to the UN Convention on the Rights of the Child (UNICEF, no date), good nutrition is a fundamental human right. This includes access to safe drinking water, nutritious food, a clean and safe environment, and education to support a healthy lifestyle. Additionally, the health of the mother before and during pregnancy significantly impacts the health of the foetus and the child's brain development (WHO, 2020).</w:t>
      </w:r>
    </w:p>
    <w:p w:rsidR="05F7C98C" w:rsidP="1003F1BD" w:rsidRDefault="05F7C98C" w14:paraId="2DABDDA1" w14:textId="50272B28">
      <w:pPr>
        <w:bidi w:val="0"/>
        <w:spacing w:before="240" w:after="240"/>
        <w:rPr>
          <w:rFonts w:ascii="Arial Nova" w:hAnsi="Arial Nova" w:eastAsia="Arial Nova" w:cs="Arial Nova"/>
          <w:b w:val="0"/>
          <w:bCs w:val="0"/>
          <w:i w:val="0"/>
          <w:iCs w:val="0"/>
          <w:caps w:val="0"/>
          <w:smallCaps w:val="0"/>
          <w:noProof w:val="0"/>
          <w:color w:val="000000" w:themeColor="text1" w:themeTint="FF" w:themeShade="FF"/>
          <w:sz w:val="18"/>
          <w:szCs w:val="18"/>
          <w:lang w:val="en-GB"/>
        </w:rPr>
      </w:pPr>
    </w:p>
    <w:p w:rsidR="05F7C98C" w:rsidP="1003F1BD" w:rsidRDefault="05F7C98C" w14:paraId="60DC6DC9" w14:textId="466F256F">
      <w:pPr>
        <w:pStyle w:val="Normal"/>
        <w:bidi w:val="0"/>
        <w:spacing w:before="240" w:after="240"/>
        <w:rPr>
          <w:rFonts w:ascii="Arial Nova" w:hAnsi="Arial Nova" w:eastAsia="Arial Nova" w:cs="Arial Nova"/>
          <w:b w:val="0"/>
          <w:bCs w:val="0"/>
          <w:i w:val="0"/>
          <w:iCs w:val="0"/>
          <w:caps w:val="0"/>
          <w:smallCaps w:val="0"/>
          <w:noProof w:val="0"/>
          <w:color w:val="000000" w:themeColor="text1" w:themeTint="FF" w:themeShade="FF"/>
          <w:sz w:val="18"/>
          <w:szCs w:val="18"/>
          <w:lang w:val="en-GB"/>
        </w:rPr>
      </w:pPr>
    </w:p>
    <w:p w:rsidR="05F7C98C" w:rsidP="1003F1BD" w:rsidRDefault="05F7C98C" w14:paraId="7D8A3E3E" w14:textId="40DEFDA2">
      <w:pPr>
        <w:spacing w:before="240" w:beforeAutospacing="off" w:after="240" w:afterAutospacing="off"/>
        <w:rPr>
          <w:rFonts w:ascii="Arial Nova" w:hAnsi="Arial Nova" w:eastAsia="Arial Nova" w:cs="Arial Nova"/>
          <w:noProof w:val="0"/>
          <w:sz w:val="18"/>
          <w:szCs w:val="18"/>
          <w:lang w:val="en-GB"/>
        </w:rPr>
      </w:pPr>
      <w:r w:rsidRPr="1003F1BD" w:rsidR="16882E70">
        <w:rPr>
          <w:rFonts w:ascii="Arial Nova" w:hAnsi="Arial Nova" w:eastAsia="Arial Nova" w:cs="Arial Nova"/>
          <w:noProof w:val="0"/>
          <w:sz w:val="18"/>
          <w:szCs w:val="18"/>
          <w:lang w:val="en-GB"/>
        </w:rPr>
        <w:t>Role of Practitioner</w:t>
      </w:r>
    </w:p>
    <w:p w:rsidR="05F7C98C" w:rsidP="1003F1BD" w:rsidRDefault="05F7C98C" w14:paraId="519C39E7" w14:textId="05A84A12">
      <w:pPr>
        <w:spacing w:before="240" w:beforeAutospacing="off" w:after="240" w:afterAutospacing="off"/>
      </w:pPr>
      <w:r w:rsidRPr="1003F1BD" w:rsidR="373B08ED">
        <w:rPr>
          <w:rFonts w:ascii="Arial Nova" w:hAnsi="Arial Nova" w:eastAsia="Arial Nova" w:cs="Arial Nova"/>
          <w:noProof w:val="0"/>
          <w:sz w:val="18"/>
          <w:szCs w:val="18"/>
          <w:lang w:val="en-GB"/>
        </w:rPr>
        <w:t>The role of the Early Years practitioner is diverse, encompassing the responsibility of ensuring that the physical environment is both safe and engaging. This involves facilitating indoor and outdoor play opportunities and designing activities and games to help children develop core strength, balance, and coordination. Practitioners also play a crucial role in providing nutritious meals and snacks or offering guidance on healthy eating, while promoting regular physical activity through structured and unstructured play (Department for Education, 2024; DfE, no date; McGowan, Chandler, and Gerde, 2023).</w:t>
      </w:r>
    </w:p>
    <w:p w:rsidR="05F7C98C" w:rsidP="1003F1BD" w:rsidRDefault="05F7C98C" w14:paraId="3B787AAF" w14:textId="5B770082">
      <w:pPr>
        <w:spacing w:before="240" w:beforeAutospacing="off" w:after="240" w:afterAutospacing="off"/>
      </w:pPr>
      <w:r w:rsidRPr="1003F1BD" w:rsidR="373B08ED">
        <w:rPr>
          <w:rFonts w:ascii="Arial Nova" w:hAnsi="Arial Nova" w:eastAsia="Arial Nova" w:cs="Arial Nova"/>
          <w:noProof w:val="0"/>
          <w:sz w:val="18"/>
          <w:szCs w:val="18"/>
          <w:lang w:val="en-GB"/>
        </w:rPr>
        <w:t xml:space="preserve">High-quality childcare programs, such as </w:t>
      </w:r>
      <w:r w:rsidRPr="1003F1BD" w:rsidR="373B08ED">
        <w:rPr>
          <w:rFonts w:ascii="Arial Nova" w:hAnsi="Arial Nova" w:eastAsia="Arial Nova" w:cs="Arial Nova"/>
          <w:i w:val="1"/>
          <w:iCs w:val="1"/>
          <w:noProof w:val="0"/>
          <w:sz w:val="18"/>
          <w:szCs w:val="18"/>
          <w:lang w:val="en-GB"/>
        </w:rPr>
        <w:t>Flying Start</w:t>
      </w:r>
      <w:r w:rsidRPr="1003F1BD" w:rsidR="373B08ED">
        <w:rPr>
          <w:rFonts w:ascii="Arial Nova" w:hAnsi="Arial Nova" w:eastAsia="Arial Nova" w:cs="Arial Nova"/>
          <w:noProof w:val="0"/>
          <w:sz w:val="18"/>
          <w:szCs w:val="18"/>
          <w:lang w:val="en-GB"/>
        </w:rPr>
        <w:t xml:space="preserve">, support skill development, socialisation, and the ability to focus and play. Designed to address poverty and deprivation, </w:t>
      </w:r>
      <w:r w:rsidRPr="1003F1BD" w:rsidR="373B08ED">
        <w:rPr>
          <w:rFonts w:ascii="Arial Nova" w:hAnsi="Arial Nova" w:eastAsia="Arial Nova" w:cs="Arial Nova"/>
          <w:i w:val="1"/>
          <w:iCs w:val="1"/>
          <w:noProof w:val="0"/>
          <w:sz w:val="18"/>
          <w:szCs w:val="18"/>
          <w:lang w:val="en-GB"/>
        </w:rPr>
        <w:t>Flying Start</w:t>
      </w:r>
      <w:r w:rsidRPr="1003F1BD" w:rsidR="373B08ED">
        <w:rPr>
          <w:rFonts w:ascii="Arial Nova" w:hAnsi="Arial Nova" w:eastAsia="Arial Nova" w:cs="Arial Nova"/>
          <w:noProof w:val="0"/>
          <w:sz w:val="18"/>
          <w:szCs w:val="18"/>
          <w:lang w:val="en-GB"/>
        </w:rPr>
        <w:t xml:space="preserve"> serves as a key initiative for implementing early years programs (Welsh Government, 2017).</w:t>
      </w:r>
    </w:p>
    <w:p w:rsidR="05F7C98C" w:rsidP="1003F1BD" w:rsidRDefault="05F7C98C" w14:paraId="4E9F6F30" w14:textId="1DCAF014">
      <w:pPr>
        <w:spacing w:before="240" w:beforeAutospacing="off" w:after="240" w:afterAutospacing="off"/>
      </w:pPr>
      <w:r w:rsidRPr="1003F1BD" w:rsidR="373B08ED">
        <w:rPr>
          <w:rFonts w:ascii="Arial Nova" w:hAnsi="Arial Nova" w:eastAsia="Arial Nova" w:cs="Arial Nova"/>
          <w:noProof w:val="0"/>
          <w:sz w:val="18"/>
          <w:szCs w:val="18"/>
          <w:lang w:val="en-GB"/>
        </w:rPr>
        <w:t xml:space="preserve">Additionally, practitioners are expected to exemplify healthy behaviours. This includes </w:t>
      </w:r>
      <w:r w:rsidRPr="1003F1BD" w:rsidR="373B08ED">
        <w:rPr>
          <w:rFonts w:ascii="Arial Nova" w:hAnsi="Arial Nova" w:eastAsia="Arial Nova" w:cs="Arial Nova"/>
          <w:noProof w:val="0"/>
          <w:sz w:val="18"/>
          <w:szCs w:val="18"/>
          <w:lang w:val="en-GB"/>
        </w:rPr>
        <w:t>demonstrating</w:t>
      </w:r>
      <w:r w:rsidRPr="1003F1BD" w:rsidR="373B08ED">
        <w:rPr>
          <w:rFonts w:ascii="Arial Nova" w:hAnsi="Arial Nova" w:eastAsia="Arial Nova" w:cs="Arial Nova"/>
          <w:noProof w:val="0"/>
          <w:sz w:val="18"/>
          <w:szCs w:val="18"/>
          <w:lang w:val="en-GB"/>
        </w:rPr>
        <w:t xml:space="preserve"> good hygiene practices, </w:t>
      </w:r>
      <w:r w:rsidRPr="1003F1BD" w:rsidR="373B08ED">
        <w:rPr>
          <w:rFonts w:ascii="Arial Nova" w:hAnsi="Arial Nova" w:eastAsia="Arial Nova" w:cs="Arial Nova"/>
          <w:noProof w:val="0"/>
          <w:sz w:val="18"/>
          <w:szCs w:val="18"/>
          <w:lang w:val="en-GB"/>
        </w:rPr>
        <w:t>participating</w:t>
      </w:r>
      <w:r w:rsidRPr="1003F1BD" w:rsidR="373B08ED">
        <w:rPr>
          <w:rFonts w:ascii="Arial Nova" w:hAnsi="Arial Nova" w:eastAsia="Arial Nova" w:cs="Arial Nova"/>
          <w:noProof w:val="0"/>
          <w:sz w:val="18"/>
          <w:szCs w:val="18"/>
          <w:lang w:val="en-GB"/>
        </w:rPr>
        <w:t xml:space="preserve"> in physical activities, and modelling positive social interactions (Birth to 5 Matters, 2021; DfE, 2010).</w:t>
      </w:r>
    </w:p>
    <w:p w:rsidR="05F7C98C" w:rsidP="1003F1BD" w:rsidRDefault="05F7C98C" w14:paraId="742CF862" w14:textId="0141A3AF">
      <w:pPr>
        <w:spacing w:before="240" w:beforeAutospacing="off" w:after="240" w:afterAutospacing="off"/>
        <w:rPr>
          <w:rFonts w:ascii="Arial Nova" w:hAnsi="Arial Nova" w:eastAsia="Arial Nova" w:cs="Arial Nova"/>
          <w:noProof w:val="0"/>
          <w:sz w:val="18"/>
          <w:szCs w:val="18"/>
          <w:lang w:val="en-GB"/>
        </w:rPr>
      </w:pPr>
    </w:p>
    <w:p w:rsidR="05F7C98C" w:rsidP="1003F1BD" w:rsidRDefault="05F7C98C" w14:paraId="3B821D9B" w14:textId="370AB218">
      <w:pPr>
        <w:rPr>
          <w:rFonts w:ascii="Arial Nova" w:hAnsi="Arial Nova"/>
          <w:b w:val="1"/>
          <w:bCs w:val="1"/>
          <w:sz w:val="22"/>
          <w:szCs w:val="22"/>
        </w:rPr>
      </w:pPr>
      <w:r w:rsidRPr="1003F1BD" w:rsidR="015FB572">
        <w:rPr>
          <w:rFonts w:ascii="Arial Nova" w:hAnsi="Arial Nova"/>
          <w:b w:val="1"/>
          <w:bCs w:val="1"/>
          <w:sz w:val="22"/>
          <w:szCs w:val="22"/>
        </w:rPr>
        <w:t>Wellbeing</w:t>
      </w:r>
    </w:p>
    <w:p w:rsidR="05F7C98C" w:rsidP="1003F1BD" w:rsidRDefault="05F7C98C" w14:paraId="19D0EC58" w14:textId="51133387">
      <w:pPr>
        <w:rPr>
          <w:rFonts w:ascii="Arial Nova" w:hAnsi="Arial Nova"/>
          <w:b w:val="1"/>
          <w:bCs w:val="1"/>
          <w:sz w:val="22"/>
          <w:szCs w:val="22"/>
        </w:rPr>
      </w:pPr>
      <w:r w:rsidRPr="1003F1BD" w:rsidR="015FB572">
        <w:rPr>
          <w:rFonts w:ascii="Arial Nova" w:hAnsi="Arial Nova"/>
          <w:b w:val="1"/>
          <w:bCs w:val="1"/>
          <w:sz w:val="22"/>
          <w:szCs w:val="22"/>
        </w:rPr>
        <w:t>Concepts</w:t>
      </w:r>
    </w:p>
    <w:p w:rsidR="05F7C98C" w:rsidP="1003F1BD" w:rsidRDefault="05F7C98C" w14:paraId="7D424A4D" w14:textId="7DB2C414">
      <w:pPr>
        <w:pStyle w:val="Normal"/>
        <w:spacing w:before="240" w:beforeAutospacing="off" w:after="240" w:afterAutospacing="off"/>
      </w:pPr>
      <w:r w:rsidRPr="1003F1BD" w:rsidR="35198DB5">
        <w:rPr>
          <w:rFonts w:ascii="Arial Nova" w:hAnsi="Arial Nova" w:eastAsia="Arial Nova" w:cs="Arial Nova"/>
          <w:noProof w:val="0"/>
          <w:sz w:val="18"/>
          <w:szCs w:val="18"/>
          <w:lang w:val="en-GB"/>
        </w:rPr>
        <w:t>Well-being is a broad concept covering physical, mental, and emotional health. It reflects a state where children build resilience, manage stress, and reach their potential. With emotional, social, and physical aspects, well-being is key to quality of life. Core elements include emotional stability, life satisfaction, positive relationships, and purpose.</w:t>
      </w:r>
    </w:p>
    <w:p w:rsidR="05F7C98C" w:rsidP="1003F1BD" w:rsidRDefault="05F7C98C" w14:paraId="00D9F083" w14:textId="1B4A293C">
      <w:pPr>
        <w:spacing w:before="240" w:beforeAutospacing="off" w:after="240" w:afterAutospacing="off"/>
      </w:pPr>
      <w:r w:rsidRPr="1003F1BD" w:rsidR="71916629">
        <w:rPr>
          <w:rFonts w:ascii="Arial Nova" w:hAnsi="Arial Nova" w:eastAsia="Arial Nova" w:cs="Arial Nova"/>
          <w:noProof w:val="0"/>
          <w:sz w:val="18"/>
          <w:szCs w:val="18"/>
          <w:lang w:val="en-GB"/>
        </w:rPr>
        <w:t>Musgrave (2017) highlights that well-being is defined from various perspectives, including philosophical, economic, psychological, and health. Statham and Chase (2010) define it as quality of life based on objective measures like health. Rose, Gilbert, and Richards (2016) note the challenges in defining well-being, citing Pollard and Lee's (2002) five domains: physical, psychological, cognitive, social, and economic, which align with NICE's (2012) emotional, psychological, and social categories. Key components like happiness, resilience, and emotional management also contribute to the concept of well-being.</w:t>
      </w:r>
    </w:p>
    <w:p w:rsidR="05F7C98C" w:rsidP="1003F1BD" w:rsidRDefault="05F7C98C" w14:paraId="6AD27FA5" w14:textId="4B1C7FAD">
      <w:pPr>
        <w:spacing w:before="240" w:beforeAutospacing="off" w:after="240" w:afterAutospacing="off"/>
      </w:pPr>
      <w:r w:rsidRPr="1003F1BD" w:rsidR="7E00651D">
        <w:rPr>
          <w:rFonts w:ascii="Arial Nova" w:hAnsi="Arial Nova" w:eastAsia="Arial Nova" w:cs="Arial Nova"/>
          <w:noProof w:val="0"/>
          <w:sz w:val="18"/>
          <w:szCs w:val="18"/>
          <w:lang w:val="en-GB"/>
        </w:rPr>
        <w:t xml:space="preserve">Dodge et al. (2012) offer a dynamic definition of well-being, reviewing theories such as Headey and Wearing's (1989) stable traits and situational changes, Cummins' (2010) view of life challenges </w:t>
      </w:r>
      <w:r w:rsidRPr="1003F1BD" w:rsidR="7E00651D">
        <w:rPr>
          <w:rFonts w:ascii="Arial Nova" w:hAnsi="Arial Nova" w:eastAsia="Arial Nova" w:cs="Arial Nova"/>
          <w:noProof w:val="0"/>
          <w:sz w:val="18"/>
          <w:szCs w:val="18"/>
          <w:lang w:val="en-GB"/>
        </w:rPr>
        <w:t>impacting</w:t>
      </w:r>
      <w:r w:rsidRPr="1003F1BD" w:rsidR="7E00651D">
        <w:rPr>
          <w:rFonts w:ascii="Arial Nova" w:hAnsi="Arial Nova" w:eastAsia="Arial Nova" w:cs="Arial Nova"/>
          <w:noProof w:val="0"/>
          <w:sz w:val="18"/>
          <w:szCs w:val="18"/>
          <w:lang w:val="en-GB"/>
        </w:rPr>
        <w:t xml:space="preserve"> homeostasis, and Hendry and </w:t>
      </w:r>
      <w:r w:rsidRPr="1003F1BD" w:rsidR="7E00651D">
        <w:rPr>
          <w:rFonts w:ascii="Arial Nova" w:hAnsi="Arial Nova" w:eastAsia="Arial Nova" w:cs="Arial Nova"/>
          <w:noProof w:val="0"/>
          <w:sz w:val="18"/>
          <w:szCs w:val="18"/>
          <w:lang w:val="en-GB"/>
        </w:rPr>
        <w:t>Kloep's</w:t>
      </w:r>
      <w:r w:rsidRPr="1003F1BD" w:rsidR="7E00651D">
        <w:rPr>
          <w:rFonts w:ascii="Arial Nova" w:hAnsi="Arial Nova" w:eastAsia="Arial Nova" w:cs="Arial Nova"/>
          <w:noProof w:val="0"/>
          <w:sz w:val="18"/>
          <w:szCs w:val="18"/>
          <w:lang w:val="en-GB"/>
        </w:rPr>
        <w:t xml:space="preserve"> (2002) lifespan model. They argue that well-being is best understood as a state of equilibrium, influenced by life events and challenges.</w:t>
      </w:r>
    </w:p>
    <w:p w:rsidR="05F7C98C" w:rsidP="1003F1BD" w:rsidRDefault="05F7C98C" w14:paraId="61FFABBB" w14:textId="5323DCA5">
      <w:pPr>
        <w:spacing w:before="240" w:beforeAutospacing="off" w:after="240" w:afterAutospacing="off"/>
        <w:rPr>
          <w:rFonts w:ascii="Arial Nova" w:hAnsi="Arial Nova" w:eastAsia="Arial Nova" w:cs="Arial Nova"/>
          <w:noProof w:val="0"/>
          <w:sz w:val="18"/>
          <w:szCs w:val="18"/>
          <w:lang w:val="en-GB"/>
        </w:rPr>
      </w:pPr>
      <w:r w:rsidRPr="1003F1BD" w:rsidR="2408A004">
        <w:rPr>
          <w:rFonts w:ascii="Arial Nova" w:hAnsi="Arial Nova" w:eastAsia="Arial Nova" w:cs="Arial Nova"/>
          <w:noProof w:val="0"/>
          <w:sz w:val="18"/>
          <w:szCs w:val="18"/>
          <w:lang w:val="en-GB"/>
        </w:rPr>
        <w:t xml:space="preserve">Impact on Early Years development  </w:t>
      </w:r>
    </w:p>
    <w:p w:rsidR="05F7C98C" w:rsidP="1003F1BD" w:rsidRDefault="05F7C98C" w14:paraId="570D0B3F" w14:textId="2FB11445">
      <w:pPr>
        <w:spacing w:before="240" w:beforeAutospacing="off" w:after="240" w:afterAutospacing="off"/>
      </w:pPr>
      <w:r w:rsidRPr="1003F1BD" w:rsidR="2685E520">
        <w:rPr>
          <w:rFonts w:ascii="Arial Nova" w:hAnsi="Arial Nova" w:eastAsia="Arial Nova" w:cs="Arial Nova"/>
          <w:noProof w:val="0"/>
          <w:sz w:val="18"/>
          <w:szCs w:val="18"/>
          <w:lang w:val="en-GB"/>
        </w:rPr>
        <w:t>John Bowlby’s attachment theory and his research on early relationships and mental health highlight the importance of early experiences in shaping emotional health, resilience, and stress management. Bowlby’s work demonstrates that the emotional bond between a child and their primary caregivers is essential for emotional development and mental well-being (HM Government, 2016; NSPCC Learning, 2021).</w:t>
      </w:r>
    </w:p>
    <w:p w:rsidR="05F7C98C" w:rsidP="1003F1BD" w:rsidRDefault="05F7C98C" w14:paraId="4986D4C4" w14:textId="693FB5AA">
      <w:pPr>
        <w:spacing w:before="240" w:beforeAutospacing="off" w:after="240" w:afterAutospacing="off"/>
      </w:pPr>
      <w:r w:rsidRPr="1003F1BD" w:rsidR="2685E520">
        <w:rPr>
          <w:rFonts w:ascii="Arial Nova" w:hAnsi="Arial Nova" w:eastAsia="Arial Nova" w:cs="Arial Nova"/>
          <w:noProof w:val="0"/>
          <w:sz w:val="18"/>
          <w:szCs w:val="18"/>
          <w:lang w:val="en-GB"/>
        </w:rPr>
        <w:t>Research by Sciaraffa, Zeanah, and Zeanah (2018) emphasizes that toxic stress, particularly from Adverse Childhood Experiences (ACEs), can physically alter a child’s brain. Preventing these stressors is therefore critical. Maston and Barnes (2018) support this view, noting that resilience science is gaining attention due to growing concerns about the long-term effects of ACEs on development.</w:t>
      </w:r>
    </w:p>
    <w:p w:rsidR="05F7C98C" w:rsidP="1003F1BD" w:rsidRDefault="05F7C98C" w14:paraId="1EC73591" w14:textId="69D1D5F7">
      <w:pPr>
        <w:spacing w:before="240" w:beforeAutospacing="off" w:after="240" w:afterAutospacing="off"/>
      </w:pPr>
      <w:r w:rsidRPr="1003F1BD" w:rsidR="2685E520">
        <w:rPr>
          <w:rFonts w:ascii="Arial Nova" w:hAnsi="Arial Nova" w:eastAsia="Arial Nova" w:cs="Arial Nova"/>
          <w:noProof w:val="0"/>
          <w:sz w:val="18"/>
          <w:szCs w:val="18"/>
          <w:lang w:val="en-GB"/>
        </w:rPr>
        <w:t>A stable emotional environment supports cognitive functions and enhances learning abilities, as discussed by Ursache, Blair, and Raver (2012). Their research explored the relationship between cognitive regulation and the development of emotional reactivity and regulation in response to stimuli, attention, and physiological stress response systems.</w:t>
      </w:r>
    </w:p>
    <w:p w:rsidR="05F7C98C" w:rsidP="1003F1BD" w:rsidRDefault="05F7C98C" w14:paraId="573D3A8D" w14:textId="0449080D">
      <w:pPr>
        <w:spacing w:before="240" w:beforeAutospacing="off" w:after="240" w:afterAutospacing="off"/>
        <w:rPr>
          <w:rFonts w:ascii="Arial Nova" w:hAnsi="Arial Nova" w:eastAsia="Arial Nova" w:cs="Arial Nova"/>
          <w:noProof w:val="0"/>
          <w:sz w:val="18"/>
          <w:szCs w:val="18"/>
          <w:lang w:val="en-GB"/>
        </w:rPr>
      </w:pPr>
      <w:r w:rsidRPr="1003F1BD" w:rsidR="2685E520">
        <w:rPr>
          <w:rFonts w:ascii="Arial Nova" w:hAnsi="Arial Nova" w:eastAsia="Arial Nova" w:cs="Arial Nova"/>
          <w:noProof w:val="0"/>
          <w:sz w:val="18"/>
          <w:szCs w:val="18"/>
          <w:lang w:val="en-GB"/>
        </w:rPr>
        <w:t>Positive social interactions foster communication skills and empathy, while a sense of connection to a community boosts self-esteem and provides security. Furthermore, a nurturing environment is essential for promoting emotional well-being and development. Positive social interactions also help children develop emotional regulation and social skills, which are crucial for forming healthy relationships and self-esteem</w:t>
      </w:r>
      <w:r w:rsidRPr="1003F1BD" w:rsidR="2EF6A4B9">
        <w:rPr>
          <w:rFonts w:ascii="Arial Nova" w:hAnsi="Arial Nova" w:eastAsia="Arial Nova" w:cs="Arial Nova"/>
          <w:noProof w:val="0"/>
          <w:sz w:val="18"/>
          <w:szCs w:val="18"/>
          <w:lang w:val="en-GB"/>
        </w:rPr>
        <w:t xml:space="preserve"> (Musgrave, </w:t>
      </w:r>
      <w:r w:rsidRPr="1003F1BD" w:rsidR="46058390">
        <w:rPr>
          <w:rFonts w:ascii="Arial Nova" w:hAnsi="Arial Nova" w:eastAsia="Arial Nova" w:cs="Arial Nova"/>
          <w:noProof w:val="0"/>
          <w:sz w:val="18"/>
          <w:szCs w:val="18"/>
          <w:lang w:val="en-GB"/>
        </w:rPr>
        <w:t>2017; Roberts</w:t>
      </w:r>
      <w:r w:rsidRPr="1003F1BD" w:rsidR="2EF6A4B9">
        <w:rPr>
          <w:rFonts w:ascii="Arial Nova" w:hAnsi="Arial Nova" w:eastAsia="Arial Nova" w:cs="Arial Nova"/>
          <w:noProof w:val="0"/>
          <w:sz w:val="18"/>
          <w:szCs w:val="18"/>
          <w:lang w:val="en-GB"/>
        </w:rPr>
        <w:t>, 2010;</w:t>
      </w:r>
      <w:r w:rsidRPr="1003F1BD" w:rsidR="6816D6CB">
        <w:rPr>
          <w:rFonts w:ascii="Arial Nova" w:hAnsi="Arial Nova" w:eastAsia="Arial Nova" w:cs="Arial Nova"/>
          <w:noProof w:val="0"/>
          <w:sz w:val="18"/>
          <w:szCs w:val="18"/>
          <w:lang w:val="en-GB"/>
        </w:rPr>
        <w:t xml:space="preserve"> Bradshaw, 2016)</w:t>
      </w:r>
      <w:r w:rsidRPr="1003F1BD" w:rsidR="2685E520">
        <w:rPr>
          <w:rFonts w:ascii="Arial Nova" w:hAnsi="Arial Nova" w:eastAsia="Arial Nova" w:cs="Arial Nova"/>
          <w:noProof w:val="0"/>
          <w:sz w:val="18"/>
          <w:szCs w:val="18"/>
          <w:lang w:val="en-GB"/>
        </w:rPr>
        <w:t>.</w:t>
      </w:r>
    </w:p>
    <w:p w:rsidR="05F7C98C" w:rsidP="1003F1BD" w:rsidRDefault="05F7C98C" w14:paraId="7685CB97" w14:textId="30E6EB95">
      <w:pPr>
        <w:spacing w:before="240" w:beforeAutospacing="off" w:after="240" w:afterAutospacing="off"/>
        <w:rPr>
          <w:rFonts w:ascii="Arial Nova" w:hAnsi="Arial Nova" w:eastAsia="Arial Nova" w:cs="Arial Nova"/>
          <w:noProof w:val="0"/>
          <w:sz w:val="18"/>
          <w:szCs w:val="18"/>
          <w:lang w:val="en-GB"/>
        </w:rPr>
      </w:pPr>
    </w:p>
    <w:p w:rsidR="05F7C98C" w:rsidP="1003F1BD" w:rsidRDefault="05F7C98C" w14:paraId="4C6F54C5" w14:textId="303519CE">
      <w:pPr>
        <w:spacing w:before="240" w:beforeAutospacing="off" w:after="240" w:afterAutospacing="off"/>
        <w:rPr>
          <w:rFonts w:ascii="Arial Nova" w:hAnsi="Arial Nova" w:eastAsia="Arial Nova" w:cs="Arial Nova"/>
          <w:noProof w:val="0"/>
          <w:sz w:val="18"/>
          <w:szCs w:val="18"/>
          <w:lang w:val="en-GB"/>
        </w:rPr>
      </w:pPr>
      <w:r w:rsidRPr="1003F1BD" w:rsidR="149F20A3">
        <w:rPr>
          <w:rFonts w:ascii="Arial Nova" w:hAnsi="Arial Nova" w:eastAsia="Arial Nova" w:cs="Arial Nova"/>
          <w:noProof w:val="0"/>
          <w:sz w:val="18"/>
          <w:szCs w:val="18"/>
          <w:lang w:val="en-GB"/>
        </w:rPr>
        <w:t>Role of Early Years Practitioner</w:t>
      </w:r>
    </w:p>
    <w:p w:rsidR="05F7C98C" w:rsidP="1003F1BD" w:rsidRDefault="05F7C98C" w14:paraId="7C5BE8FE" w14:textId="56B48C5B">
      <w:pPr>
        <w:spacing w:before="240" w:beforeAutospacing="off" w:after="240" w:afterAutospacing="off"/>
      </w:pPr>
      <w:r w:rsidRPr="1003F1BD" w:rsidR="59353FB6">
        <w:rPr>
          <w:rFonts w:ascii="Arial Nova" w:hAnsi="Arial Nova" w:eastAsia="Arial Nova" w:cs="Arial Nova"/>
          <w:noProof w:val="0"/>
          <w:sz w:val="18"/>
          <w:szCs w:val="18"/>
          <w:lang w:val="en-GB"/>
        </w:rPr>
        <w:t>Understanding their own well-being helps practitioners value its importance for children in their care (DfE, no date). Laevers (1994) described children's well-being as qualities like openness, confidence, self-esteem, vitality, and inner peace, linking high well-being to better learning and emphasizing the connection between emotional health and education. Practitioners can support this by creating safe, predictable environments and fostering trusting relationships.</w:t>
      </w:r>
    </w:p>
    <w:p w:rsidR="05F7C98C" w:rsidP="1003F1BD" w:rsidRDefault="05F7C98C" w14:paraId="274481F6" w14:textId="78BD7C59">
      <w:pPr>
        <w:spacing w:before="240" w:beforeAutospacing="off" w:after="240" w:afterAutospacing="off"/>
      </w:pPr>
      <w:r w:rsidRPr="1003F1BD" w:rsidR="59353FB6">
        <w:rPr>
          <w:rFonts w:ascii="Arial Nova" w:hAnsi="Arial Nova" w:eastAsia="Arial Nova" w:cs="Arial Nova"/>
          <w:noProof w:val="0"/>
          <w:sz w:val="18"/>
          <w:szCs w:val="18"/>
          <w:lang w:val="en-GB"/>
        </w:rPr>
        <w:t>Roberts (2010) underscores the importance of relationships, highlighting the role of key persons in building connections with children and families while being mindful of family well-being. This dual focus promotes emotional and overall development.</w:t>
      </w:r>
    </w:p>
    <w:p w:rsidR="05F7C98C" w:rsidP="1003F1BD" w:rsidRDefault="05F7C98C" w14:paraId="5A52FD30" w14:textId="2DD6D513">
      <w:pPr>
        <w:spacing w:before="240" w:beforeAutospacing="off" w:after="240" w:afterAutospacing="off"/>
      </w:pPr>
      <w:r w:rsidRPr="1003F1BD" w:rsidR="59353FB6">
        <w:rPr>
          <w:rFonts w:ascii="Arial Nova" w:hAnsi="Arial Nova" w:eastAsia="Arial Nova" w:cs="Arial Nova"/>
          <w:noProof w:val="0"/>
          <w:sz w:val="18"/>
          <w:szCs w:val="18"/>
          <w:lang w:val="en-GB"/>
        </w:rPr>
        <w:t>Teaching emotional regulation and offering opportunities to express feelings may sometimes be necessary. Practitioners can address stress or anxiety by being attentive and intervening when needed (Rose, Gilbert, and Richards, 2016; Ursache, Blair, and Raver, 2011). A nurturing environment that supports emotional expression, regulation, and positive social interactions aligns with Vygotsky’s theory and fosters emotional and cognitive growth, as noted by Roberts (2010) and Rose, Gilbert, and Richards (2016).</w:t>
      </w:r>
    </w:p>
    <w:p w:rsidR="05F7C98C" w:rsidP="1003F1BD" w:rsidRDefault="05F7C98C" w14:paraId="5CBA93B8" w14:textId="78194EC9">
      <w:pPr>
        <w:spacing w:before="240" w:beforeAutospacing="off" w:after="240" w:afterAutospacing="off"/>
        <w:rPr>
          <w:rFonts w:ascii="Arial Nova" w:hAnsi="Arial Nova" w:eastAsia="Arial Nova" w:cs="Arial Nova"/>
          <w:noProof w:val="0"/>
          <w:sz w:val="18"/>
          <w:szCs w:val="18"/>
          <w:lang w:val="en-GB"/>
        </w:rPr>
      </w:pPr>
      <w:r w:rsidRPr="1003F1BD" w:rsidR="65A14695">
        <w:rPr>
          <w:rFonts w:ascii="Arial Nova" w:hAnsi="Arial Nova" w:eastAsia="Arial Nova" w:cs="Arial Nova"/>
          <w:noProof w:val="0"/>
          <w:sz w:val="18"/>
          <w:szCs w:val="18"/>
          <w:lang w:val="en-GB"/>
        </w:rPr>
        <w:t>LIFESTYLE</w:t>
      </w:r>
    </w:p>
    <w:p w:rsidR="05F7C98C" w:rsidP="1003F1BD" w:rsidRDefault="05F7C98C" w14:paraId="2DABFC03" w14:textId="09D6E16C">
      <w:pPr>
        <w:spacing w:before="240" w:beforeAutospacing="off" w:after="240" w:afterAutospacing="off"/>
        <w:rPr>
          <w:rFonts w:ascii="Arial Nova" w:hAnsi="Arial Nova" w:eastAsia="Arial Nova" w:cs="Arial Nova"/>
          <w:noProof w:val="0"/>
          <w:sz w:val="18"/>
          <w:szCs w:val="18"/>
          <w:lang w:val="en-GB"/>
        </w:rPr>
      </w:pPr>
      <w:r w:rsidRPr="1003F1BD" w:rsidR="65A14695">
        <w:rPr>
          <w:rFonts w:ascii="Arial Nova" w:hAnsi="Arial Nova" w:eastAsia="Arial Nova" w:cs="Arial Nova"/>
          <w:noProof w:val="0"/>
          <w:sz w:val="18"/>
          <w:szCs w:val="18"/>
          <w:lang w:val="en-GB"/>
        </w:rPr>
        <w:t>Concept</w:t>
      </w:r>
    </w:p>
    <w:p w:rsidR="05F7C98C" w:rsidP="1003F1BD" w:rsidRDefault="05F7C98C" w14:paraId="10C9AE1F" w14:textId="4C040A3D">
      <w:pPr>
        <w:spacing w:before="240" w:beforeAutospacing="off" w:after="240" w:afterAutospacing="off"/>
      </w:pPr>
      <w:r w:rsidRPr="1003F1BD" w:rsidR="64984B18">
        <w:rPr>
          <w:rFonts w:ascii="Arial Nova" w:hAnsi="Arial Nova" w:eastAsia="Arial Nova" w:cs="Arial Nova"/>
          <w:noProof w:val="0"/>
          <w:sz w:val="18"/>
          <w:szCs w:val="18"/>
          <w:lang w:val="en-GB"/>
        </w:rPr>
        <w:t xml:space="preserve">Lifestyle </w:t>
      </w:r>
      <w:r w:rsidRPr="1003F1BD" w:rsidR="64984B18">
        <w:rPr>
          <w:rFonts w:ascii="Arial Nova" w:hAnsi="Arial Nova" w:eastAsia="Arial Nova" w:cs="Arial Nova"/>
          <w:noProof w:val="0"/>
          <w:sz w:val="18"/>
          <w:szCs w:val="18"/>
          <w:lang w:val="en-GB"/>
        </w:rPr>
        <w:t>represents</w:t>
      </w:r>
      <w:r w:rsidRPr="1003F1BD" w:rsidR="64984B18">
        <w:rPr>
          <w:rFonts w:ascii="Arial Nova" w:hAnsi="Arial Nova" w:eastAsia="Arial Nova" w:cs="Arial Nova"/>
          <w:noProof w:val="0"/>
          <w:sz w:val="18"/>
          <w:szCs w:val="18"/>
          <w:lang w:val="en-GB"/>
        </w:rPr>
        <w:t xml:space="preserve"> a way of living that reflects one's attitudes, habits, and values. For children, a healthy lifestyle includes proper nutrition, regular physical activity, sufficient sleep, and positive social interactions. Key factors influencing lifestyle include diet, physical activity, sleep habits, and recreational activities.</w:t>
      </w:r>
    </w:p>
    <w:p w:rsidR="05F7C98C" w:rsidP="1003F1BD" w:rsidRDefault="05F7C98C" w14:paraId="1CFAD020" w14:textId="39FF5577">
      <w:pPr>
        <w:spacing w:before="240" w:beforeAutospacing="off" w:after="240" w:afterAutospacing="off"/>
      </w:pPr>
      <w:r w:rsidRPr="1003F1BD" w:rsidR="64984B18">
        <w:rPr>
          <w:rFonts w:ascii="Arial Nova" w:hAnsi="Arial Nova" w:eastAsia="Arial Nova" w:cs="Arial Nova"/>
          <w:noProof w:val="0"/>
          <w:sz w:val="18"/>
          <w:szCs w:val="18"/>
          <w:lang w:val="en-GB"/>
        </w:rPr>
        <w:t xml:space="preserve">Lifestyle encompasses the habits, attitudes, and </w:t>
      </w:r>
      <w:r w:rsidRPr="1003F1BD" w:rsidR="64984B18">
        <w:rPr>
          <w:rFonts w:ascii="Arial Nova" w:hAnsi="Arial Nova" w:eastAsia="Arial Nova" w:cs="Arial Nova"/>
          <w:noProof w:val="0"/>
          <w:sz w:val="18"/>
          <w:szCs w:val="18"/>
          <w:lang w:val="en-GB"/>
        </w:rPr>
        <w:t>behaviours</w:t>
      </w:r>
      <w:r w:rsidRPr="1003F1BD" w:rsidR="64984B18">
        <w:rPr>
          <w:rFonts w:ascii="Arial Nova" w:hAnsi="Arial Nova" w:eastAsia="Arial Nova" w:cs="Arial Nova"/>
          <w:noProof w:val="0"/>
          <w:sz w:val="18"/>
          <w:szCs w:val="18"/>
          <w:lang w:val="en-GB"/>
        </w:rPr>
        <w:t xml:space="preserve"> that shape overall health and well-being (Svenson and Halberg, 2011). The Welsh Government (2021) highlights that a person's lifestyle is influenced by </w:t>
      </w:r>
      <w:r w:rsidRPr="1003F1BD" w:rsidR="64984B18">
        <w:rPr>
          <w:rFonts w:ascii="Arial Nova" w:hAnsi="Arial Nova" w:eastAsia="Arial Nova" w:cs="Arial Nova"/>
          <w:noProof w:val="0"/>
          <w:sz w:val="18"/>
          <w:szCs w:val="18"/>
          <w:lang w:val="en-GB"/>
        </w:rPr>
        <w:t>various factors</w:t>
      </w:r>
      <w:r w:rsidRPr="1003F1BD" w:rsidR="64984B18">
        <w:rPr>
          <w:rFonts w:ascii="Arial Nova" w:hAnsi="Arial Nova" w:eastAsia="Arial Nova" w:cs="Arial Nova"/>
          <w:noProof w:val="0"/>
          <w:sz w:val="18"/>
          <w:szCs w:val="18"/>
          <w:lang w:val="en-GB"/>
        </w:rPr>
        <w:t xml:space="preserve">, including their home environment, food and nutrition, financial situation, community influences, and parenting practices. It also depends on how individuals </w:t>
      </w:r>
      <w:r w:rsidRPr="1003F1BD" w:rsidR="64984B18">
        <w:rPr>
          <w:rFonts w:ascii="Arial Nova" w:hAnsi="Arial Nova" w:eastAsia="Arial Nova" w:cs="Arial Nova"/>
          <w:noProof w:val="0"/>
          <w:sz w:val="18"/>
          <w:szCs w:val="18"/>
          <w:lang w:val="en-GB"/>
        </w:rPr>
        <w:t>utilize</w:t>
      </w:r>
      <w:r w:rsidRPr="1003F1BD" w:rsidR="64984B18">
        <w:rPr>
          <w:rFonts w:ascii="Arial Nova" w:hAnsi="Arial Nova" w:eastAsia="Arial Nova" w:cs="Arial Nova"/>
          <w:noProof w:val="0"/>
          <w:sz w:val="18"/>
          <w:szCs w:val="18"/>
          <w:lang w:val="en-GB"/>
        </w:rPr>
        <w:t xml:space="preserve"> available services. </w:t>
      </w:r>
      <w:r w:rsidRPr="1003F1BD" w:rsidR="64984B18">
        <w:rPr>
          <w:rFonts w:ascii="Arial Nova" w:hAnsi="Arial Nova" w:eastAsia="Arial Nova" w:cs="Arial Nova"/>
          <w:noProof w:val="0"/>
          <w:sz w:val="18"/>
          <w:szCs w:val="18"/>
          <w:lang w:val="en-GB"/>
        </w:rPr>
        <w:t>Additional</w:t>
      </w:r>
      <w:r w:rsidRPr="1003F1BD" w:rsidR="64984B18">
        <w:rPr>
          <w:rFonts w:ascii="Arial Nova" w:hAnsi="Arial Nova" w:eastAsia="Arial Nova" w:cs="Arial Nova"/>
          <w:noProof w:val="0"/>
          <w:sz w:val="18"/>
          <w:szCs w:val="18"/>
          <w:lang w:val="en-GB"/>
        </w:rPr>
        <w:t xml:space="preserve"> influences include culture, work, and personal preferences.</w:t>
      </w:r>
    </w:p>
    <w:p w:rsidR="05F7C98C" w:rsidP="1003F1BD" w:rsidRDefault="05F7C98C" w14:paraId="5926AE0F" w14:textId="327D4A4D">
      <w:pPr>
        <w:spacing w:before="240" w:beforeAutospacing="off" w:after="240" w:afterAutospacing="off"/>
      </w:pPr>
      <w:r w:rsidRPr="1003F1BD" w:rsidR="64984B18">
        <w:rPr>
          <w:rFonts w:ascii="Arial Nova" w:hAnsi="Arial Nova" w:eastAsia="Arial Nova" w:cs="Arial Nova"/>
          <w:noProof w:val="0"/>
          <w:sz w:val="18"/>
          <w:szCs w:val="18"/>
          <w:lang w:val="en-GB"/>
        </w:rPr>
        <w:t>Bagordo</w:t>
      </w:r>
      <w:r w:rsidRPr="1003F1BD" w:rsidR="64984B18">
        <w:rPr>
          <w:rFonts w:ascii="Arial Nova" w:hAnsi="Arial Nova" w:eastAsia="Arial Nova" w:cs="Arial Nova"/>
          <w:noProof w:val="0"/>
          <w:sz w:val="18"/>
          <w:szCs w:val="18"/>
          <w:lang w:val="en-GB"/>
        </w:rPr>
        <w:t xml:space="preserve"> et al. (2017) emphasize that lifestyle choices made during childhood significantly affect long-term health and quality of life. Many adult diseases can be prevented by </w:t>
      </w:r>
      <w:r w:rsidRPr="1003F1BD" w:rsidR="64984B18">
        <w:rPr>
          <w:rFonts w:ascii="Arial Nova" w:hAnsi="Arial Nova" w:eastAsia="Arial Nova" w:cs="Arial Nova"/>
          <w:noProof w:val="0"/>
          <w:sz w:val="18"/>
          <w:szCs w:val="18"/>
          <w:lang w:val="en-GB"/>
        </w:rPr>
        <w:t>identifying</w:t>
      </w:r>
      <w:r w:rsidRPr="1003F1BD" w:rsidR="64984B18">
        <w:rPr>
          <w:rFonts w:ascii="Arial Nova" w:hAnsi="Arial Nova" w:eastAsia="Arial Nova" w:cs="Arial Nova"/>
          <w:noProof w:val="0"/>
          <w:sz w:val="18"/>
          <w:szCs w:val="18"/>
          <w:lang w:val="en-GB"/>
        </w:rPr>
        <w:t xml:space="preserve"> and </w:t>
      </w:r>
      <w:r w:rsidRPr="1003F1BD" w:rsidR="64984B18">
        <w:rPr>
          <w:rFonts w:ascii="Arial Nova" w:hAnsi="Arial Nova" w:eastAsia="Arial Nova" w:cs="Arial Nova"/>
          <w:noProof w:val="0"/>
          <w:sz w:val="18"/>
          <w:szCs w:val="18"/>
          <w:lang w:val="en-GB"/>
        </w:rPr>
        <w:t>modifying</w:t>
      </w:r>
      <w:r w:rsidRPr="1003F1BD" w:rsidR="64984B18">
        <w:rPr>
          <w:rFonts w:ascii="Arial Nova" w:hAnsi="Arial Nova" w:eastAsia="Arial Nova" w:cs="Arial Nova"/>
          <w:noProof w:val="0"/>
          <w:sz w:val="18"/>
          <w:szCs w:val="18"/>
          <w:lang w:val="en-GB"/>
        </w:rPr>
        <w:t xml:space="preserve"> risky health </w:t>
      </w:r>
      <w:r w:rsidRPr="1003F1BD" w:rsidR="64984B18">
        <w:rPr>
          <w:rFonts w:ascii="Arial Nova" w:hAnsi="Arial Nova" w:eastAsia="Arial Nova" w:cs="Arial Nova"/>
          <w:noProof w:val="0"/>
          <w:sz w:val="18"/>
          <w:szCs w:val="18"/>
          <w:lang w:val="en-GB"/>
        </w:rPr>
        <w:t>behaviours</w:t>
      </w:r>
      <w:r w:rsidRPr="1003F1BD" w:rsidR="64984B18">
        <w:rPr>
          <w:rFonts w:ascii="Arial Nova" w:hAnsi="Arial Nova" w:eastAsia="Arial Nova" w:cs="Arial Nova"/>
          <w:noProof w:val="0"/>
          <w:sz w:val="18"/>
          <w:szCs w:val="18"/>
          <w:lang w:val="en-GB"/>
        </w:rPr>
        <w:t xml:space="preserve"> early. Their research found that socio-economic status plays a critical role in shaping children's lifestyles, influencing factors that </w:t>
      </w:r>
      <w:r w:rsidRPr="1003F1BD" w:rsidR="64984B18">
        <w:rPr>
          <w:rFonts w:ascii="Arial Nova" w:hAnsi="Arial Nova" w:eastAsia="Arial Nova" w:cs="Arial Nova"/>
          <w:noProof w:val="0"/>
          <w:sz w:val="18"/>
          <w:szCs w:val="18"/>
          <w:lang w:val="en-GB"/>
        </w:rPr>
        <w:t>impact</w:t>
      </w:r>
      <w:r w:rsidRPr="1003F1BD" w:rsidR="64984B18">
        <w:rPr>
          <w:rFonts w:ascii="Arial Nova" w:hAnsi="Arial Nova" w:eastAsia="Arial Nova" w:cs="Arial Nova"/>
          <w:noProof w:val="0"/>
          <w:sz w:val="18"/>
          <w:szCs w:val="18"/>
          <w:lang w:val="en-GB"/>
        </w:rPr>
        <w:t xml:space="preserve"> health. Furthermore, geographical location also affects lifestyle choices, as environmental, cultural, and social characteristics of a place of residence often dictate </w:t>
      </w:r>
      <w:r w:rsidRPr="1003F1BD" w:rsidR="64984B18">
        <w:rPr>
          <w:rFonts w:ascii="Arial Nova" w:hAnsi="Arial Nova" w:eastAsia="Arial Nova" w:cs="Arial Nova"/>
          <w:noProof w:val="0"/>
          <w:sz w:val="18"/>
          <w:szCs w:val="18"/>
          <w:lang w:val="en-GB"/>
        </w:rPr>
        <w:t>behaviours</w:t>
      </w:r>
      <w:r w:rsidRPr="1003F1BD" w:rsidR="64984B18">
        <w:rPr>
          <w:rFonts w:ascii="Arial Nova" w:hAnsi="Arial Nova" w:eastAsia="Arial Nova" w:cs="Arial Nova"/>
          <w:noProof w:val="0"/>
          <w:sz w:val="18"/>
          <w:szCs w:val="18"/>
          <w:lang w:val="en-GB"/>
        </w:rPr>
        <w:t xml:space="preserve"> and opportunities.</w:t>
      </w:r>
    </w:p>
    <w:p w:rsidR="05F7C98C" w:rsidP="1003F1BD" w:rsidRDefault="05F7C98C" w14:paraId="3DF3D051" w14:textId="4DEC327B">
      <w:pPr>
        <w:pStyle w:val="Normal"/>
        <w:spacing w:before="240" w:beforeAutospacing="off" w:after="240" w:afterAutospacing="off"/>
        <w:rPr>
          <w:rFonts w:ascii="Arial Nova" w:hAnsi="Arial Nova" w:eastAsia="Arial Nova" w:cs="Arial Nova"/>
          <w:noProof w:val="0"/>
          <w:sz w:val="18"/>
          <w:szCs w:val="18"/>
          <w:lang w:val="en-GB"/>
        </w:rPr>
      </w:pPr>
    </w:p>
    <w:p w:rsidR="05F7C98C" w:rsidP="1003F1BD" w:rsidRDefault="05F7C98C" w14:paraId="3552C884" w14:textId="64D10510">
      <w:pPr>
        <w:pStyle w:val="Normal"/>
        <w:spacing w:before="240" w:beforeAutospacing="off" w:after="240" w:afterAutospacing="off"/>
        <w:rPr>
          <w:rFonts w:ascii="Arial Nova" w:hAnsi="Arial Nova" w:eastAsia="Arial Nova" w:cs="Arial Nova"/>
          <w:noProof w:val="0"/>
          <w:sz w:val="18"/>
          <w:szCs w:val="18"/>
          <w:lang w:val="en-GB"/>
        </w:rPr>
      </w:pPr>
      <w:r w:rsidRPr="1003F1BD" w:rsidR="0872C1BC">
        <w:rPr>
          <w:rFonts w:ascii="Arial Nova" w:hAnsi="Arial Nova" w:eastAsia="Arial Nova" w:cs="Arial Nova"/>
          <w:noProof w:val="0"/>
          <w:sz w:val="18"/>
          <w:szCs w:val="18"/>
          <w:lang w:val="en-GB"/>
        </w:rPr>
        <w:t>Impact on Early Years development</w:t>
      </w:r>
    </w:p>
    <w:p w:rsidR="05F7C98C" w:rsidP="1003F1BD" w:rsidRDefault="05F7C98C" w14:paraId="34D7754F" w14:textId="331FF466">
      <w:pPr>
        <w:spacing w:before="240" w:beforeAutospacing="off" w:after="240" w:afterAutospacing="off"/>
      </w:pPr>
      <w:r w:rsidRPr="1003F1BD" w:rsidR="6283ACD8">
        <w:rPr>
          <w:rFonts w:ascii="Arial Nova" w:hAnsi="Arial Nova" w:eastAsia="Arial Nova" w:cs="Arial Nova"/>
          <w:noProof w:val="0"/>
          <w:sz w:val="18"/>
          <w:szCs w:val="18"/>
          <w:lang w:val="en-GB"/>
        </w:rPr>
        <w:t xml:space="preserve">Svenson and Hallberg (2011) discuss how lifestyle can be viewed as either an independent variable, influencing unhealthy </w:t>
      </w:r>
      <w:r w:rsidRPr="1003F1BD" w:rsidR="6283ACD8">
        <w:rPr>
          <w:rFonts w:ascii="Arial Nova" w:hAnsi="Arial Nova" w:eastAsia="Arial Nova" w:cs="Arial Nova"/>
          <w:noProof w:val="0"/>
          <w:sz w:val="18"/>
          <w:szCs w:val="18"/>
          <w:lang w:val="en-GB"/>
        </w:rPr>
        <w:t>behaviour</w:t>
      </w:r>
      <w:r w:rsidRPr="1003F1BD" w:rsidR="6283ACD8">
        <w:rPr>
          <w:rFonts w:ascii="Arial Nova" w:hAnsi="Arial Nova" w:eastAsia="Arial Nova" w:cs="Arial Nova"/>
          <w:noProof w:val="0"/>
          <w:sz w:val="18"/>
          <w:szCs w:val="18"/>
          <w:lang w:val="en-GB"/>
        </w:rPr>
        <w:t xml:space="preserve">, or as a dependent variable, shaped by societal conditions. The society or community involved in raising a child is highly influential during the early years. This idea is echoed by Tickell (2011) and </w:t>
      </w:r>
      <w:r w:rsidRPr="1003F1BD" w:rsidR="6283ACD8">
        <w:rPr>
          <w:rFonts w:ascii="Arial Nova" w:hAnsi="Arial Nova" w:eastAsia="Arial Nova" w:cs="Arial Nova"/>
          <w:noProof w:val="0"/>
          <w:sz w:val="18"/>
          <w:szCs w:val="18"/>
          <w:lang w:val="en-GB"/>
        </w:rPr>
        <w:t>Jirout</w:t>
      </w:r>
      <w:r w:rsidRPr="1003F1BD" w:rsidR="6283ACD8">
        <w:rPr>
          <w:rFonts w:ascii="Arial Nova" w:hAnsi="Arial Nova" w:eastAsia="Arial Nova" w:cs="Arial Nova"/>
          <w:noProof w:val="0"/>
          <w:sz w:val="18"/>
          <w:szCs w:val="18"/>
          <w:lang w:val="en-GB"/>
        </w:rPr>
        <w:t xml:space="preserve"> et al. (2019), who argue that lifestyle factors such as diet, physical activity, and sleep hygiene significantly affect children’s cognition and learning. Their research explored the relationships between diet and nutrition, physical activity and fitness, sleep, and broader cultural and socioeconomic influences, showing how these lifestyle factors intersect with cognitive development and learning. The studies highlighted how integrated approaches to health and lifestyle can positively </w:t>
      </w:r>
      <w:r w:rsidRPr="1003F1BD" w:rsidR="6283ACD8">
        <w:rPr>
          <w:rFonts w:ascii="Arial Nova" w:hAnsi="Arial Nova" w:eastAsia="Arial Nova" w:cs="Arial Nova"/>
          <w:noProof w:val="0"/>
          <w:sz w:val="18"/>
          <w:szCs w:val="18"/>
          <w:lang w:val="en-GB"/>
        </w:rPr>
        <w:t>impact</w:t>
      </w:r>
      <w:r w:rsidRPr="1003F1BD" w:rsidR="6283ACD8">
        <w:rPr>
          <w:rFonts w:ascii="Arial Nova" w:hAnsi="Arial Nova" w:eastAsia="Arial Nova" w:cs="Arial Nova"/>
          <w:noProof w:val="0"/>
          <w:sz w:val="18"/>
          <w:szCs w:val="18"/>
          <w:lang w:val="en-GB"/>
        </w:rPr>
        <w:t xml:space="preserve"> educational outcomes and cognitive development.</w:t>
      </w:r>
    </w:p>
    <w:p w:rsidR="05F7C98C" w:rsidP="1003F1BD" w:rsidRDefault="05F7C98C" w14:paraId="3D55CC9D" w14:textId="413EE3CA">
      <w:pPr>
        <w:spacing w:before="240" w:beforeAutospacing="off" w:after="240" w:afterAutospacing="off"/>
      </w:pPr>
      <w:r w:rsidRPr="1003F1BD" w:rsidR="6283ACD8">
        <w:rPr>
          <w:rFonts w:ascii="Arial Nova" w:hAnsi="Arial Nova" w:eastAsia="Arial Nova" w:cs="Arial Nova"/>
          <w:noProof w:val="0"/>
          <w:sz w:val="18"/>
          <w:szCs w:val="18"/>
          <w:lang w:val="en-GB"/>
        </w:rPr>
        <w:t>Encouraging healthy habits from an early age not only supports physical well-being but also fosters positive behaviours, cultivating a lifelong appreciation for a balanced and healthy lifestyle, as noted by Vasundhara and Nagaraju (2024). Community plays a significant role in shaping lifestyle choices through social norms and expectations. For example, in communities where physical fitness is highly valued, individuals are more likely to adopt regular exercise routines and healthy eating habits (Wittels, 2020).</w:t>
      </w:r>
    </w:p>
    <w:p w:rsidR="05F7C98C" w:rsidP="1003F1BD" w:rsidRDefault="05F7C98C" w14:paraId="364201F8" w14:textId="4097D7FA">
      <w:pPr>
        <w:spacing w:before="240" w:beforeAutospacing="off" w:after="240" w:afterAutospacing="off"/>
        <w:rPr>
          <w:rFonts w:ascii="Arial Nova" w:hAnsi="Arial Nova" w:eastAsia="Arial Nova" w:cs="Arial Nova"/>
          <w:sz w:val="18"/>
          <w:szCs w:val="18"/>
          <w:lang w:val="en-GB"/>
        </w:rPr>
      </w:pPr>
      <w:r w:rsidRPr="1003F1BD" w:rsidR="3E40C262">
        <w:rPr>
          <w:rFonts w:ascii="Arial Nova" w:hAnsi="Arial Nova" w:eastAsia="Arial Nova" w:cs="Arial Nova"/>
          <w:noProof w:val="0"/>
          <w:sz w:val="18"/>
          <w:szCs w:val="18"/>
          <w:lang w:val="en-GB"/>
        </w:rPr>
        <w:t xml:space="preserve">Role of </w:t>
      </w:r>
      <w:r w:rsidRPr="1003F1BD" w:rsidR="3E40C262">
        <w:rPr>
          <w:rFonts w:ascii="Arial Nova" w:hAnsi="Arial Nova" w:eastAsia="Arial Nova" w:cs="Arial Nova"/>
          <w:noProof w:val="0"/>
          <w:sz w:val="18"/>
          <w:szCs w:val="18"/>
          <w:lang w:val="en-GB"/>
        </w:rPr>
        <w:t>Practitioner</w:t>
      </w:r>
    </w:p>
    <w:p w:rsidR="05F7C98C" w:rsidP="1003F1BD" w:rsidRDefault="05F7C98C" w14:paraId="2897AAD0" w14:textId="3FD5E4F5">
      <w:pPr>
        <w:spacing w:before="240" w:beforeAutospacing="off" w:after="240" w:afterAutospacing="off"/>
        <w:rPr>
          <w:rFonts w:ascii="Arial Nova" w:hAnsi="Arial Nova" w:eastAsia="Arial Nova" w:cs="Arial Nova"/>
          <w:sz w:val="18"/>
          <w:szCs w:val="18"/>
          <w:lang w:val="en-GB"/>
        </w:rPr>
      </w:pPr>
      <w:r w:rsidRPr="1003F1BD" w:rsidR="6AA41760">
        <w:rPr>
          <w:rFonts w:ascii="Arial Nova" w:hAnsi="Arial Nova" w:eastAsia="Arial Nova" w:cs="Arial Nova"/>
          <w:sz w:val="18"/>
          <w:szCs w:val="18"/>
          <w:lang w:val="en-GB"/>
        </w:rPr>
        <w:t>Early Years practitioners</w:t>
      </w:r>
      <w:r w:rsidRPr="1003F1BD" w:rsidR="07686234">
        <w:rPr>
          <w:rFonts w:ascii="Arial Nova" w:hAnsi="Arial Nova" w:eastAsia="Arial Nova" w:cs="Arial Nova"/>
          <w:sz w:val="18"/>
          <w:szCs w:val="18"/>
          <w:lang w:val="en-GB"/>
        </w:rPr>
        <w:t xml:space="preserve"> and parents</w:t>
      </w:r>
      <w:r w:rsidRPr="1003F1BD" w:rsidR="6AA41760">
        <w:rPr>
          <w:rFonts w:ascii="Arial Nova" w:hAnsi="Arial Nova" w:eastAsia="Arial Nova" w:cs="Arial Nova"/>
          <w:sz w:val="18"/>
          <w:szCs w:val="18"/>
          <w:lang w:val="en-GB"/>
        </w:rPr>
        <w:t xml:space="preserve"> act as role mode</w:t>
      </w:r>
      <w:r w:rsidRPr="1003F1BD" w:rsidR="6AA41760">
        <w:rPr>
          <w:rFonts w:ascii="Arial Nova" w:hAnsi="Arial Nova" w:eastAsia="Arial Nova" w:cs="Arial Nova"/>
          <w:sz w:val="18"/>
          <w:szCs w:val="18"/>
          <w:lang w:val="en-GB"/>
        </w:rPr>
        <w:t xml:space="preserve">ls by </w:t>
      </w:r>
      <w:r w:rsidRPr="1003F1BD" w:rsidR="6AA41760">
        <w:rPr>
          <w:rFonts w:ascii="Arial Nova" w:hAnsi="Arial Nova" w:eastAsia="Arial Nova" w:cs="Arial Nova"/>
          <w:sz w:val="18"/>
          <w:szCs w:val="18"/>
          <w:lang w:val="en-GB"/>
        </w:rPr>
        <w:t>demonstrating</w:t>
      </w:r>
      <w:r w:rsidRPr="1003F1BD" w:rsidR="6AA41760">
        <w:rPr>
          <w:rFonts w:ascii="Arial Nova" w:hAnsi="Arial Nova" w:eastAsia="Arial Nova" w:cs="Arial Nova"/>
          <w:sz w:val="18"/>
          <w:szCs w:val="18"/>
          <w:lang w:val="en-GB"/>
        </w:rPr>
        <w:t xml:space="preserve"> healthy habits and positive attitudes</w:t>
      </w:r>
      <w:r w:rsidRPr="1003F1BD" w:rsidR="6E53C66F">
        <w:rPr>
          <w:rFonts w:ascii="Arial Nova" w:hAnsi="Arial Nova" w:eastAsia="Arial Nova" w:cs="Arial Nova"/>
          <w:sz w:val="18"/>
          <w:szCs w:val="18"/>
          <w:lang w:val="en-GB"/>
        </w:rPr>
        <w:t xml:space="preserve"> (WG, no date; Casa Bambino Montessori, 2024)</w:t>
      </w:r>
      <w:r w:rsidRPr="1003F1BD" w:rsidR="6AA41760">
        <w:rPr>
          <w:rFonts w:ascii="Arial Nova" w:hAnsi="Arial Nova" w:eastAsia="Arial Nova" w:cs="Arial Nova"/>
          <w:sz w:val="18"/>
          <w:szCs w:val="18"/>
          <w:lang w:val="en-GB"/>
        </w:rPr>
        <w:t>.</w:t>
      </w:r>
      <w:r w:rsidRPr="1003F1BD" w:rsidR="2CED8E71">
        <w:rPr>
          <w:rFonts w:ascii="Arial Nova" w:hAnsi="Arial Nova" w:eastAsia="Arial Nova" w:cs="Arial Nova"/>
          <w:sz w:val="18"/>
          <w:szCs w:val="18"/>
          <w:lang w:val="en-GB"/>
        </w:rPr>
        <w:t xml:space="preserve"> By collaborating with parents, the practitioner encourages </w:t>
      </w:r>
      <w:r w:rsidRPr="1003F1BD" w:rsidR="7BCA7A21">
        <w:rPr>
          <w:rFonts w:ascii="Arial Nova" w:hAnsi="Arial Nova" w:eastAsia="Arial Nova" w:cs="Arial Nova"/>
          <w:sz w:val="18"/>
          <w:szCs w:val="18"/>
          <w:lang w:val="en-GB"/>
        </w:rPr>
        <w:t>family engagement</w:t>
      </w:r>
    </w:p>
    <w:p w:rsidR="05F7C98C" w:rsidP="1003F1BD" w:rsidRDefault="05F7C98C" w14:paraId="1FF94B94" w14:textId="4865D916">
      <w:pPr>
        <w:spacing w:before="240" w:beforeAutospacing="off" w:after="240" w:afterAutospacing="off"/>
        <w:rPr>
          <w:rFonts w:ascii="Arial Nova" w:hAnsi="Arial Nova" w:eastAsia="Arial Nova" w:cs="Arial Nova"/>
          <w:sz w:val="18"/>
          <w:szCs w:val="18"/>
          <w:lang w:val="en-GB"/>
        </w:rPr>
      </w:pPr>
    </w:p>
    <w:p w:rsidR="05F7C98C" w:rsidP="1003F1BD" w:rsidRDefault="05F7C98C" w14:paraId="1EDF9757" w14:textId="70C53F1E">
      <w:pPr>
        <w:spacing w:before="240" w:beforeAutospacing="off" w:after="240" w:afterAutospacing="off"/>
        <w:rPr>
          <w:rFonts w:ascii="Arial Nova" w:hAnsi="Arial Nova" w:eastAsia="Arial Nova" w:cs="Arial Nova"/>
          <w:noProof w:val="0"/>
          <w:sz w:val="18"/>
          <w:szCs w:val="18"/>
          <w:lang w:val="en-GB"/>
        </w:rPr>
      </w:pPr>
      <w:r w:rsidRPr="1003F1BD" w:rsidR="12B40069">
        <w:rPr>
          <w:rFonts w:ascii="Arial Nova" w:hAnsi="Arial Nova" w:eastAsia="Arial Nova" w:cs="Arial Nova"/>
          <w:noProof w:val="0"/>
          <w:sz w:val="18"/>
          <w:szCs w:val="18"/>
          <w:lang w:val="en-GB"/>
        </w:rPr>
        <w:t>Cheung (2018) discusses how employment and education are closely linked to poverty and socioeconomic deprivation, both of which significantly impact child health outcomes, both in the short term and over the long term, therefore involving parents in</w:t>
      </w:r>
      <w:r w:rsidRPr="1003F1BD" w:rsidR="46663B20">
        <w:rPr>
          <w:rFonts w:ascii="Arial Nova" w:hAnsi="Arial Nova" w:eastAsia="Arial Nova" w:cs="Arial Nova"/>
          <w:noProof w:val="0"/>
          <w:sz w:val="18"/>
          <w:szCs w:val="18"/>
          <w:lang w:val="en-GB"/>
        </w:rPr>
        <w:t xml:space="preserve"> the education of their child and working collaboratively with </w:t>
      </w:r>
      <w:r w:rsidRPr="1003F1BD" w:rsidR="3C1A6F79">
        <w:rPr>
          <w:rFonts w:ascii="Arial Nova" w:hAnsi="Arial Nova" w:eastAsia="Arial Nova" w:cs="Arial Nova"/>
          <w:noProof w:val="0"/>
          <w:sz w:val="18"/>
          <w:szCs w:val="18"/>
          <w:lang w:val="en-GB"/>
        </w:rPr>
        <w:t>them in</w:t>
      </w:r>
      <w:r w:rsidRPr="1003F1BD" w:rsidR="449962B9">
        <w:rPr>
          <w:rFonts w:ascii="Arial Nova" w:hAnsi="Arial Nova" w:eastAsia="Arial Nova" w:cs="Arial Nova"/>
          <w:noProof w:val="0"/>
          <w:sz w:val="18"/>
          <w:szCs w:val="18"/>
          <w:lang w:val="en-GB"/>
        </w:rPr>
        <w:t xml:space="preserve"> initiatives like Flying Start</w:t>
      </w:r>
      <w:r w:rsidRPr="1003F1BD" w:rsidR="46663B20">
        <w:rPr>
          <w:rFonts w:ascii="Arial Nova" w:hAnsi="Arial Nova" w:eastAsia="Arial Nova" w:cs="Arial Nova"/>
          <w:noProof w:val="0"/>
          <w:sz w:val="18"/>
          <w:szCs w:val="18"/>
          <w:lang w:val="en-GB"/>
        </w:rPr>
        <w:t xml:space="preserve"> </w:t>
      </w:r>
      <w:r w:rsidRPr="1003F1BD" w:rsidR="6E431139">
        <w:rPr>
          <w:rFonts w:ascii="Arial Nova" w:hAnsi="Arial Nova" w:eastAsia="Arial Nova" w:cs="Arial Nova"/>
          <w:noProof w:val="0"/>
          <w:sz w:val="18"/>
          <w:szCs w:val="18"/>
          <w:lang w:val="en-GB"/>
        </w:rPr>
        <w:t xml:space="preserve">is for the benefit of the child (WG, </w:t>
      </w:r>
      <w:r w:rsidRPr="1003F1BD" w:rsidR="1504E4A6">
        <w:rPr>
          <w:rFonts w:ascii="Arial Nova" w:hAnsi="Arial Nova" w:eastAsia="Arial Nova" w:cs="Arial Nova"/>
          <w:noProof w:val="0"/>
          <w:sz w:val="18"/>
          <w:szCs w:val="18"/>
          <w:lang w:val="en-GB"/>
        </w:rPr>
        <w:t>2017</w:t>
      </w:r>
      <w:r w:rsidRPr="1003F1BD" w:rsidR="0D12826C">
        <w:rPr>
          <w:rFonts w:ascii="Arial Nova" w:hAnsi="Arial Nova" w:eastAsia="Arial Nova" w:cs="Arial Nova"/>
          <w:noProof w:val="0"/>
          <w:sz w:val="18"/>
          <w:szCs w:val="18"/>
          <w:lang w:val="en-GB"/>
        </w:rPr>
        <w:t>)</w:t>
      </w:r>
      <w:r w:rsidRPr="1003F1BD" w:rsidR="12B40069">
        <w:rPr>
          <w:rFonts w:ascii="Arial Nova" w:hAnsi="Arial Nova" w:eastAsia="Arial Nova" w:cs="Arial Nova"/>
          <w:noProof w:val="0"/>
          <w:sz w:val="18"/>
          <w:szCs w:val="18"/>
          <w:lang w:val="en-GB"/>
        </w:rPr>
        <w:t>.</w:t>
      </w:r>
    </w:p>
    <w:p w:rsidR="05F7C98C" w:rsidP="1003F1BD" w:rsidRDefault="05F7C98C" w14:paraId="63C9E7DF" w14:textId="16C9DC25">
      <w:pPr>
        <w:spacing w:before="240" w:beforeAutospacing="off" w:after="240" w:afterAutospacing="off"/>
        <w:rPr>
          <w:rFonts w:ascii="Arial Nova" w:hAnsi="Arial Nova" w:eastAsia="Arial Nova" w:cs="Arial Nova"/>
          <w:sz w:val="18"/>
          <w:szCs w:val="18"/>
          <w:lang w:val="en-GB"/>
        </w:rPr>
      </w:pPr>
    </w:p>
    <w:p w:rsidR="05F7C98C" w:rsidP="1003F1BD" w:rsidRDefault="05F7C98C" w14:paraId="62933309" w14:textId="6D1B2619">
      <w:pPr>
        <w:spacing w:before="240" w:beforeAutospacing="off" w:after="240" w:afterAutospacing="off"/>
        <w:rPr>
          <w:rFonts w:ascii="Arial Nova" w:hAnsi="Arial Nova" w:eastAsia="Arial Nova" w:cs="Arial Nova"/>
          <w:noProof w:val="0"/>
          <w:sz w:val="18"/>
          <w:szCs w:val="18"/>
          <w:lang w:val="en-GB"/>
        </w:rPr>
      </w:pPr>
    </w:p>
    <w:p w:rsidR="05F7C98C" w:rsidP="1003F1BD" w:rsidRDefault="05F7C98C" w14:paraId="160CA526" w14:textId="4A03EAFF">
      <w:pPr>
        <w:spacing w:before="240" w:after="240"/>
      </w:pPr>
      <w:r w:rsidRPr="1003F1BD" w:rsidR="09A7F371">
        <w:rPr>
          <w:rFonts w:ascii="Aptos" w:hAnsi="Aptos" w:eastAsia="Aptos" w:cs="Aptos"/>
          <w:b w:val="1"/>
          <w:bCs w:val="1"/>
        </w:rPr>
        <w:t>4. Educating and Engaging Families:</w:t>
      </w:r>
    </w:p>
    <w:p w:rsidR="05F7C98C" w:rsidP="1003F1BD" w:rsidRDefault="05F7C98C" w14:paraId="2A461731" w14:textId="10985028">
      <w:pPr>
        <w:pStyle w:val="ListParagraph"/>
        <w:numPr>
          <w:ilvl w:val="0"/>
          <w:numId w:val="2"/>
        </w:numPr>
        <w:spacing w:after="0"/>
        <w:rPr>
          <w:rFonts w:ascii="Aptos" w:hAnsi="Aptos" w:eastAsia="Aptos" w:cs="Aptos"/>
        </w:rPr>
      </w:pPr>
      <w:r w:rsidRPr="28C4E6D7" w:rsidR="09A7F371">
        <w:rPr>
          <w:rFonts w:ascii="Aptos" w:hAnsi="Aptos" w:eastAsia="Aptos" w:cs="Aptos"/>
        </w:rPr>
        <w:t xml:space="preserve">Collaborate with families to reinforce healthy habits at home. Provide resources and guidance on nutrition, physical </w:t>
      </w:r>
      <w:r w:rsidRPr="28C4E6D7" w:rsidR="1B3D4B30">
        <w:rPr>
          <w:rFonts w:ascii="Aptos" w:hAnsi="Aptos" w:eastAsia="Aptos" w:cs="Aptos"/>
        </w:rPr>
        <w:t>activity</w:t>
      </w:r>
    </w:p>
    <w:p w:rsidR="1B3D4B30" w:rsidP="28C4E6D7" w:rsidRDefault="1B3D4B30" w14:paraId="7523146E" w14:textId="6924286C">
      <w:pPr>
        <w:pStyle w:val="ListParagraph"/>
        <w:numPr>
          <w:ilvl w:val="0"/>
          <w:numId w:val="2"/>
        </w:numPr>
        <w:spacing w:after="0"/>
        <w:rPr>
          <w:rFonts w:ascii="Aptos" w:hAnsi="Aptos" w:eastAsia="Aptos" w:cs="Aptos"/>
          <w:b w:val="1"/>
          <w:bCs w:val="1"/>
          <w:sz w:val="24"/>
          <w:szCs w:val="24"/>
        </w:rPr>
      </w:pPr>
      <w:r w:rsidRPr="28C4E6D7" w:rsidR="1B3D4B30">
        <w:rPr>
          <w:rFonts w:ascii="Aptos" w:hAnsi="Aptos" w:eastAsia="Aptos" w:cs="Aptos"/>
          <w:b w:val="1"/>
          <w:bCs w:val="1"/>
        </w:rPr>
        <w:t>Promoting Health</w:t>
      </w:r>
    </w:p>
    <w:p w:rsidR="1B3D4B30" w:rsidP="28C4E6D7" w:rsidRDefault="1B3D4B30" w14:paraId="43007381" w14:textId="128423FE">
      <w:pPr>
        <w:pStyle w:val="ListParagraph"/>
        <w:numPr>
          <w:ilvl w:val="1"/>
          <w:numId w:val="2"/>
        </w:numPr>
        <w:spacing w:after="0"/>
        <w:rPr>
          <w:rFonts w:ascii="Aptos" w:hAnsi="Aptos" w:eastAsia="Aptos" w:cs="Aptos"/>
          <w:sz w:val="24"/>
          <w:szCs w:val="24"/>
        </w:rPr>
      </w:pPr>
      <w:r w:rsidRPr="28C4E6D7" w:rsidR="1B3D4B30">
        <w:rPr>
          <w:rFonts w:ascii="Aptos" w:hAnsi="Aptos" w:eastAsia="Aptos" w:cs="Aptos"/>
          <w:b w:val="1"/>
          <w:bCs w:val="1"/>
        </w:rPr>
        <w:t>Nutrition Education:</w:t>
      </w:r>
      <w:r w:rsidRPr="28C4E6D7" w:rsidR="1B3D4B30">
        <w:rPr>
          <w:rFonts w:ascii="Aptos" w:hAnsi="Aptos" w:eastAsia="Aptos" w:cs="Aptos"/>
        </w:rPr>
        <w:t xml:space="preserve"> Guiding healthy eating habits through balanced meals and snacks.</w:t>
      </w:r>
    </w:p>
    <w:p w:rsidR="1B3D4B30" w:rsidP="28C4E6D7" w:rsidRDefault="1B3D4B30" w14:paraId="0F27309C" w14:textId="681A457D">
      <w:pPr>
        <w:pStyle w:val="ListParagraph"/>
        <w:numPr>
          <w:ilvl w:val="1"/>
          <w:numId w:val="2"/>
        </w:numPr>
        <w:spacing w:after="0"/>
        <w:rPr>
          <w:rFonts w:ascii="Aptos" w:hAnsi="Aptos" w:eastAsia="Aptos" w:cs="Aptos"/>
          <w:sz w:val="24"/>
          <w:szCs w:val="24"/>
        </w:rPr>
      </w:pPr>
      <w:r w:rsidRPr="28C4E6D7" w:rsidR="1B3D4B30">
        <w:rPr>
          <w:rFonts w:ascii="Aptos" w:hAnsi="Aptos" w:eastAsia="Aptos" w:cs="Aptos"/>
          <w:b w:val="1"/>
          <w:bCs w:val="1"/>
        </w:rPr>
        <w:t>Physical Activity:</w:t>
      </w:r>
      <w:r w:rsidRPr="28C4E6D7" w:rsidR="1B3D4B30">
        <w:rPr>
          <w:rFonts w:ascii="Aptos" w:hAnsi="Aptos" w:eastAsia="Aptos" w:cs="Aptos"/>
        </w:rPr>
        <w:t xml:space="preserve"> Encouraging regular physical activities through structured and unstructured play.</w:t>
      </w:r>
    </w:p>
    <w:p w:rsidR="05F7C98C" w:rsidP="1003F1BD" w:rsidRDefault="05F7C98C" w14:paraId="01FF96EB" w14:textId="03B20319">
      <w:pPr>
        <w:pStyle w:val="ListParagraph"/>
        <w:numPr>
          <w:ilvl w:val="0"/>
          <w:numId w:val="1"/>
        </w:numPr>
        <w:spacing w:before="240" w:after="240"/>
        <w:rPr>
          <w:rFonts w:ascii="Aptos" w:hAnsi="Aptos" w:eastAsia="Aptos" w:cs="Aptos"/>
          <w:b w:val="1"/>
          <w:bCs w:val="1"/>
          <w:lang w:val="en-GB"/>
        </w:rPr>
      </w:pPr>
      <w:r w:rsidRPr="28C4E6D7" w:rsidR="1B3D4B30">
        <w:rPr>
          <w:rFonts w:ascii="Aptos" w:hAnsi="Aptos" w:eastAsia="Aptos" w:cs="Aptos"/>
          <w:b w:val="1"/>
          <w:bCs w:val="1"/>
          <w:lang w:val="en-GB"/>
        </w:rPr>
        <w:t>Modelling</w:t>
      </w:r>
      <w:r w:rsidRPr="28C4E6D7" w:rsidR="09A7F371">
        <w:rPr>
          <w:rFonts w:ascii="Aptos" w:hAnsi="Aptos" w:eastAsia="Aptos" w:cs="Aptos"/>
          <w:b w:val="1"/>
          <w:bCs w:val="1"/>
          <w:lang w:val="en-GB"/>
        </w:rPr>
        <w:t xml:space="preserve"> Healthy Lifestyles</w:t>
      </w:r>
    </w:p>
    <w:p w:rsidR="05F7C98C" w:rsidP="1003F1BD" w:rsidRDefault="05F7C98C" w14:paraId="370B69CE" w14:textId="5D47C0A3">
      <w:pPr>
        <w:pStyle w:val="Normal"/>
        <w:spacing w:after="0"/>
        <w:ind w:left="720"/>
        <w:rPr>
          <w:rFonts w:ascii="Aptos" w:hAnsi="Aptos" w:eastAsia="Aptos" w:cs="Aptos"/>
          <w:b w:val="1"/>
          <w:bCs w:val="1"/>
          <w:lang w:val="en-GB"/>
        </w:rPr>
      </w:pPr>
    </w:p>
    <w:p w:rsidR="05F7C98C" w:rsidP="1003F1BD" w:rsidRDefault="05F7C98C" w14:paraId="5043858A" w14:textId="3D67AF16">
      <w:pPr>
        <w:pStyle w:val="ListParagraph"/>
        <w:numPr>
          <w:ilvl w:val="1"/>
          <w:numId w:val="2"/>
        </w:numPr>
        <w:spacing w:after="0"/>
        <w:rPr>
          <w:rFonts w:ascii="Aptos" w:hAnsi="Aptos" w:eastAsia="Aptos" w:cs="Aptos"/>
        </w:rPr>
      </w:pPr>
      <w:r w:rsidRPr="1003F1BD" w:rsidR="09A7F371">
        <w:rPr>
          <w:rFonts w:ascii="Aptos" w:hAnsi="Aptos" w:eastAsia="Aptos" w:cs="Aptos"/>
          <w:b w:val="1"/>
          <w:bCs w:val="1"/>
        </w:rPr>
        <w:t>Parental Engagement:</w:t>
      </w:r>
      <w:r w:rsidRPr="1003F1BD" w:rsidR="09A7F371">
        <w:rPr>
          <w:rFonts w:ascii="Aptos" w:hAnsi="Aptos" w:eastAsia="Aptos" w:cs="Aptos"/>
        </w:rPr>
        <w:t xml:space="preserve"> Collaborating with parents to reinforce healthy practices at home.</w:t>
      </w:r>
    </w:p>
    <w:p w:rsidR="05F7C98C" w:rsidP="1003F1BD" w:rsidRDefault="05F7C98C" w14:paraId="1A48EB95" w14:textId="5BD4D99B">
      <w:pPr>
        <w:pStyle w:val="ListParagraph"/>
        <w:numPr>
          <w:ilvl w:val="0"/>
          <w:numId w:val="1"/>
        </w:numPr>
        <w:spacing w:before="240" w:after="240"/>
        <w:rPr>
          <w:rFonts w:ascii="Aptos" w:hAnsi="Aptos" w:eastAsia="Aptos" w:cs="Aptos"/>
          <w:b w:val="1"/>
          <w:bCs w:val="1"/>
        </w:rPr>
      </w:pPr>
      <w:r w:rsidRPr="1003F1BD" w:rsidR="09A7F371">
        <w:rPr>
          <w:rFonts w:ascii="Aptos" w:hAnsi="Aptos" w:eastAsia="Aptos" w:cs="Aptos"/>
          <w:b w:val="1"/>
          <w:bCs w:val="1"/>
        </w:rPr>
        <w:t>Creating Supportive Environments</w:t>
      </w:r>
    </w:p>
    <w:p w:rsidR="05F7C98C" w:rsidP="1003F1BD" w:rsidRDefault="05F7C98C" w14:paraId="35E7FDEE" w14:textId="11ED3762">
      <w:pPr>
        <w:pStyle w:val="ListParagraph"/>
        <w:numPr>
          <w:ilvl w:val="1"/>
          <w:numId w:val="2"/>
        </w:numPr>
        <w:spacing w:after="0"/>
        <w:rPr>
          <w:rFonts w:ascii="Aptos" w:hAnsi="Aptos" w:eastAsia="Aptos" w:cs="Aptos"/>
        </w:rPr>
      </w:pPr>
      <w:r w:rsidRPr="1003F1BD" w:rsidR="09A7F371">
        <w:rPr>
          <w:rFonts w:ascii="Aptos" w:hAnsi="Aptos" w:eastAsia="Aptos" w:cs="Aptos"/>
          <w:b w:val="1"/>
          <w:bCs w:val="1"/>
        </w:rPr>
        <w:t>Safe Spaces:</w:t>
      </w:r>
      <w:r w:rsidRPr="1003F1BD" w:rsidR="09A7F371">
        <w:rPr>
          <w:rFonts w:ascii="Aptos" w:hAnsi="Aptos" w:eastAsia="Aptos" w:cs="Aptos"/>
        </w:rPr>
        <w:t xml:space="preserve"> Ensuring physical and emotional safety within the learning environment.</w:t>
      </w:r>
    </w:p>
    <w:p w:rsidR="05F7C98C" w:rsidP="1003F1BD" w:rsidRDefault="05F7C98C" w14:paraId="2BE30D95" w14:textId="0B04EF80">
      <w:pPr>
        <w:pStyle w:val="ListParagraph"/>
        <w:numPr>
          <w:ilvl w:val="1"/>
          <w:numId w:val="2"/>
        </w:numPr>
        <w:spacing w:after="0"/>
        <w:rPr>
          <w:rFonts w:ascii="Aptos" w:hAnsi="Aptos" w:eastAsia="Aptos" w:cs="Aptos"/>
        </w:rPr>
      </w:pPr>
      <w:r w:rsidRPr="1003F1BD" w:rsidR="09A7F371">
        <w:rPr>
          <w:rFonts w:ascii="Aptos" w:hAnsi="Aptos" w:eastAsia="Aptos" w:cs="Aptos"/>
          <w:b w:val="1"/>
          <w:bCs w:val="1"/>
        </w:rPr>
        <w:t>Inclusive Practices:</w:t>
      </w:r>
      <w:r w:rsidRPr="1003F1BD" w:rsidR="09A7F371">
        <w:rPr>
          <w:rFonts w:ascii="Aptos" w:hAnsi="Aptos" w:eastAsia="Aptos" w:cs="Aptos"/>
        </w:rPr>
        <w:t xml:space="preserve"> Implementing inclusive practices that respect and celebrate diversity.</w:t>
      </w:r>
    </w:p>
    <w:p w:rsidR="05F7C98C" w:rsidP="1003F1BD" w:rsidRDefault="05F7C98C" w14:paraId="1635A6A8" w14:textId="68EB28D0">
      <w:pPr>
        <w:spacing w:before="240" w:beforeAutospacing="off" w:after="240" w:afterAutospacing="off"/>
        <w:rPr>
          <w:rFonts w:ascii="Arial Nova" w:hAnsi="Arial Nova" w:eastAsia="Arial Nova" w:cs="Arial Nova"/>
          <w:noProof w:val="0"/>
          <w:sz w:val="18"/>
          <w:szCs w:val="18"/>
          <w:lang w:val="en-GB"/>
        </w:rPr>
      </w:pPr>
    </w:p>
    <w:p w:rsidR="05F7C98C" w:rsidP="1003F1BD" w:rsidRDefault="05F7C98C" w14:paraId="5F54FE96" w14:textId="6DC952F3">
      <w:pPr>
        <w:pStyle w:val="Normal"/>
        <w:spacing w:before="240" w:beforeAutospacing="off" w:after="240" w:afterAutospacing="off"/>
        <w:rPr>
          <w:rFonts w:ascii="Arial Nova" w:hAnsi="Arial Nova" w:eastAsia="Arial Nova" w:cs="Arial Nova"/>
          <w:noProof w:val="0"/>
          <w:sz w:val="18"/>
          <w:szCs w:val="18"/>
          <w:lang w:val="en-GB"/>
        </w:rPr>
      </w:pPr>
    </w:p>
    <w:p w:rsidR="0284214E" w:rsidP="28C4E6D7" w:rsidRDefault="0284214E" w14:paraId="37B18194" w14:textId="63364403">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28C4E6D7" w:rsidR="0284214E">
        <w:rPr>
          <w:rFonts w:ascii="Segoe UI" w:hAnsi="Segoe UI" w:eastAsia="Segoe UI" w:cs="Segoe UI"/>
          <w:b w:val="0"/>
          <w:bCs w:val="0"/>
          <w:i w:val="0"/>
          <w:iCs w:val="0"/>
          <w:noProof w:val="0"/>
          <w:sz w:val="21"/>
          <w:szCs w:val="21"/>
          <w:lang w:val="en-GB"/>
        </w:rPr>
        <w:t xml:space="preserve">Early Years Practitioners collaborate with families to reinforce healthy habits at home, providing resources and guidance on nutrition and physical activity. For example, practitioners might organise workshops for parents on preparing balanced meals and snacks. However, </w:t>
      </w:r>
      <w:r w:rsidRPr="28C4E6D7" w:rsidR="19E400D1">
        <w:rPr>
          <w:rFonts w:ascii="Segoe UI" w:hAnsi="Segoe UI" w:eastAsia="Segoe UI" w:cs="Segoe UI"/>
          <w:b w:val="0"/>
          <w:bCs w:val="0"/>
          <w:i w:val="0"/>
          <w:iCs w:val="0"/>
          <w:noProof w:val="0"/>
          <w:sz w:val="21"/>
          <w:szCs w:val="21"/>
          <w:lang w:val="en-GB"/>
        </w:rPr>
        <w:t xml:space="preserve">as highlighted by the DfE (2017) </w:t>
      </w:r>
      <w:r w:rsidRPr="28C4E6D7" w:rsidR="0284214E">
        <w:rPr>
          <w:rFonts w:ascii="Segoe UI" w:hAnsi="Segoe UI" w:eastAsia="Segoe UI" w:cs="Segoe UI"/>
          <w:b w:val="0"/>
          <w:bCs w:val="0"/>
          <w:i w:val="0"/>
          <w:iCs w:val="0"/>
          <w:noProof w:val="0"/>
          <w:sz w:val="21"/>
          <w:szCs w:val="21"/>
          <w:lang w:val="en-GB"/>
        </w:rPr>
        <w:t>not all families may have the same level of access to healthy food options, which can be a barrier to implementing these practices effectively</w:t>
      </w:r>
      <w:r w:rsidRPr="28C4E6D7" w:rsidR="0284214E">
        <w:rPr>
          <w:rFonts w:ascii="Segoe UI" w:hAnsi="Segoe UI" w:eastAsia="Segoe UI" w:cs="Segoe UI"/>
          <w:b w:val="0"/>
          <w:bCs w:val="0"/>
          <w:i w:val="0"/>
          <w:iCs w:val="0"/>
          <w:noProof w:val="0"/>
          <w:sz w:val="21"/>
          <w:szCs w:val="21"/>
          <w:lang w:val="en-GB"/>
        </w:rPr>
        <w:t>.</w:t>
      </w:r>
      <w:r w:rsidRPr="28C4E6D7" w:rsidR="0D738546">
        <w:rPr>
          <w:rFonts w:ascii="Segoe UI" w:hAnsi="Segoe UI" w:eastAsia="Segoe UI" w:cs="Segoe UI"/>
          <w:b w:val="0"/>
          <w:bCs w:val="0"/>
          <w:i w:val="0"/>
          <w:iCs w:val="0"/>
          <w:noProof w:val="0"/>
          <w:sz w:val="21"/>
          <w:szCs w:val="21"/>
          <w:lang w:val="en-GB"/>
        </w:rPr>
        <w:t xml:space="preserve"> By </w:t>
      </w:r>
      <w:r w:rsidRPr="28C4E6D7" w:rsidR="0284214E">
        <w:rPr>
          <w:rFonts w:ascii="Segoe UI" w:hAnsi="Segoe UI" w:eastAsia="Segoe UI" w:cs="Segoe UI"/>
          <w:b w:val="0"/>
          <w:bCs w:val="0"/>
          <w:i w:val="0"/>
          <w:iCs w:val="0"/>
          <w:noProof w:val="0"/>
          <w:sz w:val="21"/>
          <w:szCs w:val="21"/>
          <w:lang w:val="en-GB"/>
        </w:rPr>
        <w:t>guid</w:t>
      </w:r>
      <w:r w:rsidRPr="28C4E6D7" w:rsidR="2F101711">
        <w:rPr>
          <w:rFonts w:ascii="Segoe UI" w:hAnsi="Segoe UI" w:eastAsia="Segoe UI" w:cs="Segoe UI"/>
          <w:b w:val="0"/>
          <w:bCs w:val="0"/>
          <w:i w:val="0"/>
          <w:iCs w:val="0"/>
          <w:noProof w:val="0"/>
          <w:sz w:val="21"/>
          <w:szCs w:val="21"/>
          <w:lang w:val="en-GB"/>
        </w:rPr>
        <w:t>ing</w:t>
      </w:r>
      <w:r w:rsidRPr="28C4E6D7" w:rsidR="0284214E">
        <w:rPr>
          <w:rFonts w:ascii="Segoe UI" w:hAnsi="Segoe UI" w:eastAsia="Segoe UI" w:cs="Segoe UI"/>
          <w:b w:val="0"/>
          <w:bCs w:val="0"/>
          <w:i w:val="0"/>
          <w:iCs w:val="0"/>
          <w:noProof w:val="0"/>
          <w:sz w:val="21"/>
          <w:szCs w:val="21"/>
          <w:lang w:val="en-GB"/>
        </w:rPr>
        <w:t xml:space="preserve"> healthy eating habits through balanced meals and snacks</w:t>
      </w:r>
      <w:r w:rsidRPr="28C4E6D7" w:rsidR="3B14F898">
        <w:rPr>
          <w:rFonts w:ascii="Segoe UI" w:hAnsi="Segoe UI" w:eastAsia="Segoe UI" w:cs="Segoe UI"/>
          <w:b w:val="0"/>
          <w:bCs w:val="0"/>
          <w:i w:val="0"/>
          <w:iCs w:val="0"/>
          <w:noProof w:val="0"/>
          <w:sz w:val="21"/>
          <w:szCs w:val="21"/>
          <w:lang w:val="en-GB"/>
        </w:rPr>
        <w:t xml:space="preserve"> practitioners</w:t>
      </w:r>
      <w:r w:rsidRPr="28C4E6D7" w:rsidR="0284214E">
        <w:rPr>
          <w:rFonts w:ascii="Segoe UI" w:hAnsi="Segoe UI" w:eastAsia="Segoe UI" w:cs="Segoe UI"/>
          <w:b w:val="0"/>
          <w:bCs w:val="0"/>
          <w:i w:val="0"/>
          <w:iCs w:val="0"/>
          <w:noProof w:val="0"/>
          <w:sz w:val="21"/>
          <w:szCs w:val="21"/>
          <w:lang w:val="en-GB"/>
        </w:rPr>
        <w:t xml:space="preserve"> encourage</w:t>
      </w:r>
      <w:r w:rsidRPr="28C4E6D7" w:rsidR="7D9214D4">
        <w:rPr>
          <w:rFonts w:ascii="Segoe UI" w:hAnsi="Segoe UI" w:eastAsia="Segoe UI" w:cs="Segoe UI"/>
          <w:b w:val="0"/>
          <w:bCs w:val="0"/>
          <w:i w:val="0"/>
          <w:iCs w:val="0"/>
          <w:noProof w:val="0"/>
          <w:sz w:val="21"/>
          <w:szCs w:val="21"/>
          <w:lang w:val="en-GB"/>
        </w:rPr>
        <w:t xml:space="preserve"> healthy choices </w:t>
      </w:r>
      <w:r w:rsidRPr="28C4E6D7" w:rsidR="7D9214D4">
        <w:rPr>
          <w:rFonts w:ascii="Segoe UI" w:hAnsi="Segoe UI" w:eastAsia="Segoe UI" w:cs="Segoe UI"/>
          <w:b w:val="0"/>
          <w:bCs w:val="0"/>
          <w:i w:val="0"/>
          <w:iCs w:val="0"/>
          <w:noProof w:val="0"/>
          <w:sz w:val="21"/>
          <w:szCs w:val="21"/>
          <w:lang w:val="en-GB"/>
        </w:rPr>
        <w:t>facilitating</w:t>
      </w:r>
      <w:r w:rsidRPr="28C4E6D7" w:rsidR="0284214E">
        <w:rPr>
          <w:rFonts w:ascii="Segoe UI" w:hAnsi="Segoe UI" w:eastAsia="Segoe UI" w:cs="Segoe UI"/>
          <w:b w:val="0"/>
          <w:bCs w:val="0"/>
          <w:i w:val="0"/>
          <w:iCs w:val="0"/>
          <w:noProof w:val="0"/>
          <w:sz w:val="21"/>
          <w:szCs w:val="21"/>
          <w:lang w:val="en-GB"/>
        </w:rPr>
        <w:t xml:space="preserve"> regular physical activities through both structured and unstructured play</w:t>
      </w:r>
      <w:r w:rsidRPr="28C4E6D7" w:rsidR="68B0631A">
        <w:rPr>
          <w:rFonts w:ascii="Segoe UI" w:hAnsi="Segoe UI" w:eastAsia="Segoe UI" w:cs="Segoe UI"/>
          <w:b w:val="0"/>
          <w:bCs w:val="0"/>
          <w:i w:val="0"/>
          <w:iCs w:val="0"/>
          <w:noProof w:val="0"/>
          <w:sz w:val="21"/>
          <w:szCs w:val="21"/>
          <w:lang w:val="en-GB"/>
        </w:rPr>
        <w:t xml:space="preserve"> (M</w:t>
      </w:r>
      <w:r w:rsidRPr="28C4E6D7" w:rsidR="68B0631A">
        <w:rPr>
          <w:rFonts w:ascii="Aptos" w:hAnsi="Aptos" w:eastAsia="Aptos" w:cs="Aptos"/>
          <w:b w:val="0"/>
          <w:bCs w:val="0"/>
          <w:i w:val="0"/>
          <w:iCs w:val="0"/>
          <w:caps w:val="0"/>
          <w:smallCaps w:val="0"/>
          <w:strike w:val="0"/>
          <w:dstrike w:val="0"/>
          <w:noProof w:val="0"/>
          <w:color w:val="000000" w:themeColor="text1" w:themeTint="FF" w:themeShade="FF"/>
          <w:sz w:val="18"/>
          <w:szCs w:val="18"/>
          <w:u w:val="none"/>
          <w:lang w:val="en-GB"/>
        </w:rPr>
        <w:t>cGowan, Chandler, &amp; Gerde, 2023)</w:t>
      </w:r>
      <w:r w:rsidRPr="28C4E6D7" w:rsidR="0284214E">
        <w:rPr>
          <w:rFonts w:ascii="Segoe UI" w:hAnsi="Segoe UI" w:eastAsia="Segoe UI" w:cs="Segoe UI"/>
          <w:b w:val="0"/>
          <w:bCs w:val="0"/>
          <w:i w:val="0"/>
          <w:iCs w:val="0"/>
          <w:noProof w:val="0"/>
          <w:sz w:val="21"/>
          <w:szCs w:val="21"/>
          <w:lang w:val="en-GB"/>
        </w:rPr>
        <w:t>.  However, some children may have dietary restrictions or physical limitations that require tailored approaches</w:t>
      </w:r>
      <w:r w:rsidRPr="28C4E6D7" w:rsidR="237033EA">
        <w:rPr>
          <w:rFonts w:ascii="Segoe UI" w:hAnsi="Segoe UI" w:eastAsia="Segoe UI" w:cs="Segoe UI"/>
          <w:b w:val="0"/>
          <w:bCs w:val="0"/>
          <w:i w:val="0"/>
          <w:iCs w:val="0"/>
          <w:noProof w:val="0"/>
          <w:sz w:val="21"/>
          <w:szCs w:val="21"/>
          <w:lang w:val="en-GB"/>
        </w:rPr>
        <w:t xml:space="preserve"> (PHW, 2020)</w:t>
      </w:r>
      <w:r w:rsidRPr="28C4E6D7" w:rsidR="0284214E">
        <w:rPr>
          <w:rFonts w:ascii="Segoe UI" w:hAnsi="Segoe UI" w:eastAsia="Segoe UI" w:cs="Segoe UI"/>
          <w:b w:val="0"/>
          <w:bCs w:val="0"/>
          <w:i w:val="0"/>
          <w:iCs w:val="0"/>
          <w:noProof w:val="0"/>
          <w:sz w:val="21"/>
          <w:szCs w:val="21"/>
          <w:lang w:val="en-GB"/>
        </w:rPr>
        <w:t>.</w:t>
      </w:r>
    </w:p>
    <w:p w:rsidR="5B1ACEE1" w:rsidP="28C4E6D7" w:rsidRDefault="5B1ACEE1" w14:paraId="4100E94F" w14:textId="2A0D18FB">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28C4E6D7" w:rsidR="5B1ACEE1">
        <w:rPr>
          <w:rFonts w:ascii="Segoe UI" w:hAnsi="Segoe UI" w:eastAsia="Segoe UI" w:cs="Segoe UI"/>
          <w:b w:val="0"/>
          <w:bCs w:val="0"/>
          <w:i w:val="0"/>
          <w:iCs w:val="0"/>
          <w:noProof w:val="0"/>
          <w:sz w:val="21"/>
          <w:szCs w:val="21"/>
          <w:lang w:val="en-GB"/>
        </w:rPr>
        <w:t>B</w:t>
      </w:r>
      <w:r w:rsidRPr="28C4E6D7" w:rsidR="0284214E">
        <w:rPr>
          <w:rFonts w:ascii="Segoe UI" w:hAnsi="Segoe UI" w:eastAsia="Segoe UI" w:cs="Segoe UI"/>
          <w:b w:val="0"/>
          <w:bCs w:val="0"/>
          <w:i w:val="0"/>
          <w:iCs w:val="0"/>
          <w:noProof w:val="0"/>
          <w:sz w:val="21"/>
          <w:szCs w:val="21"/>
          <w:lang w:val="en-GB"/>
        </w:rPr>
        <w:t xml:space="preserve">y </w:t>
      </w:r>
      <w:r w:rsidRPr="28C4E6D7" w:rsidR="0284214E">
        <w:rPr>
          <w:rFonts w:ascii="Segoe UI" w:hAnsi="Segoe UI" w:eastAsia="Segoe UI" w:cs="Segoe UI"/>
          <w:b w:val="0"/>
          <w:bCs w:val="0"/>
          <w:i w:val="0"/>
          <w:iCs w:val="0"/>
          <w:noProof w:val="0"/>
          <w:sz w:val="21"/>
          <w:szCs w:val="21"/>
          <w:lang w:val="en-GB"/>
        </w:rPr>
        <w:t>demonstrating</w:t>
      </w:r>
      <w:r w:rsidRPr="28C4E6D7" w:rsidR="0284214E">
        <w:rPr>
          <w:rFonts w:ascii="Segoe UI" w:hAnsi="Segoe UI" w:eastAsia="Segoe UI" w:cs="Segoe UI"/>
          <w:b w:val="0"/>
          <w:bCs w:val="0"/>
          <w:i w:val="0"/>
          <w:iCs w:val="0"/>
          <w:noProof w:val="0"/>
          <w:sz w:val="21"/>
          <w:szCs w:val="21"/>
          <w:lang w:val="en-GB"/>
        </w:rPr>
        <w:t xml:space="preserve"> healthy </w:t>
      </w:r>
      <w:r w:rsidRPr="28C4E6D7" w:rsidR="1CDE1A92">
        <w:rPr>
          <w:rFonts w:ascii="Segoe UI" w:hAnsi="Segoe UI" w:eastAsia="Segoe UI" w:cs="Segoe UI"/>
          <w:b w:val="0"/>
          <w:bCs w:val="0"/>
          <w:i w:val="0"/>
          <w:iCs w:val="0"/>
          <w:noProof w:val="0"/>
          <w:sz w:val="21"/>
          <w:szCs w:val="21"/>
          <w:lang w:val="en-GB"/>
        </w:rPr>
        <w:t>behaviours</w:t>
      </w:r>
      <w:r w:rsidRPr="28C4E6D7" w:rsidR="56C3778B">
        <w:rPr>
          <w:rFonts w:ascii="Segoe UI" w:hAnsi="Segoe UI" w:eastAsia="Segoe UI" w:cs="Segoe UI"/>
          <w:b w:val="0"/>
          <w:bCs w:val="0"/>
          <w:i w:val="0"/>
          <w:iCs w:val="0"/>
          <w:noProof w:val="0"/>
          <w:sz w:val="21"/>
          <w:szCs w:val="21"/>
          <w:lang w:val="en-GB"/>
        </w:rPr>
        <w:t>, practitioners serve as role models</w:t>
      </w:r>
      <w:r w:rsidRPr="28C4E6D7" w:rsidR="44CD3524">
        <w:rPr>
          <w:rFonts w:ascii="Segoe UI" w:hAnsi="Segoe UI" w:eastAsia="Segoe UI" w:cs="Segoe UI"/>
          <w:b w:val="0"/>
          <w:bCs w:val="0"/>
          <w:i w:val="0"/>
          <w:iCs w:val="0"/>
          <w:noProof w:val="0"/>
          <w:sz w:val="21"/>
          <w:szCs w:val="21"/>
          <w:lang w:val="en-GB"/>
        </w:rPr>
        <w:t xml:space="preserve">, </w:t>
      </w:r>
      <w:r w:rsidRPr="28C4E6D7" w:rsidR="0284214E">
        <w:rPr>
          <w:rFonts w:ascii="Segoe UI" w:hAnsi="Segoe UI" w:eastAsia="Segoe UI" w:cs="Segoe UI"/>
          <w:b w:val="0"/>
          <w:bCs w:val="0"/>
          <w:i w:val="0"/>
          <w:iCs w:val="0"/>
          <w:noProof w:val="0"/>
          <w:sz w:val="21"/>
          <w:szCs w:val="21"/>
          <w:lang w:val="en-GB"/>
        </w:rPr>
        <w:t>includ</w:t>
      </w:r>
      <w:r w:rsidRPr="28C4E6D7" w:rsidR="0A288093">
        <w:rPr>
          <w:rFonts w:ascii="Segoe UI" w:hAnsi="Segoe UI" w:eastAsia="Segoe UI" w:cs="Segoe UI"/>
          <w:b w:val="0"/>
          <w:bCs w:val="0"/>
          <w:i w:val="0"/>
          <w:iCs w:val="0"/>
          <w:noProof w:val="0"/>
          <w:sz w:val="21"/>
          <w:szCs w:val="21"/>
          <w:lang w:val="en-GB"/>
        </w:rPr>
        <w:t>ing</w:t>
      </w:r>
      <w:r w:rsidRPr="28C4E6D7" w:rsidR="0284214E">
        <w:rPr>
          <w:rFonts w:ascii="Segoe UI" w:hAnsi="Segoe UI" w:eastAsia="Segoe UI" w:cs="Segoe UI"/>
          <w:b w:val="0"/>
          <w:bCs w:val="0"/>
          <w:i w:val="0"/>
          <w:iCs w:val="0"/>
          <w:noProof w:val="0"/>
          <w:sz w:val="21"/>
          <w:szCs w:val="21"/>
          <w:lang w:val="en-GB"/>
        </w:rPr>
        <w:t xml:space="preserve"> eating nutritious foods and engaging in physical activities alongside the children. </w:t>
      </w:r>
      <w:r w:rsidRPr="28C4E6D7" w:rsidR="4AA4840B">
        <w:rPr>
          <w:rFonts w:ascii="Segoe UI" w:hAnsi="Segoe UI" w:eastAsia="Segoe UI" w:cs="Segoe UI"/>
          <w:b w:val="0"/>
          <w:bCs w:val="0"/>
          <w:i w:val="0"/>
          <w:iCs w:val="0"/>
          <w:noProof w:val="0"/>
          <w:sz w:val="21"/>
          <w:szCs w:val="21"/>
          <w:lang w:val="en-GB"/>
        </w:rPr>
        <w:t>Like</w:t>
      </w:r>
      <w:r w:rsidRPr="28C4E6D7" w:rsidR="0284214E">
        <w:rPr>
          <w:rFonts w:ascii="Segoe UI" w:hAnsi="Segoe UI" w:eastAsia="Segoe UI" w:cs="Segoe UI"/>
          <w:b w:val="0"/>
          <w:bCs w:val="0"/>
          <w:i w:val="0"/>
          <w:iCs w:val="0"/>
          <w:noProof w:val="0"/>
          <w:sz w:val="21"/>
          <w:szCs w:val="21"/>
          <w:lang w:val="en-GB"/>
        </w:rPr>
        <w:t xml:space="preserve"> join</w:t>
      </w:r>
      <w:r w:rsidRPr="28C4E6D7" w:rsidR="0B884BDF">
        <w:rPr>
          <w:rFonts w:ascii="Segoe UI" w:hAnsi="Segoe UI" w:eastAsia="Segoe UI" w:cs="Segoe UI"/>
          <w:b w:val="0"/>
          <w:bCs w:val="0"/>
          <w:i w:val="0"/>
          <w:iCs w:val="0"/>
          <w:noProof w:val="0"/>
          <w:sz w:val="21"/>
          <w:szCs w:val="21"/>
          <w:lang w:val="en-GB"/>
        </w:rPr>
        <w:t>ing</w:t>
      </w:r>
      <w:r w:rsidRPr="28C4E6D7" w:rsidR="0284214E">
        <w:rPr>
          <w:rFonts w:ascii="Segoe UI" w:hAnsi="Segoe UI" w:eastAsia="Segoe UI" w:cs="Segoe UI"/>
          <w:b w:val="0"/>
          <w:bCs w:val="0"/>
          <w:i w:val="0"/>
          <w:iCs w:val="0"/>
          <w:noProof w:val="0"/>
          <w:sz w:val="21"/>
          <w:szCs w:val="21"/>
          <w:lang w:val="en-GB"/>
        </w:rPr>
        <w:t xml:space="preserve"> in</w:t>
      </w:r>
      <w:r w:rsidRPr="28C4E6D7" w:rsidR="6AFC770F">
        <w:rPr>
          <w:rFonts w:ascii="Segoe UI" w:hAnsi="Segoe UI" w:eastAsia="Segoe UI" w:cs="Segoe UI"/>
          <w:b w:val="0"/>
          <w:bCs w:val="0"/>
          <w:i w:val="0"/>
          <w:iCs w:val="0"/>
          <w:noProof w:val="0"/>
          <w:sz w:val="21"/>
          <w:szCs w:val="21"/>
          <w:lang w:val="en-GB"/>
        </w:rPr>
        <w:t xml:space="preserve"> with</w:t>
      </w:r>
      <w:r w:rsidRPr="28C4E6D7" w:rsidR="0284214E">
        <w:rPr>
          <w:rFonts w:ascii="Segoe UI" w:hAnsi="Segoe UI" w:eastAsia="Segoe UI" w:cs="Segoe UI"/>
          <w:b w:val="0"/>
          <w:bCs w:val="0"/>
          <w:i w:val="0"/>
          <w:iCs w:val="0"/>
          <w:noProof w:val="0"/>
          <w:sz w:val="21"/>
          <w:szCs w:val="21"/>
          <w:lang w:val="en-GB"/>
        </w:rPr>
        <w:t xml:space="preserve"> a game of tag or eat a healthy snack with the children t</w:t>
      </w:r>
      <w:r w:rsidRPr="28C4E6D7" w:rsidR="7335639C">
        <w:rPr>
          <w:rFonts w:ascii="Segoe UI" w:hAnsi="Segoe UI" w:eastAsia="Segoe UI" w:cs="Segoe UI"/>
          <w:b w:val="0"/>
          <w:bCs w:val="0"/>
          <w:i w:val="0"/>
          <w:iCs w:val="0"/>
          <w:noProof w:val="0"/>
          <w:sz w:val="21"/>
          <w:szCs w:val="21"/>
          <w:lang w:val="en-GB"/>
        </w:rPr>
        <w:t>herefore</w:t>
      </w:r>
      <w:r w:rsidRPr="28C4E6D7" w:rsidR="0284214E">
        <w:rPr>
          <w:rFonts w:ascii="Segoe UI" w:hAnsi="Segoe UI" w:eastAsia="Segoe UI" w:cs="Segoe UI"/>
          <w:b w:val="0"/>
          <w:bCs w:val="0"/>
          <w:i w:val="0"/>
          <w:iCs w:val="0"/>
          <w:noProof w:val="0"/>
          <w:sz w:val="21"/>
          <w:szCs w:val="21"/>
          <w:lang w:val="en-GB"/>
        </w:rPr>
        <w:t xml:space="preserve"> set</w:t>
      </w:r>
      <w:r w:rsidRPr="28C4E6D7" w:rsidR="356ACF8F">
        <w:rPr>
          <w:rFonts w:ascii="Segoe UI" w:hAnsi="Segoe UI" w:eastAsia="Segoe UI" w:cs="Segoe UI"/>
          <w:b w:val="0"/>
          <w:bCs w:val="0"/>
          <w:i w:val="0"/>
          <w:iCs w:val="0"/>
          <w:noProof w:val="0"/>
          <w:sz w:val="21"/>
          <w:szCs w:val="21"/>
          <w:lang w:val="en-GB"/>
        </w:rPr>
        <w:t>ting</w:t>
      </w:r>
      <w:r w:rsidRPr="28C4E6D7" w:rsidR="0284214E">
        <w:rPr>
          <w:rFonts w:ascii="Segoe UI" w:hAnsi="Segoe UI" w:eastAsia="Segoe UI" w:cs="Segoe UI"/>
          <w:b w:val="0"/>
          <w:bCs w:val="0"/>
          <w:i w:val="0"/>
          <w:iCs w:val="0"/>
          <w:noProof w:val="0"/>
          <w:sz w:val="21"/>
          <w:szCs w:val="21"/>
          <w:lang w:val="en-GB"/>
        </w:rPr>
        <w:t xml:space="preserve"> a positive example. However, </w:t>
      </w:r>
      <w:r w:rsidRPr="28C4E6D7" w:rsidR="0284214E">
        <w:rPr>
          <w:rFonts w:ascii="Segoe UI" w:hAnsi="Segoe UI" w:eastAsia="Segoe UI" w:cs="Segoe UI"/>
          <w:b w:val="0"/>
          <w:bCs w:val="0"/>
          <w:i w:val="0"/>
          <w:iCs w:val="0"/>
          <w:noProof w:val="0"/>
          <w:sz w:val="21"/>
          <w:szCs w:val="21"/>
          <w:lang w:val="en-GB"/>
        </w:rPr>
        <w:t>maintaining</w:t>
      </w:r>
      <w:r w:rsidRPr="28C4E6D7" w:rsidR="0284214E">
        <w:rPr>
          <w:rFonts w:ascii="Segoe UI" w:hAnsi="Segoe UI" w:eastAsia="Segoe UI" w:cs="Segoe UI"/>
          <w:b w:val="0"/>
          <w:bCs w:val="0"/>
          <w:i w:val="0"/>
          <w:iCs w:val="0"/>
          <w:noProof w:val="0"/>
          <w:sz w:val="21"/>
          <w:szCs w:val="21"/>
          <w:lang w:val="en-GB"/>
        </w:rPr>
        <w:t xml:space="preserve"> consistency in modelling these </w:t>
      </w:r>
      <w:r w:rsidRPr="28C4E6D7" w:rsidR="67B35E80">
        <w:rPr>
          <w:rFonts w:ascii="Segoe UI" w:hAnsi="Segoe UI" w:eastAsia="Segoe UI" w:cs="Segoe UI"/>
          <w:b w:val="0"/>
          <w:bCs w:val="0"/>
          <w:i w:val="0"/>
          <w:iCs w:val="0"/>
          <w:noProof w:val="0"/>
          <w:sz w:val="21"/>
          <w:szCs w:val="21"/>
          <w:lang w:val="en-GB"/>
        </w:rPr>
        <w:t>behaviours</w:t>
      </w:r>
      <w:r w:rsidRPr="28C4E6D7" w:rsidR="0284214E">
        <w:rPr>
          <w:rFonts w:ascii="Segoe UI" w:hAnsi="Segoe UI" w:eastAsia="Segoe UI" w:cs="Segoe UI"/>
          <w:b w:val="0"/>
          <w:bCs w:val="0"/>
          <w:i w:val="0"/>
          <w:iCs w:val="0"/>
          <w:noProof w:val="0"/>
          <w:sz w:val="21"/>
          <w:szCs w:val="21"/>
          <w:lang w:val="en-GB"/>
        </w:rPr>
        <w:t xml:space="preserve"> can be challenging due to varying personal habits and preferences</w:t>
      </w:r>
      <w:r w:rsidRPr="28C4E6D7" w:rsidR="13DD2605">
        <w:rPr>
          <w:rFonts w:ascii="Segoe UI" w:hAnsi="Segoe UI" w:eastAsia="Segoe UI" w:cs="Segoe UI"/>
          <w:b w:val="0"/>
          <w:bCs w:val="0"/>
          <w:i w:val="0"/>
          <w:iCs w:val="0"/>
          <w:noProof w:val="0"/>
          <w:sz w:val="21"/>
          <w:szCs w:val="21"/>
          <w:lang w:val="en-GB"/>
        </w:rPr>
        <w:t xml:space="preserve"> (Early Years Wales, 2021)</w:t>
      </w:r>
      <w:r w:rsidRPr="28C4E6D7" w:rsidR="0284214E">
        <w:rPr>
          <w:rFonts w:ascii="Segoe UI" w:hAnsi="Segoe UI" w:eastAsia="Segoe UI" w:cs="Segoe UI"/>
          <w:b w:val="0"/>
          <w:bCs w:val="0"/>
          <w:i w:val="0"/>
          <w:iCs w:val="0"/>
          <w:noProof w:val="0"/>
          <w:sz w:val="21"/>
          <w:szCs w:val="21"/>
          <w:lang w:val="en-GB"/>
        </w:rPr>
        <w:t>.</w:t>
      </w:r>
    </w:p>
    <w:p w:rsidR="0284214E" w:rsidP="28C4E6D7" w:rsidRDefault="0284214E" w14:paraId="4D259656" w14:textId="59A43C55">
      <w:pPr>
        <w:spacing w:before="210" w:beforeAutospacing="off" w:after="210" w:afterAutospacing="off" w:line="300" w:lineRule="auto"/>
        <w:rPr>
          <w:rFonts w:ascii="Segoe UI" w:hAnsi="Segoe UI" w:eastAsia="Segoe UI" w:cs="Segoe UI"/>
          <w:b w:val="0"/>
          <w:bCs w:val="0"/>
          <w:i w:val="0"/>
          <w:iCs w:val="0"/>
          <w:noProof w:val="0"/>
          <w:sz w:val="21"/>
          <w:szCs w:val="21"/>
          <w:lang w:val="en-GB"/>
        </w:rPr>
      </w:pPr>
      <w:r w:rsidRPr="28C4E6D7" w:rsidR="0284214E">
        <w:rPr>
          <w:rFonts w:ascii="Segoe UI" w:hAnsi="Segoe UI" w:eastAsia="Segoe UI" w:cs="Segoe UI"/>
          <w:b w:val="1"/>
          <w:bCs w:val="1"/>
          <w:i w:val="0"/>
          <w:iCs w:val="0"/>
          <w:noProof w:val="0"/>
          <w:sz w:val="21"/>
          <w:szCs w:val="21"/>
          <w:lang w:val="en-GB"/>
        </w:rPr>
        <w:t>Parental Engagement</w:t>
      </w:r>
      <w:r w:rsidRPr="28C4E6D7" w:rsidR="0284214E">
        <w:rPr>
          <w:rFonts w:ascii="Segoe UI" w:hAnsi="Segoe UI" w:eastAsia="Segoe UI" w:cs="Segoe UI"/>
          <w:b w:val="0"/>
          <w:bCs w:val="0"/>
          <w:i w:val="0"/>
          <w:iCs w:val="0"/>
          <w:noProof w:val="0"/>
          <w:sz w:val="21"/>
          <w:szCs w:val="21"/>
          <w:lang w:val="en-GB"/>
        </w:rPr>
        <w:t xml:space="preserve">: Collaborating with parents is essential to reinforce healthy practices at home. Practitioners might send home newsletters with tips on healthy living or invite parents to </w:t>
      </w:r>
      <w:r w:rsidRPr="28C4E6D7" w:rsidR="0284214E">
        <w:rPr>
          <w:rFonts w:ascii="Segoe UI" w:hAnsi="Segoe UI" w:eastAsia="Segoe UI" w:cs="Segoe UI"/>
          <w:b w:val="0"/>
          <w:bCs w:val="0"/>
          <w:i w:val="0"/>
          <w:iCs w:val="0"/>
          <w:noProof w:val="0"/>
          <w:sz w:val="21"/>
          <w:szCs w:val="21"/>
          <w:lang w:val="en-GB"/>
        </w:rPr>
        <w:t>participate</w:t>
      </w:r>
      <w:r w:rsidRPr="28C4E6D7" w:rsidR="0284214E">
        <w:rPr>
          <w:rFonts w:ascii="Segoe UI" w:hAnsi="Segoe UI" w:eastAsia="Segoe UI" w:cs="Segoe UI"/>
          <w:b w:val="0"/>
          <w:bCs w:val="0"/>
          <w:i w:val="0"/>
          <w:iCs w:val="0"/>
          <w:noProof w:val="0"/>
          <w:sz w:val="21"/>
          <w:szCs w:val="21"/>
          <w:lang w:val="en-GB"/>
        </w:rPr>
        <w:t xml:space="preserve"> in physical activities at the </w:t>
      </w:r>
      <w:r w:rsidRPr="28C4E6D7" w:rsidR="1577657C">
        <w:rPr>
          <w:rFonts w:ascii="Segoe UI" w:hAnsi="Segoe UI" w:eastAsia="Segoe UI" w:cs="Segoe UI"/>
          <w:b w:val="0"/>
          <w:bCs w:val="0"/>
          <w:i w:val="0"/>
          <w:iCs w:val="0"/>
          <w:noProof w:val="0"/>
          <w:sz w:val="21"/>
          <w:szCs w:val="21"/>
          <w:lang w:val="en-GB"/>
        </w:rPr>
        <w:t>centre</w:t>
      </w:r>
      <w:r w:rsidRPr="28C4E6D7" w:rsidR="0284214E">
        <w:rPr>
          <w:rFonts w:ascii="Segoe UI" w:hAnsi="Segoe UI" w:eastAsia="Segoe UI" w:cs="Segoe UI"/>
          <w:b w:val="0"/>
          <w:bCs w:val="0"/>
          <w:i w:val="0"/>
          <w:iCs w:val="0"/>
          <w:noProof w:val="0"/>
          <w:sz w:val="21"/>
          <w:szCs w:val="21"/>
          <w:lang w:val="en-GB"/>
        </w:rPr>
        <w:t>. However, engaging all parents can be difficult due to differing levels of interest and availability.</w:t>
      </w:r>
    </w:p>
    <w:p w:rsidR="0284214E" w:rsidP="28C4E6D7" w:rsidRDefault="0284214E" w14:paraId="7DF9210A" w14:textId="61969663">
      <w:pPr>
        <w:spacing w:before="210" w:beforeAutospacing="off" w:after="210" w:afterAutospacing="off" w:line="300" w:lineRule="auto"/>
      </w:pPr>
      <w:r w:rsidRPr="28C4E6D7" w:rsidR="0284214E">
        <w:rPr>
          <w:rFonts w:ascii="Segoe UI" w:hAnsi="Segoe UI" w:eastAsia="Segoe UI" w:cs="Segoe UI"/>
          <w:b w:val="1"/>
          <w:bCs w:val="1"/>
          <w:i w:val="0"/>
          <w:iCs w:val="0"/>
          <w:noProof w:val="0"/>
          <w:sz w:val="21"/>
          <w:szCs w:val="21"/>
          <w:lang w:val="en-GB"/>
        </w:rPr>
        <w:t>Creating Supportive Environments</w:t>
      </w:r>
      <w:r w:rsidRPr="28C4E6D7" w:rsidR="0284214E">
        <w:rPr>
          <w:rFonts w:ascii="Segoe UI" w:hAnsi="Segoe UI" w:eastAsia="Segoe UI" w:cs="Segoe UI"/>
          <w:b w:val="0"/>
          <w:bCs w:val="0"/>
          <w:i w:val="0"/>
          <w:iCs w:val="0"/>
          <w:noProof w:val="0"/>
          <w:sz w:val="21"/>
          <w:szCs w:val="21"/>
          <w:lang w:val="en-GB"/>
        </w:rPr>
        <w:t>: Ensuring physical and emotional safety within the learning environment is a key responsibility. Practitioners create safe spaces by maintaining clean, hazard-free areas and offering emotional support. For example, they might set up a quiet corner for children to relax and feel secure. However, balancing the needs of all children in a diverse group can be complex.</w:t>
      </w:r>
    </w:p>
    <w:p w:rsidR="0284214E" w:rsidP="28C4E6D7" w:rsidRDefault="0284214E" w14:paraId="6BE30656" w14:textId="68BC2871">
      <w:pPr>
        <w:spacing w:before="210" w:beforeAutospacing="off" w:after="210" w:afterAutospacing="off" w:line="300" w:lineRule="auto"/>
      </w:pPr>
      <w:r w:rsidRPr="28C4E6D7" w:rsidR="0284214E">
        <w:rPr>
          <w:rFonts w:ascii="Segoe UI" w:hAnsi="Segoe UI" w:eastAsia="Segoe UI" w:cs="Segoe UI"/>
          <w:b w:val="1"/>
          <w:bCs w:val="1"/>
          <w:i w:val="0"/>
          <w:iCs w:val="0"/>
          <w:noProof w:val="0"/>
          <w:sz w:val="21"/>
          <w:szCs w:val="21"/>
          <w:lang w:val="en-GB"/>
        </w:rPr>
        <w:t>Inclusive Practices</w:t>
      </w:r>
      <w:r w:rsidRPr="28C4E6D7" w:rsidR="0284214E">
        <w:rPr>
          <w:rFonts w:ascii="Segoe UI" w:hAnsi="Segoe UI" w:eastAsia="Segoe UI" w:cs="Segoe UI"/>
          <w:b w:val="0"/>
          <w:bCs w:val="0"/>
          <w:i w:val="0"/>
          <w:iCs w:val="0"/>
          <w:noProof w:val="0"/>
          <w:sz w:val="21"/>
          <w:szCs w:val="21"/>
          <w:lang w:val="en-GB"/>
        </w:rPr>
        <w:t>: Implementing inclusive practices that respect and celebrate diversity is vital. Practitioners adapt activities to meet the diverse needs of all children, recognizing individual differences and valuing cultural backgrounds. For instance, they might celebrate various cultural festivals and include diverse foods in meal plans. However, ensuring that all children feel equally included and valued requires continuous effort and sensitivity.</w:t>
      </w:r>
    </w:p>
    <w:p w:rsidR="28C4E6D7" w:rsidP="28C4E6D7" w:rsidRDefault="28C4E6D7" w14:paraId="3E249DF4" w14:textId="7F494C53">
      <w:pPr>
        <w:spacing w:before="0" w:beforeAutospacing="off" w:after="0" w:afterAutospacing="off" w:line="300" w:lineRule="auto"/>
      </w:pPr>
    </w:p>
    <w:p w:rsidR="0284214E" w:rsidP="28C4E6D7" w:rsidRDefault="0284214E" w14:paraId="26283CA0" w14:textId="15930711">
      <w:pPr>
        <w:spacing w:before="210" w:beforeAutospacing="off" w:after="210" w:afterAutospacing="off" w:line="300" w:lineRule="auto"/>
      </w:pPr>
      <w:r w:rsidRPr="28C4E6D7" w:rsidR="0284214E">
        <w:rPr>
          <w:rFonts w:ascii="Segoe UI" w:hAnsi="Segoe UI" w:eastAsia="Segoe UI" w:cs="Segoe UI"/>
          <w:b w:val="0"/>
          <w:bCs w:val="0"/>
          <w:i w:val="0"/>
          <w:iCs w:val="0"/>
          <w:noProof w:val="0"/>
          <w:sz w:val="21"/>
          <w:szCs w:val="21"/>
          <w:lang w:val="en-GB"/>
        </w:rPr>
        <w:t xml:space="preserve">References: </w:t>
      </w:r>
      <w:hyperlink r:id="R243c80a974854743">
        <w:r w:rsidRPr="28C4E6D7" w:rsidR="0284214E">
          <w:rPr>
            <w:rStyle w:val="Hyperlink"/>
            <w:rFonts w:ascii="Segoe UI" w:hAnsi="Segoe UI" w:eastAsia="Segoe UI" w:cs="Segoe UI"/>
            <w:b w:val="0"/>
            <w:bCs w:val="0"/>
            <w:i w:val="0"/>
            <w:iCs w:val="0"/>
            <w:strike w:val="0"/>
            <w:dstrike w:val="0"/>
            <w:noProof w:val="0"/>
            <w:color w:val="464FEB"/>
            <w:sz w:val="21"/>
            <w:szCs w:val="21"/>
            <w:u w:val="none"/>
            <w:lang w:val="en-GB"/>
          </w:rPr>
          <w:t>[1]</w:t>
        </w:r>
      </w:hyperlink>
      <w:r w:rsidRPr="28C4E6D7" w:rsidR="0284214E">
        <w:rPr>
          <w:rFonts w:ascii="Segoe UI" w:hAnsi="Segoe UI" w:eastAsia="Segoe UI" w:cs="Segoe UI"/>
          <w:b w:val="0"/>
          <w:bCs w:val="0"/>
          <w:i w:val="0"/>
          <w:iCs w:val="0"/>
          <w:noProof w:val="0"/>
          <w:sz w:val="21"/>
          <w:szCs w:val="21"/>
          <w:lang w:val="en-GB"/>
        </w:rPr>
        <w:t xml:space="preserve">: Department for Education (DfE). (2017). </w:t>
      </w:r>
      <w:r w:rsidRPr="28C4E6D7" w:rsidR="0284214E">
        <w:rPr>
          <w:rFonts w:ascii="Segoe UI" w:hAnsi="Segoe UI" w:eastAsia="Segoe UI" w:cs="Segoe UI"/>
          <w:b w:val="0"/>
          <w:bCs w:val="0"/>
          <w:i w:val="1"/>
          <w:iCs w:val="1"/>
          <w:noProof w:val="0"/>
          <w:sz w:val="21"/>
          <w:szCs w:val="21"/>
          <w:lang w:val="en-GB"/>
        </w:rPr>
        <w:t>Early years workforce plan</w:t>
      </w:r>
      <w:r w:rsidRPr="28C4E6D7" w:rsidR="0284214E">
        <w:rPr>
          <w:rFonts w:ascii="Segoe UI" w:hAnsi="Segoe UI" w:eastAsia="Segoe UI" w:cs="Segoe UI"/>
          <w:b w:val="0"/>
          <w:bCs w:val="0"/>
          <w:i w:val="0"/>
          <w:iCs w:val="0"/>
          <w:noProof w:val="0"/>
          <w:sz w:val="21"/>
          <w:szCs w:val="21"/>
          <w:lang w:val="en-GB"/>
        </w:rPr>
        <w:t xml:space="preserve">. Available at: </w:t>
      </w:r>
      <w:hyperlink r:id="Rc79e02e9c233488d">
        <w:r w:rsidRPr="28C4E6D7" w:rsidR="0284214E">
          <w:rPr>
            <w:rStyle w:val="Hyperlink"/>
            <w:rFonts w:ascii="Segoe UI" w:hAnsi="Segoe UI" w:eastAsia="Segoe UI" w:cs="Segoe UI"/>
            <w:b w:val="0"/>
            <w:bCs w:val="0"/>
            <w:i w:val="0"/>
            <w:iCs w:val="0"/>
            <w:noProof w:val="0"/>
            <w:sz w:val="21"/>
            <w:szCs w:val="21"/>
            <w:lang w:val="en-GB"/>
          </w:rPr>
          <w:t>https://www.gov.wales/sites/default/files/publications/2019-07/early-years-workforce-plan.pdf</w:t>
        </w:r>
      </w:hyperlink>
      <w:r w:rsidRPr="28C4E6D7" w:rsidR="0284214E">
        <w:rPr>
          <w:rFonts w:ascii="Segoe UI" w:hAnsi="Segoe UI" w:eastAsia="Segoe UI" w:cs="Segoe UI"/>
          <w:b w:val="0"/>
          <w:bCs w:val="0"/>
          <w:i w:val="0"/>
          <w:iCs w:val="0"/>
          <w:noProof w:val="0"/>
          <w:sz w:val="21"/>
          <w:szCs w:val="21"/>
          <w:lang w:val="en-GB"/>
        </w:rPr>
        <w:t xml:space="preserve"> (Accessed: 26 February 2025). </w:t>
      </w:r>
      <w:hyperlink r:id="Rfe8acb6e15c341ee">
        <w:r w:rsidRPr="28C4E6D7" w:rsidR="0284214E">
          <w:rPr>
            <w:rStyle w:val="Hyperlink"/>
            <w:rFonts w:ascii="Segoe UI" w:hAnsi="Segoe UI" w:eastAsia="Segoe UI" w:cs="Segoe UI"/>
            <w:b w:val="0"/>
            <w:bCs w:val="0"/>
            <w:i w:val="0"/>
            <w:iCs w:val="0"/>
            <w:strike w:val="0"/>
            <w:dstrike w:val="0"/>
            <w:noProof w:val="0"/>
            <w:color w:val="464FEB"/>
            <w:sz w:val="21"/>
            <w:szCs w:val="21"/>
            <w:u w:val="none"/>
            <w:lang w:val="en-GB"/>
          </w:rPr>
          <w:t>[2]</w:t>
        </w:r>
      </w:hyperlink>
      <w:r w:rsidRPr="28C4E6D7" w:rsidR="0284214E">
        <w:rPr>
          <w:rFonts w:ascii="Segoe UI" w:hAnsi="Segoe UI" w:eastAsia="Segoe UI" w:cs="Segoe UI"/>
          <w:b w:val="0"/>
          <w:bCs w:val="0"/>
          <w:i w:val="0"/>
          <w:iCs w:val="0"/>
          <w:noProof w:val="0"/>
          <w:sz w:val="21"/>
          <w:szCs w:val="21"/>
          <w:lang w:val="en-GB"/>
        </w:rPr>
        <w:t xml:space="preserve">: Public Health Wales. (2020). </w:t>
      </w:r>
      <w:r w:rsidRPr="28C4E6D7" w:rsidR="0284214E">
        <w:rPr>
          <w:rFonts w:ascii="Segoe UI" w:hAnsi="Segoe UI" w:eastAsia="Segoe UI" w:cs="Segoe UI"/>
          <w:b w:val="0"/>
          <w:bCs w:val="0"/>
          <w:i w:val="1"/>
          <w:iCs w:val="1"/>
          <w:noProof w:val="0"/>
          <w:sz w:val="21"/>
          <w:szCs w:val="21"/>
          <w:lang w:val="en-GB"/>
        </w:rPr>
        <w:t>Promoting health and well-being in early years settings</w:t>
      </w:r>
      <w:r w:rsidRPr="28C4E6D7" w:rsidR="0284214E">
        <w:rPr>
          <w:rFonts w:ascii="Segoe UI" w:hAnsi="Segoe UI" w:eastAsia="Segoe UI" w:cs="Segoe UI"/>
          <w:b w:val="0"/>
          <w:bCs w:val="0"/>
          <w:i w:val="0"/>
          <w:iCs w:val="0"/>
          <w:noProof w:val="0"/>
          <w:sz w:val="21"/>
          <w:szCs w:val="21"/>
          <w:lang w:val="en-GB"/>
        </w:rPr>
        <w:t xml:space="preserve">. Available at: </w:t>
      </w:r>
      <w:hyperlink r:id="R2a0cc55a87844c4c">
        <w:r w:rsidRPr="28C4E6D7" w:rsidR="0284214E">
          <w:rPr>
            <w:rStyle w:val="Hyperlink"/>
            <w:rFonts w:ascii="Segoe UI" w:hAnsi="Segoe UI" w:eastAsia="Segoe UI" w:cs="Segoe UI"/>
            <w:b w:val="0"/>
            <w:bCs w:val="0"/>
            <w:i w:val="0"/>
            <w:iCs w:val="0"/>
            <w:noProof w:val="0"/>
            <w:sz w:val="21"/>
            <w:szCs w:val="21"/>
            <w:lang w:val="en-GB"/>
          </w:rPr>
          <w:t>https://phw.nhs.wales/services-and-teams/early-years/</w:t>
        </w:r>
      </w:hyperlink>
      <w:r w:rsidRPr="28C4E6D7" w:rsidR="0284214E">
        <w:rPr>
          <w:rFonts w:ascii="Segoe UI" w:hAnsi="Segoe UI" w:eastAsia="Segoe UI" w:cs="Segoe UI"/>
          <w:b w:val="0"/>
          <w:bCs w:val="0"/>
          <w:i w:val="0"/>
          <w:iCs w:val="0"/>
          <w:noProof w:val="0"/>
          <w:sz w:val="21"/>
          <w:szCs w:val="21"/>
          <w:lang w:val="en-GB"/>
        </w:rPr>
        <w:t xml:space="preserve"> (Accessed: 26 February 2025). </w:t>
      </w:r>
      <w:hyperlink r:id="Rf756c5ded3ae4be8">
        <w:r w:rsidRPr="28C4E6D7" w:rsidR="0284214E">
          <w:rPr>
            <w:rStyle w:val="Hyperlink"/>
            <w:rFonts w:ascii="Segoe UI" w:hAnsi="Segoe UI" w:eastAsia="Segoe UI" w:cs="Segoe UI"/>
            <w:b w:val="0"/>
            <w:bCs w:val="0"/>
            <w:i w:val="0"/>
            <w:iCs w:val="0"/>
            <w:strike w:val="0"/>
            <w:dstrike w:val="0"/>
            <w:noProof w:val="0"/>
            <w:color w:val="464FEB"/>
            <w:sz w:val="21"/>
            <w:szCs w:val="21"/>
            <w:u w:val="none"/>
            <w:lang w:val="en-GB"/>
          </w:rPr>
          <w:t>[3]</w:t>
        </w:r>
      </w:hyperlink>
      <w:r w:rsidRPr="28C4E6D7" w:rsidR="0284214E">
        <w:rPr>
          <w:rFonts w:ascii="Segoe UI" w:hAnsi="Segoe UI" w:eastAsia="Segoe UI" w:cs="Segoe UI"/>
          <w:b w:val="0"/>
          <w:bCs w:val="0"/>
          <w:i w:val="0"/>
          <w:iCs w:val="0"/>
          <w:noProof w:val="0"/>
          <w:sz w:val="21"/>
          <w:szCs w:val="21"/>
          <w:lang w:val="en-GB"/>
        </w:rPr>
        <w:t xml:space="preserve">: </w:t>
      </w:r>
      <w:r w:rsidRPr="28C4E6D7" w:rsidR="0284214E">
        <w:rPr>
          <w:rFonts w:ascii="Aptos" w:hAnsi="Aptos" w:eastAsia="Aptos" w:cs="Aptos" w:asciiTheme="minorAscii" w:hAnsiTheme="minorAscii" w:eastAsiaTheme="minorAscii" w:cstheme="minorAscii"/>
          <w:b w:val="0"/>
          <w:bCs w:val="0"/>
          <w:i w:val="0"/>
          <w:iCs w:val="0"/>
          <w:noProof w:val="0"/>
          <w:sz w:val="18"/>
          <w:szCs w:val="18"/>
          <w:lang w:val="en-GB"/>
        </w:rPr>
        <w:t xml:space="preserve">Early Years Wales. (2021). </w:t>
      </w:r>
      <w:r w:rsidRPr="28C4E6D7" w:rsidR="0284214E">
        <w:rPr>
          <w:rFonts w:ascii="Aptos" w:hAnsi="Aptos" w:eastAsia="Aptos" w:cs="Aptos" w:asciiTheme="minorAscii" w:hAnsiTheme="minorAscii" w:eastAsiaTheme="minorAscii" w:cstheme="minorAscii"/>
          <w:b w:val="0"/>
          <w:bCs w:val="0"/>
          <w:i w:val="1"/>
          <w:iCs w:val="1"/>
          <w:noProof w:val="0"/>
          <w:sz w:val="18"/>
          <w:szCs w:val="18"/>
          <w:lang w:val="en-GB"/>
        </w:rPr>
        <w:t>Supporting healthy lifestyles in early years</w:t>
      </w:r>
      <w:r w:rsidRPr="28C4E6D7" w:rsidR="0284214E">
        <w:rPr>
          <w:rFonts w:ascii="Aptos" w:hAnsi="Aptos" w:eastAsia="Aptos" w:cs="Aptos" w:asciiTheme="minorAscii" w:hAnsiTheme="minorAscii" w:eastAsiaTheme="minorAscii" w:cstheme="minorAscii"/>
          <w:b w:val="0"/>
          <w:bCs w:val="0"/>
          <w:i w:val="0"/>
          <w:iCs w:val="0"/>
          <w:noProof w:val="0"/>
          <w:sz w:val="18"/>
          <w:szCs w:val="18"/>
          <w:lang w:val="en-GB"/>
        </w:rPr>
        <w:t xml:space="preserve">. Available at: </w:t>
      </w:r>
      <w:hyperlink r:id="Rc816f0ecc2424904">
        <w:r w:rsidRPr="28C4E6D7" w:rsidR="0284214E">
          <w:rPr>
            <w:rStyle w:val="Hyperlink"/>
            <w:rFonts w:ascii="Aptos" w:hAnsi="Aptos" w:eastAsia="Aptos" w:cs="Aptos" w:asciiTheme="minorAscii" w:hAnsiTheme="minorAscii" w:eastAsiaTheme="minorAscii" w:cstheme="minorAscii"/>
            <w:b w:val="0"/>
            <w:bCs w:val="0"/>
            <w:i w:val="0"/>
            <w:iCs w:val="0"/>
            <w:noProof w:val="0"/>
            <w:sz w:val="18"/>
            <w:szCs w:val="18"/>
            <w:lang w:val="en-GB"/>
          </w:rPr>
          <w:t>https://www.earlyyears.wales/en/welsh-language-support</w:t>
        </w:r>
      </w:hyperlink>
      <w:r w:rsidRPr="28C4E6D7" w:rsidR="0284214E">
        <w:rPr>
          <w:rFonts w:ascii="Aptos" w:hAnsi="Aptos" w:eastAsia="Aptos" w:cs="Aptos" w:asciiTheme="minorAscii" w:hAnsiTheme="minorAscii" w:eastAsiaTheme="minorAscii" w:cstheme="minorAscii"/>
          <w:b w:val="0"/>
          <w:bCs w:val="0"/>
          <w:i w:val="0"/>
          <w:iCs w:val="0"/>
          <w:noProof w:val="0"/>
          <w:sz w:val="18"/>
          <w:szCs w:val="18"/>
          <w:lang w:val="en-GB"/>
        </w:rPr>
        <w:t xml:space="preserve"> (Accessed: 26 February 2025).</w:t>
      </w:r>
    </w:p>
    <w:p w:rsidR="0284214E" w:rsidP="28C4E6D7" w:rsidRDefault="0284214E" w14:paraId="4ABE2D5E" w14:textId="0A31D913">
      <w:pPr>
        <w:spacing w:before="210" w:beforeAutospacing="off" w:after="210" w:afterAutospacing="off" w:line="300" w:lineRule="auto"/>
      </w:pPr>
      <w:r w:rsidRPr="28C4E6D7" w:rsidR="0284214E">
        <w:rPr>
          <w:rFonts w:ascii="Segoe UI" w:hAnsi="Segoe UI" w:eastAsia="Segoe UI" w:cs="Segoe UI"/>
          <w:b w:val="0"/>
          <w:bCs w:val="0"/>
          <w:i w:val="0"/>
          <w:iCs w:val="0"/>
          <w:noProof w:val="0"/>
          <w:sz w:val="21"/>
          <w:szCs w:val="21"/>
          <w:lang w:val="en-GB"/>
        </w:rPr>
        <w:t>Is there anything else you would like to add or modify?</w:t>
      </w:r>
    </w:p>
    <w:p w:rsidR="28C4E6D7" w:rsidP="28C4E6D7" w:rsidRDefault="28C4E6D7" w14:paraId="5F6A5377" w14:textId="1F2A9795">
      <w:pPr>
        <w:spacing w:before="0" w:beforeAutospacing="off" w:after="0" w:afterAutospacing="off" w:line="300" w:lineRule="auto"/>
      </w:pPr>
    </w:p>
    <w:p w:rsidR="0284214E" w:rsidP="28C4E6D7" w:rsidRDefault="0284214E" w14:paraId="70E97EB6" w14:textId="715CECCD">
      <w:pPr>
        <w:spacing w:before="0" w:beforeAutospacing="off" w:after="0" w:afterAutospacing="off" w:line="300" w:lineRule="auto"/>
      </w:pPr>
      <w:r w:rsidRPr="28C4E6D7" w:rsidR="0284214E">
        <w:rPr>
          <w:rFonts w:ascii="Segoe UI semibold" w:hAnsi="Segoe UI semibold" w:eastAsia="Segoe UI semibold" w:cs="Segoe UI semibold"/>
          <w:b w:val="1"/>
          <w:bCs w:val="1"/>
          <w:i w:val="0"/>
          <w:iCs w:val="0"/>
          <w:noProof w:val="0"/>
          <w:sz w:val="18"/>
          <w:szCs w:val="18"/>
          <w:lang w:val="en-GB"/>
        </w:rPr>
        <w:t>References</w:t>
      </w:r>
    </w:p>
    <w:p w:rsidR="0284214E" w:rsidP="28C4E6D7" w:rsidRDefault="0284214E" w14:paraId="376EFDE1" w14:textId="5EF35D29">
      <w:pPr>
        <w:spacing w:before="0" w:beforeAutospacing="off" w:after="0" w:afterAutospacing="off" w:line="300" w:lineRule="auto"/>
      </w:pPr>
      <w:r w:rsidRPr="28C4E6D7" w:rsidR="0284214E">
        <w:rPr>
          <w:rFonts w:ascii="Segoe UI" w:hAnsi="Segoe UI" w:eastAsia="Segoe UI" w:cs="Segoe UI"/>
          <w:b w:val="0"/>
          <w:bCs w:val="0"/>
          <w:i w:val="0"/>
          <w:iCs w:val="0"/>
          <w:noProof w:val="0"/>
          <w:sz w:val="21"/>
          <w:szCs w:val="21"/>
          <w:lang w:val="en-GB"/>
        </w:rPr>
        <w:t xml:space="preserve">[1] </w:t>
      </w:r>
      <w:hyperlink r:id="R09ae338f745941eb">
        <w:r w:rsidRPr="28C4E6D7" w:rsidR="0284214E">
          <w:rPr>
            <w:rStyle w:val="Hyperlink"/>
            <w:rFonts w:ascii="Segoe UI" w:hAnsi="Segoe UI" w:eastAsia="Segoe UI" w:cs="Segoe UI"/>
            <w:b w:val="0"/>
            <w:bCs w:val="0"/>
            <w:i w:val="0"/>
            <w:iCs w:val="0"/>
            <w:strike w:val="0"/>
            <w:dstrike w:val="0"/>
            <w:noProof w:val="0"/>
            <w:color w:val="464FEB"/>
            <w:sz w:val="21"/>
            <w:szCs w:val="21"/>
            <w:u w:val="none"/>
            <w:lang w:val="en-GB"/>
          </w:rPr>
          <w:t>Welsh Language Support - Early Years Wales</w:t>
        </w:r>
      </w:hyperlink>
    </w:p>
    <w:p w:rsidR="0284214E" w:rsidP="28C4E6D7" w:rsidRDefault="0284214E" w14:paraId="582608F4" w14:textId="0230BFBB">
      <w:pPr>
        <w:spacing w:before="0" w:beforeAutospacing="off" w:after="0" w:afterAutospacing="off" w:line="300" w:lineRule="auto"/>
      </w:pPr>
      <w:r w:rsidRPr="28C4E6D7" w:rsidR="0284214E">
        <w:rPr>
          <w:rFonts w:ascii="Segoe UI" w:hAnsi="Segoe UI" w:eastAsia="Segoe UI" w:cs="Segoe UI"/>
          <w:b w:val="0"/>
          <w:bCs w:val="0"/>
          <w:i w:val="0"/>
          <w:iCs w:val="0"/>
          <w:noProof w:val="0"/>
          <w:sz w:val="21"/>
          <w:szCs w:val="21"/>
          <w:lang w:val="en-GB"/>
        </w:rPr>
        <w:t xml:space="preserve">[2] </w:t>
      </w:r>
      <w:hyperlink r:id="Rb088a5b34b7c45ed">
        <w:r w:rsidRPr="28C4E6D7" w:rsidR="0284214E">
          <w:rPr>
            <w:rStyle w:val="Hyperlink"/>
            <w:rFonts w:ascii="Segoe UI" w:hAnsi="Segoe UI" w:eastAsia="Segoe UI" w:cs="Segoe UI"/>
            <w:b w:val="0"/>
            <w:bCs w:val="0"/>
            <w:i w:val="0"/>
            <w:iCs w:val="0"/>
            <w:strike w:val="0"/>
            <w:dstrike w:val="0"/>
            <w:noProof w:val="0"/>
            <w:color w:val="464FEB"/>
            <w:sz w:val="21"/>
            <w:szCs w:val="21"/>
            <w:u w:val="none"/>
            <w:lang w:val="en-GB"/>
          </w:rPr>
          <w:t>Early years workforce plan - GOV.WALES</w:t>
        </w:r>
      </w:hyperlink>
    </w:p>
    <w:p w:rsidR="0284214E" w:rsidP="28C4E6D7" w:rsidRDefault="0284214E" w14:paraId="2EBE174A" w14:textId="7A3EE7D6">
      <w:pPr>
        <w:spacing w:before="0" w:beforeAutospacing="off" w:after="0" w:afterAutospacing="off" w:line="300" w:lineRule="auto"/>
      </w:pPr>
      <w:r w:rsidRPr="28C4E6D7" w:rsidR="0284214E">
        <w:rPr>
          <w:rFonts w:ascii="Segoe UI" w:hAnsi="Segoe UI" w:eastAsia="Segoe UI" w:cs="Segoe UI"/>
          <w:b w:val="0"/>
          <w:bCs w:val="0"/>
          <w:i w:val="0"/>
          <w:iCs w:val="0"/>
          <w:noProof w:val="0"/>
          <w:sz w:val="21"/>
          <w:szCs w:val="21"/>
          <w:lang w:val="en-GB"/>
        </w:rPr>
        <w:t xml:space="preserve">[3] </w:t>
      </w:r>
      <w:hyperlink r:id="R8e26df0cc12a4d8e">
        <w:r w:rsidRPr="28C4E6D7" w:rsidR="0284214E">
          <w:rPr>
            <w:rStyle w:val="Hyperlink"/>
            <w:rFonts w:ascii="Segoe UI" w:hAnsi="Segoe UI" w:eastAsia="Segoe UI" w:cs="Segoe UI"/>
            <w:b w:val="0"/>
            <w:bCs w:val="0"/>
            <w:i w:val="0"/>
            <w:iCs w:val="0"/>
            <w:strike w:val="0"/>
            <w:dstrike w:val="0"/>
            <w:noProof w:val="0"/>
            <w:color w:val="464FEB"/>
            <w:sz w:val="21"/>
            <w:szCs w:val="21"/>
            <w:u w:val="none"/>
            <w:lang w:val="en-GB"/>
          </w:rPr>
          <w:t>A Quality Framework for Early Childhood Play, Learning and Care</w:t>
        </w:r>
      </w:hyperlink>
    </w:p>
    <w:p w:rsidR="0284214E" w:rsidP="28C4E6D7" w:rsidRDefault="0284214E" w14:paraId="6222476C" w14:textId="7872865E">
      <w:pPr>
        <w:spacing w:before="0" w:beforeAutospacing="off" w:after="0" w:afterAutospacing="off" w:line="300" w:lineRule="auto"/>
      </w:pPr>
      <w:r w:rsidRPr="28C4E6D7" w:rsidR="0284214E">
        <w:rPr>
          <w:rFonts w:ascii="Segoe UI" w:hAnsi="Segoe UI" w:eastAsia="Segoe UI" w:cs="Segoe UI"/>
          <w:b w:val="0"/>
          <w:bCs w:val="0"/>
          <w:i w:val="0"/>
          <w:iCs w:val="0"/>
          <w:noProof w:val="0"/>
          <w:sz w:val="21"/>
          <w:szCs w:val="21"/>
          <w:lang w:val="en-GB"/>
        </w:rPr>
        <w:t xml:space="preserve">[4] </w:t>
      </w:r>
      <w:hyperlink r:id="R76c5fae763c94372">
        <w:r w:rsidRPr="28C4E6D7" w:rsidR="0284214E">
          <w:rPr>
            <w:rStyle w:val="Hyperlink"/>
            <w:rFonts w:ascii="Segoe UI" w:hAnsi="Segoe UI" w:eastAsia="Segoe UI" w:cs="Segoe UI"/>
            <w:b w:val="0"/>
            <w:bCs w:val="0"/>
            <w:i w:val="0"/>
            <w:iCs w:val="0"/>
            <w:strike w:val="0"/>
            <w:dstrike w:val="0"/>
            <w:noProof w:val="0"/>
            <w:color w:val="464FEB"/>
            <w:sz w:val="21"/>
            <w:szCs w:val="21"/>
            <w:u w:val="none"/>
            <w:lang w:val="en-GB"/>
          </w:rPr>
          <w:t>http://gov.wales/topics/people-and-communities/people/children-and-young</w:t>
        </w:r>
      </w:hyperlink>
    </w:p>
    <w:p w:rsidR="28C4E6D7" w:rsidP="28C4E6D7" w:rsidRDefault="28C4E6D7" w14:paraId="1484398F" w14:textId="7493BE0E">
      <w:pPr>
        <w:pStyle w:val="Normal"/>
        <w:spacing w:before="240" w:beforeAutospacing="off" w:after="240" w:afterAutospacing="off"/>
        <w:rPr>
          <w:rFonts w:ascii="Arial Nova" w:hAnsi="Arial Nova" w:eastAsia="Arial Nova" w:cs="Arial Nova"/>
          <w:noProof w:val="0"/>
          <w:sz w:val="18"/>
          <w:szCs w:val="18"/>
          <w:lang w:val="en-GB"/>
        </w:rPr>
      </w:pPr>
    </w:p>
    <w:sectPr w:rsidR="079C56E6">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51F64" w:rsidRDefault="00C51F64" w14:paraId="40EF7244" w14:textId="77777777">
      <w:pPr>
        <w:spacing w:after="0" w:line="240" w:lineRule="auto"/>
      </w:pPr>
      <w:r>
        <w:separator/>
      </w:r>
    </w:p>
  </w:endnote>
  <w:endnote w:type="continuationSeparator" w:id="0">
    <w:p w:rsidR="00C51F64" w:rsidRDefault="00C51F64" w14:paraId="2FB96393" w14:textId="77777777">
      <w:pPr>
        <w:spacing w:after="0" w:line="240" w:lineRule="auto"/>
      </w:pPr>
      <w:r>
        <w:continuationSeparator/>
      </w:r>
    </w:p>
  </w:endnote>
  <w:endnote w:type="continuationNotice" w:id="1">
    <w:p w:rsidR="00C51F64" w:rsidRDefault="00C51F64" w14:paraId="54FC14A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2A8193B" w:rsidTr="1003F1BD" w14:paraId="51122D24" w14:textId="77777777">
      <w:trPr>
        <w:trHeight w:val="300"/>
      </w:trPr>
      <w:tc>
        <w:tcPr>
          <w:tcW w:w="3120" w:type="dxa"/>
          <w:tcMar/>
        </w:tcPr>
        <w:p w:rsidR="02A8193B" w:rsidP="02A8193B" w:rsidRDefault="02A8193B" w14:paraId="6855F7BE" w14:textId="27D58D3D">
          <w:pPr>
            <w:pStyle w:val="Header"/>
            <w:ind w:left="-115"/>
          </w:pPr>
        </w:p>
      </w:tc>
      <w:tc>
        <w:tcPr>
          <w:tcW w:w="3120" w:type="dxa"/>
          <w:tcMar/>
        </w:tcPr>
        <w:p w:rsidR="02A8193B" w:rsidP="02A8193B" w:rsidRDefault="02A8193B" w14:paraId="66CF96C6" w14:textId="630D1E4C">
          <w:pPr>
            <w:pStyle w:val="Header"/>
            <w:jc w:val="center"/>
          </w:pPr>
        </w:p>
      </w:tc>
      <w:tc>
        <w:tcPr>
          <w:tcW w:w="3120" w:type="dxa"/>
          <w:tcMar/>
        </w:tcPr>
        <w:p w:rsidR="02A8193B" w:rsidP="02A8193B" w:rsidRDefault="02A8193B" w14:paraId="188A49A6" w14:textId="6E9DA4BF">
          <w:pPr>
            <w:pStyle w:val="Header"/>
            <w:ind w:right="-115"/>
            <w:jc w:val="right"/>
          </w:pPr>
        </w:p>
      </w:tc>
    </w:tr>
  </w:tbl>
  <w:p w:rsidR="02A8193B" w:rsidP="02A8193B" w:rsidRDefault="02A8193B" w14:paraId="6BADA79C" w14:textId="75322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51F64" w:rsidRDefault="00C51F64" w14:paraId="757BDC66" w14:textId="77777777">
      <w:pPr>
        <w:spacing w:after="0" w:line="240" w:lineRule="auto"/>
      </w:pPr>
      <w:r>
        <w:separator/>
      </w:r>
    </w:p>
  </w:footnote>
  <w:footnote w:type="continuationSeparator" w:id="0">
    <w:p w:rsidR="00C51F64" w:rsidRDefault="00C51F64" w14:paraId="7977A6F6" w14:textId="77777777">
      <w:pPr>
        <w:spacing w:after="0" w:line="240" w:lineRule="auto"/>
      </w:pPr>
      <w:r>
        <w:continuationSeparator/>
      </w:r>
    </w:p>
  </w:footnote>
  <w:footnote w:type="continuationNotice" w:id="1">
    <w:p w:rsidR="00C51F64" w:rsidRDefault="00C51F64" w14:paraId="7048807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2A8193B" w:rsidTr="1003F1BD" w14:paraId="318D22B4" w14:textId="77777777">
      <w:trPr>
        <w:trHeight w:val="300"/>
      </w:trPr>
      <w:tc>
        <w:tcPr>
          <w:tcW w:w="3120" w:type="dxa"/>
          <w:tcMar/>
        </w:tcPr>
        <w:p w:rsidR="02A8193B" w:rsidP="02A8193B" w:rsidRDefault="02A8193B" w14:paraId="72A92683" w14:textId="59829C35">
          <w:pPr>
            <w:pStyle w:val="Header"/>
            <w:ind w:left="-115"/>
          </w:pPr>
        </w:p>
      </w:tc>
      <w:tc>
        <w:tcPr>
          <w:tcW w:w="3120" w:type="dxa"/>
          <w:tcMar/>
        </w:tcPr>
        <w:p w:rsidR="02A8193B" w:rsidP="02A8193B" w:rsidRDefault="02A8193B" w14:paraId="169D73EB" w14:textId="33498240">
          <w:pPr>
            <w:pStyle w:val="Header"/>
            <w:jc w:val="center"/>
          </w:pPr>
        </w:p>
      </w:tc>
      <w:tc>
        <w:tcPr>
          <w:tcW w:w="3120" w:type="dxa"/>
          <w:tcMar/>
        </w:tcPr>
        <w:p w:rsidR="02A8193B" w:rsidP="02A8193B" w:rsidRDefault="02A8193B" w14:paraId="381B4710" w14:textId="2B160D07">
          <w:pPr>
            <w:pStyle w:val="Header"/>
            <w:ind w:right="-115"/>
            <w:jc w:val="right"/>
          </w:pPr>
          <w:r>
            <w:t>ECEY 5009</w:t>
          </w:r>
        </w:p>
        <w:p w:rsidR="02A8193B" w:rsidP="02A8193B" w:rsidRDefault="02A8193B" w14:paraId="15E7165E" w14:textId="19112425">
          <w:pPr>
            <w:pStyle w:val="Header"/>
            <w:ind w:right="-115"/>
            <w:jc w:val="right"/>
          </w:pPr>
          <w:r>
            <w:t>2306990</w:t>
          </w:r>
        </w:p>
        <w:p w:rsidR="02A8193B" w:rsidP="02A8193B" w:rsidRDefault="02A8193B" w14:paraId="765D4AF6" w14:textId="54A815DA">
          <w:pPr>
            <w:pStyle w:val="Header"/>
            <w:ind w:right="-115"/>
            <w:jc w:val="right"/>
          </w:pPr>
          <w:r>
            <w:t>Word count:</w:t>
          </w:r>
        </w:p>
      </w:tc>
    </w:tr>
  </w:tbl>
  <w:p w:rsidR="02A8193B" w:rsidP="02A8193B" w:rsidRDefault="02A8193B" w14:paraId="1AB7EDF1" w14:textId="24EAF08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V8POtsH" int2:invalidationBookmarkName="" int2:hashCode="8RxMZPmd0Ka2Tj" int2:id="OsZTKYp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CB969"/>
    <w:multiLevelType w:val="hybridMultilevel"/>
    <w:tmpl w:val="0ED2F2E6"/>
    <w:lvl w:ilvl="0" w:tplc="F9D2A43A">
      <w:start w:val="1"/>
      <w:numFmt w:val="decimal"/>
      <w:lvlText w:val="%1."/>
      <w:lvlJc w:val="left"/>
      <w:pPr>
        <w:ind w:left="720" w:hanging="360"/>
      </w:pPr>
    </w:lvl>
    <w:lvl w:ilvl="1" w:tplc="BB206688">
      <w:start w:val="1"/>
      <w:numFmt w:val="lowerLetter"/>
      <w:lvlText w:val="%2."/>
      <w:lvlJc w:val="left"/>
      <w:pPr>
        <w:ind w:left="1440" w:hanging="360"/>
      </w:pPr>
    </w:lvl>
    <w:lvl w:ilvl="2" w:tplc="02BAD7EA">
      <w:start w:val="1"/>
      <w:numFmt w:val="lowerRoman"/>
      <w:lvlText w:val="%3."/>
      <w:lvlJc w:val="right"/>
      <w:pPr>
        <w:ind w:left="2160" w:hanging="180"/>
      </w:pPr>
    </w:lvl>
    <w:lvl w:ilvl="3" w:tplc="A36A9054">
      <w:start w:val="1"/>
      <w:numFmt w:val="decimal"/>
      <w:lvlText w:val="%4."/>
      <w:lvlJc w:val="left"/>
      <w:pPr>
        <w:ind w:left="2880" w:hanging="360"/>
      </w:pPr>
    </w:lvl>
    <w:lvl w:ilvl="4" w:tplc="84C0462A">
      <w:start w:val="1"/>
      <w:numFmt w:val="lowerLetter"/>
      <w:lvlText w:val="%5."/>
      <w:lvlJc w:val="left"/>
      <w:pPr>
        <w:ind w:left="3600" w:hanging="360"/>
      </w:pPr>
    </w:lvl>
    <w:lvl w:ilvl="5" w:tplc="16121C04">
      <w:start w:val="1"/>
      <w:numFmt w:val="lowerRoman"/>
      <w:lvlText w:val="%6."/>
      <w:lvlJc w:val="right"/>
      <w:pPr>
        <w:ind w:left="4320" w:hanging="180"/>
      </w:pPr>
    </w:lvl>
    <w:lvl w:ilvl="6" w:tplc="206881A8">
      <w:start w:val="1"/>
      <w:numFmt w:val="decimal"/>
      <w:lvlText w:val="%7."/>
      <w:lvlJc w:val="left"/>
      <w:pPr>
        <w:ind w:left="5040" w:hanging="360"/>
      </w:pPr>
    </w:lvl>
    <w:lvl w:ilvl="7" w:tplc="77FC951C">
      <w:start w:val="1"/>
      <w:numFmt w:val="lowerLetter"/>
      <w:lvlText w:val="%8."/>
      <w:lvlJc w:val="left"/>
      <w:pPr>
        <w:ind w:left="5760" w:hanging="360"/>
      </w:pPr>
    </w:lvl>
    <w:lvl w:ilvl="8" w:tplc="E396AB50">
      <w:start w:val="1"/>
      <w:numFmt w:val="lowerRoman"/>
      <w:lvlText w:val="%9."/>
      <w:lvlJc w:val="right"/>
      <w:pPr>
        <w:ind w:left="6480" w:hanging="180"/>
      </w:pPr>
    </w:lvl>
  </w:abstractNum>
  <w:abstractNum w:abstractNumId="1" w15:restartNumberingAfterBreak="0">
    <w:nsid w:val="2D17EABA"/>
    <w:multiLevelType w:val="hybridMultilevel"/>
    <w:tmpl w:val="5D307D14"/>
    <w:lvl w:ilvl="0" w:tplc="F56602DE">
      <w:start w:val="1"/>
      <w:numFmt w:val="bullet"/>
      <w:lvlText w:val=""/>
      <w:lvlJc w:val="left"/>
      <w:pPr>
        <w:ind w:left="720" w:hanging="360"/>
      </w:pPr>
      <w:rPr>
        <w:rFonts w:hint="default" w:ascii="Symbol" w:hAnsi="Symbol"/>
      </w:rPr>
    </w:lvl>
    <w:lvl w:ilvl="1" w:tplc="74C64C9A">
      <w:start w:val="1"/>
      <w:numFmt w:val="bullet"/>
      <w:lvlText w:val="o"/>
      <w:lvlJc w:val="left"/>
      <w:pPr>
        <w:ind w:left="1440" w:hanging="360"/>
      </w:pPr>
      <w:rPr>
        <w:rFonts w:hint="default" w:ascii="Courier New" w:hAnsi="Courier New"/>
      </w:rPr>
    </w:lvl>
    <w:lvl w:ilvl="2" w:tplc="324635EC">
      <w:start w:val="1"/>
      <w:numFmt w:val="bullet"/>
      <w:lvlText w:val=""/>
      <w:lvlJc w:val="left"/>
      <w:pPr>
        <w:ind w:left="2160" w:hanging="360"/>
      </w:pPr>
      <w:rPr>
        <w:rFonts w:hint="default" w:ascii="Wingdings" w:hAnsi="Wingdings"/>
      </w:rPr>
    </w:lvl>
    <w:lvl w:ilvl="3" w:tplc="E52EC556">
      <w:start w:val="1"/>
      <w:numFmt w:val="bullet"/>
      <w:lvlText w:val=""/>
      <w:lvlJc w:val="left"/>
      <w:pPr>
        <w:ind w:left="2880" w:hanging="360"/>
      </w:pPr>
      <w:rPr>
        <w:rFonts w:hint="default" w:ascii="Symbol" w:hAnsi="Symbol"/>
      </w:rPr>
    </w:lvl>
    <w:lvl w:ilvl="4" w:tplc="F4E6A46A">
      <w:start w:val="1"/>
      <w:numFmt w:val="bullet"/>
      <w:lvlText w:val="o"/>
      <w:lvlJc w:val="left"/>
      <w:pPr>
        <w:ind w:left="3600" w:hanging="360"/>
      </w:pPr>
      <w:rPr>
        <w:rFonts w:hint="default" w:ascii="Courier New" w:hAnsi="Courier New"/>
      </w:rPr>
    </w:lvl>
    <w:lvl w:ilvl="5" w:tplc="FF4A5C28">
      <w:start w:val="1"/>
      <w:numFmt w:val="bullet"/>
      <w:lvlText w:val=""/>
      <w:lvlJc w:val="left"/>
      <w:pPr>
        <w:ind w:left="4320" w:hanging="360"/>
      </w:pPr>
      <w:rPr>
        <w:rFonts w:hint="default" w:ascii="Wingdings" w:hAnsi="Wingdings"/>
      </w:rPr>
    </w:lvl>
    <w:lvl w:ilvl="6" w:tplc="EB1E81D4">
      <w:start w:val="1"/>
      <w:numFmt w:val="bullet"/>
      <w:lvlText w:val=""/>
      <w:lvlJc w:val="left"/>
      <w:pPr>
        <w:ind w:left="5040" w:hanging="360"/>
      </w:pPr>
      <w:rPr>
        <w:rFonts w:hint="default" w:ascii="Symbol" w:hAnsi="Symbol"/>
      </w:rPr>
    </w:lvl>
    <w:lvl w:ilvl="7" w:tplc="250CBD8A">
      <w:start w:val="1"/>
      <w:numFmt w:val="bullet"/>
      <w:lvlText w:val="o"/>
      <w:lvlJc w:val="left"/>
      <w:pPr>
        <w:ind w:left="5760" w:hanging="360"/>
      </w:pPr>
      <w:rPr>
        <w:rFonts w:hint="default" w:ascii="Courier New" w:hAnsi="Courier New"/>
      </w:rPr>
    </w:lvl>
    <w:lvl w:ilvl="8" w:tplc="DF5A2918">
      <w:start w:val="1"/>
      <w:numFmt w:val="bullet"/>
      <w:lvlText w:val=""/>
      <w:lvlJc w:val="left"/>
      <w:pPr>
        <w:ind w:left="6480" w:hanging="360"/>
      </w:pPr>
      <w:rPr>
        <w:rFonts w:hint="default" w:ascii="Wingdings" w:hAnsi="Wingdings"/>
      </w:rPr>
    </w:lvl>
  </w:abstractNum>
  <w:num w:numId="1" w16cid:durableId="254560280">
    <w:abstractNumId w:val="0"/>
  </w:num>
  <w:num w:numId="2" w16cid:durableId="369185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D79292"/>
    <w:rsid w:val="00002504"/>
    <w:rsid w:val="00004340"/>
    <w:rsid w:val="000054FD"/>
    <w:rsid w:val="0002120F"/>
    <w:rsid w:val="00021DC0"/>
    <w:rsid w:val="00030276"/>
    <w:rsid w:val="0003274B"/>
    <w:rsid w:val="0003427E"/>
    <w:rsid w:val="00037E0D"/>
    <w:rsid w:val="0004382E"/>
    <w:rsid w:val="00045AE9"/>
    <w:rsid w:val="00051D1C"/>
    <w:rsid w:val="00055EFC"/>
    <w:rsid w:val="0007591C"/>
    <w:rsid w:val="00077EA2"/>
    <w:rsid w:val="00094CED"/>
    <w:rsid w:val="00096168"/>
    <w:rsid w:val="000A467E"/>
    <w:rsid w:val="000B183F"/>
    <w:rsid w:val="000B5575"/>
    <w:rsid w:val="000B70F5"/>
    <w:rsid w:val="000D6241"/>
    <w:rsid w:val="000E15E7"/>
    <w:rsid w:val="000E2509"/>
    <w:rsid w:val="00103EB3"/>
    <w:rsid w:val="001076ED"/>
    <w:rsid w:val="00112D31"/>
    <w:rsid w:val="00113372"/>
    <w:rsid w:val="001145C6"/>
    <w:rsid w:val="001156A4"/>
    <w:rsid w:val="00116BA9"/>
    <w:rsid w:val="0012738B"/>
    <w:rsid w:val="00132800"/>
    <w:rsid w:val="00133E96"/>
    <w:rsid w:val="00140BFE"/>
    <w:rsid w:val="0014367A"/>
    <w:rsid w:val="00145F38"/>
    <w:rsid w:val="00164046"/>
    <w:rsid w:val="00172382"/>
    <w:rsid w:val="00173631"/>
    <w:rsid w:val="00182A90"/>
    <w:rsid w:val="00184F1A"/>
    <w:rsid w:val="001870DF"/>
    <w:rsid w:val="0019611A"/>
    <w:rsid w:val="0019747F"/>
    <w:rsid w:val="001A15DF"/>
    <w:rsid w:val="001A459A"/>
    <w:rsid w:val="001A5D6A"/>
    <w:rsid w:val="001C0F50"/>
    <w:rsid w:val="001C49B1"/>
    <w:rsid w:val="001C5CB7"/>
    <w:rsid w:val="001D39A5"/>
    <w:rsid w:val="001E339E"/>
    <w:rsid w:val="001F2818"/>
    <w:rsid w:val="001F5F3C"/>
    <w:rsid w:val="001F7C52"/>
    <w:rsid w:val="00203D22"/>
    <w:rsid w:val="002121B2"/>
    <w:rsid w:val="00217C55"/>
    <w:rsid w:val="002260D4"/>
    <w:rsid w:val="002266E2"/>
    <w:rsid w:val="00231B9D"/>
    <w:rsid w:val="0023351B"/>
    <w:rsid w:val="002342F7"/>
    <w:rsid w:val="00240579"/>
    <w:rsid w:val="00254679"/>
    <w:rsid w:val="002632E8"/>
    <w:rsid w:val="0027274F"/>
    <w:rsid w:val="00274E84"/>
    <w:rsid w:val="00277422"/>
    <w:rsid w:val="002A926C"/>
    <w:rsid w:val="002B06AD"/>
    <w:rsid w:val="002B1006"/>
    <w:rsid w:val="002C0C45"/>
    <w:rsid w:val="002C5D24"/>
    <w:rsid w:val="002C7923"/>
    <w:rsid w:val="002D12C9"/>
    <w:rsid w:val="002D14DF"/>
    <w:rsid w:val="002D1553"/>
    <w:rsid w:val="002E332F"/>
    <w:rsid w:val="002F73C1"/>
    <w:rsid w:val="002F75AB"/>
    <w:rsid w:val="00313C7D"/>
    <w:rsid w:val="0031545D"/>
    <w:rsid w:val="00317F3E"/>
    <w:rsid w:val="00331BA5"/>
    <w:rsid w:val="003342EB"/>
    <w:rsid w:val="00351D3C"/>
    <w:rsid w:val="00352753"/>
    <w:rsid w:val="0037072D"/>
    <w:rsid w:val="00373B45"/>
    <w:rsid w:val="00373FBF"/>
    <w:rsid w:val="00382A98"/>
    <w:rsid w:val="003A57C9"/>
    <w:rsid w:val="003C0555"/>
    <w:rsid w:val="003C24ED"/>
    <w:rsid w:val="003D6BDC"/>
    <w:rsid w:val="003E08FC"/>
    <w:rsid w:val="003E290F"/>
    <w:rsid w:val="003F1367"/>
    <w:rsid w:val="003F54CE"/>
    <w:rsid w:val="00403212"/>
    <w:rsid w:val="0040372D"/>
    <w:rsid w:val="00417AE6"/>
    <w:rsid w:val="00425276"/>
    <w:rsid w:val="00444891"/>
    <w:rsid w:val="00446643"/>
    <w:rsid w:val="004543D3"/>
    <w:rsid w:val="004561A8"/>
    <w:rsid w:val="00456A59"/>
    <w:rsid w:val="00464C38"/>
    <w:rsid w:val="004867C3"/>
    <w:rsid w:val="00486B9E"/>
    <w:rsid w:val="004907BD"/>
    <w:rsid w:val="004977CF"/>
    <w:rsid w:val="004979E0"/>
    <w:rsid w:val="004A47AB"/>
    <w:rsid w:val="004A6F22"/>
    <w:rsid w:val="004B39BA"/>
    <w:rsid w:val="004C359B"/>
    <w:rsid w:val="004C7A01"/>
    <w:rsid w:val="004D1050"/>
    <w:rsid w:val="004D2CE7"/>
    <w:rsid w:val="004F7B3B"/>
    <w:rsid w:val="00502CF8"/>
    <w:rsid w:val="00510EA5"/>
    <w:rsid w:val="0051459B"/>
    <w:rsid w:val="00515DB0"/>
    <w:rsid w:val="00520F13"/>
    <w:rsid w:val="00521877"/>
    <w:rsid w:val="005441A0"/>
    <w:rsid w:val="005521CA"/>
    <w:rsid w:val="005576D7"/>
    <w:rsid w:val="00563B21"/>
    <w:rsid w:val="00570F94"/>
    <w:rsid w:val="005716B2"/>
    <w:rsid w:val="00574DBD"/>
    <w:rsid w:val="005941FC"/>
    <w:rsid w:val="00597A1E"/>
    <w:rsid w:val="005A3C72"/>
    <w:rsid w:val="005A65CD"/>
    <w:rsid w:val="005B3581"/>
    <w:rsid w:val="005B7794"/>
    <w:rsid w:val="005B7B80"/>
    <w:rsid w:val="005D1811"/>
    <w:rsid w:val="005D2EFF"/>
    <w:rsid w:val="005D3939"/>
    <w:rsid w:val="005D3B3B"/>
    <w:rsid w:val="005D4338"/>
    <w:rsid w:val="005E5D80"/>
    <w:rsid w:val="005E6708"/>
    <w:rsid w:val="006060A4"/>
    <w:rsid w:val="006109D7"/>
    <w:rsid w:val="00624EE4"/>
    <w:rsid w:val="006334B4"/>
    <w:rsid w:val="00660607"/>
    <w:rsid w:val="0066353C"/>
    <w:rsid w:val="00671AC0"/>
    <w:rsid w:val="00676B12"/>
    <w:rsid w:val="006821E1"/>
    <w:rsid w:val="00683265"/>
    <w:rsid w:val="00691A4D"/>
    <w:rsid w:val="00693126"/>
    <w:rsid w:val="00697474"/>
    <w:rsid w:val="006A1609"/>
    <w:rsid w:val="006A1D9C"/>
    <w:rsid w:val="006A67BC"/>
    <w:rsid w:val="006B43C2"/>
    <w:rsid w:val="006E185C"/>
    <w:rsid w:val="006E3D92"/>
    <w:rsid w:val="007027DF"/>
    <w:rsid w:val="00703E05"/>
    <w:rsid w:val="007169D5"/>
    <w:rsid w:val="00720900"/>
    <w:rsid w:val="007358D8"/>
    <w:rsid w:val="00745DF9"/>
    <w:rsid w:val="00746A6F"/>
    <w:rsid w:val="00756212"/>
    <w:rsid w:val="00765CD0"/>
    <w:rsid w:val="0077000F"/>
    <w:rsid w:val="00770015"/>
    <w:rsid w:val="00772D71"/>
    <w:rsid w:val="0077374D"/>
    <w:rsid w:val="007754D5"/>
    <w:rsid w:val="00785EBE"/>
    <w:rsid w:val="007867D7"/>
    <w:rsid w:val="007A5C8B"/>
    <w:rsid w:val="007A67D5"/>
    <w:rsid w:val="007B09E4"/>
    <w:rsid w:val="007B1222"/>
    <w:rsid w:val="007B1B84"/>
    <w:rsid w:val="007B2BB1"/>
    <w:rsid w:val="007B2BEC"/>
    <w:rsid w:val="007B2C2D"/>
    <w:rsid w:val="007B557A"/>
    <w:rsid w:val="007C68D2"/>
    <w:rsid w:val="007E69C4"/>
    <w:rsid w:val="007E78BD"/>
    <w:rsid w:val="007F3F84"/>
    <w:rsid w:val="007F6C5B"/>
    <w:rsid w:val="00826046"/>
    <w:rsid w:val="00827A92"/>
    <w:rsid w:val="00872C4D"/>
    <w:rsid w:val="0087721B"/>
    <w:rsid w:val="0089212C"/>
    <w:rsid w:val="00893777"/>
    <w:rsid w:val="008A4B3F"/>
    <w:rsid w:val="008C3157"/>
    <w:rsid w:val="008C3F92"/>
    <w:rsid w:val="008C4389"/>
    <w:rsid w:val="008C622D"/>
    <w:rsid w:val="008D3663"/>
    <w:rsid w:val="008D7416"/>
    <w:rsid w:val="008E31A2"/>
    <w:rsid w:val="008E377D"/>
    <w:rsid w:val="008F3528"/>
    <w:rsid w:val="008F696B"/>
    <w:rsid w:val="008F7597"/>
    <w:rsid w:val="0090327A"/>
    <w:rsid w:val="00912862"/>
    <w:rsid w:val="00913B67"/>
    <w:rsid w:val="00916EEA"/>
    <w:rsid w:val="00930DA2"/>
    <w:rsid w:val="00934DFF"/>
    <w:rsid w:val="00937E22"/>
    <w:rsid w:val="00941A03"/>
    <w:rsid w:val="00945643"/>
    <w:rsid w:val="009550F0"/>
    <w:rsid w:val="00961291"/>
    <w:rsid w:val="00963307"/>
    <w:rsid w:val="00964296"/>
    <w:rsid w:val="0097154C"/>
    <w:rsid w:val="009717F6"/>
    <w:rsid w:val="00975328"/>
    <w:rsid w:val="00977003"/>
    <w:rsid w:val="00990E13"/>
    <w:rsid w:val="00991FDF"/>
    <w:rsid w:val="009A06A6"/>
    <w:rsid w:val="009A3C43"/>
    <w:rsid w:val="009A4EFB"/>
    <w:rsid w:val="009B506F"/>
    <w:rsid w:val="009B7D75"/>
    <w:rsid w:val="009C0765"/>
    <w:rsid w:val="009C7759"/>
    <w:rsid w:val="009D6B98"/>
    <w:rsid w:val="009E0A37"/>
    <w:rsid w:val="009E1D8D"/>
    <w:rsid w:val="00A04814"/>
    <w:rsid w:val="00A12F3B"/>
    <w:rsid w:val="00A251BA"/>
    <w:rsid w:val="00A349F1"/>
    <w:rsid w:val="00A36D57"/>
    <w:rsid w:val="00A7257F"/>
    <w:rsid w:val="00A7323C"/>
    <w:rsid w:val="00A776FA"/>
    <w:rsid w:val="00A80CC0"/>
    <w:rsid w:val="00A84C36"/>
    <w:rsid w:val="00A95356"/>
    <w:rsid w:val="00AA57E1"/>
    <w:rsid w:val="00AB012C"/>
    <w:rsid w:val="00AC67A4"/>
    <w:rsid w:val="00AD2319"/>
    <w:rsid w:val="00AD71A5"/>
    <w:rsid w:val="00AE7D7C"/>
    <w:rsid w:val="00AF0DC4"/>
    <w:rsid w:val="00AF16AF"/>
    <w:rsid w:val="00AF2A89"/>
    <w:rsid w:val="00AF413C"/>
    <w:rsid w:val="00B113EB"/>
    <w:rsid w:val="00B227F2"/>
    <w:rsid w:val="00B25098"/>
    <w:rsid w:val="00B2621A"/>
    <w:rsid w:val="00B34A77"/>
    <w:rsid w:val="00B57B81"/>
    <w:rsid w:val="00B67A35"/>
    <w:rsid w:val="00B80A72"/>
    <w:rsid w:val="00B850CB"/>
    <w:rsid w:val="00B94658"/>
    <w:rsid w:val="00BA2568"/>
    <w:rsid w:val="00BA574E"/>
    <w:rsid w:val="00BA5A5E"/>
    <w:rsid w:val="00BB4A5D"/>
    <w:rsid w:val="00BC688A"/>
    <w:rsid w:val="00BD0C4B"/>
    <w:rsid w:val="00BD1F05"/>
    <w:rsid w:val="00BD4D9B"/>
    <w:rsid w:val="00BD762F"/>
    <w:rsid w:val="00BF2708"/>
    <w:rsid w:val="00BF7B5F"/>
    <w:rsid w:val="00C031F0"/>
    <w:rsid w:val="00C13657"/>
    <w:rsid w:val="00C15E00"/>
    <w:rsid w:val="00C21EAA"/>
    <w:rsid w:val="00C24808"/>
    <w:rsid w:val="00C2692B"/>
    <w:rsid w:val="00C46E9B"/>
    <w:rsid w:val="00C51F64"/>
    <w:rsid w:val="00C60DF3"/>
    <w:rsid w:val="00C63A6B"/>
    <w:rsid w:val="00C643B4"/>
    <w:rsid w:val="00C64AB2"/>
    <w:rsid w:val="00C668CA"/>
    <w:rsid w:val="00C731CD"/>
    <w:rsid w:val="00C76C0A"/>
    <w:rsid w:val="00C87E16"/>
    <w:rsid w:val="00C90837"/>
    <w:rsid w:val="00C91CBE"/>
    <w:rsid w:val="00C92F95"/>
    <w:rsid w:val="00CA43CC"/>
    <w:rsid w:val="00CA4D79"/>
    <w:rsid w:val="00CB7CC0"/>
    <w:rsid w:val="00CC232F"/>
    <w:rsid w:val="00CC310E"/>
    <w:rsid w:val="00CC3E57"/>
    <w:rsid w:val="00CC465A"/>
    <w:rsid w:val="00CD690F"/>
    <w:rsid w:val="00CE79FC"/>
    <w:rsid w:val="00CF48CA"/>
    <w:rsid w:val="00CF4DBA"/>
    <w:rsid w:val="00CF791C"/>
    <w:rsid w:val="00D07916"/>
    <w:rsid w:val="00D118D7"/>
    <w:rsid w:val="00D13F03"/>
    <w:rsid w:val="00D2504B"/>
    <w:rsid w:val="00D25B53"/>
    <w:rsid w:val="00D36132"/>
    <w:rsid w:val="00D44FD3"/>
    <w:rsid w:val="00D4592E"/>
    <w:rsid w:val="00D6627C"/>
    <w:rsid w:val="00D709DB"/>
    <w:rsid w:val="00D767CC"/>
    <w:rsid w:val="00D84D0F"/>
    <w:rsid w:val="00D855EA"/>
    <w:rsid w:val="00D916DF"/>
    <w:rsid w:val="00D927A3"/>
    <w:rsid w:val="00D93FFA"/>
    <w:rsid w:val="00DA4AE1"/>
    <w:rsid w:val="00DA5FCD"/>
    <w:rsid w:val="00DC0202"/>
    <w:rsid w:val="00DC6F74"/>
    <w:rsid w:val="00DE1BDA"/>
    <w:rsid w:val="00DF2122"/>
    <w:rsid w:val="00E11519"/>
    <w:rsid w:val="00E25034"/>
    <w:rsid w:val="00E257C2"/>
    <w:rsid w:val="00E30C53"/>
    <w:rsid w:val="00E3116A"/>
    <w:rsid w:val="00E46FCB"/>
    <w:rsid w:val="00E605B6"/>
    <w:rsid w:val="00E738FD"/>
    <w:rsid w:val="00E73B2D"/>
    <w:rsid w:val="00EB109A"/>
    <w:rsid w:val="00EB36DD"/>
    <w:rsid w:val="00ED17B7"/>
    <w:rsid w:val="00ED7C89"/>
    <w:rsid w:val="00EE1D50"/>
    <w:rsid w:val="00EF30C6"/>
    <w:rsid w:val="00EF3908"/>
    <w:rsid w:val="00F00CB2"/>
    <w:rsid w:val="00F04DE7"/>
    <w:rsid w:val="00F05ED4"/>
    <w:rsid w:val="00F1295D"/>
    <w:rsid w:val="00F14097"/>
    <w:rsid w:val="00F20BF3"/>
    <w:rsid w:val="00F33AD5"/>
    <w:rsid w:val="00F44F35"/>
    <w:rsid w:val="00F455E0"/>
    <w:rsid w:val="00F51BD3"/>
    <w:rsid w:val="00F55702"/>
    <w:rsid w:val="00F57D5B"/>
    <w:rsid w:val="00F725C4"/>
    <w:rsid w:val="00F72F67"/>
    <w:rsid w:val="00F745B0"/>
    <w:rsid w:val="00F766E6"/>
    <w:rsid w:val="00F77DCE"/>
    <w:rsid w:val="00F846EF"/>
    <w:rsid w:val="00F95852"/>
    <w:rsid w:val="00FB0FF1"/>
    <w:rsid w:val="00FB1434"/>
    <w:rsid w:val="00FB172A"/>
    <w:rsid w:val="00FC02D6"/>
    <w:rsid w:val="00FC7858"/>
    <w:rsid w:val="00FD5CB9"/>
    <w:rsid w:val="00FE2546"/>
    <w:rsid w:val="00FE42A9"/>
    <w:rsid w:val="00FE4B32"/>
    <w:rsid w:val="00FE7376"/>
    <w:rsid w:val="00FF0A16"/>
    <w:rsid w:val="00FF223D"/>
    <w:rsid w:val="010921B7"/>
    <w:rsid w:val="0145ACD5"/>
    <w:rsid w:val="015FB572"/>
    <w:rsid w:val="0241564A"/>
    <w:rsid w:val="026B57C2"/>
    <w:rsid w:val="026B5E76"/>
    <w:rsid w:val="0284214E"/>
    <w:rsid w:val="02A76F26"/>
    <w:rsid w:val="02A8193B"/>
    <w:rsid w:val="02BD61BD"/>
    <w:rsid w:val="02FF778B"/>
    <w:rsid w:val="03122DF6"/>
    <w:rsid w:val="038222DB"/>
    <w:rsid w:val="040BBC38"/>
    <w:rsid w:val="0456FCBF"/>
    <w:rsid w:val="04630818"/>
    <w:rsid w:val="049D5A7F"/>
    <w:rsid w:val="04FD626F"/>
    <w:rsid w:val="0503E082"/>
    <w:rsid w:val="058AEA0B"/>
    <w:rsid w:val="05DC28EF"/>
    <w:rsid w:val="05F7C98C"/>
    <w:rsid w:val="0660D9C3"/>
    <w:rsid w:val="06E2816A"/>
    <w:rsid w:val="06F3ACDC"/>
    <w:rsid w:val="06FC3524"/>
    <w:rsid w:val="0738C474"/>
    <w:rsid w:val="075B1A40"/>
    <w:rsid w:val="07686234"/>
    <w:rsid w:val="079C56E6"/>
    <w:rsid w:val="0866EC26"/>
    <w:rsid w:val="0872C1BC"/>
    <w:rsid w:val="090D1293"/>
    <w:rsid w:val="09647F7C"/>
    <w:rsid w:val="098FA717"/>
    <w:rsid w:val="09A7610A"/>
    <w:rsid w:val="09A7F371"/>
    <w:rsid w:val="09B4223B"/>
    <w:rsid w:val="0A288093"/>
    <w:rsid w:val="0B69267D"/>
    <w:rsid w:val="0B884BDF"/>
    <w:rsid w:val="0BFFE616"/>
    <w:rsid w:val="0D12826C"/>
    <w:rsid w:val="0D1A6174"/>
    <w:rsid w:val="0D20967C"/>
    <w:rsid w:val="0D738546"/>
    <w:rsid w:val="0D773DCA"/>
    <w:rsid w:val="0D9D2BBD"/>
    <w:rsid w:val="0DA7D1E9"/>
    <w:rsid w:val="0DC1F124"/>
    <w:rsid w:val="0DD46DA9"/>
    <w:rsid w:val="0DF71421"/>
    <w:rsid w:val="0E0FC58E"/>
    <w:rsid w:val="0E71CBF4"/>
    <w:rsid w:val="0EFEBE47"/>
    <w:rsid w:val="0F7A70A6"/>
    <w:rsid w:val="0FD0AD86"/>
    <w:rsid w:val="0FE3026D"/>
    <w:rsid w:val="0FE99C11"/>
    <w:rsid w:val="0FF099BF"/>
    <w:rsid w:val="1003F1BD"/>
    <w:rsid w:val="1044438E"/>
    <w:rsid w:val="107005BD"/>
    <w:rsid w:val="10EE4FEC"/>
    <w:rsid w:val="110F9084"/>
    <w:rsid w:val="1122026B"/>
    <w:rsid w:val="114E038C"/>
    <w:rsid w:val="121297BB"/>
    <w:rsid w:val="125BBF4F"/>
    <w:rsid w:val="12B40069"/>
    <w:rsid w:val="131F1718"/>
    <w:rsid w:val="137AEA1D"/>
    <w:rsid w:val="1391EE8B"/>
    <w:rsid w:val="13DD2605"/>
    <w:rsid w:val="149F20A3"/>
    <w:rsid w:val="15014AB3"/>
    <w:rsid w:val="1504E4A6"/>
    <w:rsid w:val="150A3453"/>
    <w:rsid w:val="15169820"/>
    <w:rsid w:val="154063BD"/>
    <w:rsid w:val="1553A524"/>
    <w:rsid w:val="1577657C"/>
    <w:rsid w:val="1578B902"/>
    <w:rsid w:val="158C63C8"/>
    <w:rsid w:val="15F2701B"/>
    <w:rsid w:val="16155289"/>
    <w:rsid w:val="164A0772"/>
    <w:rsid w:val="165B4000"/>
    <w:rsid w:val="16882E70"/>
    <w:rsid w:val="16D006D5"/>
    <w:rsid w:val="16EF1EE1"/>
    <w:rsid w:val="1701E025"/>
    <w:rsid w:val="176369B6"/>
    <w:rsid w:val="178D09A4"/>
    <w:rsid w:val="17D98E18"/>
    <w:rsid w:val="180D3767"/>
    <w:rsid w:val="18202AA5"/>
    <w:rsid w:val="184B9CB9"/>
    <w:rsid w:val="185A24FD"/>
    <w:rsid w:val="186845E1"/>
    <w:rsid w:val="18806F82"/>
    <w:rsid w:val="1930B484"/>
    <w:rsid w:val="199D65E0"/>
    <w:rsid w:val="19CDFA42"/>
    <w:rsid w:val="19E400D1"/>
    <w:rsid w:val="1A3876D5"/>
    <w:rsid w:val="1A4CEDF5"/>
    <w:rsid w:val="1A9AC1E7"/>
    <w:rsid w:val="1A9CE067"/>
    <w:rsid w:val="1ADFD148"/>
    <w:rsid w:val="1AE673DF"/>
    <w:rsid w:val="1B0F4C1D"/>
    <w:rsid w:val="1B2145F4"/>
    <w:rsid w:val="1B3D4B30"/>
    <w:rsid w:val="1B3DB850"/>
    <w:rsid w:val="1B7DC338"/>
    <w:rsid w:val="1BB68592"/>
    <w:rsid w:val="1C236D80"/>
    <w:rsid w:val="1C4245D8"/>
    <w:rsid w:val="1CDE1A92"/>
    <w:rsid w:val="1D2171CF"/>
    <w:rsid w:val="1E07BE67"/>
    <w:rsid w:val="1ECA65DC"/>
    <w:rsid w:val="1ED498D3"/>
    <w:rsid w:val="1EE4AC20"/>
    <w:rsid w:val="1FAB50B0"/>
    <w:rsid w:val="1FB2318D"/>
    <w:rsid w:val="1FCF7530"/>
    <w:rsid w:val="200F893B"/>
    <w:rsid w:val="2074A0D6"/>
    <w:rsid w:val="20B2CCE9"/>
    <w:rsid w:val="2106361F"/>
    <w:rsid w:val="212295E2"/>
    <w:rsid w:val="21591F15"/>
    <w:rsid w:val="215AF613"/>
    <w:rsid w:val="216A05AD"/>
    <w:rsid w:val="21A64848"/>
    <w:rsid w:val="21E2EE59"/>
    <w:rsid w:val="21E4EBAC"/>
    <w:rsid w:val="221ED6B7"/>
    <w:rsid w:val="22236734"/>
    <w:rsid w:val="222DD1B3"/>
    <w:rsid w:val="2277864B"/>
    <w:rsid w:val="231403CF"/>
    <w:rsid w:val="23542EC5"/>
    <w:rsid w:val="237033EA"/>
    <w:rsid w:val="2408A004"/>
    <w:rsid w:val="24AAC3F7"/>
    <w:rsid w:val="24AEFE12"/>
    <w:rsid w:val="250D65D9"/>
    <w:rsid w:val="252F48E0"/>
    <w:rsid w:val="255877B5"/>
    <w:rsid w:val="256CB817"/>
    <w:rsid w:val="259E6716"/>
    <w:rsid w:val="25A10FE4"/>
    <w:rsid w:val="25FDC7F7"/>
    <w:rsid w:val="26207D44"/>
    <w:rsid w:val="26706F7D"/>
    <w:rsid w:val="2685E520"/>
    <w:rsid w:val="26F76037"/>
    <w:rsid w:val="27284870"/>
    <w:rsid w:val="27B762FD"/>
    <w:rsid w:val="28023FA5"/>
    <w:rsid w:val="2838F23B"/>
    <w:rsid w:val="28C4E6D7"/>
    <w:rsid w:val="28E99301"/>
    <w:rsid w:val="28F2E86C"/>
    <w:rsid w:val="28FFD9E4"/>
    <w:rsid w:val="290A3D5B"/>
    <w:rsid w:val="290CBAB2"/>
    <w:rsid w:val="29268B83"/>
    <w:rsid w:val="2B0BDAB7"/>
    <w:rsid w:val="2B4C09E8"/>
    <w:rsid w:val="2B9FF9D9"/>
    <w:rsid w:val="2C455DEE"/>
    <w:rsid w:val="2C6342FC"/>
    <w:rsid w:val="2C85EB1C"/>
    <w:rsid w:val="2CED8E71"/>
    <w:rsid w:val="2D101D82"/>
    <w:rsid w:val="2DDBC3EF"/>
    <w:rsid w:val="2E277DB9"/>
    <w:rsid w:val="2E73595F"/>
    <w:rsid w:val="2E96E84F"/>
    <w:rsid w:val="2EF6A4B9"/>
    <w:rsid w:val="2F101711"/>
    <w:rsid w:val="2F66EC8C"/>
    <w:rsid w:val="2F768341"/>
    <w:rsid w:val="2F826DD8"/>
    <w:rsid w:val="2F861291"/>
    <w:rsid w:val="2FA56F59"/>
    <w:rsid w:val="3078DA07"/>
    <w:rsid w:val="307CA18B"/>
    <w:rsid w:val="30AA6E40"/>
    <w:rsid w:val="318CCCB9"/>
    <w:rsid w:val="31CADFCB"/>
    <w:rsid w:val="3213658B"/>
    <w:rsid w:val="32490F88"/>
    <w:rsid w:val="329E4E92"/>
    <w:rsid w:val="32E372B5"/>
    <w:rsid w:val="32E735D3"/>
    <w:rsid w:val="32ECC790"/>
    <w:rsid w:val="335F7481"/>
    <w:rsid w:val="33E2A1B9"/>
    <w:rsid w:val="33F2573F"/>
    <w:rsid w:val="3442AFD9"/>
    <w:rsid w:val="345658B6"/>
    <w:rsid w:val="34A59C50"/>
    <w:rsid w:val="34D64AF6"/>
    <w:rsid w:val="35198DB5"/>
    <w:rsid w:val="3525F079"/>
    <w:rsid w:val="356ACF8F"/>
    <w:rsid w:val="35B0391D"/>
    <w:rsid w:val="35C29BEE"/>
    <w:rsid w:val="3617E7AE"/>
    <w:rsid w:val="36636493"/>
    <w:rsid w:val="36934B00"/>
    <w:rsid w:val="36D704FD"/>
    <w:rsid w:val="36DD45A3"/>
    <w:rsid w:val="3735B11D"/>
    <w:rsid w:val="373B08ED"/>
    <w:rsid w:val="373CBE5E"/>
    <w:rsid w:val="378DA199"/>
    <w:rsid w:val="37C2C9D0"/>
    <w:rsid w:val="38132494"/>
    <w:rsid w:val="381A4F01"/>
    <w:rsid w:val="38321F26"/>
    <w:rsid w:val="385D1760"/>
    <w:rsid w:val="38978B24"/>
    <w:rsid w:val="38B7EC78"/>
    <w:rsid w:val="3944E508"/>
    <w:rsid w:val="395485AE"/>
    <w:rsid w:val="397D810F"/>
    <w:rsid w:val="3986DE58"/>
    <w:rsid w:val="39B82CCF"/>
    <w:rsid w:val="3A254147"/>
    <w:rsid w:val="3A96FD2E"/>
    <w:rsid w:val="3ABDDEDD"/>
    <w:rsid w:val="3AEC4383"/>
    <w:rsid w:val="3B14F898"/>
    <w:rsid w:val="3B185B74"/>
    <w:rsid w:val="3B296378"/>
    <w:rsid w:val="3B2BA76E"/>
    <w:rsid w:val="3B3CBFF5"/>
    <w:rsid w:val="3B4E7A49"/>
    <w:rsid w:val="3C176C1B"/>
    <w:rsid w:val="3C1A6F79"/>
    <w:rsid w:val="3C30A3F0"/>
    <w:rsid w:val="3C396B38"/>
    <w:rsid w:val="3C6EEEC4"/>
    <w:rsid w:val="3CD8E459"/>
    <w:rsid w:val="3DA01D53"/>
    <w:rsid w:val="3DBC32D5"/>
    <w:rsid w:val="3E3F9C0B"/>
    <w:rsid w:val="3E40C262"/>
    <w:rsid w:val="3E4930E0"/>
    <w:rsid w:val="3E6CBED7"/>
    <w:rsid w:val="3E6D4D36"/>
    <w:rsid w:val="3EA8EFB9"/>
    <w:rsid w:val="3EBA6151"/>
    <w:rsid w:val="3EE05ADD"/>
    <w:rsid w:val="3F46A8A5"/>
    <w:rsid w:val="3F6F0CAD"/>
    <w:rsid w:val="3F734A28"/>
    <w:rsid w:val="3FA690C1"/>
    <w:rsid w:val="40259FFB"/>
    <w:rsid w:val="4078DE32"/>
    <w:rsid w:val="408B501D"/>
    <w:rsid w:val="40F2EF0A"/>
    <w:rsid w:val="4115F15C"/>
    <w:rsid w:val="413C5297"/>
    <w:rsid w:val="41530382"/>
    <w:rsid w:val="415F366F"/>
    <w:rsid w:val="41730FDD"/>
    <w:rsid w:val="417CAAB4"/>
    <w:rsid w:val="41819000"/>
    <w:rsid w:val="41A3F5FA"/>
    <w:rsid w:val="41EDDBB6"/>
    <w:rsid w:val="41EF5663"/>
    <w:rsid w:val="42A710C1"/>
    <w:rsid w:val="42AA09A8"/>
    <w:rsid w:val="433FC289"/>
    <w:rsid w:val="435DA0DE"/>
    <w:rsid w:val="43834002"/>
    <w:rsid w:val="449962B9"/>
    <w:rsid w:val="44CD3524"/>
    <w:rsid w:val="44E53C43"/>
    <w:rsid w:val="452B24DE"/>
    <w:rsid w:val="459468F7"/>
    <w:rsid w:val="45A9D0C2"/>
    <w:rsid w:val="45D74418"/>
    <w:rsid w:val="46058390"/>
    <w:rsid w:val="46663B20"/>
    <w:rsid w:val="467ACDAB"/>
    <w:rsid w:val="46AC8E1C"/>
    <w:rsid w:val="46F18133"/>
    <w:rsid w:val="46FDE3FC"/>
    <w:rsid w:val="4759F068"/>
    <w:rsid w:val="47AFB095"/>
    <w:rsid w:val="481EAD1B"/>
    <w:rsid w:val="48249830"/>
    <w:rsid w:val="484A67DE"/>
    <w:rsid w:val="4876927D"/>
    <w:rsid w:val="48B0F3D1"/>
    <w:rsid w:val="48D8C394"/>
    <w:rsid w:val="48E27282"/>
    <w:rsid w:val="491F81D7"/>
    <w:rsid w:val="49A0FC15"/>
    <w:rsid w:val="49DD9F5E"/>
    <w:rsid w:val="4A2FEBE9"/>
    <w:rsid w:val="4A865A5C"/>
    <w:rsid w:val="4AA4840B"/>
    <w:rsid w:val="4AF87266"/>
    <w:rsid w:val="4B81404D"/>
    <w:rsid w:val="4BE689B9"/>
    <w:rsid w:val="4C0B1F0A"/>
    <w:rsid w:val="4D45E7D1"/>
    <w:rsid w:val="4D583BD8"/>
    <w:rsid w:val="4D964728"/>
    <w:rsid w:val="4E1ECC6B"/>
    <w:rsid w:val="4E57C070"/>
    <w:rsid w:val="4F11E786"/>
    <w:rsid w:val="4F1D684C"/>
    <w:rsid w:val="4FA9F912"/>
    <w:rsid w:val="4FD20DA7"/>
    <w:rsid w:val="508CB3FA"/>
    <w:rsid w:val="50AD407C"/>
    <w:rsid w:val="50D8F3C5"/>
    <w:rsid w:val="50EB804B"/>
    <w:rsid w:val="51296316"/>
    <w:rsid w:val="51610E15"/>
    <w:rsid w:val="518B682F"/>
    <w:rsid w:val="519A9A39"/>
    <w:rsid w:val="522EEF2B"/>
    <w:rsid w:val="5357EFEF"/>
    <w:rsid w:val="535EE2FD"/>
    <w:rsid w:val="53A0355B"/>
    <w:rsid w:val="5403C14C"/>
    <w:rsid w:val="5419D255"/>
    <w:rsid w:val="543CC059"/>
    <w:rsid w:val="548567E6"/>
    <w:rsid w:val="54BC6744"/>
    <w:rsid w:val="54FB17AA"/>
    <w:rsid w:val="5561F6A8"/>
    <w:rsid w:val="561FFB0C"/>
    <w:rsid w:val="5698A7A1"/>
    <w:rsid w:val="569E764E"/>
    <w:rsid w:val="56A1EC22"/>
    <w:rsid w:val="56A7AA30"/>
    <w:rsid w:val="56C3778B"/>
    <w:rsid w:val="56C6D3CB"/>
    <w:rsid w:val="56D1A34C"/>
    <w:rsid w:val="56F4ABB8"/>
    <w:rsid w:val="5749096C"/>
    <w:rsid w:val="5752738A"/>
    <w:rsid w:val="57A2ED80"/>
    <w:rsid w:val="58F52657"/>
    <w:rsid w:val="591C8080"/>
    <w:rsid w:val="5927DF1D"/>
    <w:rsid w:val="59353FB6"/>
    <w:rsid w:val="596DBAAF"/>
    <w:rsid w:val="5A121302"/>
    <w:rsid w:val="5A40C54C"/>
    <w:rsid w:val="5A5723B4"/>
    <w:rsid w:val="5A64CF3D"/>
    <w:rsid w:val="5A7AF0B4"/>
    <w:rsid w:val="5B14127A"/>
    <w:rsid w:val="5B1ACEE1"/>
    <w:rsid w:val="5BCAF67A"/>
    <w:rsid w:val="5C4A94BA"/>
    <w:rsid w:val="5C5BFB39"/>
    <w:rsid w:val="5C625F1A"/>
    <w:rsid w:val="5C89E0D5"/>
    <w:rsid w:val="5CCFFBEF"/>
    <w:rsid w:val="5CD82ABA"/>
    <w:rsid w:val="5CDC9849"/>
    <w:rsid w:val="5D2F471F"/>
    <w:rsid w:val="5D58B662"/>
    <w:rsid w:val="5D5E6932"/>
    <w:rsid w:val="5DFF1B34"/>
    <w:rsid w:val="5E03AAED"/>
    <w:rsid w:val="5E97867F"/>
    <w:rsid w:val="5EAB7F25"/>
    <w:rsid w:val="5EC3BCF3"/>
    <w:rsid w:val="5F349237"/>
    <w:rsid w:val="5FB2BB98"/>
    <w:rsid w:val="6027B06F"/>
    <w:rsid w:val="6055F359"/>
    <w:rsid w:val="606C622E"/>
    <w:rsid w:val="60865426"/>
    <w:rsid w:val="60DFD3B1"/>
    <w:rsid w:val="612007B2"/>
    <w:rsid w:val="6140BA49"/>
    <w:rsid w:val="614794D6"/>
    <w:rsid w:val="614EA854"/>
    <w:rsid w:val="619307F3"/>
    <w:rsid w:val="61AE69AC"/>
    <w:rsid w:val="61BC0367"/>
    <w:rsid w:val="62288B5B"/>
    <w:rsid w:val="6283ACD8"/>
    <w:rsid w:val="62F3E7DA"/>
    <w:rsid w:val="632D912D"/>
    <w:rsid w:val="636C82AA"/>
    <w:rsid w:val="63CCC499"/>
    <w:rsid w:val="6488AFBA"/>
    <w:rsid w:val="64984B18"/>
    <w:rsid w:val="64B62D15"/>
    <w:rsid w:val="6533E126"/>
    <w:rsid w:val="65759CA0"/>
    <w:rsid w:val="65A14695"/>
    <w:rsid w:val="65C8EE24"/>
    <w:rsid w:val="65E7BE3D"/>
    <w:rsid w:val="65F19A5D"/>
    <w:rsid w:val="6601826A"/>
    <w:rsid w:val="66096E3B"/>
    <w:rsid w:val="660B1BAA"/>
    <w:rsid w:val="66711AF3"/>
    <w:rsid w:val="66E04074"/>
    <w:rsid w:val="66EAD0BC"/>
    <w:rsid w:val="67247354"/>
    <w:rsid w:val="6758DCB5"/>
    <w:rsid w:val="67B35E80"/>
    <w:rsid w:val="67C349DE"/>
    <w:rsid w:val="67F7A7C0"/>
    <w:rsid w:val="6816D6CB"/>
    <w:rsid w:val="68566FE4"/>
    <w:rsid w:val="6882AA6A"/>
    <w:rsid w:val="68AF5AB5"/>
    <w:rsid w:val="68B0631A"/>
    <w:rsid w:val="68B891A8"/>
    <w:rsid w:val="68C65881"/>
    <w:rsid w:val="68F5C4D8"/>
    <w:rsid w:val="692A967C"/>
    <w:rsid w:val="69E247A5"/>
    <w:rsid w:val="6AA41760"/>
    <w:rsid w:val="6AFC770F"/>
    <w:rsid w:val="6B556866"/>
    <w:rsid w:val="6C4223A0"/>
    <w:rsid w:val="6D488070"/>
    <w:rsid w:val="6D525538"/>
    <w:rsid w:val="6D655386"/>
    <w:rsid w:val="6E255FB7"/>
    <w:rsid w:val="6E431139"/>
    <w:rsid w:val="6E53C66F"/>
    <w:rsid w:val="6E96C7FA"/>
    <w:rsid w:val="6EE04E75"/>
    <w:rsid w:val="6EF02663"/>
    <w:rsid w:val="6F5364E9"/>
    <w:rsid w:val="6F6449AB"/>
    <w:rsid w:val="6F6FA60E"/>
    <w:rsid w:val="6F873A22"/>
    <w:rsid w:val="6FCA4711"/>
    <w:rsid w:val="6FEE9460"/>
    <w:rsid w:val="6FEFD5B4"/>
    <w:rsid w:val="6FF9C4C8"/>
    <w:rsid w:val="70019959"/>
    <w:rsid w:val="703D227C"/>
    <w:rsid w:val="7085D85B"/>
    <w:rsid w:val="70B99E9B"/>
    <w:rsid w:val="70D928B3"/>
    <w:rsid w:val="70F6D6D8"/>
    <w:rsid w:val="714B83B3"/>
    <w:rsid w:val="71916629"/>
    <w:rsid w:val="7225A451"/>
    <w:rsid w:val="728A41D9"/>
    <w:rsid w:val="729C75DD"/>
    <w:rsid w:val="72B71718"/>
    <w:rsid w:val="72ED0867"/>
    <w:rsid w:val="72F8F150"/>
    <w:rsid w:val="7335639C"/>
    <w:rsid w:val="7376CF8D"/>
    <w:rsid w:val="73802E12"/>
    <w:rsid w:val="73D79292"/>
    <w:rsid w:val="73F60D92"/>
    <w:rsid w:val="7406AECB"/>
    <w:rsid w:val="7421C472"/>
    <w:rsid w:val="742690DF"/>
    <w:rsid w:val="743F7B4C"/>
    <w:rsid w:val="744D1D41"/>
    <w:rsid w:val="744EC4BA"/>
    <w:rsid w:val="7464A927"/>
    <w:rsid w:val="747A2B06"/>
    <w:rsid w:val="7488B214"/>
    <w:rsid w:val="7492FF63"/>
    <w:rsid w:val="7509E552"/>
    <w:rsid w:val="751C44A1"/>
    <w:rsid w:val="754FB68C"/>
    <w:rsid w:val="75700F82"/>
    <w:rsid w:val="7641AD32"/>
    <w:rsid w:val="766F4F15"/>
    <w:rsid w:val="76AF8595"/>
    <w:rsid w:val="76DB6B68"/>
    <w:rsid w:val="77204E8D"/>
    <w:rsid w:val="77792C14"/>
    <w:rsid w:val="77C6AFFB"/>
    <w:rsid w:val="77D44EDE"/>
    <w:rsid w:val="77FD5A36"/>
    <w:rsid w:val="784DCB98"/>
    <w:rsid w:val="78948D18"/>
    <w:rsid w:val="7896D386"/>
    <w:rsid w:val="79B6A538"/>
    <w:rsid w:val="79BFEC7C"/>
    <w:rsid w:val="79D5D88B"/>
    <w:rsid w:val="7AE27658"/>
    <w:rsid w:val="7AEC438A"/>
    <w:rsid w:val="7B6F33AB"/>
    <w:rsid w:val="7B8879B0"/>
    <w:rsid w:val="7BA663E4"/>
    <w:rsid w:val="7BA7DDE4"/>
    <w:rsid w:val="7BAFF8A0"/>
    <w:rsid w:val="7BB8884A"/>
    <w:rsid w:val="7BCA7A21"/>
    <w:rsid w:val="7C00353D"/>
    <w:rsid w:val="7C044AE7"/>
    <w:rsid w:val="7C2F8F0C"/>
    <w:rsid w:val="7C836548"/>
    <w:rsid w:val="7CADD284"/>
    <w:rsid w:val="7CDC0BEC"/>
    <w:rsid w:val="7D9214D4"/>
    <w:rsid w:val="7D968BDF"/>
    <w:rsid w:val="7DAE6081"/>
    <w:rsid w:val="7DB0F002"/>
    <w:rsid w:val="7DCC7CA8"/>
    <w:rsid w:val="7E00651D"/>
    <w:rsid w:val="7E4A6427"/>
    <w:rsid w:val="7E7DD648"/>
    <w:rsid w:val="7EC8386E"/>
    <w:rsid w:val="7F0C9E9C"/>
    <w:rsid w:val="7F531979"/>
    <w:rsid w:val="7FC0D60C"/>
    <w:rsid w:val="7FCF41C7"/>
    <w:rsid w:val="7FF46B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79292"/>
  <w15:chartTrackingRefBased/>
  <w15:docId w15:val="{09384E5F-0347-432F-B5B5-AE2FD40C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1003F1BD"/>
    <w:rPr>
      <w:noProof w:val="0"/>
      <w:lang w:val="en-GB"/>
    </w:rPr>
  </w:style>
  <w:style w:type="paragraph" w:styleId="Heading1">
    <w:uiPriority w:val="9"/>
    <w:name w:val="heading 1"/>
    <w:basedOn w:val="Normal"/>
    <w:next w:val="Normal"/>
    <w:link w:val="Heading1Char"/>
    <w:qFormat/>
    <w:rsid w:val="1003F1BD"/>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1003F1BD"/>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1003F1BD"/>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1003F1BD"/>
    <w:rPr>
      <w:rFonts w:eastAsia="ＭＳ ゴシック"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1003F1BD"/>
    <w:rPr>
      <w:rFonts w:eastAsia="ＭＳ ゴシック"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1003F1BD"/>
    <w:rPr>
      <w:rFonts w:eastAsia="ＭＳ ゴシック"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1003F1BD"/>
    <w:rPr>
      <w:rFonts w:eastAsia="ＭＳ ゴシック"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1003F1BD"/>
    <w:rPr>
      <w:rFonts w:eastAsia="ＭＳ ゴシック"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1003F1BD"/>
    <w:rPr>
      <w:rFonts w:eastAsia="ＭＳ ゴシック"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003F1BD"/>
    <w:rPr>
      <w:rFonts w:ascii="Aptos Display" w:hAnsi="Aptos Display" w:eastAsia="ＭＳ ゴシック" w:cs="Times New Roman"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003F1BD"/>
    <w:rPr>
      <w:rFonts w:eastAsia="ＭＳ ゴシック" w:cs="Times New Roman"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003F1B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003F1B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003F1BD"/>
    <w:pPr>
      <w:spacing/>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uiPriority w:val="99"/>
    <w:name w:val="header"/>
    <w:basedOn w:val="Normal"/>
    <w:unhideWhenUsed/>
    <w:link w:val="HeaderChar"/>
    <w:rsid w:val="1003F1BD"/>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style>
  <w:style w:type="paragraph" w:styleId="Footer">
    <w:uiPriority w:val="99"/>
    <w:name w:val="footer"/>
    <w:basedOn w:val="Normal"/>
    <w:unhideWhenUsed/>
    <w:link w:val="FooterChar"/>
    <w:rsid w:val="1003F1BD"/>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8C4E6D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www.earlyyears.wales/en/welsh-language-support" TargetMode="External" Id="R243c80a974854743" /><Relationship Type="http://schemas.openxmlformats.org/officeDocument/2006/relationships/hyperlink" Target="https://www.gov.wales/sites/default/files/publications/2019-07/early-years-workforce-plan.pdf" TargetMode="External" Id="Rc79e02e9c233488d" /><Relationship Type="http://schemas.openxmlformats.org/officeDocument/2006/relationships/hyperlink" Target="https://www.gov.wales/sites/default/files/publications/2019-07/early-years-workforce-plan.pdf" TargetMode="External" Id="Rfe8acb6e15c341ee" /><Relationship Type="http://schemas.openxmlformats.org/officeDocument/2006/relationships/hyperlink" Target="https://phw.nhs.wales/services-and-teams/early-years/" TargetMode="External" Id="R2a0cc55a87844c4c" /><Relationship Type="http://schemas.openxmlformats.org/officeDocument/2006/relationships/hyperlink" Target="https://www.exchangewales.org/a-quality-framework-for-early-childhood-play-learning-and-care-in-wales/" TargetMode="External" Id="Rf756c5ded3ae4be8" /><Relationship Type="http://schemas.openxmlformats.org/officeDocument/2006/relationships/hyperlink" Target="https://www.earlyyears.wales/en/welsh-language-support" TargetMode="External" Id="Rc816f0ecc2424904" /><Relationship Type="http://schemas.openxmlformats.org/officeDocument/2006/relationships/hyperlink" Target="https://www.earlyyears.wales/en/welsh-language-support" TargetMode="External" Id="R09ae338f745941eb" /><Relationship Type="http://schemas.openxmlformats.org/officeDocument/2006/relationships/hyperlink" Target="https://www.gov.wales/sites/default/files/publications/2019-07/early-years-workforce-plan.pdf" TargetMode="External" Id="Rb088a5b34b7c45ed" /><Relationship Type="http://schemas.openxmlformats.org/officeDocument/2006/relationships/hyperlink" Target="https://www.exchangewales.org/a-quality-framework-for-early-childhood-play-learning-and-care-in-wales/" TargetMode="External" Id="R8e26df0cc12a4d8e" /><Relationship Type="http://schemas.openxmlformats.org/officeDocument/2006/relationships/hyperlink" Target="http://gov.wales/topics/people-and-communities/people/children-and-young" TargetMode="External" Id="R76c5fae763c943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MacDonald (2306990)</dc:creator>
  <keywords/>
  <dc:description/>
  <lastModifiedBy>Julie MacDonald (2306990)</lastModifiedBy>
  <revision>195</revision>
  <dcterms:created xsi:type="dcterms:W3CDTF">2024-06-08T22:55:00.0000000Z</dcterms:created>
  <dcterms:modified xsi:type="dcterms:W3CDTF">2025-02-26T16:29:13.5434425Z</dcterms:modified>
</coreProperties>
</file>