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A373A" w:rsidRPr="005F20EC" w:rsidRDefault="005A373A">
      <w:pPr>
        <w:spacing w:line="360" w:lineRule="auto"/>
        <w:jc w:val="center"/>
        <w:rPr>
          <w:rFonts w:ascii="Times New Roman" w:eastAsia="Times New Roman" w:hAnsi="Times New Roman" w:cs="Times New Roman"/>
          <w:b/>
          <w:sz w:val="32"/>
          <w:szCs w:val="32"/>
          <w:lang w:val="en-IN"/>
        </w:rPr>
      </w:pPr>
    </w:p>
    <w:p w14:paraId="00000002" w14:textId="77777777" w:rsidR="005A373A" w:rsidRDefault="005A373A">
      <w:pPr>
        <w:spacing w:line="360" w:lineRule="auto"/>
        <w:jc w:val="center"/>
        <w:rPr>
          <w:rFonts w:ascii="Times New Roman" w:eastAsia="Times New Roman" w:hAnsi="Times New Roman" w:cs="Times New Roman"/>
          <w:b/>
          <w:sz w:val="32"/>
          <w:szCs w:val="32"/>
        </w:rPr>
      </w:pPr>
    </w:p>
    <w:p w14:paraId="00000003" w14:textId="77777777" w:rsidR="005A373A" w:rsidRDefault="005A373A">
      <w:pPr>
        <w:spacing w:line="360" w:lineRule="auto"/>
        <w:jc w:val="center"/>
        <w:rPr>
          <w:rFonts w:ascii="Times New Roman" w:eastAsia="Times New Roman" w:hAnsi="Times New Roman" w:cs="Times New Roman"/>
          <w:b/>
          <w:sz w:val="32"/>
          <w:szCs w:val="32"/>
        </w:rPr>
      </w:pPr>
    </w:p>
    <w:p w14:paraId="00000004" w14:textId="77777777" w:rsidR="005A373A" w:rsidRDefault="005A373A">
      <w:pPr>
        <w:spacing w:line="360" w:lineRule="auto"/>
        <w:jc w:val="center"/>
        <w:rPr>
          <w:rFonts w:ascii="Times New Roman" w:eastAsia="Times New Roman" w:hAnsi="Times New Roman" w:cs="Times New Roman"/>
          <w:b/>
          <w:sz w:val="32"/>
          <w:szCs w:val="32"/>
        </w:rPr>
      </w:pPr>
    </w:p>
    <w:p w14:paraId="00000005" w14:textId="77777777" w:rsidR="005A373A" w:rsidRDefault="005A373A">
      <w:pPr>
        <w:spacing w:line="360" w:lineRule="auto"/>
        <w:jc w:val="center"/>
        <w:rPr>
          <w:rFonts w:ascii="Times New Roman" w:eastAsia="Times New Roman" w:hAnsi="Times New Roman" w:cs="Times New Roman"/>
          <w:b/>
          <w:sz w:val="32"/>
          <w:szCs w:val="32"/>
        </w:rPr>
      </w:pPr>
    </w:p>
    <w:p w14:paraId="00000006" w14:textId="77777777" w:rsidR="005A373A" w:rsidRDefault="005A373A">
      <w:pPr>
        <w:spacing w:line="360" w:lineRule="auto"/>
        <w:jc w:val="center"/>
        <w:rPr>
          <w:rFonts w:ascii="Times New Roman" w:eastAsia="Times New Roman" w:hAnsi="Times New Roman" w:cs="Times New Roman"/>
          <w:b/>
          <w:sz w:val="32"/>
          <w:szCs w:val="32"/>
        </w:rPr>
      </w:pPr>
    </w:p>
    <w:p w14:paraId="00000007" w14:textId="77777777" w:rsidR="005A373A" w:rsidRDefault="005A373A">
      <w:pPr>
        <w:spacing w:line="360" w:lineRule="auto"/>
        <w:jc w:val="center"/>
        <w:rPr>
          <w:rFonts w:ascii="Times New Roman" w:eastAsia="Times New Roman" w:hAnsi="Times New Roman" w:cs="Times New Roman"/>
          <w:b/>
          <w:sz w:val="32"/>
          <w:szCs w:val="32"/>
        </w:rPr>
      </w:pPr>
    </w:p>
    <w:p w14:paraId="00000008" w14:textId="77777777" w:rsidR="005A373A" w:rsidRDefault="005A373A">
      <w:pPr>
        <w:spacing w:line="360" w:lineRule="auto"/>
        <w:jc w:val="center"/>
        <w:rPr>
          <w:rFonts w:ascii="Times New Roman" w:eastAsia="Times New Roman" w:hAnsi="Times New Roman" w:cs="Times New Roman"/>
          <w:b/>
          <w:sz w:val="32"/>
          <w:szCs w:val="32"/>
        </w:rPr>
      </w:pPr>
    </w:p>
    <w:p w14:paraId="00000009" w14:textId="77777777" w:rsidR="005A373A" w:rsidRDefault="005A373A">
      <w:pPr>
        <w:spacing w:line="360" w:lineRule="auto"/>
        <w:jc w:val="center"/>
        <w:rPr>
          <w:rFonts w:ascii="Times New Roman" w:eastAsia="Times New Roman" w:hAnsi="Times New Roman" w:cs="Times New Roman"/>
          <w:b/>
          <w:sz w:val="32"/>
          <w:szCs w:val="32"/>
        </w:rPr>
      </w:pPr>
    </w:p>
    <w:p w14:paraId="0000000A" w14:textId="77777777" w:rsidR="005A373A" w:rsidRDefault="005A373A">
      <w:pPr>
        <w:spacing w:line="360" w:lineRule="auto"/>
        <w:jc w:val="center"/>
        <w:rPr>
          <w:rFonts w:ascii="Times New Roman" w:eastAsia="Times New Roman" w:hAnsi="Times New Roman" w:cs="Times New Roman"/>
          <w:b/>
          <w:sz w:val="32"/>
          <w:szCs w:val="32"/>
        </w:rPr>
      </w:pPr>
    </w:p>
    <w:p w14:paraId="01DB8533" w14:textId="77777777" w:rsidR="005F20EC" w:rsidRDefault="00AB5A41">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Law and Legal Practices: Criminal Litigations: Assignment 2 – Scenario Question</w:t>
      </w:r>
    </w:p>
    <w:p w14:paraId="79ED75B8" w14:textId="77777777" w:rsidR="00A820D0" w:rsidRDefault="00A820D0" w:rsidP="00A820D0">
      <w:pPr>
        <w:spacing w:line="240" w:lineRule="auto"/>
        <w:rPr>
          <w:rFonts w:eastAsia="Times New Roman"/>
          <w:b/>
          <w:bCs/>
          <w:color w:val="000000"/>
          <w:szCs w:val="24"/>
          <w:lang w:val="en-IN"/>
        </w:rPr>
      </w:pPr>
    </w:p>
    <w:p w14:paraId="7DCCFACE" w14:textId="77777777" w:rsidR="008D01D8" w:rsidRPr="008D01D8" w:rsidRDefault="008D01D8" w:rsidP="00D30D47">
      <w:pPr>
        <w:spacing w:line="360" w:lineRule="auto"/>
        <w:rPr>
          <w:rFonts w:ascii="Times New Roman" w:eastAsia="Times New Roman" w:hAnsi="Times New Roman" w:cs="Times New Roman"/>
          <w:b/>
          <w:sz w:val="32"/>
          <w:szCs w:val="32"/>
        </w:rPr>
      </w:pPr>
      <w:r w:rsidRPr="008D01D8">
        <w:rPr>
          <w:rFonts w:ascii="Times New Roman" w:eastAsia="Times New Roman" w:hAnsi="Times New Roman" w:cs="Times New Roman"/>
          <w:b/>
          <w:sz w:val="32"/>
          <w:szCs w:val="32"/>
        </w:rPr>
        <w:t xml:space="preserve">         Student ID: 1919437</w:t>
      </w:r>
    </w:p>
    <w:p w14:paraId="3BBEA640" w14:textId="77777777" w:rsidR="008D01D8" w:rsidRPr="008D01D8" w:rsidRDefault="008D01D8" w:rsidP="00D30D47">
      <w:pPr>
        <w:spacing w:line="360" w:lineRule="auto"/>
        <w:rPr>
          <w:rFonts w:ascii="Times New Roman" w:eastAsia="Times New Roman" w:hAnsi="Times New Roman" w:cs="Times New Roman"/>
          <w:b/>
          <w:sz w:val="32"/>
          <w:szCs w:val="32"/>
        </w:rPr>
      </w:pPr>
      <w:r w:rsidRPr="008D01D8">
        <w:rPr>
          <w:rFonts w:ascii="Times New Roman" w:eastAsia="Times New Roman" w:hAnsi="Times New Roman" w:cs="Times New Roman"/>
          <w:b/>
          <w:sz w:val="32"/>
          <w:szCs w:val="32"/>
        </w:rPr>
        <w:t xml:space="preserve">         Student Name: KHALID ABDIKADIR AHMED</w:t>
      </w:r>
    </w:p>
    <w:p w14:paraId="1BFCB101" w14:textId="2DE75FCB" w:rsidR="008D01D8" w:rsidRPr="008D01D8" w:rsidRDefault="008D01D8" w:rsidP="00D30D47">
      <w:pPr>
        <w:spacing w:line="360" w:lineRule="auto"/>
        <w:rPr>
          <w:rFonts w:ascii="Times New Roman" w:eastAsia="Times New Roman" w:hAnsi="Times New Roman" w:cs="Times New Roman"/>
          <w:b/>
          <w:sz w:val="32"/>
          <w:szCs w:val="32"/>
        </w:rPr>
      </w:pPr>
      <w:r w:rsidRPr="008D01D8">
        <w:rPr>
          <w:rFonts w:ascii="Times New Roman" w:eastAsia="Times New Roman" w:hAnsi="Times New Roman" w:cs="Times New Roman"/>
          <w:b/>
          <w:sz w:val="32"/>
          <w:szCs w:val="32"/>
        </w:rPr>
        <w:t xml:space="preserve">         Date: 03/1</w:t>
      </w:r>
      <w:r>
        <w:rPr>
          <w:rFonts w:ascii="Times New Roman" w:eastAsia="Times New Roman" w:hAnsi="Times New Roman" w:cs="Times New Roman"/>
          <w:b/>
          <w:sz w:val="32"/>
          <w:szCs w:val="32"/>
        </w:rPr>
        <w:t>2</w:t>
      </w:r>
      <w:r w:rsidRPr="008D01D8">
        <w:rPr>
          <w:rFonts w:ascii="Times New Roman" w:eastAsia="Times New Roman" w:hAnsi="Times New Roman" w:cs="Times New Roman"/>
          <w:b/>
          <w:sz w:val="32"/>
          <w:szCs w:val="32"/>
        </w:rPr>
        <w:t>/2021</w:t>
      </w:r>
    </w:p>
    <w:p w14:paraId="481F3F57" w14:textId="77777777" w:rsidR="008D01D8" w:rsidRPr="008D01D8" w:rsidRDefault="008D01D8" w:rsidP="00D30D47">
      <w:pPr>
        <w:spacing w:line="360" w:lineRule="auto"/>
        <w:rPr>
          <w:rFonts w:ascii="Times New Roman" w:eastAsia="Times New Roman" w:hAnsi="Times New Roman" w:cs="Times New Roman"/>
          <w:b/>
          <w:sz w:val="32"/>
          <w:szCs w:val="32"/>
        </w:rPr>
      </w:pPr>
    </w:p>
    <w:p w14:paraId="39ED6771" w14:textId="4EF1AD22" w:rsidR="005F20EC" w:rsidRPr="00F91559" w:rsidRDefault="005F20EC">
      <w:pPr>
        <w:rPr>
          <w:rFonts w:ascii="Times New Roman" w:eastAsia="Times New Roman" w:hAnsi="Times New Roman" w:cs="Times New Roman"/>
          <w:b/>
          <w:sz w:val="28"/>
          <w:szCs w:val="28"/>
        </w:rPr>
      </w:pPr>
    </w:p>
    <w:p w14:paraId="288BBEE7" w14:textId="14277DAF" w:rsidR="00A820D0" w:rsidRDefault="00A820D0">
      <w:pPr>
        <w:rPr>
          <w:rFonts w:ascii="Times New Roman" w:eastAsia="Times New Roman" w:hAnsi="Times New Roman" w:cs="Times New Roman"/>
          <w:b/>
          <w:sz w:val="32"/>
          <w:szCs w:val="32"/>
        </w:rPr>
      </w:pPr>
    </w:p>
    <w:p w14:paraId="4A0D6D47" w14:textId="00261A4F" w:rsidR="00A820D0" w:rsidRDefault="00A820D0">
      <w:pPr>
        <w:rPr>
          <w:rFonts w:ascii="Times New Roman" w:eastAsia="Times New Roman" w:hAnsi="Times New Roman" w:cs="Times New Roman"/>
          <w:b/>
          <w:sz w:val="32"/>
          <w:szCs w:val="32"/>
        </w:rPr>
      </w:pPr>
    </w:p>
    <w:p w14:paraId="50CBF030" w14:textId="3ACA30B7" w:rsidR="00A820D0" w:rsidRDefault="00A820D0">
      <w:pPr>
        <w:rPr>
          <w:rFonts w:ascii="Times New Roman" w:eastAsia="Times New Roman" w:hAnsi="Times New Roman" w:cs="Times New Roman"/>
          <w:b/>
          <w:sz w:val="32"/>
          <w:szCs w:val="32"/>
        </w:rPr>
      </w:pPr>
    </w:p>
    <w:p w14:paraId="79BBA515" w14:textId="2EB91735" w:rsidR="00A820D0" w:rsidRDefault="00A820D0">
      <w:pPr>
        <w:rPr>
          <w:rFonts w:ascii="Times New Roman" w:eastAsia="Times New Roman" w:hAnsi="Times New Roman" w:cs="Times New Roman"/>
          <w:b/>
          <w:sz w:val="32"/>
          <w:szCs w:val="32"/>
        </w:rPr>
      </w:pPr>
    </w:p>
    <w:p w14:paraId="0DBC1A68" w14:textId="044DCC92" w:rsidR="00A820D0" w:rsidRDefault="00A820D0">
      <w:pPr>
        <w:rPr>
          <w:rFonts w:ascii="Times New Roman" w:eastAsia="Times New Roman" w:hAnsi="Times New Roman" w:cs="Times New Roman"/>
          <w:b/>
          <w:sz w:val="32"/>
          <w:szCs w:val="32"/>
        </w:rPr>
      </w:pPr>
    </w:p>
    <w:p w14:paraId="37ADA6C6" w14:textId="1BE3DA71" w:rsidR="00A820D0" w:rsidRDefault="00A820D0">
      <w:pPr>
        <w:rPr>
          <w:rFonts w:ascii="Times New Roman" w:eastAsia="Times New Roman" w:hAnsi="Times New Roman" w:cs="Times New Roman"/>
          <w:b/>
          <w:sz w:val="32"/>
          <w:szCs w:val="32"/>
        </w:rPr>
      </w:pPr>
    </w:p>
    <w:p w14:paraId="0F3FD2BB" w14:textId="1E8413D2" w:rsidR="00A820D0" w:rsidRDefault="00A820D0">
      <w:pPr>
        <w:rPr>
          <w:rFonts w:ascii="Times New Roman" w:eastAsia="Times New Roman" w:hAnsi="Times New Roman" w:cs="Times New Roman"/>
          <w:b/>
          <w:sz w:val="32"/>
          <w:szCs w:val="32"/>
        </w:rPr>
      </w:pPr>
    </w:p>
    <w:p w14:paraId="4BF9287E" w14:textId="3093555F" w:rsidR="00A820D0" w:rsidRDefault="00A820D0">
      <w:pPr>
        <w:rPr>
          <w:rFonts w:ascii="Times New Roman" w:eastAsia="Times New Roman" w:hAnsi="Times New Roman" w:cs="Times New Roman"/>
          <w:b/>
          <w:sz w:val="32"/>
          <w:szCs w:val="32"/>
        </w:rPr>
      </w:pPr>
    </w:p>
    <w:p w14:paraId="1F3EF10F" w14:textId="77777777" w:rsidR="00A820D0" w:rsidRDefault="00A820D0">
      <w:pPr>
        <w:rPr>
          <w:rFonts w:ascii="Times New Roman" w:eastAsia="Times New Roman" w:hAnsi="Times New Roman" w:cs="Times New Roman"/>
          <w:b/>
          <w:sz w:val="32"/>
          <w:szCs w:val="32"/>
        </w:rPr>
      </w:pPr>
    </w:p>
    <w:sdt>
      <w:sdtPr>
        <w:rPr>
          <w:rFonts w:ascii="Times New Roman" w:eastAsia="Arial" w:hAnsi="Times New Roman" w:cs="Times New Roman"/>
          <w:color w:val="auto"/>
          <w:sz w:val="24"/>
          <w:szCs w:val="24"/>
          <w:lang w:val="en" w:eastAsia="en-GB"/>
        </w:rPr>
        <w:id w:val="441276213"/>
        <w:docPartObj>
          <w:docPartGallery w:val="Table of Contents"/>
          <w:docPartUnique/>
        </w:docPartObj>
      </w:sdtPr>
      <w:sdtEndPr>
        <w:rPr>
          <w:b/>
          <w:bCs/>
          <w:noProof/>
        </w:rPr>
      </w:sdtEndPr>
      <w:sdtContent>
        <w:p w14:paraId="2FA233AE" w14:textId="21066394" w:rsidR="005F20EC" w:rsidRPr="005F20EC" w:rsidRDefault="005F20EC" w:rsidP="005F20EC">
          <w:pPr>
            <w:pStyle w:val="TOCHeading"/>
            <w:spacing w:line="360" w:lineRule="auto"/>
            <w:jc w:val="center"/>
            <w:rPr>
              <w:rFonts w:ascii="Times New Roman" w:hAnsi="Times New Roman" w:cs="Times New Roman"/>
              <w:b/>
              <w:color w:val="auto"/>
              <w:sz w:val="28"/>
              <w:szCs w:val="24"/>
            </w:rPr>
          </w:pPr>
          <w:r w:rsidRPr="005F20EC">
            <w:rPr>
              <w:rFonts w:ascii="Times New Roman" w:hAnsi="Times New Roman" w:cs="Times New Roman"/>
              <w:b/>
              <w:color w:val="auto"/>
              <w:sz w:val="28"/>
              <w:szCs w:val="24"/>
            </w:rPr>
            <w:t>Table of Contents</w:t>
          </w:r>
        </w:p>
        <w:p w14:paraId="4E9BA20C" w14:textId="3AB68137" w:rsidR="005F20EC" w:rsidRPr="005F20EC" w:rsidRDefault="005F20EC" w:rsidP="005F20EC">
          <w:pPr>
            <w:pStyle w:val="TOC1"/>
            <w:tabs>
              <w:tab w:val="right" w:leader="dot" w:pos="9350"/>
            </w:tabs>
            <w:spacing w:line="360" w:lineRule="auto"/>
            <w:jc w:val="both"/>
            <w:rPr>
              <w:rFonts w:ascii="Times New Roman" w:eastAsiaTheme="minorEastAsia" w:hAnsi="Times New Roman" w:cs="Times New Roman"/>
              <w:noProof/>
              <w:sz w:val="24"/>
              <w:szCs w:val="24"/>
              <w:lang w:val="en-GB"/>
            </w:rPr>
          </w:pPr>
          <w:r w:rsidRPr="005F20EC">
            <w:rPr>
              <w:rFonts w:ascii="Times New Roman" w:hAnsi="Times New Roman" w:cs="Times New Roman"/>
              <w:sz w:val="24"/>
              <w:szCs w:val="24"/>
            </w:rPr>
            <w:fldChar w:fldCharType="begin"/>
          </w:r>
          <w:r w:rsidRPr="005F20EC">
            <w:rPr>
              <w:rFonts w:ascii="Times New Roman" w:hAnsi="Times New Roman" w:cs="Times New Roman"/>
              <w:sz w:val="24"/>
              <w:szCs w:val="24"/>
            </w:rPr>
            <w:instrText xml:space="preserve"> TOC \o "1-3" \h \z \u </w:instrText>
          </w:r>
          <w:r w:rsidRPr="005F20EC">
            <w:rPr>
              <w:rFonts w:ascii="Times New Roman" w:hAnsi="Times New Roman" w:cs="Times New Roman"/>
              <w:sz w:val="24"/>
              <w:szCs w:val="24"/>
            </w:rPr>
            <w:fldChar w:fldCharType="separate"/>
          </w:r>
          <w:hyperlink w:anchor="_Toc88619150" w:history="1">
            <w:r w:rsidRPr="005F20EC">
              <w:rPr>
                <w:rStyle w:val="Hyperlink"/>
                <w:rFonts w:ascii="Times New Roman" w:hAnsi="Times New Roman" w:cs="Times New Roman"/>
                <w:noProof/>
                <w:color w:val="auto"/>
                <w:sz w:val="24"/>
                <w:szCs w:val="24"/>
              </w:rPr>
              <w:t>Introduction</w:t>
            </w:r>
            <w:r w:rsidRPr="005F20EC">
              <w:rPr>
                <w:rFonts w:ascii="Times New Roman" w:hAnsi="Times New Roman" w:cs="Times New Roman"/>
                <w:noProof/>
                <w:webHidden/>
                <w:sz w:val="24"/>
                <w:szCs w:val="24"/>
              </w:rPr>
              <w:tab/>
            </w:r>
            <w:r w:rsidRPr="005F20EC">
              <w:rPr>
                <w:rFonts w:ascii="Times New Roman" w:hAnsi="Times New Roman" w:cs="Times New Roman"/>
                <w:noProof/>
                <w:webHidden/>
                <w:sz w:val="24"/>
                <w:szCs w:val="24"/>
              </w:rPr>
              <w:fldChar w:fldCharType="begin"/>
            </w:r>
            <w:r w:rsidRPr="005F20EC">
              <w:rPr>
                <w:rFonts w:ascii="Times New Roman" w:hAnsi="Times New Roman" w:cs="Times New Roman"/>
                <w:noProof/>
                <w:webHidden/>
                <w:sz w:val="24"/>
                <w:szCs w:val="24"/>
              </w:rPr>
              <w:instrText xml:space="preserve"> PAGEREF _Toc88619150 \h </w:instrText>
            </w:r>
            <w:r w:rsidRPr="005F20EC">
              <w:rPr>
                <w:rFonts w:ascii="Times New Roman" w:hAnsi="Times New Roman" w:cs="Times New Roman"/>
                <w:noProof/>
                <w:webHidden/>
                <w:sz w:val="24"/>
                <w:szCs w:val="24"/>
              </w:rPr>
            </w:r>
            <w:r w:rsidRPr="005F20EC">
              <w:rPr>
                <w:rFonts w:ascii="Times New Roman" w:hAnsi="Times New Roman" w:cs="Times New Roman"/>
                <w:noProof/>
                <w:webHidden/>
                <w:sz w:val="24"/>
                <w:szCs w:val="24"/>
              </w:rPr>
              <w:fldChar w:fldCharType="separate"/>
            </w:r>
            <w:r w:rsidRPr="005F20EC">
              <w:rPr>
                <w:rFonts w:ascii="Times New Roman" w:hAnsi="Times New Roman" w:cs="Times New Roman"/>
                <w:noProof/>
                <w:webHidden/>
                <w:sz w:val="24"/>
                <w:szCs w:val="24"/>
              </w:rPr>
              <w:t>2</w:t>
            </w:r>
            <w:r w:rsidRPr="005F20EC">
              <w:rPr>
                <w:rFonts w:ascii="Times New Roman" w:hAnsi="Times New Roman" w:cs="Times New Roman"/>
                <w:noProof/>
                <w:webHidden/>
                <w:sz w:val="24"/>
                <w:szCs w:val="24"/>
              </w:rPr>
              <w:fldChar w:fldCharType="end"/>
            </w:r>
          </w:hyperlink>
        </w:p>
        <w:p w14:paraId="43A491E2" w14:textId="4691ED99" w:rsidR="005F20EC" w:rsidRPr="005F20EC" w:rsidRDefault="0004330A" w:rsidP="005F20EC">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88619151" w:history="1">
            <w:r w:rsidR="005F20EC" w:rsidRPr="005F20EC">
              <w:rPr>
                <w:rStyle w:val="Hyperlink"/>
                <w:rFonts w:ascii="Times New Roman" w:hAnsi="Times New Roman" w:cs="Times New Roman"/>
                <w:noProof/>
                <w:color w:val="auto"/>
                <w:sz w:val="24"/>
                <w:szCs w:val="24"/>
              </w:rPr>
              <w:t>Part one</w:t>
            </w:r>
            <w:r w:rsidR="005F20EC" w:rsidRPr="005F20EC">
              <w:rPr>
                <w:rFonts w:ascii="Times New Roman" w:hAnsi="Times New Roman" w:cs="Times New Roman"/>
                <w:noProof/>
                <w:webHidden/>
                <w:sz w:val="24"/>
                <w:szCs w:val="24"/>
              </w:rPr>
              <w:tab/>
            </w:r>
            <w:r w:rsidR="005F20EC" w:rsidRPr="005F20EC">
              <w:rPr>
                <w:rFonts w:ascii="Times New Roman" w:hAnsi="Times New Roman" w:cs="Times New Roman"/>
                <w:noProof/>
                <w:webHidden/>
                <w:sz w:val="24"/>
                <w:szCs w:val="24"/>
              </w:rPr>
              <w:fldChar w:fldCharType="begin"/>
            </w:r>
            <w:r w:rsidR="005F20EC" w:rsidRPr="005F20EC">
              <w:rPr>
                <w:rFonts w:ascii="Times New Roman" w:hAnsi="Times New Roman" w:cs="Times New Roman"/>
                <w:noProof/>
                <w:webHidden/>
                <w:sz w:val="24"/>
                <w:szCs w:val="24"/>
              </w:rPr>
              <w:instrText xml:space="preserve"> PAGEREF _Toc88619151 \h </w:instrText>
            </w:r>
            <w:r w:rsidR="005F20EC" w:rsidRPr="005F20EC">
              <w:rPr>
                <w:rFonts w:ascii="Times New Roman" w:hAnsi="Times New Roman" w:cs="Times New Roman"/>
                <w:noProof/>
                <w:webHidden/>
                <w:sz w:val="24"/>
                <w:szCs w:val="24"/>
              </w:rPr>
            </w:r>
            <w:r w:rsidR="005F20EC" w:rsidRPr="005F20EC">
              <w:rPr>
                <w:rFonts w:ascii="Times New Roman" w:hAnsi="Times New Roman" w:cs="Times New Roman"/>
                <w:noProof/>
                <w:webHidden/>
                <w:sz w:val="24"/>
                <w:szCs w:val="24"/>
              </w:rPr>
              <w:fldChar w:fldCharType="separate"/>
            </w:r>
            <w:r w:rsidR="005F20EC" w:rsidRPr="005F20EC">
              <w:rPr>
                <w:rFonts w:ascii="Times New Roman" w:hAnsi="Times New Roman" w:cs="Times New Roman"/>
                <w:noProof/>
                <w:webHidden/>
                <w:sz w:val="24"/>
                <w:szCs w:val="24"/>
              </w:rPr>
              <w:t>2</w:t>
            </w:r>
            <w:r w:rsidR="005F20EC" w:rsidRPr="005F20EC">
              <w:rPr>
                <w:rFonts w:ascii="Times New Roman" w:hAnsi="Times New Roman" w:cs="Times New Roman"/>
                <w:noProof/>
                <w:webHidden/>
                <w:sz w:val="24"/>
                <w:szCs w:val="24"/>
              </w:rPr>
              <w:fldChar w:fldCharType="end"/>
            </w:r>
          </w:hyperlink>
        </w:p>
        <w:p w14:paraId="1B7D57AE" w14:textId="6AB93035" w:rsidR="005F20EC" w:rsidRPr="005F20EC" w:rsidRDefault="0004330A" w:rsidP="005F20EC">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88619152" w:history="1">
            <w:r w:rsidR="005F20EC" w:rsidRPr="005F20EC">
              <w:rPr>
                <w:rStyle w:val="Hyperlink"/>
                <w:rFonts w:ascii="Times New Roman" w:hAnsi="Times New Roman" w:cs="Times New Roman"/>
                <w:noProof/>
                <w:color w:val="auto"/>
                <w:sz w:val="24"/>
                <w:szCs w:val="24"/>
              </w:rPr>
              <w:t>Part two</w:t>
            </w:r>
            <w:r w:rsidR="005F20EC" w:rsidRPr="005F20EC">
              <w:rPr>
                <w:rFonts w:ascii="Times New Roman" w:hAnsi="Times New Roman" w:cs="Times New Roman"/>
                <w:noProof/>
                <w:webHidden/>
                <w:sz w:val="24"/>
                <w:szCs w:val="24"/>
              </w:rPr>
              <w:tab/>
            </w:r>
            <w:r w:rsidR="005F20EC" w:rsidRPr="005F20EC">
              <w:rPr>
                <w:rFonts w:ascii="Times New Roman" w:hAnsi="Times New Roman" w:cs="Times New Roman"/>
                <w:noProof/>
                <w:webHidden/>
                <w:sz w:val="24"/>
                <w:szCs w:val="24"/>
              </w:rPr>
              <w:fldChar w:fldCharType="begin"/>
            </w:r>
            <w:r w:rsidR="005F20EC" w:rsidRPr="005F20EC">
              <w:rPr>
                <w:rFonts w:ascii="Times New Roman" w:hAnsi="Times New Roman" w:cs="Times New Roman"/>
                <w:noProof/>
                <w:webHidden/>
                <w:sz w:val="24"/>
                <w:szCs w:val="24"/>
              </w:rPr>
              <w:instrText xml:space="preserve"> PAGEREF _Toc88619152 \h </w:instrText>
            </w:r>
            <w:r w:rsidR="005F20EC" w:rsidRPr="005F20EC">
              <w:rPr>
                <w:rFonts w:ascii="Times New Roman" w:hAnsi="Times New Roman" w:cs="Times New Roman"/>
                <w:noProof/>
                <w:webHidden/>
                <w:sz w:val="24"/>
                <w:szCs w:val="24"/>
              </w:rPr>
            </w:r>
            <w:r w:rsidR="005F20EC" w:rsidRPr="005F20EC">
              <w:rPr>
                <w:rFonts w:ascii="Times New Roman" w:hAnsi="Times New Roman" w:cs="Times New Roman"/>
                <w:noProof/>
                <w:webHidden/>
                <w:sz w:val="24"/>
                <w:szCs w:val="24"/>
              </w:rPr>
              <w:fldChar w:fldCharType="separate"/>
            </w:r>
            <w:r w:rsidR="005F20EC" w:rsidRPr="005F20EC">
              <w:rPr>
                <w:rFonts w:ascii="Times New Roman" w:hAnsi="Times New Roman" w:cs="Times New Roman"/>
                <w:noProof/>
                <w:webHidden/>
                <w:sz w:val="24"/>
                <w:szCs w:val="24"/>
              </w:rPr>
              <w:t>3</w:t>
            </w:r>
            <w:r w:rsidR="005F20EC" w:rsidRPr="005F20EC">
              <w:rPr>
                <w:rFonts w:ascii="Times New Roman" w:hAnsi="Times New Roman" w:cs="Times New Roman"/>
                <w:noProof/>
                <w:webHidden/>
                <w:sz w:val="24"/>
                <w:szCs w:val="24"/>
              </w:rPr>
              <w:fldChar w:fldCharType="end"/>
            </w:r>
          </w:hyperlink>
        </w:p>
        <w:p w14:paraId="32997A1D" w14:textId="62EDABD6" w:rsidR="005F20EC" w:rsidRPr="005F20EC" w:rsidRDefault="0004330A" w:rsidP="005F20EC">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88619153" w:history="1">
            <w:r w:rsidR="005F20EC" w:rsidRPr="005F20EC">
              <w:rPr>
                <w:rStyle w:val="Hyperlink"/>
                <w:rFonts w:ascii="Times New Roman" w:hAnsi="Times New Roman" w:cs="Times New Roman"/>
                <w:noProof/>
                <w:color w:val="auto"/>
                <w:sz w:val="24"/>
                <w:szCs w:val="24"/>
              </w:rPr>
              <w:t>Conclusion</w:t>
            </w:r>
            <w:r w:rsidR="005F20EC" w:rsidRPr="005F20EC">
              <w:rPr>
                <w:rFonts w:ascii="Times New Roman" w:hAnsi="Times New Roman" w:cs="Times New Roman"/>
                <w:noProof/>
                <w:webHidden/>
                <w:sz w:val="24"/>
                <w:szCs w:val="24"/>
              </w:rPr>
              <w:tab/>
            </w:r>
            <w:r w:rsidR="005F20EC" w:rsidRPr="005F20EC">
              <w:rPr>
                <w:rFonts w:ascii="Times New Roman" w:hAnsi="Times New Roman" w:cs="Times New Roman"/>
                <w:noProof/>
                <w:webHidden/>
                <w:sz w:val="24"/>
                <w:szCs w:val="24"/>
              </w:rPr>
              <w:fldChar w:fldCharType="begin"/>
            </w:r>
            <w:r w:rsidR="005F20EC" w:rsidRPr="005F20EC">
              <w:rPr>
                <w:rFonts w:ascii="Times New Roman" w:hAnsi="Times New Roman" w:cs="Times New Roman"/>
                <w:noProof/>
                <w:webHidden/>
                <w:sz w:val="24"/>
                <w:szCs w:val="24"/>
              </w:rPr>
              <w:instrText xml:space="preserve"> PAGEREF _Toc88619153 \h </w:instrText>
            </w:r>
            <w:r w:rsidR="005F20EC" w:rsidRPr="005F20EC">
              <w:rPr>
                <w:rFonts w:ascii="Times New Roman" w:hAnsi="Times New Roman" w:cs="Times New Roman"/>
                <w:noProof/>
                <w:webHidden/>
                <w:sz w:val="24"/>
                <w:szCs w:val="24"/>
              </w:rPr>
            </w:r>
            <w:r w:rsidR="005F20EC" w:rsidRPr="005F20EC">
              <w:rPr>
                <w:rFonts w:ascii="Times New Roman" w:hAnsi="Times New Roman" w:cs="Times New Roman"/>
                <w:noProof/>
                <w:webHidden/>
                <w:sz w:val="24"/>
                <w:szCs w:val="24"/>
              </w:rPr>
              <w:fldChar w:fldCharType="separate"/>
            </w:r>
            <w:r w:rsidR="005F20EC" w:rsidRPr="005F20EC">
              <w:rPr>
                <w:rFonts w:ascii="Times New Roman" w:hAnsi="Times New Roman" w:cs="Times New Roman"/>
                <w:noProof/>
                <w:webHidden/>
                <w:sz w:val="24"/>
                <w:szCs w:val="24"/>
              </w:rPr>
              <w:t>5</w:t>
            </w:r>
            <w:r w:rsidR="005F20EC" w:rsidRPr="005F20EC">
              <w:rPr>
                <w:rFonts w:ascii="Times New Roman" w:hAnsi="Times New Roman" w:cs="Times New Roman"/>
                <w:noProof/>
                <w:webHidden/>
                <w:sz w:val="24"/>
                <w:szCs w:val="24"/>
              </w:rPr>
              <w:fldChar w:fldCharType="end"/>
            </w:r>
          </w:hyperlink>
        </w:p>
        <w:p w14:paraId="44EE8473" w14:textId="272060B8" w:rsidR="005F20EC" w:rsidRPr="005F20EC" w:rsidRDefault="0004330A" w:rsidP="005F20EC">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88619154" w:history="1">
            <w:r w:rsidR="005F20EC" w:rsidRPr="005F20EC">
              <w:rPr>
                <w:rStyle w:val="Hyperlink"/>
                <w:rFonts w:ascii="Times New Roman" w:hAnsi="Times New Roman" w:cs="Times New Roman"/>
                <w:noProof/>
                <w:color w:val="auto"/>
                <w:sz w:val="24"/>
                <w:szCs w:val="24"/>
              </w:rPr>
              <w:t>Reference List</w:t>
            </w:r>
            <w:r w:rsidR="005F20EC" w:rsidRPr="005F20EC">
              <w:rPr>
                <w:rFonts w:ascii="Times New Roman" w:hAnsi="Times New Roman" w:cs="Times New Roman"/>
                <w:noProof/>
                <w:webHidden/>
                <w:sz w:val="24"/>
                <w:szCs w:val="24"/>
              </w:rPr>
              <w:tab/>
            </w:r>
            <w:r w:rsidR="005F20EC" w:rsidRPr="005F20EC">
              <w:rPr>
                <w:rFonts w:ascii="Times New Roman" w:hAnsi="Times New Roman" w:cs="Times New Roman"/>
                <w:noProof/>
                <w:webHidden/>
                <w:sz w:val="24"/>
                <w:szCs w:val="24"/>
              </w:rPr>
              <w:fldChar w:fldCharType="begin"/>
            </w:r>
            <w:r w:rsidR="005F20EC" w:rsidRPr="005F20EC">
              <w:rPr>
                <w:rFonts w:ascii="Times New Roman" w:hAnsi="Times New Roman" w:cs="Times New Roman"/>
                <w:noProof/>
                <w:webHidden/>
                <w:sz w:val="24"/>
                <w:szCs w:val="24"/>
              </w:rPr>
              <w:instrText xml:space="preserve"> PAGEREF _Toc88619154 \h </w:instrText>
            </w:r>
            <w:r w:rsidR="005F20EC" w:rsidRPr="005F20EC">
              <w:rPr>
                <w:rFonts w:ascii="Times New Roman" w:hAnsi="Times New Roman" w:cs="Times New Roman"/>
                <w:noProof/>
                <w:webHidden/>
                <w:sz w:val="24"/>
                <w:szCs w:val="24"/>
              </w:rPr>
            </w:r>
            <w:r w:rsidR="005F20EC" w:rsidRPr="005F20EC">
              <w:rPr>
                <w:rFonts w:ascii="Times New Roman" w:hAnsi="Times New Roman" w:cs="Times New Roman"/>
                <w:noProof/>
                <w:webHidden/>
                <w:sz w:val="24"/>
                <w:szCs w:val="24"/>
              </w:rPr>
              <w:fldChar w:fldCharType="separate"/>
            </w:r>
            <w:r w:rsidR="005F20EC" w:rsidRPr="005F20EC">
              <w:rPr>
                <w:rFonts w:ascii="Times New Roman" w:hAnsi="Times New Roman" w:cs="Times New Roman"/>
                <w:noProof/>
                <w:webHidden/>
                <w:sz w:val="24"/>
                <w:szCs w:val="24"/>
              </w:rPr>
              <w:t>6</w:t>
            </w:r>
            <w:r w:rsidR="005F20EC" w:rsidRPr="005F20EC">
              <w:rPr>
                <w:rFonts w:ascii="Times New Roman" w:hAnsi="Times New Roman" w:cs="Times New Roman"/>
                <w:noProof/>
                <w:webHidden/>
                <w:sz w:val="24"/>
                <w:szCs w:val="24"/>
              </w:rPr>
              <w:fldChar w:fldCharType="end"/>
            </w:r>
          </w:hyperlink>
        </w:p>
        <w:p w14:paraId="7CA57984" w14:textId="23960DC9" w:rsidR="005F20EC" w:rsidRDefault="005F20EC" w:rsidP="005F20EC">
          <w:pPr>
            <w:spacing w:line="360" w:lineRule="auto"/>
            <w:jc w:val="both"/>
          </w:pPr>
          <w:r w:rsidRPr="005F20EC">
            <w:rPr>
              <w:rFonts w:ascii="Times New Roman" w:hAnsi="Times New Roman" w:cs="Times New Roman"/>
              <w:b/>
              <w:bCs/>
              <w:noProof/>
              <w:sz w:val="24"/>
              <w:szCs w:val="24"/>
            </w:rPr>
            <w:fldChar w:fldCharType="end"/>
          </w:r>
        </w:p>
      </w:sdtContent>
    </w:sdt>
    <w:p w14:paraId="0000000B" w14:textId="5D91B584" w:rsidR="005A373A" w:rsidRDefault="00AB5A41">
      <w:pPr>
        <w:spacing w:line="360" w:lineRule="auto"/>
        <w:jc w:val="center"/>
        <w:rPr>
          <w:rFonts w:ascii="Times New Roman" w:eastAsia="Times New Roman" w:hAnsi="Times New Roman" w:cs="Times New Roman"/>
          <w:b/>
          <w:sz w:val="32"/>
          <w:szCs w:val="32"/>
        </w:rPr>
      </w:pPr>
      <w:r>
        <w:br w:type="page"/>
      </w:r>
    </w:p>
    <w:p w14:paraId="0000000C" w14:textId="77777777" w:rsidR="005A373A" w:rsidRDefault="00AB5A41">
      <w:pPr>
        <w:pStyle w:val="Heading1"/>
      </w:pPr>
      <w:bookmarkStart w:id="0" w:name="_dhc97mpaeehk" w:colFirst="0" w:colLast="0"/>
      <w:bookmarkStart w:id="1" w:name="_Toc88619150"/>
      <w:bookmarkEnd w:id="0"/>
      <w:r>
        <w:t>Introduction</w:t>
      </w:r>
      <w:bookmarkEnd w:id="1"/>
    </w:p>
    <w:p w14:paraId="0000000D" w14:textId="77777777" w:rsidR="005A373A" w:rsidRDefault="00AB5A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situation in reference can be seen that a burglary has happened in the locality of 10 Chesterfield Lane and was being reported to the police nearly around 0400 hours. At the same time, an eye-witness spotted a suspected burglar who was trying to open the door of a </w:t>
      </w:r>
      <w:proofErr w:type="spellStart"/>
      <w:r>
        <w:rPr>
          <w:rFonts w:ascii="Times New Roman" w:eastAsia="Times New Roman" w:hAnsi="Times New Roman" w:cs="Times New Roman"/>
          <w:sz w:val="24"/>
          <w:szCs w:val="24"/>
        </w:rPr>
        <w:t>neighbour</w:t>
      </w:r>
      <w:proofErr w:type="spellEnd"/>
      <w:r>
        <w:rPr>
          <w:rFonts w:ascii="Times New Roman" w:eastAsia="Times New Roman" w:hAnsi="Times New Roman" w:cs="Times New Roman"/>
          <w:sz w:val="24"/>
          <w:szCs w:val="24"/>
        </w:rPr>
        <w:t xml:space="preserve"> forcefully. He also provided a description of the person with minute details as it was visible to him at that time. Hence, this study has been developed by assessing the current situation and the parts that have been mentioned for portrayal in the case study and provide necessary descriptions.</w:t>
      </w:r>
    </w:p>
    <w:p w14:paraId="0000000E" w14:textId="77777777" w:rsidR="005A373A" w:rsidRDefault="00AB5A41">
      <w:pPr>
        <w:pStyle w:val="Heading1"/>
      </w:pPr>
      <w:bookmarkStart w:id="2" w:name="_1b6n9errke2t" w:colFirst="0" w:colLast="0"/>
      <w:bookmarkStart w:id="3" w:name="_Toc88619151"/>
      <w:bookmarkEnd w:id="2"/>
      <w:r>
        <w:t>Part one</w:t>
      </w:r>
      <w:bookmarkEnd w:id="3"/>
    </w:p>
    <w:p w14:paraId="0000000F" w14:textId="77777777" w:rsidR="005A373A" w:rsidRDefault="00AB5A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In reference to the case study, it has been found out that the police, PC Stevens, who was on duty near to the locality of 10 </w:t>
      </w:r>
      <w:proofErr w:type="gramStart"/>
      <w:r>
        <w:rPr>
          <w:rFonts w:ascii="Times New Roman" w:eastAsia="Times New Roman" w:hAnsi="Times New Roman" w:cs="Times New Roman"/>
          <w:sz w:val="24"/>
          <w:szCs w:val="24"/>
        </w:rPr>
        <w:t>Chesterfield lane</w:t>
      </w:r>
      <w:proofErr w:type="gramEnd"/>
      <w:r>
        <w:rPr>
          <w:rFonts w:ascii="Times New Roman" w:eastAsia="Times New Roman" w:hAnsi="Times New Roman" w:cs="Times New Roman"/>
          <w:sz w:val="24"/>
          <w:szCs w:val="24"/>
        </w:rPr>
        <w:t xml:space="preserve">. While he was patrolling in that </w:t>
      </w:r>
      <w:proofErr w:type="spellStart"/>
      <w:r>
        <w:rPr>
          <w:rFonts w:ascii="Times New Roman" w:eastAsia="Times New Roman" w:hAnsi="Times New Roman" w:cs="Times New Roman"/>
          <w:sz w:val="24"/>
          <w:szCs w:val="24"/>
        </w:rPr>
        <w:t>neighbourhood</w:t>
      </w:r>
      <w:proofErr w:type="spellEnd"/>
      <w:r>
        <w:rPr>
          <w:rFonts w:ascii="Times New Roman" w:eastAsia="Times New Roman" w:hAnsi="Times New Roman" w:cs="Times New Roman"/>
          <w:sz w:val="24"/>
          <w:szCs w:val="24"/>
        </w:rPr>
        <w:t xml:space="preserve">, the burglary was reported by one of the </w:t>
      </w:r>
      <w:proofErr w:type="spellStart"/>
      <w:r>
        <w:rPr>
          <w:rFonts w:ascii="Times New Roman" w:eastAsia="Times New Roman" w:hAnsi="Times New Roman" w:cs="Times New Roman"/>
          <w:sz w:val="24"/>
          <w:szCs w:val="24"/>
        </w:rPr>
        <w:t>localite</w:t>
      </w:r>
      <w:proofErr w:type="spellEnd"/>
      <w:r>
        <w:rPr>
          <w:rFonts w:ascii="Times New Roman" w:eastAsia="Times New Roman" w:hAnsi="Times New Roman" w:cs="Times New Roman"/>
          <w:sz w:val="24"/>
          <w:szCs w:val="24"/>
        </w:rPr>
        <w:t xml:space="preserve"> and he eventually got updated. Accordingly, he was moving to the crime scene when he passed by an individual who matched the description of the suspected burglar (</w:t>
      </w:r>
      <w:r>
        <w:rPr>
          <w:rFonts w:ascii="Times New Roman" w:eastAsia="Times New Roman" w:hAnsi="Times New Roman" w:cs="Times New Roman"/>
          <w:color w:val="222222"/>
          <w:sz w:val="24"/>
          <w:szCs w:val="24"/>
          <w:highlight w:val="white"/>
        </w:rPr>
        <w:t>Roach et al. 2020</w:t>
      </w:r>
      <w:r>
        <w:rPr>
          <w:rFonts w:ascii="Times New Roman" w:eastAsia="Times New Roman" w:hAnsi="Times New Roman" w:cs="Times New Roman"/>
          <w:sz w:val="24"/>
          <w:szCs w:val="24"/>
        </w:rPr>
        <w:t>). Hence, on the basis of the fact, there are certain actions that can be taken by the police officer at that instance so that the investigation can be continued and the crime situation can be resolved along with arresting the actual burglar.</w:t>
      </w:r>
    </w:p>
    <w:p w14:paraId="00000010" w14:textId="77777777" w:rsidR="005A373A" w:rsidRDefault="00AB5A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Firstly, it can be said that the first and foremost action that can be taken by PC Stevens is to stop the suspected burglar, i.e., Malcolm Harvey and carry out investigations so that the actual criminal can be identified. However, a police officer cannot just stop a person randomly outside the crime scene and waste their time in order to get their desired answers (</w:t>
      </w:r>
      <w:proofErr w:type="spellStart"/>
      <w:r>
        <w:rPr>
          <w:rFonts w:ascii="Times New Roman" w:eastAsia="Times New Roman" w:hAnsi="Times New Roman" w:cs="Times New Roman"/>
          <w:color w:val="222222"/>
          <w:sz w:val="24"/>
          <w:szCs w:val="24"/>
          <w:highlight w:val="white"/>
        </w:rPr>
        <w:t>Skudder</w:t>
      </w:r>
      <w:proofErr w:type="spellEnd"/>
      <w:r>
        <w:rPr>
          <w:rFonts w:ascii="Times New Roman" w:eastAsia="Times New Roman" w:hAnsi="Times New Roman" w:cs="Times New Roman"/>
          <w:color w:val="222222"/>
          <w:sz w:val="24"/>
          <w:szCs w:val="24"/>
          <w:highlight w:val="white"/>
        </w:rPr>
        <w:t xml:space="preserve"> et al. 2018</w:t>
      </w:r>
      <w:r>
        <w:rPr>
          <w:rFonts w:ascii="Times New Roman" w:eastAsia="Times New Roman" w:hAnsi="Times New Roman" w:cs="Times New Roman"/>
          <w:sz w:val="24"/>
          <w:szCs w:val="24"/>
        </w:rPr>
        <w:t xml:space="preserve">). On the basis of this fact, it can be said that since the description provided by Thomas Becker, a resident of the locality provided the description of a man which exactly matched with that of Harvey, the police officer might request the individual to stop and start investigating by asking a few questions. In such a case, the police officer might have to provide a detailed brief of the incident before further investigations about the crime can be carried forward. </w:t>
      </w:r>
    </w:p>
    <w:p w14:paraId="00000011" w14:textId="77777777" w:rsidR="005A373A" w:rsidRDefault="00AB5A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Secondly, as soon as the brief is provided to the intended individual, the police officer might initiate his investigation by asking relevant questions to the suspect. However, in such situations, it can be said that the accused might feel offended and behave in an aggressive or reluctant manner which might interrupt the flow of investigation. In this type of situation, the police officer in charge needs to maintain their calm attitude and also try to handle the situation with peace. Even though there come up certain individuals who behave in an aggressive manner and therefore, do not have the patience to deal with the questions. Moreover, some of them also tend to act by physically attacking the police or making any offensive move towards them. In order to take control of such circumstances, the officer might consider giving continuous warnings to the victim unless the situation gets out of hand (</w:t>
      </w:r>
      <w:r>
        <w:rPr>
          <w:rFonts w:ascii="Times New Roman" w:eastAsia="Times New Roman" w:hAnsi="Times New Roman" w:cs="Times New Roman"/>
          <w:color w:val="222222"/>
          <w:sz w:val="24"/>
          <w:szCs w:val="24"/>
          <w:highlight w:val="white"/>
        </w:rPr>
        <w:t>Hunter et al. 2021</w:t>
      </w:r>
      <w:r>
        <w:rPr>
          <w:rFonts w:ascii="Times New Roman" w:eastAsia="Times New Roman" w:hAnsi="Times New Roman" w:cs="Times New Roman"/>
          <w:sz w:val="24"/>
          <w:szCs w:val="24"/>
        </w:rPr>
        <w:t xml:space="preserve">). In case the circumstance gets out of hand, then they might consider taking adverse steps such as miss fire towards the suspect, or call back-up force or anything else. </w:t>
      </w:r>
    </w:p>
    <w:p w14:paraId="00000012" w14:textId="77777777" w:rsidR="005A373A" w:rsidRDefault="00AB5A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Lastly, the police officer might call the eye-witness to the spot where the suspect was stalled and carry out the investigation even further. The eye-witness, in this case, Thomas Becker will be asked by PC Steven regarding the initial description which he provided before the suspect was even caught. Accordingly, he will be brought in front of Harvey and therefore, asked to identify whether the individual turned in was the one who was the potential burglar. In case, the individual was identified clearly by the eye-witness, then the police will eventually arrest Harvey and take him to the police station and keep him under custody (</w:t>
      </w:r>
      <w:r>
        <w:rPr>
          <w:rFonts w:ascii="Times New Roman" w:eastAsia="Times New Roman" w:hAnsi="Times New Roman" w:cs="Times New Roman"/>
          <w:color w:val="222222"/>
          <w:sz w:val="24"/>
          <w:szCs w:val="24"/>
          <w:highlight w:val="white"/>
        </w:rPr>
        <w:t>Stokes &amp; Clare, 2019</w:t>
      </w:r>
      <w:r>
        <w:rPr>
          <w:rFonts w:ascii="Times New Roman" w:eastAsia="Times New Roman" w:hAnsi="Times New Roman" w:cs="Times New Roman"/>
          <w:sz w:val="24"/>
          <w:szCs w:val="24"/>
        </w:rPr>
        <w:t xml:space="preserve">). However, he will have the right to take advice from a legal consultant or make phone calls to his contacts who would be able to take necessary steps to get him released from custody. </w:t>
      </w:r>
    </w:p>
    <w:p w14:paraId="00000013" w14:textId="77777777" w:rsidR="005A373A" w:rsidRDefault="00AB5A41">
      <w:pPr>
        <w:pStyle w:val="Heading1"/>
      </w:pPr>
      <w:bookmarkStart w:id="4" w:name="_ghx4ru1mhqh3" w:colFirst="0" w:colLast="0"/>
      <w:bookmarkStart w:id="5" w:name="_Toc88619152"/>
      <w:bookmarkEnd w:id="4"/>
      <w:r>
        <w:t>Part two</w:t>
      </w:r>
      <w:bookmarkEnd w:id="5"/>
    </w:p>
    <w:p w14:paraId="00000014" w14:textId="77777777" w:rsidR="005A373A" w:rsidRDefault="00AB5A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Even though Harvey matched each and every detail that was provided by the witness in the crime scene against the burglary, it can be said that as a human being, he would have the right to defend himself from accusations which have been levied upon. Firstly, the police would have to comply with the “Police and Criminal Evidence Act 1984” and conduct all the activities which are required at the time of turning a suspect in. “The Police and Criminal Evidence Act of 1984” was enacted in response to the “Royal Commission on Criminal Procedure's” suggestions (</w:t>
      </w:r>
      <w:r>
        <w:rPr>
          <w:rFonts w:ascii="Times New Roman" w:eastAsia="Times New Roman" w:hAnsi="Times New Roman" w:cs="Times New Roman"/>
          <w:sz w:val="24"/>
          <w:szCs w:val="24"/>
          <w:highlight w:val="white"/>
        </w:rPr>
        <w:t>Legislation.gov.uk. 2021</w:t>
      </w:r>
      <w:r>
        <w:rPr>
          <w:rFonts w:ascii="Times New Roman" w:eastAsia="Times New Roman" w:hAnsi="Times New Roman" w:cs="Times New Roman"/>
          <w:sz w:val="24"/>
          <w:szCs w:val="24"/>
        </w:rPr>
        <w:t xml:space="preserve">). The objective of the “Police and Criminal Evidence (PACE) Act of 1984” was to consolidate enforcement powers under one code of </w:t>
      </w:r>
      <w:proofErr w:type="spellStart"/>
      <w:r>
        <w:rPr>
          <w:rFonts w:ascii="Times New Roman" w:eastAsia="Times New Roman" w:hAnsi="Times New Roman" w:cs="Times New Roman"/>
          <w:sz w:val="24"/>
          <w:szCs w:val="24"/>
        </w:rPr>
        <w:t>practise</w:t>
      </w:r>
      <w:proofErr w:type="spellEnd"/>
      <w:r>
        <w:rPr>
          <w:rFonts w:ascii="Times New Roman" w:eastAsia="Times New Roman" w:hAnsi="Times New Roman" w:cs="Times New Roman"/>
          <w:sz w:val="24"/>
          <w:szCs w:val="24"/>
        </w:rPr>
        <w:t xml:space="preserve"> and to meticulously control rights of the individual against police powers. The “1989 Order” is the corresponding provision in this authority.</w:t>
      </w:r>
    </w:p>
    <w:p w14:paraId="00000015" w14:textId="77777777" w:rsidR="005A373A" w:rsidRDefault="00AB5A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PACE required audio recording of all accused interviews, the right to legal assistance for accused persons, and time limits for detention before charging. PACE arose in response to increasing judicial and public condemnation of police conduct when interacting with suspects, most particularly in the mid-1970s cases of the Birmingham Six and Guildford Four, whose testimonies provided the backbone of cases against them and were eventually discovered to have been extorted by physical and psychological abuse. The verdicts were ultimately overturned. The reforms arose as a result of the system's refusal to accept that the police behaved badly in such cases. This is because, first and foremost, individuals would not be able to trust the police, and furthermore, the real perpetrators would still be around.</w:t>
      </w:r>
    </w:p>
    <w:p w14:paraId="00000016" w14:textId="77777777" w:rsidR="005A373A" w:rsidRDefault="00AB5A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Harvey might also consider taking into account the Human Rights Act 1998 since his basic rights are getting violated by taking him into custody without strong evidence to the situation. This Act is intended to give stronger impact to the fundamental rights guaranteed by the “European Convention on Human Rights”, to make provisions for beneficiaries of certain judicial departments who become judges of the “European Court of Human Rights”, and for other related matters (</w:t>
      </w:r>
      <w:r>
        <w:rPr>
          <w:rFonts w:ascii="Times New Roman" w:eastAsia="Times New Roman" w:hAnsi="Times New Roman" w:cs="Times New Roman"/>
          <w:sz w:val="24"/>
          <w:szCs w:val="24"/>
          <w:highlight w:val="white"/>
        </w:rPr>
        <w:t>Legislation.gov.uk. 2021</w:t>
      </w:r>
      <w:r>
        <w:rPr>
          <w:rFonts w:ascii="Times New Roman" w:eastAsia="Times New Roman" w:hAnsi="Times New Roman" w:cs="Times New Roman"/>
          <w:sz w:val="24"/>
          <w:szCs w:val="24"/>
        </w:rPr>
        <w:t>).</w:t>
      </w:r>
    </w:p>
    <w:p w14:paraId="00000017" w14:textId="77777777" w:rsidR="005A373A" w:rsidRDefault="00AB5A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Apart from this, the “Criminal Justice and Public Order Act 1994” can also be implied in this case from the perspective of Harvey. This Act makes additional provisions for criminal justice (such as </w:t>
      </w:r>
      <w:proofErr w:type="gramStart"/>
      <w:r>
        <w:rPr>
          <w:rFonts w:ascii="Times New Roman" w:eastAsia="Times New Roman" w:hAnsi="Times New Roman" w:cs="Times New Roman"/>
          <w:sz w:val="24"/>
          <w:szCs w:val="24"/>
        </w:rPr>
        <w:t>full time</w:t>
      </w:r>
      <w:proofErr w:type="gramEnd"/>
      <w:r>
        <w:rPr>
          <w:rFonts w:ascii="Times New Roman" w:eastAsia="Times New Roman" w:hAnsi="Times New Roman" w:cs="Times New Roman"/>
          <w:sz w:val="24"/>
          <w:szCs w:val="24"/>
        </w:rPr>
        <w:t xml:space="preserve"> work in the probation service); amends or extends criminal law and powers for avoiding and upholding crime; amends the “Video Recordings Act 1984”; and for purposes related to those provisions. In this case, there is only one eye-witness who has stepped forward to provide any available details regarding the crime scene (</w:t>
      </w:r>
      <w:r>
        <w:rPr>
          <w:rFonts w:ascii="Times New Roman" w:eastAsia="Times New Roman" w:hAnsi="Times New Roman" w:cs="Times New Roman"/>
          <w:sz w:val="24"/>
          <w:szCs w:val="24"/>
          <w:highlight w:val="white"/>
        </w:rPr>
        <w:t>Legislation.gov.uk. 2021</w:t>
      </w:r>
      <w:r>
        <w:rPr>
          <w:rFonts w:ascii="Times New Roman" w:eastAsia="Times New Roman" w:hAnsi="Times New Roman" w:cs="Times New Roman"/>
          <w:sz w:val="24"/>
          <w:szCs w:val="24"/>
        </w:rPr>
        <w:t>). On the other hand, there was no such physical evidence presented against Harvey which would solidify the allegations under which he has been taken into custody. On the basis of this fact, legally, he would have the right to claim for getting released from the police station so that he can return back to his home.</w:t>
      </w:r>
    </w:p>
    <w:p w14:paraId="00000018" w14:textId="77777777" w:rsidR="005A373A" w:rsidRDefault="00AB5A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Another law that can be taken into consideration in such a case is the Bail Act 1976. The Bail Act was signed into law by the Queen in November 1976. Its most important provision is the establishment of a statutory "presumption" in </w:t>
      </w:r>
      <w:proofErr w:type="spellStart"/>
      <w:r>
        <w:rPr>
          <w:rFonts w:ascii="Times New Roman" w:eastAsia="Times New Roman" w:hAnsi="Times New Roman" w:cs="Times New Roman"/>
          <w:sz w:val="24"/>
          <w:szCs w:val="24"/>
        </w:rPr>
        <w:t>favour</w:t>
      </w:r>
      <w:proofErr w:type="spellEnd"/>
      <w:r>
        <w:rPr>
          <w:rFonts w:ascii="Times New Roman" w:eastAsia="Times New Roman" w:hAnsi="Times New Roman" w:cs="Times New Roman"/>
          <w:sz w:val="24"/>
          <w:szCs w:val="24"/>
        </w:rPr>
        <w:t xml:space="preserve"> of bail. Unless the courts are satisfied that one of the exceptions listed in Schedule 1 to the Act applies to the case, the courts are obligated to grant bail to accused persons. There are five exclusions, two of which are clearly significant (</w:t>
      </w:r>
      <w:r>
        <w:rPr>
          <w:rFonts w:ascii="Times New Roman" w:eastAsia="Times New Roman" w:hAnsi="Times New Roman" w:cs="Times New Roman"/>
          <w:sz w:val="24"/>
          <w:szCs w:val="24"/>
          <w:highlight w:val="white"/>
        </w:rPr>
        <w:t>Legislation.gov.uk. 2021</w:t>
      </w:r>
      <w:r>
        <w:rPr>
          <w:rFonts w:ascii="Times New Roman" w:eastAsia="Times New Roman" w:hAnsi="Times New Roman" w:cs="Times New Roman"/>
          <w:sz w:val="24"/>
          <w:szCs w:val="24"/>
        </w:rPr>
        <w:t>). One of these allows bail to be rejected if the court determines that there are substantial grounds to believe that if the defendant is released on bail, he or she will fail to surrender, dedicate an offence, or interrupt the witnesses.</w:t>
      </w:r>
    </w:p>
    <w:p w14:paraId="00000019" w14:textId="77777777" w:rsidR="005A373A" w:rsidRDefault="00AB5A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Act's only significant change is the presumption in </w:t>
      </w:r>
      <w:proofErr w:type="spellStart"/>
      <w:r>
        <w:rPr>
          <w:rFonts w:ascii="Times New Roman" w:eastAsia="Times New Roman" w:hAnsi="Times New Roman" w:cs="Times New Roman"/>
          <w:sz w:val="24"/>
          <w:szCs w:val="24"/>
        </w:rPr>
        <w:t>favour</w:t>
      </w:r>
      <w:proofErr w:type="spellEnd"/>
      <w:r>
        <w:rPr>
          <w:rFonts w:ascii="Times New Roman" w:eastAsia="Times New Roman" w:hAnsi="Times New Roman" w:cs="Times New Roman"/>
          <w:sz w:val="24"/>
          <w:szCs w:val="24"/>
        </w:rPr>
        <w:t xml:space="preserve"> of bail; the rest of its provisions are minor in nature. The surety system is still in place. There are no restrictions on courts' ability to require defendants to discover indemnification as a condition of bail, despite the fact that this liberty is an efficient method of denying bail. The Act establishes a right for a surety who has been rejected by the police to pertain to a court for affirmation, but it also makes clear, which previous case law did not, that consideration may be given not only to a surety's monetary backing, but also to his personality, criminal history, and relationship with the accused (</w:t>
      </w:r>
      <w:r>
        <w:rPr>
          <w:rFonts w:ascii="Times New Roman" w:eastAsia="Times New Roman" w:hAnsi="Times New Roman" w:cs="Times New Roman"/>
          <w:sz w:val="24"/>
          <w:szCs w:val="24"/>
          <w:highlight w:val="white"/>
        </w:rPr>
        <w:t>Legislation.gov.uk. 2021</w:t>
      </w:r>
      <w:r>
        <w:rPr>
          <w:rFonts w:ascii="Times New Roman" w:eastAsia="Times New Roman" w:hAnsi="Times New Roman" w:cs="Times New Roman"/>
          <w:sz w:val="24"/>
          <w:szCs w:val="24"/>
        </w:rPr>
        <w:t>).</w:t>
      </w:r>
    </w:p>
    <w:p w14:paraId="0000001A" w14:textId="77777777" w:rsidR="005A373A" w:rsidRDefault="00AB5A41">
      <w:pPr>
        <w:pStyle w:val="Heading1"/>
      </w:pPr>
      <w:bookmarkStart w:id="6" w:name="_zf5ds77thhi7" w:colFirst="0" w:colLast="0"/>
      <w:bookmarkStart w:id="7" w:name="_Toc88619153"/>
      <w:bookmarkEnd w:id="6"/>
      <w:r>
        <w:t>Conclusion</w:t>
      </w:r>
      <w:bookmarkEnd w:id="7"/>
    </w:p>
    <w:p w14:paraId="0000001B" w14:textId="77777777" w:rsidR="005A373A" w:rsidRDefault="00AB5A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According to the discussions carried out previously, it can be said that there has been consistent proof and evidence that Harvey is the ultimate burglar which happened in 10 Chesterfield Lane. However, he cannot be arrested on the basis of one single eye-witness. </w:t>
      </w:r>
      <w:proofErr w:type="gramStart"/>
      <w:r>
        <w:rPr>
          <w:rFonts w:ascii="Times New Roman" w:eastAsia="Times New Roman" w:hAnsi="Times New Roman" w:cs="Times New Roman"/>
          <w:sz w:val="24"/>
          <w:szCs w:val="24"/>
        </w:rPr>
        <w:t>Still</w:t>
      </w:r>
      <w:proofErr w:type="gramEnd"/>
      <w:r>
        <w:rPr>
          <w:rFonts w:ascii="Times New Roman" w:eastAsia="Times New Roman" w:hAnsi="Times New Roman" w:cs="Times New Roman"/>
          <w:sz w:val="24"/>
          <w:szCs w:val="24"/>
        </w:rPr>
        <w:t xml:space="preserve"> he would eventually get arrested for further investigations. However, as portrayed in the second part, he would have a variety of rights and freedom so that he can be able to prove himself not guilty and get freed from the accusations charged against him.</w:t>
      </w:r>
      <w:r>
        <w:br w:type="page"/>
      </w:r>
    </w:p>
    <w:p w14:paraId="0000001C" w14:textId="77777777" w:rsidR="005A373A" w:rsidRDefault="00AB5A41" w:rsidP="005F20EC">
      <w:pPr>
        <w:pStyle w:val="Heading1"/>
      </w:pPr>
      <w:bookmarkStart w:id="8" w:name="_Toc88619154"/>
      <w:r>
        <w:t>Reference List</w:t>
      </w:r>
      <w:bookmarkEnd w:id="8"/>
    </w:p>
    <w:p w14:paraId="727F3345" w14:textId="77777777" w:rsidR="005F20EC" w:rsidRDefault="005F20EC" w:rsidP="005F20EC">
      <w:pPr>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Hunter, J., Ward, B., </w:t>
      </w:r>
      <w:proofErr w:type="spellStart"/>
      <w:r>
        <w:rPr>
          <w:rFonts w:ascii="Times New Roman" w:eastAsia="Times New Roman" w:hAnsi="Times New Roman" w:cs="Times New Roman"/>
          <w:color w:val="222222"/>
          <w:sz w:val="24"/>
          <w:szCs w:val="24"/>
          <w:highlight w:val="white"/>
        </w:rPr>
        <w:t>Tseloni</w:t>
      </w:r>
      <w:proofErr w:type="spellEnd"/>
      <w:r>
        <w:rPr>
          <w:rFonts w:ascii="Times New Roman" w:eastAsia="Times New Roman" w:hAnsi="Times New Roman" w:cs="Times New Roman"/>
          <w:color w:val="222222"/>
          <w:sz w:val="24"/>
          <w:szCs w:val="24"/>
          <w:highlight w:val="white"/>
        </w:rPr>
        <w:t xml:space="preserve">, A., &amp; Pease, K. (2021). Where should police forces target their residential burglary reduction efforts? Using official </w:t>
      </w:r>
      <w:proofErr w:type="spellStart"/>
      <w:r>
        <w:rPr>
          <w:rFonts w:ascii="Times New Roman" w:eastAsia="Times New Roman" w:hAnsi="Times New Roman" w:cs="Times New Roman"/>
          <w:color w:val="222222"/>
          <w:sz w:val="24"/>
          <w:szCs w:val="24"/>
          <w:highlight w:val="white"/>
        </w:rPr>
        <w:t>victimisation</w:t>
      </w:r>
      <w:proofErr w:type="spellEnd"/>
      <w:r>
        <w:rPr>
          <w:rFonts w:ascii="Times New Roman" w:eastAsia="Times New Roman" w:hAnsi="Times New Roman" w:cs="Times New Roman"/>
          <w:color w:val="222222"/>
          <w:sz w:val="24"/>
          <w:szCs w:val="24"/>
          <w:highlight w:val="white"/>
        </w:rPr>
        <w:t xml:space="preserve"> data to predict burglary incidences at the </w:t>
      </w:r>
      <w:proofErr w:type="spellStart"/>
      <w:r>
        <w:rPr>
          <w:rFonts w:ascii="Times New Roman" w:eastAsia="Times New Roman" w:hAnsi="Times New Roman" w:cs="Times New Roman"/>
          <w:color w:val="222222"/>
          <w:sz w:val="24"/>
          <w:szCs w:val="24"/>
          <w:highlight w:val="white"/>
        </w:rPr>
        <w:t>neighbourhood</w:t>
      </w:r>
      <w:proofErr w:type="spellEnd"/>
      <w:r>
        <w:rPr>
          <w:rFonts w:ascii="Times New Roman" w:eastAsia="Times New Roman" w:hAnsi="Times New Roman" w:cs="Times New Roman"/>
          <w:color w:val="222222"/>
          <w:sz w:val="24"/>
          <w:szCs w:val="24"/>
          <w:highlight w:val="white"/>
        </w:rPr>
        <w:t xml:space="preserve"> level. </w:t>
      </w:r>
      <w:r>
        <w:rPr>
          <w:rFonts w:ascii="Times New Roman" w:eastAsia="Times New Roman" w:hAnsi="Times New Roman" w:cs="Times New Roman"/>
          <w:i/>
          <w:color w:val="222222"/>
          <w:sz w:val="24"/>
          <w:szCs w:val="24"/>
          <w:highlight w:val="white"/>
        </w:rPr>
        <w:t>Crime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(1), 1-11.</w:t>
      </w:r>
    </w:p>
    <w:p w14:paraId="14DEC88B" w14:textId="77777777" w:rsidR="005F20EC" w:rsidRDefault="005F20EC" w:rsidP="005F20EC">
      <w:pPr>
        <w:spacing w:line="360" w:lineRule="auto"/>
        <w:ind w:left="720" w:hanging="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Legislation.gov.uk. (2021). </w:t>
      </w:r>
      <w:r>
        <w:rPr>
          <w:rFonts w:ascii="Times New Roman" w:eastAsia="Times New Roman" w:hAnsi="Times New Roman" w:cs="Times New Roman"/>
          <w:i/>
          <w:sz w:val="24"/>
          <w:szCs w:val="24"/>
          <w:highlight w:val="white"/>
        </w:rPr>
        <w:t>Bail Act 1976</w:t>
      </w:r>
      <w:r>
        <w:rPr>
          <w:rFonts w:ascii="Times New Roman" w:eastAsia="Times New Roman" w:hAnsi="Times New Roman" w:cs="Times New Roman"/>
          <w:sz w:val="24"/>
          <w:szCs w:val="24"/>
          <w:highlight w:val="white"/>
        </w:rPr>
        <w:t xml:space="preserve">. Retrieved 23 November 2021, from </w:t>
      </w:r>
      <w:hyperlink r:id="rId7">
        <w:r>
          <w:rPr>
            <w:rFonts w:ascii="Times New Roman" w:eastAsia="Times New Roman" w:hAnsi="Times New Roman" w:cs="Times New Roman"/>
            <w:color w:val="1155CC"/>
            <w:sz w:val="24"/>
            <w:szCs w:val="24"/>
            <w:highlight w:val="white"/>
            <w:u w:val="single"/>
          </w:rPr>
          <w:t>https://www.legislation.gov.uk/ukpga/1976/63/introduction</w:t>
        </w:r>
      </w:hyperlink>
      <w:r>
        <w:rPr>
          <w:rFonts w:ascii="Times New Roman" w:eastAsia="Times New Roman" w:hAnsi="Times New Roman" w:cs="Times New Roman"/>
          <w:sz w:val="24"/>
          <w:szCs w:val="24"/>
          <w:highlight w:val="white"/>
        </w:rPr>
        <w:t>.</w:t>
      </w:r>
    </w:p>
    <w:p w14:paraId="41C03451" w14:textId="77777777" w:rsidR="005F20EC" w:rsidRDefault="005F20EC" w:rsidP="005F20EC">
      <w:pPr>
        <w:spacing w:line="360" w:lineRule="auto"/>
        <w:ind w:left="720" w:hanging="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Legislation.gov.uk. (2021). </w:t>
      </w:r>
      <w:r>
        <w:rPr>
          <w:rFonts w:ascii="Times New Roman" w:eastAsia="Times New Roman" w:hAnsi="Times New Roman" w:cs="Times New Roman"/>
          <w:i/>
          <w:sz w:val="24"/>
          <w:szCs w:val="24"/>
          <w:highlight w:val="white"/>
        </w:rPr>
        <w:t>Criminal Justice and Public Order Act 1994</w:t>
      </w:r>
      <w:r>
        <w:rPr>
          <w:rFonts w:ascii="Times New Roman" w:eastAsia="Times New Roman" w:hAnsi="Times New Roman" w:cs="Times New Roman"/>
          <w:sz w:val="24"/>
          <w:szCs w:val="24"/>
          <w:highlight w:val="white"/>
        </w:rPr>
        <w:t xml:space="preserve">. Retrieved 23 November 2021, from </w:t>
      </w:r>
      <w:hyperlink r:id="rId8">
        <w:r>
          <w:rPr>
            <w:rFonts w:ascii="Times New Roman" w:eastAsia="Times New Roman" w:hAnsi="Times New Roman" w:cs="Times New Roman"/>
            <w:color w:val="1155CC"/>
            <w:sz w:val="24"/>
            <w:szCs w:val="24"/>
            <w:highlight w:val="white"/>
            <w:u w:val="single"/>
          </w:rPr>
          <w:t>https://www.legislation.gov.uk/ukpga/1994/33/introduction</w:t>
        </w:r>
      </w:hyperlink>
      <w:r>
        <w:rPr>
          <w:rFonts w:ascii="Times New Roman" w:eastAsia="Times New Roman" w:hAnsi="Times New Roman" w:cs="Times New Roman"/>
          <w:sz w:val="24"/>
          <w:szCs w:val="24"/>
          <w:highlight w:val="white"/>
        </w:rPr>
        <w:t>.</w:t>
      </w:r>
    </w:p>
    <w:p w14:paraId="05A3EDA2" w14:textId="77777777" w:rsidR="005F20EC" w:rsidRDefault="005F20EC" w:rsidP="005F20EC">
      <w:pPr>
        <w:spacing w:line="360" w:lineRule="auto"/>
        <w:ind w:left="720" w:hanging="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Legislation.gov.uk. (2021). </w:t>
      </w:r>
      <w:r>
        <w:rPr>
          <w:rFonts w:ascii="Times New Roman" w:eastAsia="Times New Roman" w:hAnsi="Times New Roman" w:cs="Times New Roman"/>
          <w:i/>
          <w:sz w:val="24"/>
          <w:szCs w:val="24"/>
          <w:highlight w:val="white"/>
        </w:rPr>
        <w:t>Human Rights Act 1998</w:t>
      </w:r>
      <w:r>
        <w:rPr>
          <w:rFonts w:ascii="Times New Roman" w:eastAsia="Times New Roman" w:hAnsi="Times New Roman" w:cs="Times New Roman"/>
          <w:sz w:val="24"/>
          <w:szCs w:val="24"/>
          <w:highlight w:val="white"/>
        </w:rPr>
        <w:t xml:space="preserve">. Retrieved 23 November 2021, from </w:t>
      </w:r>
      <w:hyperlink r:id="rId9">
        <w:r>
          <w:rPr>
            <w:rFonts w:ascii="Times New Roman" w:eastAsia="Times New Roman" w:hAnsi="Times New Roman" w:cs="Times New Roman"/>
            <w:color w:val="1155CC"/>
            <w:sz w:val="24"/>
            <w:szCs w:val="24"/>
            <w:highlight w:val="white"/>
            <w:u w:val="single"/>
          </w:rPr>
          <w:t>https://www.legislation.gov.uk/ukpga/1998/42/introduction</w:t>
        </w:r>
      </w:hyperlink>
      <w:r>
        <w:rPr>
          <w:rFonts w:ascii="Times New Roman" w:eastAsia="Times New Roman" w:hAnsi="Times New Roman" w:cs="Times New Roman"/>
          <w:sz w:val="24"/>
          <w:szCs w:val="24"/>
          <w:highlight w:val="white"/>
        </w:rPr>
        <w:t>.</w:t>
      </w:r>
    </w:p>
    <w:p w14:paraId="7CE00A08" w14:textId="77777777" w:rsidR="005F20EC" w:rsidRDefault="005F20EC" w:rsidP="005F20EC">
      <w:pPr>
        <w:spacing w:line="360" w:lineRule="auto"/>
        <w:ind w:left="720" w:hanging="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Legislation.gov.uk. (2021). </w:t>
      </w:r>
      <w:r>
        <w:rPr>
          <w:rFonts w:ascii="Times New Roman" w:eastAsia="Times New Roman" w:hAnsi="Times New Roman" w:cs="Times New Roman"/>
          <w:i/>
          <w:sz w:val="24"/>
          <w:szCs w:val="24"/>
          <w:highlight w:val="white"/>
        </w:rPr>
        <w:t>Police and Criminal Evidence Act 1984</w:t>
      </w:r>
      <w:r>
        <w:rPr>
          <w:rFonts w:ascii="Times New Roman" w:eastAsia="Times New Roman" w:hAnsi="Times New Roman" w:cs="Times New Roman"/>
          <w:sz w:val="24"/>
          <w:szCs w:val="24"/>
          <w:highlight w:val="white"/>
        </w:rPr>
        <w:t xml:space="preserve">. Retrieved 23 November 2021, from </w:t>
      </w:r>
      <w:hyperlink r:id="rId10">
        <w:r>
          <w:rPr>
            <w:rFonts w:ascii="Times New Roman" w:eastAsia="Times New Roman" w:hAnsi="Times New Roman" w:cs="Times New Roman"/>
            <w:color w:val="1155CC"/>
            <w:sz w:val="24"/>
            <w:szCs w:val="24"/>
            <w:highlight w:val="white"/>
            <w:u w:val="single"/>
          </w:rPr>
          <w:t>https://www.legislation.gov.uk/ukpga/1984/60/contents</w:t>
        </w:r>
      </w:hyperlink>
      <w:r>
        <w:rPr>
          <w:rFonts w:ascii="Times New Roman" w:eastAsia="Times New Roman" w:hAnsi="Times New Roman" w:cs="Times New Roman"/>
          <w:sz w:val="24"/>
          <w:szCs w:val="24"/>
          <w:highlight w:val="white"/>
        </w:rPr>
        <w:t>.</w:t>
      </w:r>
    </w:p>
    <w:p w14:paraId="39EDDF39" w14:textId="77777777" w:rsidR="005F20EC" w:rsidRDefault="005F20EC" w:rsidP="005F20EC">
      <w:pPr>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Roach, J., Cartwright, A., Weir, K., Richards, S., &amp; Weir, M. (2020). Reducing student burglary </w:t>
      </w:r>
      <w:proofErr w:type="spellStart"/>
      <w:r>
        <w:rPr>
          <w:rFonts w:ascii="Times New Roman" w:eastAsia="Times New Roman" w:hAnsi="Times New Roman" w:cs="Times New Roman"/>
          <w:color w:val="222222"/>
          <w:sz w:val="24"/>
          <w:szCs w:val="24"/>
          <w:highlight w:val="white"/>
        </w:rPr>
        <w:t>victimisation</w:t>
      </w:r>
      <w:proofErr w:type="spellEnd"/>
      <w:r>
        <w:rPr>
          <w:rFonts w:ascii="Times New Roman" w:eastAsia="Times New Roman" w:hAnsi="Times New Roman" w:cs="Times New Roman"/>
          <w:color w:val="222222"/>
          <w:sz w:val="24"/>
          <w:szCs w:val="24"/>
          <w:highlight w:val="white"/>
        </w:rPr>
        <w:t xml:space="preserve"> using the Nudge approach. </w:t>
      </w:r>
      <w:r>
        <w:rPr>
          <w:rFonts w:ascii="Times New Roman" w:eastAsia="Times New Roman" w:hAnsi="Times New Roman" w:cs="Times New Roman"/>
          <w:i/>
          <w:color w:val="222222"/>
          <w:sz w:val="24"/>
          <w:szCs w:val="24"/>
          <w:highlight w:val="white"/>
        </w:rPr>
        <w:t>Crime Prevention and Community Safety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(4), 364-380.</w:t>
      </w:r>
    </w:p>
    <w:p w14:paraId="75997388" w14:textId="77777777" w:rsidR="005F20EC" w:rsidRDefault="005F20EC" w:rsidP="005F20EC">
      <w:pPr>
        <w:spacing w:line="360" w:lineRule="auto"/>
        <w:ind w:left="720" w:hanging="720"/>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Skudder</w:t>
      </w:r>
      <w:proofErr w:type="spellEnd"/>
      <w:r>
        <w:rPr>
          <w:rFonts w:ascii="Times New Roman" w:eastAsia="Times New Roman" w:hAnsi="Times New Roman" w:cs="Times New Roman"/>
          <w:color w:val="222222"/>
          <w:sz w:val="24"/>
          <w:szCs w:val="24"/>
          <w:highlight w:val="white"/>
        </w:rPr>
        <w:t xml:space="preserve">, H., Brunton-Smith, I., </w:t>
      </w:r>
      <w:proofErr w:type="spellStart"/>
      <w:r>
        <w:rPr>
          <w:rFonts w:ascii="Times New Roman" w:eastAsia="Times New Roman" w:hAnsi="Times New Roman" w:cs="Times New Roman"/>
          <w:color w:val="222222"/>
          <w:sz w:val="24"/>
          <w:szCs w:val="24"/>
          <w:highlight w:val="white"/>
        </w:rPr>
        <w:t>Tseloni</w:t>
      </w:r>
      <w:proofErr w:type="spellEnd"/>
      <w:r>
        <w:rPr>
          <w:rFonts w:ascii="Times New Roman" w:eastAsia="Times New Roman" w:hAnsi="Times New Roman" w:cs="Times New Roman"/>
          <w:color w:val="222222"/>
          <w:sz w:val="24"/>
          <w:szCs w:val="24"/>
          <w:highlight w:val="white"/>
        </w:rPr>
        <w:t xml:space="preserve">, A., McInnes, A., Cole, J., Thompson, R., &amp; </w:t>
      </w:r>
      <w:proofErr w:type="spellStart"/>
      <w:r>
        <w:rPr>
          <w:rFonts w:ascii="Times New Roman" w:eastAsia="Times New Roman" w:hAnsi="Times New Roman" w:cs="Times New Roman"/>
          <w:color w:val="222222"/>
          <w:sz w:val="24"/>
          <w:szCs w:val="24"/>
          <w:highlight w:val="white"/>
        </w:rPr>
        <w:t>Druckman</w:t>
      </w:r>
      <w:proofErr w:type="spellEnd"/>
      <w:r>
        <w:rPr>
          <w:rFonts w:ascii="Times New Roman" w:eastAsia="Times New Roman" w:hAnsi="Times New Roman" w:cs="Times New Roman"/>
          <w:color w:val="222222"/>
          <w:sz w:val="24"/>
          <w:szCs w:val="24"/>
          <w:highlight w:val="white"/>
        </w:rPr>
        <w:t xml:space="preserve">, A. (2018). Can burglary prevention be low-carbon and effective? Investigating the environmental performance of burglary prevention measures. </w:t>
      </w:r>
      <w:r>
        <w:rPr>
          <w:rFonts w:ascii="Times New Roman" w:eastAsia="Times New Roman" w:hAnsi="Times New Roman" w:cs="Times New Roman"/>
          <w:i/>
          <w:color w:val="222222"/>
          <w:sz w:val="24"/>
          <w:szCs w:val="24"/>
          <w:highlight w:val="white"/>
        </w:rPr>
        <w:t>Security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(1), 111-138.</w:t>
      </w:r>
    </w:p>
    <w:p w14:paraId="1AF222D7" w14:textId="77777777" w:rsidR="005F20EC" w:rsidRDefault="005F20EC" w:rsidP="005F20EC">
      <w:pPr>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Stokes, N., &amp; Clare, J. (2019). Preventing near-repeat residential burglary through cocooning: Post hoc evaluation of a targeted police-led pilot intervention. </w:t>
      </w:r>
      <w:r>
        <w:rPr>
          <w:rFonts w:ascii="Times New Roman" w:eastAsia="Times New Roman" w:hAnsi="Times New Roman" w:cs="Times New Roman"/>
          <w:i/>
          <w:color w:val="222222"/>
          <w:sz w:val="24"/>
          <w:szCs w:val="24"/>
          <w:highlight w:val="white"/>
        </w:rPr>
        <w:t>Security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w:t>
      </w:r>
      <w:r>
        <w:rPr>
          <w:rFonts w:ascii="Times New Roman" w:eastAsia="Times New Roman" w:hAnsi="Times New Roman" w:cs="Times New Roman"/>
          <w:color w:val="222222"/>
          <w:sz w:val="24"/>
          <w:szCs w:val="24"/>
          <w:highlight w:val="white"/>
        </w:rPr>
        <w:t>(1), 45-62.</w:t>
      </w:r>
    </w:p>
    <w:sectPr w:rsidR="005F20EC">
      <w:headerReference w:type="default" r:id="rId11"/>
      <w:headerReference w:type="first" r:id="rId12"/>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D1847E" w14:textId="77777777" w:rsidR="0004330A" w:rsidRDefault="0004330A">
      <w:pPr>
        <w:spacing w:line="240" w:lineRule="auto"/>
      </w:pPr>
      <w:r>
        <w:separator/>
      </w:r>
    </w:p>
  </w:endnote>
  <w:endnote w:type="continuationSeparator" w:id="0">
    <w:p w14:paraId="29FD503C" w14:textId="77777777" w:rsidR="0004330A" w:rsidRDefault="000433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A97FA4" w14:textId="77777777" w:rsidR="0004330A" w:rsidRDefault="0004330A">
      <w:pPr>
        <w:spacing w:line="240" w:lineRule="auto"/>
      </w:pPr>
      <w:r>
        <w:separator/>
      </w:r>
    </w:p>
  </w:footnote>
  <w:footnote w:type="continuationSeparator" w:id="0">
    <w:p w14:paraId="1C8D011B" w14:textId="77777777" w:rsidR="0004330A" w:rsidRDefault="0004330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6" w14:textId="3B4237B0" w:rsidR="005A373A" w:rsidRDefault="00AB5A41">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5F20EC">
      <w:rPr>
        <w:rFonts w:ascii="Times New Roman" w:eastAsia="Times New Roman" w:hAnsi="Times New Roman" w:cs="Times New Roman"/>
        <w:noProof/>
        <w:sz w:val="20"/>
        <w:szCs w:val="20"/>
      </w:rPr>
      <w:t>2</w:t>
    </w:r>
    <w:r>
      <w:rPr>
        <w:rFonts w:ascii="Times New Roman" w:eastAsia="Times New Roman" w:hAnsi="Times New Roman" w:cs="Times New Roman"/>
        <w:sz w:val="20"/>
        <w:szCs w:val="20"/>
      </w:rPr>
      <w:fldChar w:fldCharType="end"/>
    </w:r>
  </w:p>
  <w:p w14:paraId="00000027" w14:textId="77777777" w:rsidR="005A373A" w:rsidRDefault="00AB5A41">
    <w:pPr>
      <w:spacing w:line="360" w:lineRule="auto"/>
      <w:jc w:val="both"/>
      <w:rPr>
        <w:rFonts w:ascii="Times New Roman" w:eastAsia="Times New Roman" w:hAnsi="Times New Roman" w:cs="Times New Roman"/>
        <w:sz w:val="8"/>
        <w:szCs w:val="8"/>
      </w:rPr>
    </w:pPr>
    <w:r>
      <w:rPr>
        <w:rFonts w:ascii="Times New Roman" w:eastAsia="Times New Roman" w:hAnsi="Times New Roman" w:cs="Times New Roman"/>
        <w:sz w:val="20"/>
        <w:szCs w:val="20"/>
      </w:rPr>
      <w:t>Law and Legal Practices: Criminal Litigations: Assignment 2 – Scenario Question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5" w14:textId="77777777" w:rsidR="005A373A" w:rsidRDefault="00AB5A41">
    <w:pPr>
      <w:spacing w:line="360" w:lineRule="auto"/>
      <w:jc w:val="both"/>
    </w:pPr>
    <w:r>
      <w:rPr>
        <w:rFonts w:ascii="Times New Roman" w:eastAsia="Times New Roman" w:hAnsi="Times New Roman" w:cs="Times New Roman"/>
        <w:sz w:val="20"/>
        <w:szCs w:val="20"/>
      </w:rPr>
      <w:t>Running Head: Law and Legal Practices: Criminal Litigations: Assignment 2 – Scenario Question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373A"/>
    <w:rsid w:val="0004330A"/>
    <w:rsid w:val="005A373A"/>
    <w:rsid w:val="005F20EC"/>
    <w:rsid w:val="00885D17"/>
    <w:rsid w:val="008D01D8"/>
    <w:rsid w:val="00A820D0"/>
    <w:rsid w:val="00AB5A41"/>
    <w:rsid w:val="00D30D47"/>
    <w:rsid w:val="00F91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51E09"/>
  <w15:docId w15:val="{A0090884-D9B7-44A4-B704-68AE3D9F0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5F20E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F20EC"/>
    <w:pPr>
      <w:spacing w:after="100"/>
    </w:pPr>
  </w:style>
  <w:style w:type="character" w:styleId="Hyperlink">
    <w:name w:val="Hyperlink"/>
    <w:basedOn w:val="DefaultParagraphFont"/>
    <w:uiPriority w:val="99"/>
    <w:unhideWhenUsed/>
    <w:rsid w:val="005F20E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94/33/introductio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gislation.gov.uk/ukpga/1976/63/introduction" TargetMode="External"/><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legislation.gov.uk/ukpga/1984/60/contents" TargetMode="External"/><Relationship Id="rId4" Type="http://schemas.openxmlformats.org/officeDocument/2006/relationships/webSettings" Target="webSettings.xml"/><Relationship Id="rId9" Type="http://schemas.openxmlformats.org/officeDocument/2006/relationships/hyperlink" Target="https://www.legislation.gov.uk/ukpga/1998/42/introduc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936BF2-2643-43B1-B421-979759EB10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7</Pages>
  <Words>1727</Words>
  <Characters>9846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khalid haile</cp:lastModifiedBy>
  <cp:revision>7</cp:revision>
  <dcterms:created xsi:type="dcterms:W3CDTF">2021-11-23T22:34:00Z</dcterms:created>
  <dcterms:modified xsi:type="dcterms:W3CDTF">2021-12-10T11:55:00Z</dcterms:modified>
</cp:coreProperties>
</file>