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2C34BE" w:rsidP="522C34BE" w:rsidRDefault="522C34BE" w14:paraId="08D0B405" w14:textId="7A0DED46">
      <w:pPr>
        <w:pStyle w:val="Normal"/>
      </w:pPr>
    </w:p>
    <w:p w:rsidR="522C34BE" w:rsidP="522C34BE" w:rsidRDefault="522C34BE" w14:paraId="0B747571" w14:textId="42973D5A">
      <w:pPr>
        <w:pStyle w:val="Normal"/>
        <w:jc w:val="center"/>
        <w:rPr>
          <w:rFonts w:ascii="Arial" w:hAnsi="Arial" w:eastAsia="Arial" w:cs="Arial"/>
          <w:b w:val="1"/>
          <w:bCs w:val="1"/>
          <w:sz w:val="72"/>
          <w:szCs w:val="72"/>
        </w:rPr>
      </w:pPr>
    </w:p>
    <w:p w:rsidR="522C34BE" w:rsidP="522C34BE" w:rsidRDefault="522C34BE" w14:paraId="2CD37167" w14:textId="306DBB31">
      <w:pPr>
        <w:pStyle w:val="Normal"/>
        <w:jc w:val="center"/>
        <w:rPr>
          <w:rFonts w:ascii="Arial" w:hAnsi="Arial" w:eastAsia="Arial" w:cs="Arial"/>
          <w:b w:val="1"/>
          <w:bCs w:val="1"/>
          <w:sz w:val="72"/>
          <w:szCs w:val="72"/>
        </w:rPr>
      </w:pPr>
    </w:p>
    <w:p w:rsidR="1AEF6C09" w:rsidP="522C34BE" w:rsidRDefault="1AEF6C09" w14:paraId="3DCE499F" w14:textId="1C41C102">
      <w:pPr>
        <w:pStyle w:val="Normal"/>
        <w:jc w:val="center"/>
        <w:rPr>
          <w:rFonts w:ascii="Arial" w:hAnsi="Arial" w:eastAsia="Arial" w:cs="Arial"/>
          <w:b w:val="1"/>
          <w:bCs w:val="1"/>
          <w:sz w:val="72"/>
          <w:szCs w:val="72"/>
        </w:rPr>
      </w:pPr>
      <w:r w:rsidRPr="522C34BE" w:rsidR="1AEF6C09">
        <w:rPr>
          <w:rFonts w:ascii="Arial" w:hAnsi="Arial" w:eastAsia="Arial" w:cs="Arial"/>
          <w:b w:val="1"/>
          <w:bCs w:val="1"/>
          <w:sz w:val="72"/>
          <w:szCs w:val="72"/>
        </w:rPr>
        <w:t>Definition of Terrorism</w:t>
      </w:r>
    </w:p>
    <w:p w:rsidR="522C34BE" w:rsidP="522C34BE" w:rsidRDefault="522C34BE" w14:paraId="4D1683AE" w14:textId="07D3C610">
      <w:pPr>
        <w:pStyle w:val="Normal"/>
      </w:pPr>
    </w:p>
    <w:p w:rsidR="522C34BE" w:rsidP="522C34BE" w:rsidRDefault="522C34BE" w14:paraId="1569625F" w14:textId="05709B1B">
      <w:pPr>
        <w:pStyle w:val="Normal"/>
      </w:pPr>
    </w:p>
    <w:p w:rsidR="522C34BE" w:rsidP="522C34BE" w:rsidRDefault="522C34BE" w14:paraId="46D70F9E" w14:textId="3CD009B9">
      <w:pPr>
        <w:pStyle w:val="Normal"/>
      </w:pPr>
    </w:p>
    <w:p w:rsidR="522C34BE" w:rsidP="522C34BE" w:rsidRDefault="522C34BE" w14:paraId="6BF85D2C" w14:textId="3D48C02B">
      <w:pPr>
        <w:pStyle w:val="Normal"/>
        <w:jc w:val="center"/>
        <w:rPr>
          <w:rFonts w:ascii="Arial" w:hAnsi="Arial" w:eastAsia="Arial" w:cs="Arial"/>
          <w:b w:val="1"/>
          <w:bCs w:val="1"/>
          <w:sz w:val="40"/>
          <w:szCs w:val="40"/>
        </w:rPr>
      </w:pPr>
    </w:p>
    <w:p w:rsidR="522C34BE" w:rsidP="522C34BE" w:rsidRDefault="522C34BE" w14:paraId="5220D906" w14:textId="6DD6E077">
      <w:pPr>
        <w:pStyle w:val="Normal"/>
        <w:jc w:val="center"/>
        <w:rPr>
          <w:rFonts w:ascii="Arial" w:hAnsi="Arial" w:eastAsia="Arial" w:cs="Arial"/>
          <w:b w:val="1"/>
          <w:bCs w:val="1"/>
          <w:sz w:val="40"/>
          <w:szCs w:val="40"/>
        </w:rPr>
      </w:pPr>
    </w:p>
    <w:p w:rsidR="522C34BE" w:rsidP="522C34BE" w:rsidRDefault="522C34BE" w14:paraId="178178D0" w14:textId="671BE8E1">
      <w:pPr>
        <w:pStyle w:val="Normal"/>
        <w:jc w:val="center"/>
        <w:rPr>
          <w:rFonts w:ascii="Arial" w:hAnsi="Arial" w:eastAsia="Arial" w:cs="Arial"/>
          <w:b w:val="1"/>
          <w:bCs w:val="1"/>
          <w:sz w:val="40"/>
          <w:szCs w:val="40"/>
        </w:rPr>
      </w:pPr>
    </w:p>
    <w:p w:rsidR="522C34BE" w:rsidP="522C34BE" w:rsidRDefault="522C34BE" w14:paraId="3338F52C" w14:textId="1FF98378">
      <w:pPr>
        <w:pStyle w:val="Normal"/>
        <w:jc w:val="center"/>
        <w:rPr>
          <w:rFonts w:ascii="Arial" w:hAnsi="Arial" w:eastAsia="Arial" w:cs="Arial"/>
          <w:b w:val="1"/>
          <w:bCs w:val="1"/>
          <w:sz w:val="40"/>
          <w:szCs w:val="40"/>
        </w:rPr>
      </w:pPr>
    </w:p>
    <w:p w:rsidR="522C34BE" w:rsidP="522C34BE" w:rsidRDefault="522C34BE" w14:paraId="34F8415F" w14:textId="03DBFBF1">
      <w:pPr>
        <w:pStyle w:val="Normal"/>
        <w:jc w:val="center"/>
        <w:rPr>
          <w:rFonts w:ascii="Arial" w:hAnsi="Arial" w:eastAsia="Arial" w:cs="Arial"/>
          <w:b w:val="1"/>
          <w:bCs w:val="1"/>
          <w:sz w:val="40"/>
          <w:szCs w:val="40"/>
        </w:rPr>
      </w:pPr>
    </w:p>
    <w:p w:rsidR="522C34BE" w:rsidP="522C34BE" w:rsidRDefault="522C34BE" w14:paraId="4F164295" w14:textId="4D9405C5">
      <w:pPr>
        <w:pStyle w:val="Normal"/>
        <w:jc w:val="center"/>
        <w:rPr>
          <w:rFonts w:ascii="Arial" w:hAnsi="Arial" w:eastAsia="Arial" w:cs="Arial"/>
          <w:b w:val="1"/>
          <w:bCs w:val="1"/>
          <w:sz w:val="40"/>
          <w:szCs w:val="40"/>
        </w:rPr>
      </w:pPr>
    </w:p>
    <w:p w:rsidR="522C34BE" w:rsidP="522C34BE" w:rsidRDefault="522C34BE" w14:paraId="4042E21F" w14:textId="1696E192">
      <w:pPr>
        <w:pStyle w:val="Normal"/>
        <w:jc w:val="center"/>
        <w:rPr>
          <w:rFonts w:ascii="Arial" w:hAnsi="Arial" w:eastAsia="Arial" w:cs="Arial"/>
          <w:b w:val="1"/>
          <w:bCs w:val="1"/>
          <w:sz w:val="40"/>
          <w:szCs w:val="40"/>
        </w:rPr>
      </w:pPr>
    </w:p>
    <w:p w:rsidR="1AEF6C09" w:rsidP="522C34BE" w:rsidRDefault="1AEF6C09" w14:paraId="35D2D7AD" w14:textId="13BD74F3">
      <w:pPr>
        <w:pStyle w:val="Normal"/>
        <w:jc w:val="center"/>
        <w:rPr>
          <w:rFonts w:ascii="Arial" w:hAnsi="Arial" w:eastAsia="Arial" w:cs="Arial"/>
          <w:sz w:val="40"/>
          <w:szCs w:val="40"/>
        </w:rPr>
      </w:pPr>
      <w:r w:rsidRPr="522C34BE" w:rsidR="1AEF6C09">
        <w:rPr>
          <w:rFonts w:ascii="Arial" w:hAnsi="Arial" w:eastAsia="Arial" w:cs="Arial"/>
          <w:b w:val="1"/>
          <w:bCs w:val="1"/>
          <w:sz w:val="40"/>
          <w:szCs w:val="40"/>
        </w:rPr>
        <w:t>Name:</w:t>
      </w:r>
      <w:r w:rsidRPr="522C34BE" w:rsidR="1AEF6C09">
        <w:rPr>
          <w:rFonts w:ascii="Arial" w:hAnsi="Arial" w:eastAsia="Arial" w:cs="Arial"/>
          <w:sz w:val="40"/>
          <w:szCs w:val="40"/>
        </w:rPr>
        <w:t xml:space="preserve"> Jessica Emily Parry</w:t>
      </w:r>
    </w:p>
    <w:p w:rsidR="1AEF6C09" w:rsidP="522C34BE" w:rsidRDefault="1AEF6C09" w14:paraId="39BEEF24" w14:textId="2A2711BD">
      <w:pPr>
        <w:pStyle w:val="Normal"/>
        <w:jc w:val="center"/>
        <w:rPr>
          <w:rFonts w:ascii="Arial" w:hAnsi="Arial" w:eastAsia="Arial" w:cs="Arial"/>
          <w:sz w:val="40"/>
          <w:szCs w:val="40"/>
        </w:rPr>
      </w:pPr>
      <w:r w:rsidRPr="522C34BE" w:rsidR="1AEF6C09">
        <w:rPr>
          <w:rFonts w:ascii="Arial" w:hAnsi="Arial" w:eastAsia="Arial" w:cs="Arial"/>
          <w:b w:val="1"/>
          <w:bCs w:val="1"/>
          <w:sz w:val="40"/>
          <w:szCs w:val="40"/>
        </w:rPr>
        <w:t>Student ID:</w:t>
      </w:r>
      <w:r w:rsidRPr="522C34BE" w:rsidR="1AEF6C09">
        <w:rPr>
          <w:rFonts w:ascii="Arial" w:hAnsi="Arial" w:eastAsia="Arial" w:cs="Arial"/>
          <w:sz w:val="40"/>
          <w:szCs w:val="40"/>
        </w:rPr>
        <w:t xml:space="preserve"> 1901894</w:t>
      </w:r>
    </w:p>
    <w:p w:rsidR="4CCB7AF5" w:rsidP="522C34BE" w:rsidRDefault="4CCB7AF5" w14:paraId="5AB454E4" w14:textId="4E0FB2B2">
      <w:pPr>
        <w:pStyle w:val="Normal"/>
        <w:jc w:val="center"/>
        <w:rPr>
          <w:rFonts w:ascii="Arial" w:hAnsi="Arial" w:eastAsia="Arial" w:cs="Arial"/>
          <w:b w:val="1"/>
          <w:bCs w:val="1"/>
          <w:sz w:val="40"/>
          <w:szCs w:val="40"/>
        </w:rPr>
      </w:pPr>
      <w:r w:rsidRPr="522C34BE" w:rsidR="4CCB7AF5">
        <w:rPr>
          <w:rFonts w:ascii="Arial" w:hAnsi="Arial" w:eastAsia="Arial" w:cs="Arial"/>
          <w:b w:val="1"/>
          <w:bCs w:val="1"/>
          <w:sz w:val="40"/>
          <w:szCs w:val="40"/>
        </w:rPr>
        <w:t xml:space="preserve">Module Code: </w:t>
      </w:r>
      <w:r w:rsidRPr="522C34BE" w:rsidR="4CCB7AF5">
        <w:rPr>
          <w:rFonts w:ascii="Arial" w:hAnsi="Arial" w:eastAsia="Arial" w:cs="Arial"/>
          <w:b w:val="0"/>
          <w:bCs w:val="0"/>
          <w:sz w:val="40"/>
          <w:szCs w:val="40"/>
        </w:rPr>
        <w:t>BMPS5004</w:t>
      </w:r>
    </w:p>
    <w:p w:rsidR="522C34BE" w:rsidP="522C34BE" w:rsidRDefault="522C34BE" w14:paraId="76E93775" w14:textId="06696C66">
      <w:pPr>
        <w:pStyle w:val="Normal"/>
      </w:pPr>
    </w:p>
    <w:p w:rsidR="522C34BE" w:rsidP="522C34BE" w:rsidRDefault="522C34BE" w14:paraId="2B5848CF" w14:textId="489D2532">
      <w:pPr>
        <w:pStyle w:val="Normal"/>
      </w:pPr>
    </w:p>
    <w:p w:rsidR="522C34BE" w:rsidP="522C34BE" w:rsidRDefault="522C34BE" w14:paraId="7610378B" w14:textId="79A858FB">
      <w:pPr>
        <w:pStyle w:val="Normal"/>
      </w:pPr>
    </w:p>
    <w:p w:rsidR="522C34BE" w:rsidP="522C34BE" w:rsidRDefault="522C34BE" w14:paraId="64DEBF25" w14:textId="2C64A265">
      <w:pPr>
        <w:pStyle w:val="Normal"/>
      </w:pPr>
    </w:p>
    <w:p w:rsidR="522C34BE" w:rsidP="522C34BE" w:rsidRDefault="522C34BE" w14:paraId="0E92978C" w14:textId="5DCD0D97">
      <w:pPr>
        <w:pStyle w:val="Normal"/>
      </w:pPr>
    </w:p>
    <w:p w:rsidR="38DD9B10" w:rsidP="522C34BE" w:rsidRDefault="38DD9B10" w14:paraId="554E9837" w14:textId="44D94C29">
      <w:pPr>
        <w:pStyle w:val="Normal"/>
        <w:spacing w:line="480" w:lineRule="auto"/>
        <w:rPr>
          <w:rFonts w:ascii="Arial" w:hAnsi="Arial" w:eastAsia="Arial" w:cs="Arial"/>
          <w:sz w:val="24"/>
          <w:szCs w:val="24"/>
        </w:rPr>
      </w:pPr>
      <w:r w:rsidRPr="522C34BE" w:rsidR="38DD9B10">
        <w:rPr>
          <w:rFonts w:ascii="Arial" w:hAnsi="Arial" w:eastAsia="Arial" w:cs="Arial"/>
          <w:sz w:val="24"/>
          <w:szCs w:val="24"/>
        </w:rPr>
        <w:t xml:space="preserve">Terrorism is what secures political, religious, racial or ideology </w:t>
      </w:r>
      <w:r w:rsidRPr="522C34BE" w:rsidR="38DD9B10">
        <w:rPr>
          <w:rFonts w:ascii="Arial" w:hAnsi="Arial" w:eastAsia="Arial" w:cs="Arial"/>
          <w:sz w:val="24"/>
          <w:szCs w:val="24"/>
        </w:rPr>
        <w:t>objectives</w:t>
      </w:r>
      <w:r w:rsidRPr="522C34BE" w:rsidR="38DD9B10">
        <w:rPr>
          <w:rFonts w:ascii="Arial" w:hAnsi="Arial" w:eastAsia="Arial" w:cs="Arial"/>
          <w:sz w:val="24"/>
          <w:szCs w:val="24"/>
        </w:rPr>
        <w:t xml:space="preserve"> (Home Office, 2020). Since the occurrence of terrorism, there have been two problems, failure to agree on a definition of terrorism and disagreements on dealing with a terrorist threat or attack. The international and national attempt to abolish terrorism </w:t>
      </w:r>
      <w:proofErr w:type="gramStart"/>
      <w:r w:rsidRPr="522C34BE" w:rsidR="38DD9B10">
        <w:rPr>
          <w:rFonts w:ascii="Arial" w:hAnsi="Arial" w:eastAsia="Arial" w:cs="Arial"/>
          <w:sz w:val="24"/>
          <w:szCs w:val="24"/>
        </w:rPr>
        <w:t>have</w:t>
      </w:r>
      <w:proofErr w:type="gramEnd"/>
      <w:r w:rsidRPr="522C34BE" w:rsidR="38DD9B10">
        <w:rPr>
          <w:rFonts w:ascii="Arial" w:hAnsi="Arial" w:eastAsia="Arial" w:cs="Arial"/>
          <w:sz w:val="24"/>
          <w:szCs w:val="24"/>
        </w:rPr>
        <w:t xml:space="preserve"> not </w:t>
      </w:r>
      <w:proofErr w:type="gramStart"/>
      <w:r w:rsidRPr="522C34BE" w:rsidR="38DD9B10">
        <w:rPr>
          <w:rFonts w:ascii="Arial" w:hAnsi="Arial" w:eastAsia="Arial" w:cs="Arial"/>
          <w:sz w:val="24"/>
          <w:szCs w:val="24"/>
        </w:rPr>
        <w:t>pursued</w:t>
      </w:r>
      <w:proofErr w:type="gramEnd"/>
      <w:r w:rsidRPr="522C34BE" w:rsidR="38DD9B10">
        <w:rPr>
          <w:rFonts w:ascii="Arial" w:hAnsi="Arial" w:eastAsia="Arial" w:cs="Arial"/>
          <w:sz w:val="24"/>
          <w:szCs w:val="24"/>
        </w:rPr>
        <w:t xml:space="preserve"> due to these two problems (Simpson, 2003). Most </w:t>
      </w:r>
      <w:proofErr w:type="gramStart"/>
      <w:r w:rsidRPr="522C34BE" w:rsidR="38DD9B10">
        <w:rPr>
          <w:rFonts w:ascii="Arial" w:hAnsi="Arial" w:eastAsia="Arial" w:cs="Arial"/>
          <w:sz w:val="24"/>
          <w:szCs w:val="24"/>
        </w:rPr>
        <w:t>researches</w:t>
      </w:r>
      <w:proofErr w:type="gramEnd"/>
      <w:r w:rsidRPr="522C34BE" w:rsidR="38DD9B10">
        <w:rPr>
          <w:rFonts w:ascii="Arial" w:hAnsi="Arial" w:eastAsia="Arial" w:cs="Arial"/>
          <w:sz w:val="24"/>
          <w:szCs w:val="24"/>
        </w:rPr>
        <w:t xml:space="preserve"> say, “one man’s terrorist is another man’s freedom fighter” (Ganor, 2010). The term terrorism was used back in 1793 to describe the French Revolution, the Reign of Terror. During this period, the government responded with harsh measures </w:t>
      </w:r>
      <w:proofErr w:type="gramStart"/>
      <w:r w:rsidRPr="522C34BE" w:rsidR="38DD9B10">
        <w:rPr>
          <w:rFonts w:ascii="Arial" w:hAnsi="Arial" w:eastAsia="Arial" w:cs="Arial"/>
          <w:sz w:val="24"/>
          <w:szCs w:val="24"/>
        </w:rPr>
        <w:t>to</w:t>
      </w:r>
      <w:proofErr w:type="gramEnd"/>
      <w:r w:rsidRPr="522C34BE" w:rsidR="38DD9B10">
        <w:rPr>
          <w:rFonts w:ascii="Arial" w:hAnsi="Arial" w:eastAsia="Arial" w:cs="Arial"/>
          <w:sz w:val="24"/>
          <w:szCs w:val="24"/>
        </w:rPr>
        <w:t xml:space="preserve"> the citizens seen as the Revolution enemies. After the Patriotic war in 1812, the ‘Guerrilla Warfare’ was formed (United Nations, 2018). Guerrilla Warfare targeted the military, </w:t>
      </w:r>
      <w:r w:rsidRPr="522C34BE" w:rsidR="38DD9B10">
        <w:rPr>
          <w:rFonts w:ascii="Arial" w:hAnsi="Arial" w:eastAsia="Arial" w:cs="Arial"/>
          <w:sz w:val="24"/>
          <w:szCs w:val="24"/>
        </w:rPr>
        <w:t>whereas</w:t>
      </w:r>
      <w:r w:rsidRPr="522C34BE" w:rsidR="38DD9B10">
        <w:rPr>
          <w:rFonts w:ascii="Arial" w:hAnsi="Arial" w:eastAsia="Arial" w:cs="Arial"/>
          <w:sz w:val="24"/>
          <w:szCs w:val="24"/>
        </w:rPr>
        <w:t xml:space="preserve"> terrorist groups target civilians. Therefore, a terrorist group fight for national liberation and </w:t>
      </w:r>
      <w:proofErr w:type="gramStart"/>
      <w:r w:rsidRPr="522C34BE" w:rsidR="38DD9B10">
        <w:rPr>
          <w:rFonts w:ascii="Arial" w:hAnsi="Arial" w:eastAsia="Arial" w:cs="Arial"/>
          <w:sz w:val="24"/>
          <w:szCs w:val="24"/>
        </w:rPr>
        <w:t>can not</w:t>
      </w:r>
      <w:proofErr w:type="gramEnd"/>
      <w:r w:rsidRPr="522C34BE" w:rsidR="38DD9B10">
        <w:rPr>
          <w:rFonts w:ascii="Arial" w:hAnsi="Arial" w:eastAsia="Arial" w:cs="Arial"/>
          <w:sz w:val="24"/>
          <w:szCs w:val="24"/>
        </w:rPr>
        <w:t xml:space="preserve"> present itself as ‘freedom </w:t>
      </w:r>
      <w:proofErr w:type="gramStart"/>
      <w:r w:rsidRPr="522C34BE" w:rsidR="38DD9B10">
        <w:rPr>
          <w:rFonts w:ascii="Arial" w:hAnsi="Arial" w:eastAsia="Arial" w:cs="Arial"/>
          <w:sz w:val="24"/>
          <w:szCs w:val="24"/>
        </w:rPr>
        <w:t>fighters</w:t>
      </w:r>
      <w:r w:rsidRPr="522C34BE" w:rsidR="38DD9B10">
        <w:rPr>
          <w:rFonts w:ascii="Arial" w:hAnsi="Arial" w:eastAsia="Arial" w:cs="Arial"/>
          <w:sz w:val="24"/>
          <w:szCs w:val="24"/>
        </w:rPr>
        <w:t>’</w:t>
      </w:r>
      <w:proofErr w:type="gramEnd"/>
      <w:r w:rsidRPr="522C34BE" w:rsidR="38DD9B10">
        <w:rPr>
          <w:rFonts w:ascii="Arial" w:hAnsi="Arial" w:eastAsia="Arial" w:cs="Arial"/>
          <w:sz w:val="24"/>
          <w:szCs w:val="24"/>
        </w:rPr>
        <w:t>.</w:t>
      </w:r>
      <w:r w:rsidRPr="522C34BE" w:rsidR="38DD9B10">
        <w:rPr>
          <w:rFonts w:ascii="Arial" w:hAnsi="Arial" w:eastAsia="Arial" w:cs="Arial"/>
          <w:sz w:val="24"/>
          <w:szCs w:val="24"/>
        </w:rPr>
        <w:t xml:space="preserve"> An </w:t>
      </w:r>
      <w:proofErr w:type="spellStart"/>
      <w:r w:rsidRPr="522C34BE" w:rsidR="38DD9B10">
        <w:rPr>
          <w:rFonts w:ascii="Arial" w:hAnsi="Arial" w:eastAsia="Arial" w:cs="Arial"/>
          <w:sz w:val="24"/>
          <w:szCs w:val="24"/>
        </w:rPr>
        <w:t>organisation</w:t>
      </w:r>
      <w:proofErr w:type="spellEnd"/>
      <w:r w:rsidRPr="522C34BE" w:rsidR="38DD9B10">
        <w:rPr>
          <w:rFonts w:ascii="Arial" w:hAnsi="Arial" w:eastAsia="Arial" w:cs="Arial"/>
          <w:sz w:val="24"/>
          <w:szCs w:val="24"/>
        </w:rPr>
        <w:t xml:space="preserve"> is identified as terrorists when civilians are targeted (Ganor, 2010).</w:t>
      </w:r>
    </w:p>
    <w:p w:rsidR="522C34BE" w:rsidP="522C34BE" w:rsidRDefault="522C34BE" w14:paraId="71E518D0" w14:textId="0D623F90">
      <w:pPr>
        <w:pStyle w:val="Normal"/>
        <w:spacing w:line="480" w:lineRule="auto"/>
        <w:rPr>
          <w:rFonts w:ascii="Arial" w:hAnsi="Arial" w:eastAsia="Arial" w:cs="Arial"/>
          <w:sz w:val="24"/>
          <w:szCs w:val="24"/>
        </w:rPr>
      </w:pPr>
    </w:p>
    <w:p w:rsidR="522C34BE" w:rsidP="522C34BE" w:rsidRDefault="522C34BE" w14:paraId="1D46B911" w14:textId="4BED5B51">
      <w:pPr>
        <w:pStyle w:val="Normal"/>
        <w:spacing w:line="480" w:lineRule="auto"/>
        <w:rPr>
          <w:rFonts w:ascii="Arial" w:hAnsi="Arial" w:eastAsia="Arial" w:cs="Arial"/>
          <w:sz w:val="24"/>
          <w:szCs w:val="24"/>
        </w:rPr>
      </w:pPr>
    </w:p>
    <w:p w:rsidR="2CFF4B33" w:rsidP="522C34BE" w:rsidRDefault="2CFF4B33" w14:paraId="046DC1A4" w14:textId="1672D754">
      <w:pPr>
        <w:pStyle w:val="Normal"/>
        <w:spacing w:line="480" w:lineRule="auto"/>
        <w:rPr>
          <w:rFonts w:ascii="Arial" w:hAnsi="Arial" w:eastAsia="Arial" w:cs="Arial"/>
          <w:sz w:val="24"/>
          <w:szCs w:val="24"/>
        </w:rPr>
      </w:pPr>
      <w:r w:rsidRPr="522C34BE" w:rsidR="2CFF4B33">
        <w:rPr>
          <w:rFonts w:ascii="Arial" w:hAnsi="Arial" w:eastAsia="Arial" w:cs="Arial"/>
          <w:sz w:val="24"/>
          <w:szCs w:val="24"/>
        </w:rPr>
        <w:t xml:space="preserve">In the Terrorism Act 2000, Home Office (2020) </w:t>
      </w:r>
      <w:r w:rsidRPr="522C34BE" w:rsidR="2CFF4B33">
        <w:rPr>
          <w:rFonts w:ascii="Arial" w:hAnsi="Arial" w:eastAsia="Arial" w:cs="Arial"/>
          <w:sz w:val="24"/>
          <w:szCs w:val="24"/>
        </w:rPr>
        <w:t>identifies</w:t>
      </w:r>
      <w:r w:rsidRPr="522C34BE" w:rsidR="2CFF4B33">
        <w:rPr>
          <w:rFonts w:ascii="Arial" w:hAnsi="Arial" w:eastAsia="Arial" w:cs="Arial"/>
          <w:sz w:val="24"/>
          <w:szCs w:val="24"/>
        </w:rPr>
        <w:t xml:space="preserve"> an </w:t>
      </w:r>
      <w:proofErr w:type="spellStart"/>
      <w:r w:rsidRPr="522C34BE" w:rsidR="2CFF4B33">
        <w:rPr>
          <w:rFonts w:ascii="Arial" w:hAnsi="Arial" w:eastAsia="Arial" w:cs="Arial"/>
          <w:sz w:val="24"/>
          <w:szCs w:val="24"/>
        </w:rPr>
        <w:t>organisation</w:t>
      </w:r>
      <w:proofErr w:type="spellEnd"/>
      <w:r w:rsidRPr="522C34BE" w:rsidR="2CFF4B33">
        <w:rPr>
          <w:rFonts w:ascii="Arial" w:hAnsi="Arial" w:eastAsia="Arial" w:cs="Arial"/>
          <w:sz w:val="24"/>
          <w:szCs w:val="24"/>
        </w:rPr>
        <w:t xml:space="preserve"> as terrorism if the </w:t>
      </w:r>
      <w:proofErr w:type="spellStart"/>
      <w:r w:rsidRPr="522C34BE" w:rsidR="2CFF4B33">
        <w:rPr>
          <w:rFonts w:ascii="Arial" w:hAnsi="Arial" w:eastAsia="Arial" w:cs="Arial"/>
          <w:sz w:val="24"/>
          <w:szCs w:val="24"/>
        </w:rPr>
        <w:t>organisation</w:t>
      </w:r>
      <w:proofErr w:type="spellEnd"/>
      <w:r w:rsidRPr="522C34BE" w:rsidR="2CFF4B33">
        <w:rPr>
          <w:rFonts w:ascii="Arial" w:hAnsi="Arial" w:eastAsia="Arial" w:cs="Arial"/>
          <w:sz w:val="24"/>
          <w:szCs w:val="24"/>
        </w:rPr>
        <w:t xml:space="preserve"> is displaying terrorism characteristics by committing acts of terrorism, </w:t>
      </w:r>
      <w:proofErr w:type="spellStart"/>
      <w:r w:rsidRPr="522C34BE" w:rsidR="2CFF4B33">
        <w:rPr>
          <w:rFonts w:ascii="Arial" w:hAnsi="Arial" w:eastAsia="Arial" w:cs="Arial"/>
          <w:sz w:val="24"/>
          <w:szCs w:val="24"/>
        </w:rPr>
        <w:t>organising</w:t>
      </w:r>
      <w:proofErr w:type="spellEnd"/>
      <w:r w:rsidRPr="522C34BE" w:rsidR="2CFF4B33">
        <w:rPr>
          <w:rFonts w:ascii="Arial" w:hAnsi="Arial" w:eastAsia="Arial" w:cs="Arial"/>
          <w:sz w:val="24"/>
          <w:szCs w:val="24"/>
        </w:rPr>
        <w:t xml:space="preserve"> terrorism, and encouraging terror by using unlawful glorification.</w:t>
      </w:r>
      <w:r w:rsidRPr="522C34BE" w:rsidR="2CFF4B33">
        <w:rPr>
          <w:rFonts w:ascii="Arial" w:hAnsi="Arial" w:eastAsia="Arial" w:cs="Arial"/>
          <w:sz w:val="24"/>
          <w:szCs w:val="24"/>
        </w:rPr>
        <w:t xml:space="preserve"> </w:t>
      </w:r>
      <w:r w:rsidRPr="522C34BE" w:rsidR="2CFF4B33">
        <w:rPr>
          <w:rFonts w:ascii="Arial" w:hAnsi="Arial" w:eastAsia="Arial" w:cs="Arial"/>
          <w:sz w:val="24"/>
          <w:szCs w:val="24"/>
        </w:rPr>
        <w:t xml:space="preserve">The Act defines terrorism as an action that involves extreme violence to cause property damage, serious </w:t>
      </w:r>
      <w:r w:rsidRPr="522C34BE" w:rsidR="2CFF4B33">
        <w:rPr>
          <w:rFonts w:ascii="Arial" w:hAnsi="Arial" w:eastAsia="Arial" w:cs="Arial"/>
          <w:sz w:val="24"/>
          <w:szCs w:val="24"/>
        </w:rPr>
        <w:t>risk</w:t>
      </w:r>
      <w:r w:rsidRPr="522C34BE" w:rsidR="2CFF4B33">
        <w:rPr>
          <w:rFonts w:ascii="Arial" w:hAnsi="Arial" w:eastAsia="Arial" w:cs="Arial"/>
          <w:sz w:val="24"/>
          <w:szCs w:val="24"/>
        </w:rPr>
        <w:t xml:space="preserve"> and harm to civilians, affecting their safety and endangering their lives.</w:t>
      </w:r>
      <w:r w:rsidRPr="522C34BE" w:rsidR="2CFF4B33">
        <w:rPr>
          <w:rFonts w:ascii="Arial" w:hAnsi="Arial" w:eastAsia="Arial" w:cs="Arial"/>
          <w:sz w:val="24"/>
          <w:szCs w:val="24"/>
        </w:rPr>
        <w:t xml:space="preserve"> Their actions must influence the government, governmental </w:t>
      </w:r>
      <w:proofErr w:type="spellStart"/>
      <w:r w:rsidRPr="522C34BE" w:rsidR="2CFF4B33">
        <w:rPr>
          <w:rFonts w:ascii="Arial" w:hAnsi="Arial" w:eastAsia="Arial" w:cs="Arial"/>
          <w:sz w:val="24"/>
          <w:szCs w:val="24"/>
        </w:rPr>
        <w:t>organisations</w:t>
      </w:r>
      <w:proofErr w:type="spellEnd"/>
      <w:r w:rsidRPr="522C34BE" w:rsidR="2CFF4B33">
        <w:rPr>
          <w:rFonts w:ascii="Arial" w:hAnsi="Arial" w:eastAsia="Arial" w:cs="Arial"/>
          <w:sz w:val="24"/>
          <w:szCs w:val="24"/>
        </w:rPr>
        <w:t xml:space="preserve"> and the public to define their </w:t>
      </w:r>
      <w:proofErr w:type="gramStart"/>
      <w:r w:rsidRPr="522C34BE" w:rsidR="2CFF4B33">
        <w:rPr>
          <w:rFonts w:ascii="Arial" w:hAnsi="Arial" w:eastAsia="Arial" w:cs="Arial"/>
          <w:sz w:val="24"/>
          <w:szCs w:val="24"/>
        </w:rPr>
        <w:t>action</w:t>
      </w:r>
      <w:proofErr w:type="gramEnd"/>
      <w:r w:rsidRPr="522C34BE" w:rsidR="2CFF4B33">
        <w:rPr>
          <w:rFonts w:ascii="Arial" w:hAnsi="Arial" w:eastAsia="Arial" w:cs="Arial"/>
          <w:sz w:val="24"/>
          <w:szCs w:val="24"/>
        </w:rPr>
        <w:t xml:space="preserve"> as terrorism. The reasons for these actions must </w:t>
      </w:r>
      <w:proofErr w:type="gramStart"/>
      <w:r w:rsidRPr="522C34BE" w:rsidR="2CFF4B33">
        <w:rPr>
          <w:rFonts w:ascii="Arial" w:hAnsi="Arial" w:eastAsia="Arial" w:cs="Arial"/>
          <w:sz w:val="24"/>
          <w:szCs w:val="24"/>
        </w:rPr>
        <w:t>refer back</w:t>
      </w:r>
      <w:proofErr w:type="gramEnd"/>
      <w:r w:rsidRPr="522C34BE" w:rsidR="2CFF4B33">
        <w:rPr>
          <w:rFonts w:ascii="Arial" w:hAnsi="Arial" w:eastAsia="Arial" w:cs="Arial"/>
          <w:sz w:val="24"/>
          <w:szCs w:val="24"/>
        </w:rPr>
        <w:t xml:space="preserve"> to political, religious, racial or ideology. </w:t>
      </w:r>
      <w:r w:rsidRPr="522C34BE" w:rsidR="2CFF4B33">
        <w:rPr>
          <w:rFonts w:ascii="Arial" w:hAnsi="Arial" w:eastAsia="Arial" w:cs="Arial"/>
          <w:sz w:val="24"/>
          <w:szCs w:val="24"/>
        </w:rPr>
        <w:t xml:space="preserve">The </w:t>
      </w:r>
      <w:proofErr w:type="spellStart"/>
      <w:r w:rsidRPr="522C34BE" w:rsidR="2CFF4B33">
        <w:rPr>
          <w:rFonts w:ascii="Arial" w:hAnsi="Arial" w:eastAsia="Arial" w:cs="Arial"/>
          <w:sz w:val="24"/>
          <w:szCs w:val="24"/>
        </w:rPr>
        <w:t>organisation</w:t>
      </w:r>
      <w:proofErr w:type="spellEnd"/>
      <w:r w:rsidRPr="522C34BE" w:rsidR="2CFF4B33">
        <w:rPr>
          <w:rFonts w:ascii="Arial" w:hAnsi="Arial" w:eastAsia="Arial" w:cs="Arial"/>
          <w:sz w:val="24"/>
          <w:szCs w:val="24"/>
        </w:rPr>
        <w:t xml:space="preserve"> is </w:t>
      </w:r>
      <w:r w:rsidRPr="522C34BE" w:rsidR="2CFF4B33">
        <w:rPr>
          <w:rFonts w:ascii="Arial" w:hAnsi="Arial" w:eastAsia="Arial" w:cs="Arial"/>
          <w:sz w:val="24"/>
          <w:szCs w:val="24"/>
        </w:rPr>
        <w:t>proscribed</w:t>
      </w:r>
      <w:r w:rsidRPr="522C34BE" w:rsidR="2CFF4B33">
        <w:rPr>
          <w:rFonts w:ascii="Arial" w:hAnsi="Arial" w:eastAsia="Arial" w:cs="Arial"/>
          <w:sz w:val="24"/>
          <w:szCs w:val="24"/>
        </w:rPr>
        <w:t xml:space="preserve"> under the Terrorism Act 2000 once the Home Secretary conducts the statutory test, </w:t>
      </w:r>
      <w:proofErr w:type="spellStart"/>
      <w:r w:rsidRPr="522C34BE" w:rsidR="2CFF4B33">
        <w:rPr>
          <w:rFonts w:ascii="Arial" w:hAnsi="Arial" w:eastAsia="Arial" w:cs="Arial"/>
          <w:sz w:val="24"/>
          <w:szCs w:val="24"/>
        </w:rPr>
        <w:t>analysing</w:t>
      </w:r>
      <w:proofErr w:type="spellEnd"/>
      <w:r w:rsidRPr="522C34BE" w:rsidR="2CFF4B33">
        <w:rPr>
          <w:rFonts w:ascii="Arial" w:hAnsi="Arial" w:eastAsia="Arial" w:cs="Arial"/>
          <w:sz w:val="24"/>
          <w:szCs w:val="24"/>
        </w:rPr>
        <w:t xml:space="preserve"> the following </w:t>
      </w:r>
      <w:proofErr w:type="gramStart"/>
      <w:r w:rsidRPr="522C34BE" w:rsidR="2CFF4B33">
        <w:rPr>
          <w:rFonts w:ascii="Arial" w:hAnsi="Arial" w:eastAsia="Arial" w:cs="Arial"/>
          <w:sz w:val="24"/>
          <w:szCs w:val="24"/>
        </w:rPr>
        <w:t>factors;</w:t>
      </w:r>
      <w:proofErr w:type="gramEnd"/>
      <w:r w:rsidRPr="522C34BE" w:rsidR="2CFF4B33">
        <w:rPr>
          <w:rFonts w:ascii="Arial" w:hAnsi="Arial" w:eastAsia="Arial" w:cs="Arial"/>
          <w:sz w:val="24"/>
          <w:szCs w:val="24"/>
        </w:rPr>
        <w:t xml:space="preserve"> the scale of activities conducted by the </w:t>
      </w:r>
      <w:proofErr w:type="spellStart"/>
      <w:r w:rsidRPr="522C34BE" w:rsidR="2CFF4B33">
        <w:rPr>
          <w:rFonts w:ascii="Arial" w:hAnsi="Arial" w:eastAsia="Arial" w:cs="Arial"/>
          <w:sz w:val="24"/>
          <w:szCs w:val="24"/>
        </w:rPr>
        <w:t>organisation</w:t>
      </w:r>
      <w:proofErr w:type="spellEnd"/>
      <w:r w:rsidRPr="522C34BE" w:rsidR="2CFF4B33">
        <w:rPr>
          <w:rFonts w:ascii="Arial" w:hAnsi="Arial" w:eastAsia="Arial" w:cs="Arial"/>
          <w:sz w:val="24"/>
          <w:szCs w:val="24"/>
        </w:rPr>
        <w:t xml:space="preserve">, level of threat towards the UK and the growth and number of members of the </w:t>
      </w:r>
      <w:proofErr w:type="spellStart"/>
      <w:r w:rsidRPr="522C34BE" w:rsidR="2CFF4B33">
        <w:rPr>
          <w:rFonts w:ascii="Arial" w:hAnsi="Arial" w:eastAsia="Arial" w:cs="Arial"/>
          <w:sz w:val="24"/>
          <w:szCs w:val="24"/>
        </w:rPr>
        <w:t>organisation</w:t>
      </w:r>
      <w:proofErr w:type="spellEnd"/>
      <w:r w:rsidRPr="522C34BE" w:rsidR="2CFF4B33">
        <w:rPr>
          <w:rFonts w:ascii="Arial" w:hAnsi="Arial" w:eastAsia="Arial" w:cs="Arial"/>
          <w:sz w:val="24"/>
          <w:szCs w:val="24"/>
        </w:rPr>
        <w:t>.</w:t>
      </w:r>
      <w:r w:rsidRPr="522C34BE" w:rsidR="2CFF4B33">
        <w:rPr>
          <w:rFonts w:ascii="Arial" w:hAnsi="Arial" w:eastAsia="Arial" w:cs="Arial"/>
          <w:sz w:val="24"/>
          <w:szCs w:val="24"/>
        </w:rPr>
        <w:t xml:space="preserve"> The Terrorism Act 2000 consists of seventy-six international terrorist groups. The </w:t>
      </w:r>
      <w:r w:rsidRPr="522C34BE" w:rsidR="2CFF4B33">
        <w:rPr>
          <w:rFonts w:ascii="Arial" w:hAnsi="Arial" w:eastAsia="Arial" w:cs="Arial"/>
          <w:sz w:val="24"/>
          <w:szCs w:val="24"/>
        </w:rPr>
        <w:t>previous</w:t>
      </w:r>
      <w:r w:rsidRPr="522C34BE" w:rsidR="2CFF4B33">
        <w:rPr>
          <w:rFonts w:ascii="Arial" w:hAnsi="Arial" w:eastAsia="Arial" w:cs="Arial"/>
          <w:sz w:val="24"/>
          <w:szCs w:val="24"/>
        </w:rPr>
        <w:t xml:space="preserve"> legislation </w:t>
      </w:r>
      <w:r w:rsidRPr="522C34BE" w:rsidR="2CFF4B33">
        <w:rPr>
          <w:rFonts w:ascii="Arial" w:hAnsi="Arial" w:eastAsia="Arial" w:cs="Arial"/>
          <w:sz w:val="24"/>
          <w:szCs w:val="24"/>
        </w:rPr>
        <w:t>proscribed</w:t>
      </w:r>
      <w:r w:rsidRPr="522C34BE" w:rsidR="2CFF4B33">
        <w:rPr>
          <w:rFonts w:ascii="Arial" w:hAnsi="Arial" w:eastAsia="Arial" w:cs="Arial"/>
          <w:sz w:val="24"/>
          <w:szCs w:val="24"/>
        </w:rPr>
        <w:t xml:space="preserve"> fourteen Northern Ireland </w:t>
      </w:r>
      <w:proofErr w:type="spellStart"/>
      <w:r w:rsidRPr="522C34BE" w:rsidR="2CFF4B33">
        <w:rPr>
          <w:rFonts w:ascii="Arial" w:hAnsi="Arial" w:eastAsia="Arial" w:cs="Arial"/>
          <w:sz w:val="24"/>
          <w:szCs w:val="24"/>
        </w:rPr>
        <w:t>organisations</w:t>
      </w:r>
      <w:proofErr w:type="spellEnd"/>
      <w:r w:rsidRPr="522C34BE" w:rsidR="2CFF4B33">
        <w:rPr>
          <w:rFonts w:ascii="Arial" w:hAnsi="Arial" w:eastAsia="Arial" w:cs="Arial"/>
          <w:sz w:val="24"/>
          <w:szCs w:val="24"/>
        </w:rPr>
        <w:t xml:space="preserve"> (Home Office, 2020).</w:t>
      </w:r>
    </w:p>
    <w:p w:rsidR="522C34BE" w:rsidP="522C34BE" w:rsidRDefault="522C34BE" w14:paraId="10637E01" w14:textId="15170B36">
      <w:pPr>
        <w:pStyle w:val="Normal"/>
        <w:spacing w:line="480" w:lineRule="auto"/>
        <w:rPr>
          <w:rFonts w:ascii="Arial" w:hAnsi="Arial" w:eastAsia="Arial" w:cs="Arial"/>
          <w:sz w:val="24"/>
          <w:szCs w:val="24"/>
        </w:rPr>
      </w:pPr>
    </w:p>
    <w:p w:rsidR="522C34BE" w:rsidP="522C34BE" w:rsidRDefault="522C34BE" w14:paraId="32AC022B" w14:textId="7366A0A9">
      <w:pPr>
        <w:pStyle w:val="Normal"/>
        <w:spacing w:line="480" w:lineRule="auto"/>
        <w:rPr>
          <w:rFonts w:ascii="Arial" w:hAnsi="Arial" w:eastAsia="Arial" w:cs="Arial"/>
          <w:sz w:val="24"/>
          <w:szCs w:val="24"/>
        </w:rPr>
      </w:pPr>
    </w:p>
    <w:p w:rsidR="01237E65" w:rsidP="522C34BE" w:rsidRDefault="01237E65" w14:paraId="54EF6EA6" w14:textId="7D2EBF53">
      <w:pPr>
        <w:pStyle w:val="Normal"/>
        <w:spacing w:line="480" w:lineRule="auto"/>
        <w:rPr>
          <w:rFonts w:ascii="Arial" w:hAnsi="Arial" w:eastAsia="Arial" w:cs="Arial"/>
          <w:sz w:val="24"/>
          <w:szCs w:val="24"/>
        </w:rPr>
      </w:pPr>
      <w:r w:rsidRPr="522C34BE" w:rsidR="01237E65">
        <w:rPr>
          <w:rFonts w:ascii="Arial" w:hAnsi="Arial" w:eastAsia="Arial" w:cs="Arial"/>
          <w:sz w:val="24"/>
          <w:szCs w:val="24"/>
        </w:rPr>
        <w:t xml:space="preserve">In 1921, Michael Collins and Prime Minister David Lloyd George agreed to an Anglo-Irish Treaty, referred to as the ‘Irish Free State’ (Powell 2009). During the republican movement, a civil war broke out between those for and against the Treaty debate. The Government of Ireland Act 1920 resulted </w:t>
      </w:r>
      <w:proofErr w:type="gramStart"/>
      <w:r w:rsidRPr="522C34BE" w:rsidR="01237E65">
        <w:rPr>
          <w:rFonts w:ascii="Arial" w:hAnsi="Arial" w:eastAsia="Arial" w:cs="Arial"/>
          <w:sz w:val="24"/>
          <w:szCs w:val="24"/>
        </w:rPr>
        <w:t>due</w:t>
      </w:r>
      <w:proofErr w:type="gramEnd"/>
      <w:r w:rsidRPr="522C34BE" w:rsidR="01237E65">
        <w:rPr>
          <w:rFonts w:ascii="Arial" w:hAnsi="Arial" w:eastAsia="Arial" w:cs="Arial"/>
          <w:sz w:val="24"/>
          <w:szCs w:val="24"/>
        </w:rPr>
        <w:t xml:space="preserve"> to the Treaty. Therefore, South Ireland was the Irish Free State known today as </w:t>
      </w:r>
      <w:r w:rsidRPr="522C34BE" w:rsidR="01237E65">
        <w:rPr>
          <w:rFonts w:ascii="Arial" w:hAnsi="Arial" w:eastAsia="Arial" w:cs="Arial"/>
          <w:sz w:val="24"/>
          <w:szCs w:val="24"/>
        </w:rPr>
        <w:t>the Republic of Ireland</w:t>
      </w:r>
      <w:r w:rsidRPr="522C34BE" w:rsidR="01237E65">
        <w:rPr>
          <w:rFonts w:ascii="Arial" w:hAnsi="Arial" w:eastAsia="Arial" w:cs="Arial"/>
          <w:sz w:val="24"/>
          <w:szCs w:val="24"/>
        </w:rPr>
        <w:t xml:space="preserve">. In contrast, Northern Ireland </w:t>
      </w:r>
      <w:r w:rsidRPr="522C34BE" w:rsidR="01237E65">
        <w:rPr>
          <w:rFonts w:ascii="Arial" w:hAnsi="Arial" w:eastAsia="Arial" w:cs="Arial"/>
          <w:sz w:val="24"/>
          <w:szCs w:val="24"/>
        </w:rPr>
        <w:t>remains</w:t>
      </w:r>
      <w:r w:rsidRPr="522C34BE" w:rsidR="01237E65">
        <w:rPr>
          <w:rFonts w:ascii="Arial" w:hAnsi="Arial" w:eastAsia="Arial" w:cs="Arial"/>
          <w:sz w:val="24"/>
          <w:szCs w:val="24"/>
        </w:rPr>
        <w:t xml:space="preserve"> part of the UK. The Government did not inform </w:t>
      </w:r>
      <w:proofErr w:type="gramStart"/>
      <w:r w:rsidRPr="522C34BE" w:rsidR="01237E65">
        <w:rPr>
          <w:rFonts w:ascii="Arial" w:hAnsi="Arial" w:eastAsia="Arial" w:cs="Arial"/>
          <w:sz w:val="24"/>
          <w:szCs w:val="24"/>
        </w:rPr>
        <w:t>the majority of</w:t>
      </w:r>
      <w:proofErr w:type="gramEnd"/>
      <w:r w:rsidRPr="522C34BE" w:rsidR="01237E65">
        <w:rPr>
          <w:rFonts w:ascii="Arial" w:hAnsi="Arial" w:eastAsia="Arial" w:cs="Arial"/>
          <w:sz w:val="24"/>
          <w:szCs w:val="24"/>
        </w:rPr>
        <w:t xml:space="preserve"> Ireland’s population </w:t>
      </w:r>
      <w:r w:rsidRPr="522C34BE" w:rsidR="01237E65">
        <w:rPr>
          <w:rFonts w:ascii="Arial" w:hAnsi="Arial" w:eastAsia="Arial" w:cs="Arial"/>
          <w:sz w:val="24"/>
          <w:szCs w:val="24"/>
        </w:rPr>
        <w:t>regarding</w:t>
      </w:r>
      <w:r w:rsidRPr="522C34BE" w:rsidR="01237E65">
        <w:rPr>
          <w:rFonts w:ascii="Arial" w:hAnsi="Arial" w:eastAsia="Arial" w:cs="Arial"/>
          <w:sz w:val="24"/>
          <w:szCs w:val="24"/>
        </w:rPr>
        <w:t xml:space="preserve"> this decision (Blake 2012). According to Powell (2009), removing all the British citizens was the Republicans goal during this time. </w:t>
      </w:r>
      <w:proofErr w:type="gramStart"/>
      <w:r w:rsidRPr="522C34BE" w:rsidR="01237E65">
        <w:rPr>
          <w:rFonts w:ascii="Arial" w:hAnsi="Arial" w:eastAsia="Arial" w:cs="Arial"/>
          <w:sz w:val="24"/>
          <w:szCs w:val="24"/>
        </w:rPr>
        <w:t>The majority of</w:t>
      </w:r>
      <w:proofErr w:type="gramEnd"/>
      <w:r w:rsidRPr="522C34BE" w:rsidR="01237E65">
        <w:rPr>
          <w:rFonts w:ascii="Arial" w:hAnsi="Arial" w:eastAsia="Arial" w:cs="Arial"/>
          <w:sz w:val="24"/>
          <w:szCs w:val="24"/>
        </w:rPr>
        <w:t xml:space="preserve"> Protestants politically and constitutionally aimed for Ulster to remain part of the UK and protected their union by forming an armed force. Moreover, they influenced the British Government. </w:t>
      </w:r>
    </w:p>
    <w:p w:rsidR="01237E65" w:rsidP="522C34BE" w:rsidRDefault="01237E65" w14:paraId="005197E6" w14:textId="49D4EEFB">
      <w:pPr>
        <w:pStyle w:val="Normal"/>
        <w:spacing w:line="480" w:lineRule="auto"/>
        <w:rPr>
          <w:rFonts w:ascii="Arial" w:hAnsi="Arial" w:eastAsia="Arial" w:cs="Arial"/>
          <w:sz w:val="24"/>
          <w:szCs w:val="24"/>
        </w:rPr>
      </w:pPr>
      <w:r w:rsidRPr="522C34BE" w:rsidR="01237E65">
        <w:rPr>
          <w:rFonts w:ascii="Arial" w:hAnsi="Arial" w:eastAsia="Arial" w:cs="Arial"/>
          <w:sz w:val="24"/>
          <w:szCs w:val="24"/>
        </w:rPr>
        <w:t xml:space="preserve">As Blake (2012) mentioned ensuring this decision was effective, three counties in Ulster, Donegal, </w:t>
      </w:r>
      <w:r w:rsidRPr="522C34BE" w:rsidR="01237E65">
        <w:rPr>
          <w:rFonts w:ascii="Arial" w:hAnsi="Arial" w:eastAsia="Arial" w:cs="Arial"/>
          <w:sz w:val="24"/>
          <w:szCs w:val="24"/>
        </w:rPr>
        <w:t>Monaghan</w:t>
      </w:r>
      <w:r w:rsidRPr="522C34BE" w:rsidR="01237E65">
        <w:rPr>
          <w:rFonts w:ascii="Arial" w:hAnsi="Arial" w:eastAsia="Arial" w:cs="Arial"/>
          <w:sz w:val="24"/>
          <w:szCs w:val="24"/>
        </w:rPr>
        <w:t xml:space="preserve"> and </w:t>
      </w:r>
      <w:proofErr w:type="spellStart"/>
      <w:r w:rsidRPr="522C34BE" w:rsidR="01237E65">
        <w:rPr>
          <w:rFonts w:ascii="Arial" w:hAnsi="Arial" w:eastAsia="Arial" w:cs="Arial"/>
          <w:sz w:val="24"/>
          <w:szCs w:val="24"/>
        </w:rPr>
        <w:t>Cavan</w:t>
      </w:r>
      <w:proofErr w:type="spellEnd"/>
      <w:r w:rsidRPr="522C34BE" w:rsidR="01237E65">
        <w:rPr>
          <w:rFonts w:ascii="Arial" w:hAnsi="Arial" w:eastAsia="Arial" w:cs="Arial"/>
          <w:sz w:val="24"/>
          <w:szCs w:val="24"/>
        </w:rPr>
        <w:t xml:space="preserve">, were placed in Southern Ireland on religious grounds. </w:t>
      </w:r>
      <w:proofErr w:type="spellStart"/>
      <w:r w:rsidRPr="522C34BE" w:rsidR="01237E65">
        <w:rPr>
          <w:rFonts w:ascii="Arial" w:hAnsi="Arial" w:eastAsia="Arial" w:cs="Arial"/>
          <w:sz w:val="24"/>
          <w:szCs w:val="24"/>
        </w:rPr>
        <w:t>Ulsters’</w:t>
      </w:r>
      <w:proofErr w:type="spellEnd"/>
      <w:r w:rsidRPr="522C34BE" w:rsidR="01237E65">
        <w:rPr>
          <w:rFonts w:ascii="Arial" w:hAnsi="Arial" w:eastAsia="Arial" w:cs="Arial"/>
          <w:sz w:val="24"/>
          <w:szCs w:val="24"/>
        </w:rPr>
        <w:t xml:space="preserve"> </w:t>
      </w:r>
      <w:r w:rsidRPr="522C34BE" w:rsidR="01237E65">
        <w:rPr>
          <w:rFonts w:ascii="Arial" w:hAnsi="Arial" w:eastAsia="Arial" w:cs="Arial"/>
          <w:sz w:val="24"/>
          <w:szCs w:val="24"/>
        </w:rPr>
        <w:t>remaining</w:t>
      </w:r>
      <w:r w:rsidRPr="522C34BE" w:rsidR="01237E65">
        <w:rPr>
          <w:rFonts w:ascii="Arial" w:hAnsi="Arial" w:eastAsia="Arial" w:cs="Arial"/>
          <w:sz w:val="24"/>
          <w:szCs w:val="24"/>
        </w:rPr>
        <w:t xml:space="preserve"> six counties remained in Northern Ireland, consisting of the original planters, and most of the population is Protestant. This decision has formed Northern Ireland, a new province. As this decision was formed by </w:t>
      </w:r>
      <w:proofErr w:type="gramStart"/>
      <w:r w:rsidRPr="522C34BE" w:rsidR="01237E65">
        <w:rPr>
          <w:rFonts w:ascii="Arial" w:hAnsi="Arial" w:eastAsia="Arial" w:cs="Arial"/>
          <w:sz w:val="24"/>
          <w:szCs w:val="24"/>
        </w:rPr>
        <w:t>illegitimate</w:t>
      </w:r>
      <w:proofErr w:type="gramEnd"/>
      <w:r w:rsidRPr="522C34BE" w:rsidR="01237E65">
        <w:rPr>
          <w:rFonts w:ascii="Arial" w:hAnsi="Arial" w:eastAsia="Arial" w:cs="Arial"/>
          <w:sz w:val="24"/>
          <w:szCs w:val="24"/>
        </w:rPr>
        <w:t xml:space="preserve">, not the nationalists of Ireland, it should not have been a surprise when terrorism occurred. </w:t>
      </w:r>
      <w:proofErr w:type="gramStart"/>
      <w:r w:rsidRPr="522C34BE" w:rsidR="01237E65">
        <w:rPr>
          <w:rFonts w:ascii="Arial" w:hAnsi="Arial" w:eastAsia="Arial" w:cs="Arial"/>
          <w:sz w:val="24"/>
          <w:szCs w:val="24"/>
        </w:rPr>
        <w:t>The majority of</w:t>
      </w:r>
      <w:proofErr w:type="gramEnd"/>
      <w:r w:rsidRPr="522C34BE" w:rsidR="01237E65">
        <w:rPr>
          <w:rFonts w:ascii="Arial" w:hAnsi="Arial" w:eastAsia="Arial" w:cs="Arial"/>
          <w:sz w:val="24"/>
          <w:szCs w:val="24"/>
        </w:rPr>
        <w:t xml:space="preserve"> the unionists were Protestants who </w:t>
      </w:r>
      <w:proofErr w:type="spellStart"/>
      <w:r w:rsidRPr="522C34BE" w:rsidR="01237E65">
        <w:rPr>
          <w:rFonts w:ascii="Arial" w:hAnsi="Arial" w:eastAsia="Arial" w:cs="Arial"/>
          <w:sz w:val="24"/>
          <w:szCs w:val="24"/>
        </w:rPr>
        <w:t>favoured</w:t>
      </w:r>
      <w:proofErr w:type="spellEnd"/>
      <w:r w:rsidRPr="522C34BE" w:rsidR="01237E65">
        <w:rPr>
          <w:rFonts w:ascii="Arial" w:hAnsi="Arial" w:eastAsia="Arial" w:cs="Arial"/>
          <w:sz w:val="24"/>
          <w:szCs w:val="24"/>
        </w:rPr>
        <w:t xml:space="preserve"> Northern Ireland remaining part of the UK. In contrast, most nationalists were Catholics who wanted to leave the UK and consider Ireland a 32-county state. Moreover, Catholics who remained in Northern Ireland refused to sit in their Parliament.</w:t>
      </w:r>
    </w:p>
    <w:p w:rsidR="522C34BE" w:rsidP="522C34BE" w:rsidRDefault="522C34BE" w14:paraId="1AC64457" w14:textId="7A535A68">
      <w:pPr>
        <w:pStyle w:val="Normal"/>
        <w:spacing w:line="480" w:lineRule="auto"/>
        <w:rPr>
          <w:rFonts w:ascii="Arial" w:hAnsi="Arial" w:eastAsia="Arial" w:cs="Arial"/>
          <w:sz w:val="24"/>
          <w:szCs w:val="24"/>
        </w:rPr>
      </w:pPr>
    </w:p>
    <w:p w:rsidR="522C34BE" w:rsidP="522C34BE" w:rsidRDefault="522C34BE" w14:paraId="3F23EE54" w14:textId="4E7FDF5E">
      <w:pPr>
        <w:pStyle w:val="Normal"/>
        <w:spacing w:line="480" w:lineRule="auto"/>
        <w:rPr>
          <w:rFonts w:ascii="Arial" w:hAnsi="Arial" w:eastAsia="Arial" w:cs="Arial"/>
          <w:sz w:val="24"/>
          <w:szCs w:val="24"/>
        </w:rPr>
      </w:pPr>
    </w:p>
    <w:p w:rsidR="24E7D0F9" w:rsidP="522C34BE" w:rsidRDefault="24E7D0F9" w14:paraId="72DE211D" w14:textId="1C81FA95">
      <w:pPr>
        <w:pStyle w:val="Normal"/>
        <w:spacing w:line="480" w:lineRule="auto"/>
        <w:rPr>
          <w:rFonts w:ascii="Arial" w:hAnsi="Arial" w:eastAsia="Arial" w:cs="Arial"/>
          <w:noProof w:val="0"/>
          <w:color w:val="0E101A"/>
          <w:sz w:val="24"/>
          <w:szCs w:val="24"/>
          <w:lang w:val="en-US"/>
        </w:rPr>
      </w:pPr>
      <w:r w:rsidRPr="522C34BE" w:rsidR="24E7D0F9">
        <w:rPr>
          <w:rFonts w:ascii="Arial" w:hAnsi="Arial" w:eastAsia="Arial" w:cs="Arial"/>
          <w:noProof w:val="0"/>
          <w:color w:val="0E101A"/>
          <w:sz w:val="24"/>
          <w:szCs w:val="24"/>
          <w:lang w:val="en-US"/>
        </w:rPr>
        <w:t xml:space="preserve">In 1969, violence erupted in Northern Ireland, which the poorly treated Catholics carried out during the civil rights (Blake, 2012). The Provisional Irish Republican Army, referred to as the IRA and PIRA, was the largest terrorist group within Northern Ireland, Britain and Europe, the largest Irish republican paramilitary </w:t>
      </w:r>
      <w:proofErr w:type="spellStart"/>
      <w:r w:rsidRPr="522C34BE" w:rsidR="24E7D0F9">
        <w:rPr>
          <w:rFonts w:ascii="Arial" w:hAnsi="Arial" w:eastAsia="Arial" w:cs="Arial"/>
          <w:noProof w:val="0"/>
          <w:color w:val="0E101A"/>
          <w:sz w:val="24"/>
          <w:szCs w:val="24"/>
          <w:lang w:val="en-US"/>
        </w:rPr>
        <w:t>organisation</w:t>
      </w:r>
      <w:proofErr w:type="spellEnd"/>
      <w:r w:rsidRPr="522C34BE" w:rsidR="24E7D0F9">
        <w:rPr>
          <w:rFonts w:ascii="Arial" w:hAnsi="Arial" w:eastAsia="Arial" w:cs="Arial"/>
          <w:noProof w:val="0"/>
          <w:color w:val="0E101A"/>
          <w:sz w:val="24"/>
          <w:szCs w:val="24"/>
          <w:lang w:val="en-US"/>
        </w:rPr>
        <w:t xml:space="preserve">. The group was formed in 1969 as a splinter group; this meaning they used to be a part of the </w:t>
      </w:r>
      <w:proofErr w:type="spellStart"/>
      <w:r w:rsidRPr="522C34BE" w:rsidR="24E7D0F9">
        <w:rPr>
          <w:rFonts w:ascii="Arial" w:hAnsi="Arial" w:eastAsia="Arial" w:cs="Arial"/>
          <w:noProof w:val="0"/>
          <w:color w:val="0E101A"/>
          <w:sz w:val="24"/>
          <w:szCs w:val="24"/>
          <w:lang w:val="en-US"/>
        </w:rPr>
        <w:t>Offical</w:t>
      </w:r>
      <w:proofErr w:type="spellEnd"/>
      <w:r w:rsidRPr="522C34BE" w:rsidR="24E7D0F9">
        <w:rPr>
          <w:rFonts w:ascii="Arial" w:hAnsi="Arial" w:eastAsia="Arial" w:cs="Arial"/>
          <w:noProof w:val="0"/>
          <w:color w:val="0E101A"/>
          <w:sz w:val="24"/>
          <w:szCs w:val="24"/>
          <w:lang w:val="en-US"/>
        </w:rPr>
        <w:t xml:space="preserve"> IRA (McKittrick and </w:t>
      </w:r>
      <w:proofErr w:type="spellStart"/>
      <w:r w:rsidRPr="522C34BE" w:rsidR="24E7D0F9">
        <w:rPr>
          <w:rFonts w:ascii="Arial" w:hAnsi="Arial" w:eastAsia="Arial" w:cs="Arial"/>
          <w:noProof w:val="0"/>
          <w:color w:val="0E101A"/>
          <w:sz w:val="24"/>
          <w:szCs w:val="24"/>
          <w:lang w:val="en-US"/>
        </w:rPr>
        <w:t>McVea</w:t>
      </w:r>
      <w:proofErr w:type="spellEnd"/>
      <w:r w:rsidRPr="522C34BE" w:rsidR="24E7D0F9">
        <w:rPr>
          <w:rFonts w:ascii="Arial" w:hAnsi="Arial" w:eastAsia="Arial" w:cs="Arial"/>
          <w:noProof w:val="0"/>
          <w:color w:val="0E101A"/>
          <w:sz w:val="24"/>
          <w:szCs w:val="24"/>
          <w:lang w:val="en-US"/>
        </w:rPr>
        <w:t xml:space="preserve">, 2012). Their ideology is for Ireland to be United consisting of Irelands thirty-two counties and Northern Ireland not to be a part of the United Kingdom (Nimmons, 2017). In contrast, they wanted to remove all British civilians from physical force and political </w:t>
      </w:r>
      <w:r w:rsidRPr="522C34BE" w:rsidR="24E7D0F9">
        <w:rPr>
          <w:rFonts w:ascii="Arial" w:hAnsi="Arial" w:eastAsia="Arial" w:cs="Arial"/>
          <w:noProof w:val="0"/>
          <w:color w:val="0E101A"/>
          <w:sz w:val="24"/>
          <w:szCs w:val="24"/>
          <w:lang w:val="en-US"/>
        </w:rPr>
        <w:t>guile</w:t>
      </w:r>
      <w:r w:rsidRPr="522C34BE" w:rsidR="24E7D0F9">
        <w:rPr>
          <w:rFonts w:ascii="Arial" w:hAnsi="Arial" w:eastAsia="Arial" w:cs="Arial"/>
          <w:noProof w:val="0"/>
          <w:color w:val="0E101A"/>
          <w:sz w:val="24"/>
          <w:szCs w:val="24"/>
          <w:lang w:val="en-US"/>
        </w:rPr>
        <w:t xml:space="preserve"> in Northern Ireland. Therefore, PIRA is a political </w:t>
      </w:r>
      <w:proofErr w:type="spellStart"/>
      <w:r w:rsidRPr="522C34BE" w:rsidR="24E7D0F9">
        <w:rPr>
          <w:rFonts w:ascii="Arial" w:hAnsi="Arial" w:eastAsia="Arial" w:cs="Arial"/>
          <w:noProof w:val="0"/>
          <w:color w:val="0E101A"/>
          <w:sz w:val="24"/>
          <w:szCs w:val="24"/>
          <w:lang w:val="en-US"/>
        </w:rPr>
        <w:t>organisation</w:t>
      </w:r>
      <w:proofErr w:type="spellEnd"/>
      <w:r w:rsidRPr="522C34BE" w:rsidR="24E7D0F9">
        <w:rPr>
          <w:rFonts w:ascii="Arial" w:hAnsi="Arial" w:eastAsia="Arial" w:cs="Arial"/>
          <w:noProof w:val="0"/>
          <w:color w:val="0E101A"/>
          <w:sz w:val="24"/>
          <w:szCs w:val="24"/>
          <w:lang w:val="en-US"/>
        </w:rPr>
        <w:t xml:space="preserve">, </w:t>
      </w:r>
      <w:r w:rsidRPr="522C34BE" w:rsidR="24E7D0F9">
        <w:rPr>
          <w:rFonts w:ascii="Arial" w:hAnsi="Arial" w:eastAsia="Arial" w:cs="Arial"/>
          <w:noProof w:val="0"/>
          <w:color w:val="0E101A"/>
          <w:sz w:val="24"/>
          <w:szCs w:val="24"/>
          <w:lang w:val="en-US"/>
        </w:rPr>
        <w:t>whereas</w:t>
      </w:r>
      <w:r w:rsidRPr="522C34BE" w:rsidR="24E7D0F9">
        <w:rPr>
          <w:rFonts w:ascii="Arial" w:hAnsi="Arial" w:eastAsia="Arial" w:cs="Arial"/>
          <w:noProof w:val="0"/>
          <w:color w:val="0E101A"/>
          <w:sz w:val="24"/>
          <w:szCs w:val="24"/>
          <w:lang w:val="en-US"/>
        </w:rPr>
        <w:t xml:space="preserve"> Boko Haram is a religious </w:t>
      </w:r>
      <w:proofErr w:type="spellStart"/>
      <w:r w:rsidRPr="522C34BE" w:rsidR="24E7D0F9">
        <w:rPr>
          <w:rFonts w:ascii="Arial" w:hAnsi="Arial" w:eastAsia="Arial" w:cs="Arial"/>
          <w:noProof w:val="0"/>
          <w:color w:val="0E101A"/>
          <w:sz w:val="24"/>
          <w:szCs w:val="24"/>
          <w:lang w:val="en-US"/>
        </w:rPr>
        <w:t>organisation</w:t>
      </w:r>
      <w:proofErr w:type="spellEnd"/>
      <w:r w:rsidRPr="522C34BE" w:rsidR="24E7D0F9">
        <w:rPr>
          <w:rFonts w:ascii="Arial" w:hAnsi="Arial" w:eastAsia="Arial" w:cs="Arial"/>
          <w:noProof w:val="0"/>
          <w:color w:val="0E101A"/>
          <w:sz w:val="24"/>
          <w:szCs w:val="24"/>
          <w:lang w:val="en-US"/>
        </w:rPr>
        <w:t xml:space="preserve"> (Hentz and Solomon, 2017).</w:t>
      </w:r>
    </w:p>
    <w:p w:rsidR="24E7D0F9" w:rsidP="522C34BE" w:rsidRDefault="24E7D0F9" w14:paraId="5C581D8F" w14:textId="269F3B1B">
      <w:pPr>
        <w:pStyle w:val="Normal"/>
        <w:spacing w:line="480" w:lineRule="auto"/>
        <w:rPr>
          <w:rFonts w:ascii="Arial" w:hAnsi="Arial" w:eastAsia="Arial" w:cs="Arial"/>
          <w:noProof w:val="0"/>
          <w:color w:val="0E101A"/>
          <w:sz w:val="24"/>
          <w:szCs w:val="24"/>
          <w:lang w:val="en-US"/>
        </w:rPr>
      </w:pPr>
      <w:r w:rsidRPr="522C34BE" w:rsidR="24E7D0F9">
        <w:rPr>
          <w:rFonts w:ascii="Arial" w:hAnsi="Arial" w:eastAsia="Arial" w:cs="Arial"/>
          <w:noProof w:val="0"/>
          <w:color w:val="0E101A"/>
          <w:sz w:val="24"/>
          <w:szCs w:val="24"/>
          <w:lang w:val="en-US"/>
        </w:rPr>
        <w:t xml:space="preserve">When the PIRA first formed, they only had ten guns (Jackson, Baker and Chalk, 2005). For funding, the PIRA methods developed to carrying out fund-raising activities, kidnapping for ransom, money laundering, fraud, bombs, vehicle bombs and armed robberies, including banks, post officers and building societies. Many of these methods </w:t>
      </w:r>
      <w:r w:rsidRPr="522C34BE" w:rsidR="24E7D0F9">
        <w:rPr>
          <w:rFonts w:ascii="Arial" w:hAnsi="Arial" w:eastAsia="Arial" w:cs="Arial"/>
          <w:noProof w:val="0"/>
          <w:color w:val="0E101A"/>
          <w:sz w:val="24"/>
          <w:szCs w:val="24"/>
          <w:lang w:val="en-US"/>
        </w:rPr>
        <w:t>identified</w:t>
      </w:r>
      <w:r w:rsidRPr="522C34BE" w:rsidR="24E7D0F9">
        <w:rPr>
          <w:rFonts w:ascii="Arial" w:hAnsi="Arial" w:eastAsia="Arial" w:cs="Arial"/>
          <w:noProof w:val="0"/>
          <w:color w:val="0E101A"/>
          <w:sz w:val="24"/>
          <w:szCs w:val="24"/>
          <w:lang w:val="en-US"/>
        </w:rPr>
        <w:t xml:space="preserve"> considerable sophistication and </w:t>
      </w:r>
      <w:proofErr w:type="spellStart"/>
      <w:r w:rsidRPr="522C34BE" w:rsidR="24E7D0F9">
        <w:rPr>
          <w:rFonts w:ascii="Arial" w:hAnsi="Arial" w:eastAsia="Arial" w:cs="Arial"/>
          <w:noProof w:val="0"/>
          <w:color w:val="0E101A"/>
          <w:sz w:val="24"/>
          <w:szCs w:val="24"/>
          <w:lang w:val="en-US"/>
        </w:rPr>
        <w:t>specialisation</w:t>
      </w:r>
      <w:proofErr w:type="spellEnd"/>
      <w:r w:rsidRPr="522C34BE" w:rsidR="24E7D0F9">
        <w:rPr>
          <w:rFonts w:ascii="Arial" w:hAnsi="Arial" w:eastAsia="Arial" w:cs="Arial"/>
          <w:noProof w:val="0"/>
          <w:color w:val="0E101A"/>
          <w:sz w:val="24"/>
          <w:szCs w:val="24"/>
          <w:lang w:val="en-US"/>
        </w:rPr>
        <w:t xml:space="preserve"> (Horgan and Taylor, 1999). The estimated annual income for the PIRAs is IR£10 million (Horgan and Taylor, 1997). The PIRA and Boko Haram both shared similar methods, such as kidnapping. Boko Haram kidnapped 276 </w:t>
      </w:r>
      <w:proofErr w:type="gramStart"/>
      <w:r w:rsidRPr="522C34BE" w:rsidR="24E7D0F9">
        <w:rPr>
          <w:rFonts w:ascii="Arial" w:hAnsi="Arial" w:eastAsia="Arial" w:cs="Arial"/>
          <w:noProof w:val="0"/>
          <w:color w:val="0E101A"/>
          <w:sz w:val="24"/>
          <w:szCs w:val="24"/>
          <w:lang w:val="en-US"/>
        </w:rPr>
        <w:t>school girls</w:t>
      </w:r>
      <w:proofErr w:type="gramEnd"/>
      <w:r w:rsidRPr="522C34BE" w:rsidR="24E7D0F9">
        <w:rPr>
          <w:rFonts w:ascii="Arial" w:hAnsi="Arial" w:eastAsia="Arial" w:cs="Arial"/>
          <w:noProof w:val="0"/>
          <w:color w:val="0E101A"/>
          <w:sz w:val="24"/>
          <w:szCs w:val="24"/>
          <w:lang w:val="en-US"/>
        </w:rPr>
        <w:t xml:space="preserve"> back in 2014 (Elden, 2014).</w:t>
      </w:r>
    </w:p>
    <w:p w:rsidR="522C34BE" w:rsidP="522C34BE" w:rsidRDefault="522C34BE" w14:paraId="5971D540" w14:textId="507D0404">
      <w:pPr>
        <w:pStyle w:val="Normal"/>
        <w:spacing w:line="480" w:lineRule="auto"/>
        <w:rPr>
          <w:rFonts w:ascii="Arial" w:hAnsi="Arial" w:eastAsia="Arial" w:cs="Arial"/>
          <w:noProof w:val="0"/>
          <w:color w:val="0E101A"/>
          <w:sz w:val="24"/>
          <w:szCs w:val="24"/>
          <w:lang w:val="en-US"/>
        </w:rPr>
      </w:pPr>
    </w:p>
    <w:p w:rsidR="522C34BE" w:rsidP="522C34BE" w:rsidRDefault="522C34BE" w14:paraId="45A56712" w14:textId="5C4DF823">
      <w:pPr>
        <w:pStyle w:val="Normal"/>
        <w:spacing w:line="480" w:lineRule="auto"/>
        <w:rPr>
          <w:rFonts w:ascii="Arial" w:hAnsi="Arial" w:eastAsia="Arial" w:cs="Arial"/>
          <w:noProof w:val="0"/>
          <w:color w:val="0E101A"/>
          <w:sz w:val="24"/>
          <w:szCs w:val="24"/>
          <w:lang w:val="en-US"/>
        </w:rPr>
      </w:pPr>
    </w:p>
    <w:p w:rsidR="1F1AD62F" w:rsidP="522C34BE" w:rsidRDefault="1F1AD62F" w14:paraId="26672FC3" w14:textId="424E6644">
      <w:pPr>
        <w:pStyle w:val="Normal"/>
        <w:spacing w:line="480" w:lineRule="auto"/>
        <w:rPr>
          <w:rFonts w:ascii="Arial" w:hAnsi="Arial" w:eastAsia="Arial" w:cs="Arial"/>
          <w:sz w:val="24"/>
          <w:szCs w:val="24"/>
        </w:rPr>
      </w:pPr>
      <w:r w:rsidRPr="522C34BE" w:rsidR="1F1AD62F">
        <w:rPr>
          <w:rFonts w:ascii="Arial" w:hAnsi="Arial" w:eastAsia="Arial" w:cs="Arial"/>
          <w:sz w:val="24"/>
          <w:szCs w:val="24"/>
        </w:rPr>
        <w:t xml:space="preserve">The PIRA was hierarchical in nature and </w:t>
      </w:r>
      <w:proofErr w:type="gramStart"/>
      <w:r w:rsidRPr="522C34BE" w:rsidR="1F1AD62F">
        <w:rPr>
          <w:rFonts w:ascii="Arial" w:hAnsi="Arial" w:eastAsia="Arial" w:cs="Arial"/>
          <w:sz w:val="24"/>
          <w:szCs w:val="24"/>
        </w:rPr>
        <w:t>were</w:t>
      </w:r>
      <w:proofErr w:type="gramEnd"/>
      <w:r w:rsidRPr="522C34BE" w:rsidR="1F1AD62F">
        <w:rPr>
          <w:rFonts w:ascii="Arial" w:hAnsi="Arial" w:eastAsia="Arial" w:cs="Arial"/>
          <w:sz w:val="24"/>
          <w:szCs w:val="24"/>
        </w:rPr>
        <w:t xml:space="preserve"> controlled by the Army Council of seven members. The </w:t>
      </w:r>
      <w:proofErr w:type="spellStart"/>
      <w:r w:rsidRPr="522C34BE" w:rsidR="1F1AD62F">
        <w:rPr>
          <w:rFonts w:ascii="Arial" w:hAnsi="Arial" w:eastAsia="Arial" w:cs="Arial"/>
          <w:sz w:val="24"/>
          <w:szCs w:val="24"/>
        </w:rPr>
        <w:t>organisation</w:t>
      </w:r>
      <w:proofErr w:type="spellEnd"/>
      <w:r w:rsidRPr="522C34BE" w:rsidR="1F1AD62F">
        <w:rPr>
          <w:rFonts w:ascii="Arial" w:hAnsi="Arial" w:eastAsia="Arial" w:cs="Arial"/>
          <w:sz w:val="24"/>
          <w:szCs w:val="24"/>
        </w:rPr>
        <w:t xml:space="preserve"> was </w:t>
      </w:r>
      <w:proofErr w:type="spellStart"/>
      <w:r w:rsidRPr="522C34BE" w:rsidR="1F1AD62F">
        <w:rPr>
          <w:rFonts w:ascii="Arial" w:hAnsi="Arial" w:eastAsia="Arial" w:cs="Arial"/>
          <w:sz w:val="24"/>
          <w:szCs w:val="24"/>
        </w:rPr>
        <w:t>organised</w:t>
      </w:r>
      <w:proofErr w:type="spellEnd"/>
      <w:r w:rsidRPr="522C34BE" w:rsidR="1F1AD62F">
        <w:rPr>
          <w:rFonts w:ascii="Arial" w:hAnsi="Arial" w:eastAsia="Arial" w:cs="Arial"/>
          <w:sz w:val="24"/>
          <w:szCs w:val="24"/>
        </w:rPr>
        <w:t xml:space="preserve"> into companies and brigades in the Northern Command, which covered the Province of Ulster, the nine counties, and the Southern Command </w:t>
      </w:r>
      <w:r w:rsidRPr="522C34BE" w:rsidR="1F1AD62F">
        <w:rPr>
          <w:rFonts w:ascii="Arial" w:hAnsi="Arial" w:eastAsia="Arial" w:cs="Arial"/>
          <w:sz w:val="24"/>
          <w:szCs w:val="24"/>
        </w:rPr>
        <w:t>located</w:t>
      </w:r>
      <w:r w:rsidRPr="522C34BE" w:rsidR="1F1AD62F">
        <w:rPr>
          <w:rFonts w:ascii="Arial" w:hAnsi="Arial" w:eastAsia="Arial" w:cs="Arial"/>
          <w:sz w:val="24"/>
          <w:szCs w:val="24"/>
        </w:rPr>
        <w:t xml:space="preserve"> in Dublin (Nimmons, 2017).</w:t>
      </w:r>
    </w:p>
    <w:p w:rsidR="1F1AD62F" w:rsidP="522C34BE" w:rsidRDefault="1F1AD62F" w14:paraId="163A4737" w14:textId="1CBB7A53">
      <w:pPr>
        <w:pStyle w:val="Normal"/>
        <w:spacing w:line="480" w:lineRule="auto"/>
        <w:rPr>
          <w:rFonts w:ascii="Arial" w:hAnsi="Arial" w:eastAsia="Arial" w:cs="Arial"/>
          <w:sz w:val="24"/>
          <w:szCs w:val="24"/>
        </w:rPr>
      </w:pPr>
      <w:proofErr w:type="gramStart"/>
      <w:r w:rsidRPr="522C34BE" w:rsidR="1F1AD62F">
        <w:rPr>
          <w:rFonts w:ascii="Arial" w:hAnsi="Arial" w:eastAsia="Arial" w:cs="Arial"/>
          <w:sz w:val="24"/>
          <w:szCs w:val="24"/>
        </w:rPr>
        <w:t>Many</w:t>
      </w:r>
      <w:proofErr w:type="gramEnd"/>
      <w:r w:rsidRPr="522C34BE" w:rsidR="1F1AD62F">
        <w:rPr>
          <w:rFonts w:ascii="Arial" w:hAnsi="Arial" w:eastAsia="Arial" w:cs="Arial"/>
          <w:sz w:val="24"/>
          <w:szCs w:val="24"/>
        </w:rPr>
        <w:t xml:space="preserve"> wrongly believe that the General Army Convention (GAC) is the PIRA command structure’s central unit. </w:t>
      </w:r>
      <w:proofErr w:type="gramStart"/>
      <w:r w:rsidRPr="522C34BE" w:rsidR="1F1AD62F">
        <w:rPr>
          <w:rFonts w:ascii="Arial" w:hAnsi="Arial" w:eastAsia="Arial" w:cs="Arial"/>
          <w:sz w:val="24"/>
          <w:szCs w:val="24"/>
        </w:rPr>
        <w:t>A</w:t>
      </w:r>
      <w:proofErr w:type="gramEnd"/>
      <w:r w:rsidRPr="522C34BE" w:rsidR="1F1AD62F">
        <w:rPr>
          <w:rFonts w:ascii="Arial" w:hAnsi="Arial" w:eastAsia="Arial" w:cs="Arial"/>
          <w:sz w:val="24"/>
          <w:szCs w:val="24"/>
        </w:rPr>
        <w:t xml:space="preserve"> General Army Convention is an </w:t>
      </w:r>
      <w:proofErr w:type="spellStart"/>
      <w:r w:rsidRPr="522C34BE" w:rsidR="1F1AD62F">
        <w:rPr>
          <w:rFonts w:ascii="Arial" w:hAnsi="Arial" w:eastAsia="Arial" w:cs="Arial"/>
          <w:sz w:val="24"/>
          <w:szCs w:val="24"/>
        </w:rPr>
        <w:t>organised</w:t>
      </w:r>
      <w:proofErr w:type="spellEnd"/>
      <w:r w:rsidRPr="522C34BE" w:rsidR="1F1AD62F">
        <w:rPr>
          <w:rFonts w:ascii="Arial" w:hAnsi="Arial" w:eastAsia="Arial" w:cs="Arial"/>
          <w:sz w:val="24"/>
          <w:szCs w:val="24"/>
        </w:rPr>
        <w:t xml:space="preserve"> meeting of delegates from other structures in the PIRA. The GAC can </w:t>
      </w:r>
      <w:proofErr w:type="gramStart"/>
      <w:r w:rsidRPr="522C34BE" w:rsidR="1F1AD62F">
        <w:rPr>
          <w:rFonts w:ascii="Arial" w:hAnsi="Arial" w:eastAsia="Arial" w:cs="Arial"/>
          <w:sz w:val="24"/>
          <w:szCs w:val="24"/>
        </w:rPr>
        <w:t>include;</w:t>
      </w:r>
      <w:proofErr w:type="gramEnd"/>
      <w:r w:rsidRPr="522C34BE" w:rsidR="1F1AD62F">
        <w:rPr>
          <w:rFonts w:ascii="Arial" w:hAnsi="Arial" w:eastAsia="Arial" w:cs="Arial"/>
          <w:sz w:val="24"/>
          <w:szCs w:val="24"/>
        </w:rPr>
        <w:t xml:space="preserve"> active volunteers, prison representatives, Brigade officers such as Officer Commanding or Commandeering, and the Headquarters and Army Council members. The GAC aims for a meeting every two years; however, these can be delayed due to military purposes. In contrast, there </w:t>
      </w:r>
      <w:proofErr w:type="gramStart"/>
      <w:r w:rsidRPr="522C34BE" w:rsidR="1F1AD62F">
        <w:rPr>
          <w:rFonts w:ascii="Arial" w:hAnsi="Arial" w:eastAsia="Arial" w:cs="Arial"/>
          <w:sz w:val="24"/>
          <w:szCs w:val="24"/>
        </w:rPr>
        <w:t>have</w:t>
      </w:r>
      <w:proofErr w:type="gramEnd"/>
      <w:r w:rsidRPr="522C34BE" w:rsidR="1F1AD62F">
        <w:rPr>
          <w:rFonts w:ascii="Arial" w:hAnsi="Arial" w:eastAsia="Arial" w:cs="Arial"/>
          <w:sz w:val="24"/>
          <w:szCs w:val="24"/>
        </w:rPr>
        <w:t xml:space="preserve"> only been three GAC </w:t>
      </w:r>
      <w:proofErr w:type="gramStart"/>
      <w:r w:rsidRPr="522C34BE" w:rsidR="1F1AD62F">
        <w:rPr>
          <w:rFonts w:ascii="Arial" w:hAnsi="Arial" w:eastAsia="Arial" w:cs="Arial"/>
          <w:sz w:val="24"/>
          <w:szCs w:val="24"/>
        </w:rPr>
        <w:t>meeting</w:t>
      </w:r>
      <w:proofErr w:type="gramEnd"/>
      <w:r w:rsidRPr="522C34BE" w:rsidR="1F1AD62F">
        <w:rPr>
          <w:rFonts w:ascii="Arial" w:hAnsi="Arial" w:eastAsia="Arial" w:cs="Arial"/>
          <w:sz w:val="24"/>
          <w:szCs w:val="24"/>
        </w:rPr>
        <w:t xml:space="preserve"> in 1969, 1989 and 1996. The purpose of the GAC is to elect Army Executives (Horgan and Taylor, 1997). In the </w:t>
      </w:r>
      <w:proofErr w:type="gramStart"/>
      <w:r w:rsidRPr="522C34BE" w:rsidR="1F1AD62F">
        <w:rPr>
          <w:rFonts w:ascii="Arial" w:hAnsi="Arial" w:eastAsia="Arial" w:cs="Arial"/>
          <w:sz w:val="24"/>
          <w:szCs w:val="24"/>
        </w:rPr>
        <w:t>presentation, (</w:t>
      </w:r>
      <w:proofErr w:type="gramEnd"/>
      <w:r w:rsidRPr="522C34BE" w:rsidR="1F1AD62F">
        <w:rPr>
          <w:rFonts w:ascii="Arial" w:hAnsi="Arial" w:eastAsia="Arial" w:cs="Arial"/>
          <w:sz w:val="24"/>
          <w:szCs w:val="24"/>
        </w:rPr>
        <w:t xml:space="preserve">Morrison, 2008) mentioned that the Army Executive is the next to presume the position, consisting of twelve experienced PIRA members. They aim to meet every six months; however, they can be delayed, like GAC meetings. They have the responsibility of </w:t>
      </w:r>
      <w:r w:rsidRPr="522C34BE" w:rsidR="1F1AD62F">
        <w:rPr>
          <w:rFonts w:ascii="Arial" w:hAnsi="Arial" w:eastAsia="Arial" w:cs="Arial"/>
          <w:sz w:val="24"/>
          <w:szCs w:val="24"/>
        </w:rPr>
        <w:t>observing</w:t>
      </w:r>
      <w:r w:rsidRPr="522C34BE" w:rsidR="1F1AD62F">
        <w:rPr>
          <w:rFonts w:ascii="Arial" w:hAnsi="Arial" w:eastAsia="Arial" w:cs="Arial"/>
          <w:sz w:val="24"/>
          <w:szCs w:val="24"/>
        </w:rPr>
        <w:t xml:space="preserve"> and electing seven provisional members for the Army Council. Notably, the Executive will always consist of sex substitutes in readiness. </w:t>
      </w:r>
    </w:p>
    <w:p w:rsidR="1F1AD62F" w:rsidP="522C34BE" w:rsidRDefault="1F1AD62F" w14:paraId="240FEDBA" w14:textId="763CE3CD">
      <w:pPr>
        <w:pStyle w:val="Normal"/>
        <w:spacing w:line="480" w:lineRule="auto"/>
        <w:rPr>
          <w:rFonts w:ascii="Arial" w:hAnsi="Arial" w:eastAsia="Arial" w:cs="Arial"/>
          <w:sz w:val="24"/>
          <w:szCs w:val="24"/>
        </w:rPr>
      </w:pPr>
      <w:r w:rsidRPr="522C34BE" w:rsidR="1F1AD62F">
        <w:rPr>
          <w:rFonts w:ascii="Arial" w:hAnsi="Arial" w:eastAsia="Arial" w:cs="Arial"/>
          <w:sz w:val="24"/>
          <w:szCs w:val="24"/>
        </w:rPr>
        <w:t xml:space="preserve">The Army Council is the central unit of the PIRA, which </w:t>
      </w:r>
      <w:proofErr w:type="gramStart"/>
      <w:r w:rsidRPr="522C34BE" w:rsidR="1F1AD62F">
        <w:rPr>
          <w:rFonts w:ascii="Arial" w:hAnsi="Arial" w:eastAsia="Arial" w:cs="Arial"/>
          <w:sz w:val="24"/>
          <w:szCs w:val="24"/>
        </w:rPr>
        <w:t>are</w:t>
      </w:r>
      <w:proofErr w:type="gramEnd"/>
      <w:r w:rsidRPr="522C34BE" w:rsidR="1F1AD62F">
        <w:rPr>
          <w:rFonts w:ascii="Arial" w:hAnsi="Arial" w:eastAsia="Arial" w:cs="Arial"/>
          <w:sz w:val="24"/>
          <w:szCs w:val="24"/>
        </w:rPr>
        <w:t xml:space="preserve"> responsible for</w:t>
      </w:r>
      <w:r w:rsidRPr="522C34BE" w:rsidR="1F1AD62F">
        <w:rPr>
          <w:rFonts w:ascii="Arial" w:hAnsi="Arial" w:eastAsia="Arial" w:cs="Arial"/>
          <w:sz w:val="24"/>
          <w:szCs w:val="24"/>
        </w:rPr>
        <w:t xml:space="preserve"> leadership and all military policies and </w:t>
      </w:r>
      <w:proofErr w:type="spellStart"/>
      <w:r w:rsidRPr="522C34BE" w:rsidR="1F1AD62F">
        <w:rPr>
          <w:rFonts w:ascii="Arial" w:hAnsi="Arial" w:eastAsia="Arial" w:cs="Arial"/>
          <w:sz w:val="24"/>
          <w:szCs w:val="24"/>
        </w:rPr>
        <w:t>organises</w:t>
      </w:r>
      <w:proofErr w:type="spellEnd"/>
      <w:r w:rsidRPr="522C34BE" w:rsidR="1F1AD62F">
        <w:rPr>
          <w:rFonts w:ascii="Arial" w:hAnsi="Arial" w:eastAsia="Arial" w:cs="Arial"/>
          <w:sz w:val="24"/>
          <w:szCs w:val="24"/>
        </w:rPr>
        <w:t xml:space="preserve"> the PIRA’s strategies and tactics. Security forces refer to them as a ‘management committee</w:t>
      </w:r>
      <w:r w:rsidRPr="522C34BE" w:rsidR="1F1AD62F">
        <w:rPr>
          <w:rFonts w:ascii="Arial" w:hAnsi="Arial" w:eastAsia="Arial" w:cs="Arial"/>
          <w:sz w:val="24"/>
          <w:szCs w:val="24"/>
        </w:rPr>
        <w:t>’.</w:t>
      </w:r>
      <w:r w:rsidRPr="522C34BE" w:rsidR="1F1AD62F">
        <w:rPr>
          <w:rFonts w:ascii="Arial" w:hAnsi="Arial" w:eastAsia="Arial" w:cs="Arial"/>
          <w:sz w:val="24"/>
          <w:szCs w:val="24"/>
        </w:rPr>
        <w:t xml:space="preserve"> When the GAC are inactive, the Council is referred to as the ‘Supreme Authority</w:t>
      </w:r>
      <w:r w:rsidRPr="522C34BE" w:rsidR="1F1AD62F">
        <w:rPr>
          <w:rFonts w:ascii="Arial" w:hAnsi="Arial" w:eastAsia="Arial" w:cs="Arial"/>
          <w:sz w:val="24"/>
          <w:szCs w:val="24"/>
        </w:rPr>
        <w:t>’.</w:t>
      </w:r>
      <w:r w:rsidRPr="522C34BE" w:rsidR="1F1AD62F">
        <w:rPr>
          <w:rFonts w:ascii="Arial" w:hAnsi="Arial" w:eastAsia="Arial" w:cs="Arial"/>
          <w:sz w:val="24"/>
          <w:szCs w:val="24"/>
        </w:rPr>
        <w:t xml:space="preserve"> However, the GAC must approve when the Council </w:t>
      </w:r>
      <w:proofErr w:type="gramStart"/>
      <w:r w:rsidRPr="522C34BE" w:rsidR="1F1AD62F">
        <w:rPr>
          <w:rFonts w:ascii="Arial" w:hAnsi="Arial" w:eastAsia="Arial" w:cs="Arial"/>
          <w:sz w:val="24"/>
          <w:szCs w:val="24"/>
        </w:rPr>
        <w:t>declare</w:t>
      </w:r>
      <w:proofErr w:type="gramEnd"/>
      <w:r w:rsidRPr="522C34BE" w:rsidR="1F1AD62F">
        <w:rPr>
          <w:rFonts w:ascii="Arial" w:hAnsi="Arial" w:eastAsia="Arial" w:cs="Arial"/>
          <w:sz w:val="24"/>
          <w:szCs w:val="24"/>
        </w:rPr>
        <w:t xml:space="preserve"> war or </w:t>
      </w:r>
      <w:proofErr w:type="gramStart"/>
      <w:r w:rsidRPr="522C34BE" w:rsidR="1F1AD62F">
        <w:rPr>
          <w:rFonts w:ascii="Arial" w:hAnsi="Arial" w:eastAsia="Arial" w:cs="Arial"/>
          <w:sz w:val="24"/>
          <w:szCs w:val="24"/>
        </w:rPr>
        <w:t>conclude</w:t>
      </w:r>
      <w:proofErr w:type="gramEnd"/>
      <w:r w:rsidRPr="522C34BE" w:rsidR="1F1AD62F">
        <w:rPr>
          <w:rFonts w:ascii="Arial" w:hAnsi="Arial" w:eastAsia="Arial" w:cs="Arial"/>
          <w:sz w:val="24"/>
          <w:szCs w:val="24"/>
        </w:rPr>
        <w:t xml:space="preserve"> peace (Horgan and Taylor, 1997). The Council consists of seven members who aim to meet once a month. The general decision-maker comes down to the Councils </w:t>
      </w:r>
      <w:r w:rsidRPr="522C34BE" w:rsidR="1F1AD62F">
        <w:rPr>
          <w:rFonts w:ascii="Arial" w:hAnsi="Arial" w:eastAsia="Arial" w:cs="Arial"/>
          <w:sz w:val="24"/>
          <w:szCs w:val="24"/>
        </w:rPr>
        <w:t>chairman</w:t>
      </w:r>
      <w:r w:rsidRPr="522C34BE" w:rsidR="1F1AD62F">
        <w:rPr>
          <w:rFonts w:ascii="Arial" w:hAnsi="Arial" w:eastAsia="Arial" w:cs="Arial"/>
          <w:sz w:val="24"/>
          <w:szCs w:val="24"/>
        </w:rPr>
        <w:t xml:space="preserve">, whom the Army Executive elects. These decisions are </w:t>
      </w:r>
      <w:r w:rsidRPr="522C34BE" w:rsidR="1F1AD62F">
        <w:rPr>
          <w:rFonts w:ascii="Arial" w:hAnsi="Arial" w:eastAsia="Arial" w:cs="Arial"/>
          <w:sz w:val="24"/>
          <w:szCs w:val="24"/>
        </w:rPr>
        <w:t>forwarded</w:t>
      </w:r>
      <w:r w:rsidRPr="522C34BE" w:rsidR="1F1AD62F">
        <w:rPr>
          <w:rFonts w:ascii="Arial" w:hAnsi="Arial" w:eastAsia="Arial" w:cs="Arial"/>
          <w:sz w:val="24"/>
          <w:szCs w:val="24"/>
        </w:rPr>
        <w:t xml:space="preserve"> and managed by the General Headquarters (GHQ) and have </w:t>
      </w:r>
      <w:proofErr w:type="gramStart"/>
      <w:r w:rsidRPr="522C34BE" w:rsidR="1F1AD62F">
        <w:rPr>
          <w:rFonts w:ascii="Arial" w:hAnsi="Arial" w:eastAsia="Arial" w:cs="Arial"/>
          <w:sz w:val="24"/>
          <w:szCs w:val="24"/>
        </w:rPr>
        <w:t>done</w:t>
      </w:r>
      <w:proofErr w:type="gramEnd"/>
      <w:r w:rsidRPr="522C34BE" w:rsidR="1F1AD62F">
        <w:rPr>
          <w:rFonts w:ascii="Arial" w:hAnsi="Arial" w:eastAsia="Arial" w:cs="Arial"/>
          <w:sz w:val="24"/>
          <w:szCs w:val="24"/>
        </w:rPr>
        <w:t xml:space="preserve"> since the late 1970s. However, the Council has the power to reject decisions made by the GHQ and Northern and Southern Command (Morrison, 2008). The GHQ consists of 50 to 60 members, under ten departments: Quartermaster, Security, Operations, Foreign Operations, Finance, Training, Engineering, Intelligence, Education and Publicity (Jackson, Baker and Chalk, 2005).</w:t>
      </w:r>
    </w:p>
    <w:p w:rsidR="522C34BE" w:rsidP="522C34BE" w:rsidRDefault="522C34BE" w14:paraId="40B79E87" w14:textId="4AEFEF10">
      <w:pPr>
        <w:pStyle w:val="Normal"/>
        <w:spacing w:line="480" w:lineRule="auto"/>
        <w:rPr>
          <w:rFonts w:ascii="Arial" w:hAnsi="Arial" w:eastAsia="Arial" w:cs="Arial"/>
          <w:sz w:val="24"/>
          <w:szCs w:val="24"/>
        </w:rPr>
      </w:pPr>
    </w:p>
    <w:p w:rsidR="522C34BE" w:rsidP="522C34BE" w:rsidRDefault="522C34BE" w14:paraId="14E23577" w14:textId="63E422B6">
      <w:pPr>
        <w:pStyle w:val="Normal"/>
        <w:spacing w:line="480" w:lineRule="auto"/>
        <w:rPr>
          <w:rFonts w:ascii="Arial" w:hAnsi="Arial" w:eastAsia="Arial" w:cs="Arial"/>
          <w:sz w:val="24"/>
          <w:szCs w:val="24"/>
        </w:rPr>
      </w:pPr>
    </w:p>
    <w:p w:rsidR="478C7FBC" w:rsidP="522C34BE" w:rsidRDefault="478C7FBC" w14:paraId="7B0D1C81" w14:textId="1936514D">
      <w:pPr>
        <w:pStyle w:val="Normal"/>
        <w:spacing w:line="480" w:lineRule="auto"/>
        <w:rPr>
          <w:rFonts w:ascii="Arial" w:hAnsi="Arial" w:eastAsia="Arial" w:cs="Arial"/>
          <w:sz w:val="24"/>
          <w:szCs w:val="24"/>
        </w:rPr>
      </w:pPr>
      <w:r w:rsidRPr="522C34BE" w:rsidR="478C7FBC">
        <w:rPr>
          <w:rFonts w:ascii="Arial" w:hAnsi="Arial" w:eastAsia="Arial" w:cs="Arial"/>
          <w:sz w:val="24"/>
          <w:szCs w:val="24"/>
        </w:rPr>
        <w:t>The Provisional IRA targeted uniformed, for example, military/police Catholics or non-</w:t>
      </w:r>
      <w:proofErr w:type="spellStart"/>
      <w:r w:rsidRPr="522C34BE" w:rsidR="478C7FBC">
        <w:rPr>
          <w:rFonts w:ascii="Arial" w:hAnsi="Arial" w:eastAsia="Arial" w:cs="Arial"/>
          <w:sz w:val="24"/>
          <w:szCs w:val="24"/>
        </w:rPr>
        <w:t>christian</w:t>
      </w:r>
      <w:proofErr w:type="spellEnd"/>
      <w:r w:rsidRPr="522C34BE" w:rsidR="478C7FBC">
        <w:rPr>
          <w:rFonts w:ascii="Arial" w:hAnsi="Arial" w:eastAsia="Arial" w:cs="Arial"/>
          <w:sz w:val="24"/>
          <w:szCs w:val="24"/>
        </w:rPr>
        <w:t xml:space="preserve"> faith (White, 1997). However, the Royal Ulster Constabulary and Ulster </w:t>
      </w:r>
      <w:proofErr w:type="spellStart"/>
      <w:r w:rsidRPr="522C34BE" w:rsidR="478C7FBC">
        <w:rPr>
          <w:rFonts w:ascii="Arial" w:hAnsi="Arial" w:eastAsia="Arial" w:cs="Arial"/>
          <w:sz w:val="24"/>
          <w:szCs w:val="24"/>
        </w:rPr>
        <w:t>Defence</w:t>
      </w:r>
      <w:proofErr w:type="spellEnd"/>
      <w:r w:rsidRPr="522C34BE" w:rsidR="478C7FBC">
        <w:rPr>
          <w:rFonts w:ascii="Arial" w:hAnsi="Arial" w:eastAsia="Arial" w:cs="Arial"/>
          <w:sz w:val="24"/>
          <w:szCs w:val="24"/>
        </w:rPr>
        <w:t xml:space="preserve"> Regiment officers </w:t>
      </w:r>
      <w:r w:rsidRPr="522C34BE" w:rsidR="478C7FBC">
        <w:rPr>
          <w:rFonts w:ascii="Arial" w:hAnsi="Arial" w:eastAsia="Arial" w:cs="Arial"/>
          <w:sz w:val="24"/>
          <w:szCs w:val="24"/>
        </w:rPr>
        <w:t>mainly consisted</w:t>
      </w:r>
      <w:r w:rsidRPr="522C34BE" w:rsidR="478C7FBC">
        <w:rPr>
          <w:rFonts w:ascii="Arial" w:hAnsi="Arial" w:eastAsia="Arial" w:cs="Arial"/>
          <w:sz w:val="24"/>
          <w:szCs w:val="24"/>
        </w:rPr>
        <w:t xml:space="preserve"> of Protestants (Dingley, 1998). According to Kowalski (2016), the PIRA pre-planned their killings. They pre-planned 87 per cent of their uninformed targets, deliberately 9.87 per cent, and by mistake less than three. Therefore, this suggests that the PIRA had a specific target with those with specific religious beliefs. The PIRA council set duty for a PIRA member, Sean O’Callaghan, to stalk a Royal Ulster Constabulary officer Peter Flanagan, preparing him for the time and place of the murder O’Callaghan (1999). </w:t>
      </w:r>
    </w:p>
    <w:p w:rsidR="478C7FBC" w:rsidP="522C34BE" w:rsidRDefault="478C7FBC" w14:paraId="7B86A7BD" w14:textId="6F2E31ED">
      <w:pPr>
        <w:pStyle w:val="Normal"/>
        <w:spacing w:line="480" w:lineRule="auto"/>
        <w:rPr>
          <w:rFonts w:ascii="Arial" w:hAnsi="Arial" w:eastAsia="Arial" w:cs="Arial"/>
          <w:sz w:val="24"/>
          <w:szCs w:val="24"/>
        </w:rPr>
      </w:pPr>
      <w:r w:rsidRPr="522C34BE" w:rsidR="478C7FBC">
        <w:rPr>
          <w:rFonts w:ascii="Arial" w:hAnsi="Arial" w:eastAsia="Arial" w:cs="Arial"/>
          <w:sz w:val="24"/>
          <w:szCs w:val="24"/>
        </w:rPr>
        <w:t xml:space="preserve">Moreover, O’Callaghan found it more satisfying killing a uniformed catholic, as he saw them joining the force as a betrayal. Evidence suggests that the PIRA only intended to kill their target group (uniformed), as they did not pursue action to kill civilians when the opportunity was presented. In contrast, they would not kill a Protestant who may have witnessed when they killed their intended target. For example, in 1992, the PIRA shot a Protestant Royal Ulster Constabulary officer in front of his family and friends; however, they had no injuries. The PIRA claim that many civilians present at the PIRA killings were accidentally killed for </w:t>
      </w:r>
      <w:proofErr w:type="spellStart"/>
      <w:r w:rsidRPr="522C34BE" w:rsidR="478C7FBC">
        <w:rPr>
          <w:rFonts w:ascii="Arial" w:hAnsi="Arial" w:eastAsia="Arial" w:cs="Arial"/>
          <w:sz w:val="24"/>
          <w:szCs w:val="24"/>
        </w:rPr>
        <w:t>self-defence</w:t>
      </w:r>
      <w:proofErr w:type="spellEnd"/>
      <w:r w:rsidRPr="522C34BE" w:rsidR="478C7FBC">
        <w:rPr>
          <w:rFonts w:ascii="Arial" w:hAnsi="Arial" w:eastAsia="Arial" w:cs="Arial"/>
          <w:sz w:val="24"/>
          <w:szCs w:val="24"/>
        </w:rPr>
        <w:t xml:space="preserve"> or were mistaken identities (Kowalski, 2016).</w:t>
      </w:r>
    </w:p>
    <w:p w:rsidR="478C7FBC" w:rsidP="522C34BE" w:rsidRDefault="478C7FBC" w14:paraId="7230A26A" w14:textId="6820C117">
      <w:pPr>
        <w:pStyle w:val="Normal"/>
        <w:spacing w:line="480" w:lineRule="auto"/>
        <w:rPr>
          <w:rFonts w:ascii="Arial" w:hAnsi="Arial" w:eastAsia="Arial" w:cs="Arial"/>
          <w:sz w:val="24"/>
          <w:szCs w:val="24"/>
        </w:rPr>
      </w:pPr>
      <w:r w:rsidRPr="522C34BE" w:rsidR="478C7FBC">
        <w:rPr>
          <w:rFonts w:ascii="Arial" w:hAnsi="Arial" w:eastAsia="Arial" w:cs="Arial"/>
          <w:sz w:val="24"/>
          <w:szCs w:val="24"/>
        </w:rPr>
        <w:t>The evidence above suggests that the PIRA focuses on killing their target group in uniform, regardless of whether they are on or off duty. These attacks would be carried out by using “under-car bombs, culvert bombs and ambushing loan off-duty security force members” (Nimmons, 2017). In contrast, if their target were on religion or culture, then others would have been pre-planned to kill or inflict harm during the operation (Kowalski, 2016).</w:t>
      </w:r>
    </w:p>
    <w:p w:rsidR="478C7FBC" w:rsidP="522C34BE" w:rsidRDefault="478C7FBC" w14:paraId="0E85314C" w14:textId="103A88AC">
      <w:pPr>
        <w:pStyle w:val="Normal"/>
        <w:spacing w:line="480" w:lineRule="auto"/>
        <w:rPr>
          <w:rFonts w:ascii="Arial" w:hAnsi="Arial" w:eastAsia="Arial" w:cs="Arial"/>
          <w:sz w:val="24"/>
          <w:szCs w:val="24"/>
        </w:rPr>
      </w:pPr>
      <w:r w:rsidRPr="522C34BE" w:rsidR="478C7FBC">
        <w:rPr>
          <w:rFonts w:ascii="Arial" w:hAnsi="Arial" w:eastAsia="Arial" w:cs="Arial"/>
          <w:sz w:val="24"/>
          <w:szCs w:val="24"/>
        </w:rPr>
        <w:t xml:space="preserve">The Government of Britain and Ireland were to have full responsibility for public safety over the PIRA actions. For example, the PIRA informed the security forces when they had set a bomb, leaving the forces responsible for detonating the bomb or ensuring that all civilians are safe (White, 2007). These methods did </w:t>
      </w:r>
      <w:proofErr w:type="gramStart"/>
      <w:r w:rsidRPr="522C34BE" w:rsidR="478C7FBC">
        <w:rPr>
          <w:rFonts w:ascii="Arial" w:hAnsi="Arial" w:eastAsia="Arial" w:cs="Arial"/>
          <w:sz w:val="24"/>
          <w:szCs w:val="24"/>
        </w:rPr>
        <w:t>results</w:t>
      </w:r>
      <w:proofErr w:type="gramEnd"/>
      <w:r w:rsidRPr="522C34BE" w:rsidR="478C7FBC">
        <w:rPr>
          <w:rFonts w:ascii="Arial" w:hAnsi="Arial" w:eastAsia="Arial" w:cs="Arial"/>
          <w:sz w:val="24"/>
          <w:szCs w:val="24"/>
        </w:rPr>
        <w:t xml:space="preserve"> in civilian casualties, which the PIRA declared was unintentional, which resulted in them </w:t>
      </w:r>
      <w:proofErr w:type="spellStart"/>
      <w:r w:rsidRPr="522C34BE" w:rsidR="478C7FBC">
        <w:rPr>
          <w:rFonts w:ascii="Arial" w:hAnsi="Arial" w:eastAsia="Arial" w:cs="Arial"/>
          <w:sz w:val="24"/>
          <w:szCs w:val="24"/>
        </w:rPr>
        <w:t>apologising</w:t>
      </w:r>
      <w:proofErr w:type="spellEnd"/>
      <w:r w:rsidRPr="522C34BE" w:rsidR="478C7FBC">
        <w:rPr>
          <w:rFonts w:ascii="Arial" w:hAnsi="Arial" w:eastAsia="Arial" w:cs="Arial"/>
          <w:sz w:val="24"/>
          <w:szCs w:val="24"/>
        </w:rPr>
        <w:t xml:space="preserve"> to the public occasionally (Kowalski, 2016). These tactics and methods </w:t>
      </w:r>
      <w:proofErr w:type="gramStart"/>
      <w:r w:rsidRPr="522C34BE" w:rsidR="478C7FBC">
        <w:rPr>
          <w:rFonts w:ascii="Arial" w:hAnsi="Arial" w:eastAsia="Arial" w:cs="Arial"/>
          <w:sz w:val="24"/>
          <w:szCs w:val="24"/>
        </w:rPr>
        <w:t>link</w:t>
      </w:r>
      <w:proofErr w:type="gramEnd"/>
      <w:r w:rsidRPr="522C34BE" w:rsidR="478C7FBC">
        <w:rPr>
          <w:rFonts w:ascii="Arial" w:hAnsi="Arial" w:eastAsia="Arial" w:cs="Arial"/>
          <w:sz w:val="24"/>
          <w:szCs w:val="24"/>
        </w:rPr>
        <w:t xml:space="preserve"> to the Terrorism Act 2000 (Home Office, 2020). Their actions involved extreme violence to cause property damage, serious risk and harm to civilians, affecting their safety and endangering their lives. Their actions influenced the government, governmental </w:t>
      </w:r>
      <w:proofErr w:type="spellStart"/>
      <w:r w:rsidRPr="522C34BE" w:rsidR="478C7FBC">
        <w:rPr>
          <w:rFonts w:ascii="Arial" w:hAnsi="Arial" w:eastAsia="Arial" w:cs="Arial"/>
          <w:sz w:val="24"/>
          <w:szCs w:val="24"/>
        </w:rPr>
        <w:t>organisations</w:t>
      </w:r>
      <w:proofErr w:type="spellEnd"/>
      <w:r w:rsidRPr="522C34BE" w:rsidR="478C7FBC">
        <w:rPr>
          <w:rFonts w:ascii="Arial" w:hAnsi="Arial" w:eastAsia="Arial" w:cs="Arial"/>
          <w:sz w:val="24"/>
          <w:szCs w:val="24"/>
        </w:rPr>
        <w:t xml:space="preserve"> and the public. Moreover, through the PIRA attacks, it is clear to see that they displayed terrorism characteristics, </w:t>
      </w:r>
      <w:proofErr w:type="spellStart"/>
      <w:r w:rsidRPr="522C34BE" w:rsidR="478C7FBC">
        <w:rPr>
          <w:rFonts w:ascii="Arial" w:hAnsi="Arial" w:eastAsia="Arial" w:cs="Arial"/>
          <w:sz w:val="24"/>
          <w:szCs w:val="24"/>
        </w:rPr>
        <w:t>organised</w:t>
      </w:r>
      <w:proofErr w:type="spellEnd"/>
      <w:r w:rsidRPr="522C34BE" w:rsidR="478C7FBC">
        <w:rPr>
          <w:rFonts w:ascii="Arial" w:hAnsi="Arial" w:eastAsia="Arial" w:cs="Arial"/>
          <w:sz w:val="24"/>
          <w:szCs w:val="24"/>
        </w:rPr>
        <w:t xml:space="preserve"> terrorism, and encouraged terror by using unlawful glorification (Home Office, 2020).</w:t>
      </w:r>
    </w:p>
    <w:p w:rsidR="522C34BE" w:rsidP="522C34BE" w:rsidRDefault="522C34BE" w14:paraId="7F3E1911" w14:textId="477527A0">
      <w:pPr>
        <w:pStyle w:val="Normal"/>
        <w:spacing w:line="480" w:lineRule="auto"/>
        <w:rPr>
          <w:rFonts w:ascii="Arial" w:hAnsi="Arial" w:eastAsia="Arial" w:cs="Arial"/>
          <w:sz w:val="24"/>
          <w:szCs w:val="24"/>
        </w:rPr>
      </w:pPr>
    </w:p>
    <w:p w:rsidR="522C34BE" w:rsidP="522C34BE" w:rsidRDefault="522C34BE" w14:paraId="78B5A866" w14:textId="606A09DC">
      <w:pPr>
        <w:pStyle w:val="Normal"/>
        <w:spacing w:line="480" w:lineRule="auto"/>
        <w:rPr>
          <w:rFonts w:ascii="Arial" w:hAnsi="Arial" w:eastAsia="Arial" w:cs="Arial"/>
          <w:sz w:val="24"/>
          <w:szCs w:val="24"/>
        </w:rPr>
      </w:pPr>
    </w:p>
    <w:p w:rsidR="315B62F2" w:rsidP="522C34BE" w:rsidRDefault="315B62F2" w14:paraId="266D4CED" w14:textId="34AA970D">
      <w:pPr>
        <w:pStyle w:val="Normal"/>
        <w:spacing w:line="480" w:lineRule="auto"/>
        <w:rPr>
          <w:rFonts w:ascii="Arial" w:hAnsi="Arial" w:eastAsia="Arial" w:cs="Arial"/>
          <w:sz w:val="24"/>
          <w:szCs w:val="24"/>
        </w:rPr>
      </w:pPr>
      <w:r w:rsidRPr="522C34BE" w:rsidR="315B62F2">
        <w:rPr>
          <w:rFonts w:ascii="Arial" w:hAnsi="Arial" w:eastAsia="Arial" w:cs="Arial"/>
          <w:sz w:val="24"/>
          <w:szCs w:val="24"/>
        </w:rPr>
        <w:t xml:space="preserve">According to BBC (2019), on Sunday 30th January 1972, after being ordered to arrest, the Army Parachute Regiment wounded fifteen and killed thirteen people due to </w:t>
      </w:r>
      <w:proofErr w:type="gramStart"/>
      <w:r w:rsidRPr="522C34BE" w:rsidR="315B62F2">
        <w:rPr>
          <w:rFonts w:ascii="Arial" w:hAnsi="Arial" w:eastAsia="Arial" w:cs="Arial"/>
          <w:sz w:val="24"/>
          <w:szCs w:val="24"/>
        </w:rPr>
        <w:t>open</w:t>
      </w:r>
      <w:proofErr w:type="gramEnd"/>
      <w:r w:rsidRPr="522C34BE" w:rsidR="315B62F2">
        <w:rPr>
          <w:rFonts w:ascii="Arial" w:hAnsi="Arial" w:eastAsia="Arial" w:cs="Arial"/>
          <w:sz w:val="24"/>
          <w:szCs w:val="24"/>
        </w:rPr>
        <w:t xml:space="preserve"> fire. One of the Northern Irelands’ Troubles darkest days, known as ‘Bloody Sunday’. The civil rights march took place in Derry, where a total of 15,000 people gathered. </w:t>
      </w:r>
      <w:proofErr w:type="gramStart"/>
      <w:r w:rsidRPr="522C34BE" w:rsidR="315B62F2">
        <w:rPr>
          <w:rFonts w:ascii="Arial" w:hAnsi="Arial" w:eastAsia="Arial" w:cs="Arial"/>
          <w:sz w:val="24"/>
          <w:szCs w:val="24"/>
        </w:rPr>
        <w:t>The majority of</w:t>
      </w:r>
      <w:proofErr w:type="gramEnd"/>
      <w:r w:rsidRPr="522C34BE" w:rsidR="315B62F2">
        <w:rPr>
          <w:rFonts w:ascii="Arial" w:hAnsi="Arial" w:eastAsia="Arial" w:cs="Arial"/>
          <w:sz w:val="24"/>
          <w:szCs w:val="24"/>
        </w:rPr>
        <w:t xml:space="preserve"> the population in Derry were Catholics. The march’s arranged location was in the city </w:t>
      </w:r>
      <w:proofErr w:type="spellStart"/>
      <w:r w:rsidRPr="522C34BE" w:rsidR="315B62F2">
        <w:rPr>
          <w:rFonts w:ascii="Arial" w:hAnsi="Arial" w:eastAsia="Arial" w:cs="Arial"/>
          <w:sz w:val="24"/>
          <w:szCs w:val="24"/>
        </w:rPr>
        <w:t>centre</w:t>
      </w:r>
      <w:proofErr w:type="spellEnd"/>
      <w:r w:rsidRPr="522C34BE" w:rsidR="315B62F2">
        <w:rPr>
          <w:rFonts w:ascii="Arial" w:hAnsi="Arial" w:eastAsia="Arial" w:cs="Arial"/>
          <w:sz w:val="24"/>
          <w:szCs w:val="24"/>
        </w:rPr>
        <w:t xml:space="preserve">; however, protesters were directed towards Free Derry by army barricades. The Northern Ireland Civil Rights Association </w:t>
      </w:r>
      <w:proofErr w:type="spellStart"/>
      <w:r w:rsidRPr="522C34BE" w:rsidR="315B62F2">
        <w:rPr>
          <w:rFonts w:ascii="Arial" w:hAnsi="Arial" w:eastAsia="Arial" w:cs="Arial"/>
          <w:sz w:val="24"/>
          <w:szCs w:val="24"/>
        </w:rPr>
        <w:t>organised</w:t>
      </w:r>
      <w:proofErr w:type="spellEnd"/>
      <w:r w:rsidRPr="522C34BE" w:rsidR="315B62F2">
        <w:rPr>
          <w:rFonts w:ascii="Arial" w:hAnsi="Arial" w:eastAsia="Arial" w:cs="Arial"/>
          <w:sz w:val="24"/>
          <w:szCs w:val="24"/>
        </w:rPr>
        <w:t xml:space="preserve"> </w:t>
      </w:r>
      <w:proofErr w:type="gramStart"/>
      <w:r w:rsidRPr="522C34BE" w:rsidR="315B62F2">
        <w:rPr>
          <w:rFonts w:ascii="Arial" w:hAnsi="Arial" w:eastAsia="Arial" w:cs="Arial"/>
          <w:sz w:val="24"/>
          <w:szCs w:val="24"/>
        </w:rPr>
        <w:t>the</w:t>
      </w:r>
      <w:proofErr w:type="gramEnd"/>
      <w:r w:rsidRPr="522C34BE" w:rsidR="315B62F2">
        <w:rPr>
          <w:rFonts w:ascii="Arial" w:hAnsi="Arial" w:eastAsia="Arial" w:cs="Arial"/>
          <w:sz w:val="24"/>
          <w:szCs w:val="24"/>
        </w:rPr>
        <w:t xml:space="preserve"> march to </w:t>
      </w:r>
      <w:proofErr w:type="gramStart"/>
      <w:r w:rsidRPr="522C34BE" w:rsidR="315B62F2">
        <w:rPr>
          <w:rFonts w:ascii="Arial" w:hAnsi="Arial" w:eastAsia="Arial" w:cs="Arial"/>
          <w:sz w:val="24"/>
          <w:szCs w:val="24"/>
        </w:rPr>
        <w:t>protest against</w:t>
      </w:r>
      <w:proofErr w:type="gramEnd"/>
      <w:r w:rsidRPr="522C34BE" w:rsidR="315B62F2">
        <w:rPr>
          <w:rFonts w:ascii="Arial" w:hAnsi="Arial" w:eastAsia="Arial" w:cs="Arial"/>
          <w:sz w:val="24"/>
          <w:szCs w:val="24"/>
        </w:rPr>
        <w:t xml:space="preserve"> internment. However, this type of </w:t>
      </w:r>
      <w:proofErr w:type="gramStart"/>
      <w:r w:rsidRPr="522C34BE" w:rsidR="315B62F2">
        <w:rPr>
          <w:rFonts w:ascii="Arial" w:hAnsi="Arial" w:eastAsia="Arial" w:cs="Arial"/>
          <w:sz w:val="24"/>
          <w:szCs w:val="24"/>
        </w:rPr>
        <w:t>protesting</w:t>
      </w:r>
      <w:proofErr w:type="gramEnd"/>
      <w:r w:rsidRPr="522C34BE" w:rsidR="315B62F2">
        <w:rPr>
          <w:rFonts w:ascii="Arial" w:hAnsi="Arial" w:eastAsia="Arial" w:cs="Arial"/>
          <w:sz w:val="24"/>
          <w:szCs w:val="24"/>
        </w:rPr>
        <w:t xml:space="preserve"> was banned by the Government of Northern Ireland (Stormont).</w:t>
      </w:r>
    </w:p>
    <w:p w:rsidR="315B62F2" w:rsidP="522C34BE" w:rsidRDefault="315B62F2" w14:paraId="0D2B3324" w14:textId="70855BB0">
      <w:pPr>
        <w:pStyle w:val="Normal"/>
        <w:spacing w:line="480" w:lineRule="auto"/>
        <w:rPr>
          <w:rFonts w:ascii="Arial" w:hAnsi="Arial" w:eastAsia="Arial" w:cs="Arial"/>
          <w:sz w:val="24"/>
          <w:szCs w:val="24"/>
        </w:rPr>
      </w:pPr>
      <w:r w:rsidRPr="522C34BE" w:rsidR="315B62F2">
        <w:rPr>
          <w:rFonts w:ascii="Arial" w:hAnsi="Arial" w:eastAsia="Arial" w:cs="Arial"/>
          <w:sz w:val="24"/>
          <w:szCs w:val="24"/>
        </w:rPr>
        <w:t xml:space="preserve">In contrast, soldiers were to police </w:t>
      </w:r>
      <w:proofErr w:type="gramStart"/>
      <w:r w:rsidRPr="522C34BE" w:rsidR="315B62F2">
        <w:rPr>
          <w:rFonts w:ascii="Arial" w:hAnsi="Arial" w:eastAsia="Arial" w:cs="Arial"/>
          <w:sz w:val="24"/>
          <w:szCs w:val="24"/>
        </w:rPr>
        <w:t>the</w:t>
      </w:r>
      <w:proofErr w:type="gramEnd"/>
      <w:r w:rsidRPr="522C34BE" w:rsidR="315B62F2">
        <w:rPr>
          <w:rFonts w:ascii="Arial" w:hAnsi="Arial" w:eastAsia="Arial" w:cs="Arial"/>
          <w:sz w:val="24"/>
          <w:szCs w:val="24"/>
        </w:rPr>
        <w:t xml:space="preserve"> march. Soldiers began using rubber bullets, tear gas and water cannons once the marchers were throwing stones. Minutes later, 21 soldiers began to fire bullets, with each round discharging 108 bullets. This violence spread throughout the Derry area, which resulted in the crowd burning down the British Embassy in Dublin (BBC, 2019).</w:t>
      </w:r>
    </w:p>
    <w:p w:rsidR="315B62F2" w:rsidP="522C34BE" w:rsidRDefault="315B62F2" w14:paraId="52E1DD4F" w14:textId="331C6913">
      <w:pPr>
        <w:pStyle w:val="Normal"/>
        <w:spacing w:line="480" w:lineRule="auto"/>
        <w:rPr>
          <w:rFonts w:ascii="Arial" w:hAnsi="Arial" w:eastAsia="Arial" w:cs="Arial"/>
          <w:sz w:val="24"/>
          <w:szCs w:val="24"/>
        </w:rPr>
      </w:pPr>
      <w:r w:rsidRPr="522C34BE" w:rsidR="315B62F2">
        <w:rPr>
          <w:rFonts w:ascii="Arial" w:hAnsi="Arial" w:eastAsia="Arial" w:cs="Arial"/>
          <w:sz w:val="24"/>
          <w:szCs w:val="24"/>
        </w:rPr>
        <w:t xml:space="preserve">However, the Provisional IRA denied their involvement during Bloody Sunday. Even though soldiers mentioned shooters and nail bombers threatened them, the community disagreed because they believed that the army opened fire without justification. Moreover, no soldiers were injured by gunshots or nail bombs (McKittrick and </w:t>
      </w:r>
      <w:proofErr w:type="spellStart"/>
      <w:r w:rsidRPr="522C34BE" w:rsidR="315B62F2">
        <w:rPr>
          <w:rFonts w:ascii="Arial" w:hAnsi="Arial" w:eastAsia="Arial" w:cs="Arial"/>
          <w:sz w:val="24"/>
          <w:szCs w:val="24"/>
        </w:rPr>
        <w:t>McVea</w:t>
      </w:r>
      <w:proofErr w:type="spellEnd"/>
      <w:r w:rsidRPr="522C34BE" w:rsidR="315B62F2">
        <w:rPr>
          <w:rFonts w:ascii="Arial" w:hAnsi="Arial" w:eastAsia="Arial" w:cs="Arial"/>
          <w:sz w:val="24"/>
          <w:szCs w:val="24"/>
        </w:rPr>
        <w:t>, 2012).</w:t>
      </w:r>
    </w:p>
    <w:p w:rsidR="522C34BE" w:rsidP="522C34BE" w:rsidRDefault="522C34BE" w14:paraId="0E9BFB5A" w14:textId="110D6071">
      <w:pPr>
        <w:pStyle w:val="Normal"/>
        <w:spacing w:line="480" w:lineRule="auto"/>
        <w:rPr>
          <w:rFonts w:ascii="Arial" w:hAnsi="Arial" w:eastAsia="Arial" w:cs="Arial"/>
          <w:sz w:val="24"/>
          <w:szCs w:val="24"/>
        </w:rPr>
      </w:pPr>
    </w:p>
    <w:p w:rsidR="522C34BE" w:rsidP="522C34BE" w:rsidRDefault="522C34BE" w14:paraId="7E824969" w14:textId="08569760">
      <w:pPr>
        <w:pStyle w:val="Normal"/>
        <w:spacing w:line="480" w:lineRule="auto"/>
        <w:rPr>
          <w:rFonts w:ascii="Arial" w:hAnsi="Arial" w:eastAsia="Arial" w:cs="Arial"/>
          <w:sz w:val="24"/>
          <w:szCs w:val="24"/>
        </w:rPr>
      </w:pPr>
    </w:p>
    <w:p w:rsidR="487DD043" w:rsidP="522C34BE" w:rsidRDefault="487DD043" w14:paraId="179479AB" w14:textId="027522D5">
      <w:pPr>
        <w:pStyle w:val="Normal"/>
        <w:spacing w:line="480" w:lineRule="auto"/>
        <w:rPr>
          <w:rFonts w:ascii="Arial" w:hAnsi="Arial" w:eastAsia="Arial" w:cs="Arial"/>
          <w:sz w:val="24"/>
          <w:szCs w:val="24"/>
        </w:rPr>
      </w:pPr>
      <w:r w:rsidRPr="522C34BE" w:rsidR="487DD043">
        <w:rPr>
          <w:rFonts w:ascii="Arial" w:hAnsi="Arial" w:eastAsia="Arial" w:cs="Arial"/>
          <w:sz w:val="24"/>
          <w:szCs w:val="24"/>
        </w:rPr>
        <w:t xml:space="preserve">As stated by BBC News (2002), Friday 21st July 1972 is the day referred to as ‘Bloody Friday’. During this day, twenty bombs had been detonated across the city of Belfast by the IRA. An officer at the scene stated, “the first thing that caught my eye was a torso of a human being in the middle of the </w:t>
      </w:r>
      <w:proofErr w:type="gramStart"/>
      <w:r w:rsidRPr="522C34BE" w:rsidR="487DD043">
        <w:rPr>
          <w:rFonts w:ascii="Arial" w:hAnsi="Arial" w:eastAsia="Arial" w:cs="Arial"/>
          <w:sz w:val="24"/>
          <w:szCs w:val="24"/>
        </w:rPr>
        <w:t>street“</w:t>
      </w:r>
      <w:proofErr w:type="gramEnd"/>
      <w:r w:rsidRPr="522C34BE" w:rsidR="487DD043">
        <w:rPr>
          <w:rFonts w:ascii="Arial" w:hAnsi="Arial" w:eastAsia="Arial" w:cs="Arial"/>
          <w:sz w:val="24"/>
          <w:szCs w:val="24"/>
        </w:rPr>
        <w:t xml:space="preserve">. The violence lasted 75 minutes resulted in nine deaths: five civilians, two British soldiers, a Royal Ulster Constabulary, an Ulster </w:t>
      </w:r>
      <w:proofErr w:type="spellStart"/>
      <w:r w:rsidRPr="522C34BE" w:rsidR="487DD043">
        <w:rPr>
          <w:rFonts w:ascii="Arial" w:hAnsi="Arial" w:eastAsia="Arial" w:cs="Arial"/>
          <w:sz w:val="24"/>
          <w:szCs w:val="24"/>
        </w:rPr>
        <w:t>Defence</w:t>
      </w:r>
      <w:proofErr w:type="spellEnd"/>
      <w:r w:rsidRPr="522C34BE" w:rsidR="487DD043">
        <w:rPr>
          <w:rFonts w:ascii="Arial" w:hAnsi="Arial" w:eastAsia="Arial" w:cs="Arial"/>
          <w:sz w:val="24"/>
          <w:szCs w:val="24"/>
        </w:rPr>
        <w:t xml:space="preserve"> Association member and approximately 130 people injured and or mentally impacted from the terrifying experience they witnessed. Car bombs are what caused </w:t>
      </w:r>
      <w:r w:rsidRPr="522C34BE" w:rsidR="487DD043">
        <w:rPr>
          <w:rFonts w:ascii="Arial" w:hAnsi="Arial" w:eastAsia="Arial" w:cs="Arial"/>
          <w:sz w:val="24"/>
          <w:szCs w:val="24"/>
        </w:rPr>
        <w:t>the nine</w:t>
      </w:r>
      <w:r w:rsidRPr="522C34BE" w:rsidR="487DD043">
        <w:rPr>
          <w:rFonts w:ascii="Arial" w:hAnsi="Arial" w:eastAsia="Arial" w:cs="Arial"/>
          <w:sz w:val="24"/>
          <w:szCs w:val="24"/>
        </w:rPr>
        <w:t xml:space="preserve"> deaths on Oxford Street and </w:t>
      </w:r>
      <w:proofErr w:type="spellStart"/>
      <w:r w:rsidRPr="522C34BE" w:rsidR="487DD043">
        <w:rPr>
          <w:rFonts w:ascii="Arial" w:hAnsi="Arial" w:eastAsia="Arial" w:cs="Arial"/>
          <w:sz w:val="24"/>
          <w:szCs w:val="24"/>
        </w:rPr>
        <w:t>Cavehill</w:t>
      </w:r>
      <w:proofErr w:type="spellEnd"/>
      <w:r w:rsidRPr="522C34BE" w:rsidR="487DD043">
        <w:rPr>
          <w:rFonts w:ascii="Arial" w:hAnsi="Arial" w:eastAsia="Arial" w:cs="Arial"/>
          <w:sz w:val="24"/>
          <w:szCs w:val="24"/>
        </w:rPr>
        <w:t xml:space="preserve"> Road. However, the IRA believed that the security forces caused </w:t>
      </w:r>
      <w:proofErr w:type="gramStart"/>
      <w:r w:rsidRPr="522C34BE" w:rsidR="487DD043">
        <w:rPr>
          <w:rFonts w:ascii="Arial" w:hAnsi="Arial" w:eastAsia="Arial" w:cs="Arial"/>
          <w:sz w:val="24"/>
          <w:szCs w:val="24"/>
        </w:rPr>
        <w:t>the deaths</w:t>
      </w:r>
      <w:proofErr w:type="gramEnd"/>
      <w:r w:rsidRPr="522C34BE" w:rsidR="487DD043">
        <w:rPr>
          <w:rFonts w:ascii="Arial" w:hAnsi="Arial" w:eastAsia="Arial" w:cs="Arial"/>
          <w:sz w:val="24"/>
          <w:szCs w:val="24"/>
        </w:rPr>
        <w:t xml:space="preserve"> as they did not act on the warnings. Moreover, the IRA inflicted damage and disarray throughout the city, ensuring services would have to work to their maximum potential. No one could feel safe during this time, mainly because no one knew when or where the next bomb would detonate.</w:t>
      </w:r>
    </w:p>
    <w:p w:rsidR="487DD043" w:rsidP="522C34BE" w:rsidRDefault="487DD043" w14:paraId="3A3AD971" w14:textId="4982939C">
      <w:pPr>
        <w:pStyle w:val="Normal"/>
        <w:spacing w:line="480" w:lineRule="auto"/>
        <w:rPr>
          <w:rFonts w:ascii="Arial" w:hAnsi="Arial" w:eastAsia="Arial" w:cs="Arial"/>
          <w:sz w:val="24"/>
          <w:szCs w:val="24"/>
        </w:rPr>
      </w:pPr>
      <w:r w:rsidRPr="522C34BE" w:rsidR="487DD043">
        <w:rPr>
          <w:rFonts w:ascii="Arial" w:hAnsi="Arial" w:eastAsia="Arial" w:cs="Arial"/>
          <w:sz w:val="24"/>
          <w:szCs w:val="24"/>
        </w:rPr>
        <w:t xml:space="preserve">Due to the Parachute Regiment inflicting thirteen deaths during ‘Bloody Sunday’, the IRA had propaganda to recruit more members. The recruitment was successful, as many people believed the only way to protect their communities was to join the IRA. The IRA gained confidence and agreed to a ceasefire, which resulted in secret talks between them and the British government. Moreover, the ceasefire collapsed due to unsuccessful discussions. Bloody Friday showed aside </w:t>
      </w:r>
      <w:proofErr w:type="gramStart"/>
      <w:r w:rsidRPr="522C34BE" w:rsidR="487DD043">
        <w:rPr>
          <w:rFonts w:ascii="Arial" w:hAnsi="Arial" w:eastAsia="Arial" w:cs="Arial"/>
          <w:sz w:val="24"/>
          <w:szCs w:val="24"/>
        </w:rPr>
        <w:t>of</w:t>
      </w:r>
      <w:proofErr w:type="gramEnd"/>
      <w:r w:rsidRPr="522C34BE" w:rsidR="487DD043">
        <w:rPr>
          <w:rFonts w:ascii="Arial" w:hAnsi="Arial" w:eastAsia="Arial" w:cs="Arial"/>
          <w:sz w:val="24"/>
          <w:szCs w:val="24"/>
        </w:rPr>
        <w:t xml:space="preserve"> the </w:t>
      </w:r>
      <w:proofErr w:type="spellStart"/>
      <w:r w:rsidRPr="522C34BE" w:rsidR="487DD043">
        <w:rPr>
          <w:rFonts w:ascii="Arial" w:hAnsi="Arial" w:eastAsia="Arial" w:cs="Arial"/>
          <w:sz w:val="24"/>
          <w:szCs w:val="24"/>
        </w:rPr>
        <w:t>organisation</w:t>
      </w:r>
      <w:proofErr w:type="spellEnd"/>
      <w:r w:rsidRPr="522C34BE" w:rsidR="487DD043">
        <w:rPr>
          <w:rFonts w:ascii="Arial" w:hAnsi="Arial" w:eastAsia="Arial" w:cs="Arial"/>
          <w:sz w:val="24"/>
          <w:szCs w:val="24"/>
        </w:rPr>
        <w:t xml:space="preserve">, which many members </w:t>
      </w:r>
      <w:proofErr w:type="spellStart"/>
      <w:r w:rsidRPr="522C34BE" w:rsidR="487DD043">
        <w:rPr>
          <w:rFonts w:ascii="Arial" w:hAnsi="Arial" w:eastAsia="Arial" w:cs="Arial"/>
          <w:sz w:val="24"/>
          <w:szCs w:val="24"/>
        </w:rPr>
        <w:t>prefered</w:t>
      </w:r>
      <w:proofErr w:type="spellEnd"/>
      <w:r w:rsidRPr="522C34BE" w:rsidR="487DD043">
        <w:rPr>
          <w:rFonts w:ascii="Arial" w:hAnsi="Arial" w:eastAsia="Arial" w:cs="Arial"/>
          <w:sz w:val="24"/>
          <w:szCs w:val="24"/>
        </w:rPr>
        <w:t xml:space="preserve"> to ignore on Bloody Sunday. According to Sean </w:t>
      </w:r>
      <w:proofErr w:type="spellStart"/>
      <w:r w:rsidRPr="522C34BE" w:rsidR="487DD043">
        <w:rPr>
          <w:rFonts w:ascii="Arial" w:hAnsi="Arial" w:eastAsia="Arial" w:cs="Arial"/>
          <w:sz w:val="24"/>
          <w:szCs w:val="24"/>
        </w:rPr>
        <w:t>MacStiofain</w:t>
      </w:r>
      <w:proofErr w:type="spellEnd"/>
      <w:r w:rsidRPr="522C34BE" w:rsidR="487DD043">
        <w:rPr>
          <w:rFonts w:ascii="Arial" w:hAnsi="Arial" w:eastAsia="Arial" w:cs="Arial"/>
          <w:sz w:val="24"/>
          <w:szCs w:val="24"/>
        </w:rPr>
        <w:t>, the IRA leader, their goal on Bloody Friday was to cause financial harm. In contrast, the leader did not take responsibility for Bloody Friday BBC News (2002).</w:t>
      </w:r>
    </w:p>
    <w:p w:rsidR="522C34BE" w:rsidP="522C34BE" w:rsidRDefault="522C34BE" w14:paraId="04C349CE" w14:textId="3EDB5566">
      <w:pPr>
        <w:pStyle w:val="Normal"/>
        <w:spacing w:line="480" w:lineRule="auto"/>
        <w:rPr>
          <w:rFonts w:ascii="Arial" w:hAnsi="Arial" w:eastAsia="Arial" w:cs="Arial"/>
          <w:sz w:val="24"/>
          <w:szCs w:val="24"/>
        </w:rPr>
      </w:pPr>
    </w:p>
    <w:p w:rsidR="522C34BE" w:rsidP="522C34BE" w:rsidRDefault="522C34BE" w14:paraId="4CFCB0FE" w14:textId="7CDCA1AE">
      <w:pPr>
        <w:pStyle w:val="Normal"/>
        <w:spacing w:line="480" w:lineRule="auto"/>
        <w:rPr>
          <w:rFonts w:ascii="Arial" w:hAnsi="Arial" w:eastAsia="Arial" w:cs="Arial"/>
          <w:sz w:val="24"/>
          <w:szCs w:val="24"/>
        </w:rPr>
      </w:pPr>
    </w:p>
    <w:p w:rsidR="440AF3FC" w:rsidP="522C34BE" w:rsidRDefault="440AF3FC" w14:paraId="49ABCE23" w14:textId="20C0077E">
      <w:pPr>
        <w:pStyle w:val="Normal"/>
        <w:spacing w:line="480" w:lineRule="auto"/>
        <w:rPr>
          <w:rFonts w:ascii="Arial" w:hAnsi="Arial" w:eastAsia="Arial" w:cs="Arial"/>
          <w:sz w:val="24"/>
          <w:szCs w:val="24"/>
        </w:rPr>
      </w:pPr>
      <w:r w:rsidRPr="522C34BE" w:rsidR="440AF3FC">
        <w:rPr>
          <w:rFonts w:ascii="Arial" w:hAnsi="Arial" w:eastAsia="Arial" w:cs="Arial"/>
          <w:sz w:val="24"/>
          <w:szCs w:val="24"/>
        </w:rPr>
        <w:t xml:space="preserve">In the 1960s, Protestants believed that they could successfully govern Northern Ireland. However, this resulted in disadvantages for the Catholic majority. In contrast, this leads to communal violence between Protestants, Catholics, British police, and soldiers, such as bombings, assassinations, and rioting until the 1990s (Britannica, 2020). These attacks “caused over £1 billion worth of </w:t>
      </w:r>
      <w:proofErr w:type="gramStart"/>
      <w:r w:rsidRPr="522C34BE" w:rsidR="440AF3FC">
        <w:rPr>
          <w:rFonts w:ascii="Arial" w:hAnsi="Arial" w:eastAsia="Arial" w:cs="Arial"/>
          <w:sz w:val="24"/>
          <w:szCs w:val="24"/>
        </w:rPr>
        <w:t>damage“ (</w:t>
      </w:r>
      <w:proofErr w:type="gramEnd"/>
      <w:r w:rsidRPr="522C34BE" w:rsidR="440AF3FC">
        <w:rPr>
          <w:rFonts w:ascii="Arial" w:hAnsi="Arial" w:eastAsia="Arial" w:cs="Arial"/>
          <w:sz w:val="24"/>
          <w:szCs w:val="24"/>
        </w:rPr>
        <w:t>Dillon, 1996, p.292).</w:t>
      </w:r>
    </w:p>
    <w:p w:rsidR="440AF3FC" w:rsidP="522C34BE" w:rsidRDefault="440AF3FC" w14:paraId="1CA8EADE" w14:textId="48861E6C">
      <w:pPr>
        <w:pStyle w:val="Normal"/>
        <w:spacing w:line="480" w:lineRule="auto"/>
        <w:rPr>
          <w:rFonts w:ascii="Arial" w:hAnsi="Arial" w:eastAsia="Arial" w:cs="Arial"/>
          <w:sz w:val="24"/>
          <w:szCs w:val="24"/>
        </w:rPr>
      </w:pPr>
      <w:r w:rsidRPr="522C34BE" w:rsidR="440AF3FC">
        <w:rPr>
          <w:rFonts w:ascii="Arial" w:hAnsi="Arial" w:eastAsia="Arial" w:cs="Arial"/>
          <w:sz w:val="24"/>
          <w:szCs w:val="24"/>
        </w:rPr>
        <w:t xml:space="preserve">On Wednesday, 31 August 1994, the PIRA decided that there would be a cessation of violence between the military operations. The cessation was the beginning of a settlement. The Irish Newspaper stated, “Time to build a peaceful future for </w:t>
      </w:r>
      <w:proofErr w:type="gramStart"/>
      <w:r w:rsidRPr="522C34BE" w:rsidR="440AF3FC">
        <w:rPr>
          <w:rFonts w:ascii="Arial" w:hAnsi="Arial" w:eastAsia="Arial" w:cs="Arial"/>
          <w:sz w:val="24"/>
          <w:szCs w:val="24"/>
        </w:rPr>
        <w:t>all“ (</w:t>
      </w:r>
      <w:proofErr w:type="gramEnd"/>
      <w:r w:rsidRPr="522C34BE" w:rsidR="440AF3FC">
        <w:rPr>
          <w:rFonts w:ascii="Arial" w:hAnsi="Arial" w:eastAsia="Arial" w:cs="Arial"/>
          <w:sz w:val="24"/>
          <w:szCs w:val="24"/>
        </w:rPr>
        <w:t>English, 2012). In contrast, the ceasefire created by the IRA was not the end; it was the beginning. This day was needed, where the nationalist, unionist, Catholic and Protestants had control over Ireland. On this day, the IRA allowed the political leaders to do what they had to do to move things forward for Ireland because, after twenty-five years of terror and 3,168 deaths, the PIRA was prepared to end their violence. Therefore, they understood that they would further achieve their aims through politics and not violence. The PIRA cessation was an indication of victory for most Catholics (English, 2012).</w:t>
      </w:r>
    </w:p>
    <w:p w:rsidR="522C34BE" w:rsidP="522C34BE" w:rsidRDefault="522C34BE" w14:paraId="090490F2" w14:textId="6E8FE2F0">
      <w:pPr>
        <w:pStyle w:val="Normal"/>
        <w:spacing w:line="480" w:lineRule="auto"/>
        <w:rPr>
          <w:rFonts w:ascii="Arial" w:hAnsi="Arial" w:eastAsia="Arial" w:cs="Arial"/>
          <w:sz w:val="24"/>
          <w:szCs w:val="24"/>
        </w:rPr>
      </w:pPr>
    </w:p>
    <w:p w:rsidR="522C34BE" w:rsidP="522C34BE" w:rsidRDefault="522C34BE" w14:paraId="26A42142" w14:textId="11339109">
      <w:pPr>
        <w:pStyle w:val="Normal"/>
        <w:spacing w:line="480" w:lineRule="auto"/>
        <w:rPr>
          <w:rFonts w:ascii="Arial" w:hAnsi="Arial" w:eastAsia="Arial" w:cs="Arial"/>
          <w:sz w:val="24"/>
          <w:szCs w:val="24"/>
        </w:rPr>
      </w:pPr>
    </w:p>
    <w:p w:rsidR="48116493" w:rsidP="522C34BE" w:rsidRDefault="48116493" w14:paraId="10C1F50A" w14:textId="76D2A93F">
      <w:pPr>
        <w:pStyle w:val="Normal"/>
        <w:spacing w:line="480" w:lineRule="auto"/>
        <w:rPr>
          <w:rFonts w:ascii="Arial" w:hAnsi="Arial" w:eastAsia="Arial" w:cs="Arial"/>
          <w:sz w:val="24"/>
          <w:szCs w:val="24"/>
        </w:rPr>
      </w:pPr>
      <w:r w:rsidRPr="522C34BE" w:rsidR="48116493">
        <w:rPr>
          <w:rFonts w:ascii="Arial" w:hAnsi="Arial" w:eastAsia="Arial" w:cs="Arial"/>
          <w:sz w:val="24"/>
          <w:szCs w:val="24"/>
        </w:rPr>
        <w:t xml:space="preserve">On the 10th of April 1998, the Good Friday Agreement took place, an agreement between the British and Irish governments (Northern Ireland Assembly, 2017), debating how to govern Northern Ireland for equal power between unionists and nationalists. Seventy-one per cent of Northern Ireland and ninety-four per cent of the Republic voted yes for Ireland to remain part of the UK in the Good Friday Agreement (Somerville and Purcell, 2011). The end of a conflict society began. </w:t>
      </w:r>
      <w:proofErr w:type="gramStart"/>
      <w:r w:rsidRPr="522C34BE" w:rsidR="48116493">
        <w:rPr>
          <w:rFonts w:ascii="Arial" w:hAnsi="Arial" w:eastAsia="Arial" w:cs="Arial"/>
          <w:sz w:val="24"/>
          <w:szCs w:val="24"/>
        </w:rPr>
        <w:t>The peace</w:t>
      </w:r>
      <w:proofErr w:type="gramEnd"/>
      <w:r w:rsidRPr="522C34BE" w:rsidR="48116493">
        <w:rPr>
          <w:rFonts w:ascii="Arial" w:hAnsi="Arial" w:eastAsia="Arial" w:cs="Arial"/>
          <w:sz w:val="24"/>
          <w:szCs w:val="24"/>
        </w:rPr>
        <w:t xml:space="preserve"> began to develop in Northern Ireland, and the growth of power spread between </w:t>
      </w:r>
      <w:proofErr w:type="spellStart"/>
      <w:r w:rsidRPr="522C34BE" w:rsidR="48116493">
        <w:rPr>
          <w:rFonts w:ascii="Arial" w:hAnsi="Arial" w:eastAsia="Arial" w:cs="Arial"/>
          <w:sz w:val="24"/>
          <w:szCs w:val="24"/>
        </w:rPr>
        <w:t>organisations</w:t>
      </w:r>
      <w:proofErr w:type="spellEnd"/>
      <w:r w:rsidRPr="522C34BE" w:rsidR="48116493">
        <w:rPr>
          <w:rFonts w:ascii="Arial" w:hAnsi="Arial" w:eastAsia="Arial" w:cs="Arial"/>
          <w:sz w:val="24"/>
          <w:szCs w:val="24"/>
        </w:rPr>
        <w:t xml:space="preserve"> creating a permanent peace consolidation (Somerville and Purcell, 2011).</w:t>
      </w:r>
    </w:p>
    <w:p w:rsidR="522C34BE" w:rsidP="522C34BE" w:rsidRDefault="522C34BE" w14:paraId="7BA62D2C" w14:textId="46391295">
      <w:pPr>
        <w:pStyle w:val="Normal"/>
        <w:spacing w:line="480" w:lineRule="auto"/>
        <w:rPr>
          <w:rFonts w:ascii="Arial" w:hAnsi="Arial" w:eastAsia="Arial" w:cs="Arial"/>
          <w:sz w:val="24"/>
          <w:szCs w:val="24"/>
        </w:rPr>
      </w:pPr>
    </w:p>
    <w:p w:rsidR="522C34BE" w:rsidP="522C34BE" w:rsidRDefault="522C34BE" w14:paraId="00FE137B" w14:textId="43CE9BFA">
      <w:pPr>
        <w:pStyle w:val="Normal"/>
        <w:spacing w:line="480" w:lineRule="auto"/>
        <w:rPr>
          <w:rFonts w:ascii="Arial" w:hAnsi="Arial" w:eastAsia="Arial" w:cs="Arial"/>
          <w:sz w:val="24"/>
          <w:szCs w:val="24"/>
        </w:rPr>
      </w:pPr>
    </w:p>
    <w:p w:rsidR="17146BEF" w:rsidP="522C34BE" w:rsidRDefault="17146BEF" w14:paraId="7C1E0B4B" w14:textId="22E91D6E">
      <w:pPr>
        <w:pStyle w:val="Normal"/>
        <w:spacing w:line="480" w:lineRule="auto"/>
        <w:rPr>
          <w:rFonts w:ascii="Arial" w:hAnsi="Arial" w:eastAsia="Arial" w:cs="Arial"/>
          <w:sz w:val="24"/>
          <w:szCs w:val="24"/>
        </w:rPr>
      </w:pPr>
      <w:r w:rsidRPr="522C34BE" w:rsidR="17146BEF">
        <w:rPr>
          <w:rFonts w:ascii="Arial" w:hAnsi="Arial" w:eastAsia="Arial" w:cs="Arial"/>
          <w:sz w:val="24"/>
          <w:szCs w:val="24"/>
        </w:rPr>
        <w:t xml:space="preserve">There is no same definition </w:t>
      </w:r>
      <w:proofErr w:type="gramStart"/>
      <w:r w:rsidRPr="522C34BE" w:rsidR="17146BEF">
        <w:rPr>
          <w:rFonts w:ascii="Arial" w:hAnsi="Arial" w:eastAsia="Arial" w:cs="Arial"/>
          <w:sz w:val="24"/>
          <w:szCs w:val="24"/>
        </w:rPr>
        <w:t>for</w:t>
      </w:r>
      <w:proofErr w:type="gramEnd"/>
      <w:r w:rsidRPr="522C34BE" w:rsidR="17146BEF">
        <w:rPr>
          <w:rFonts w:ascii="Arial" w:hAnsi="Arial" w:eastAsia="Arial" w:cs="Arial"/>
          <w:sz w:val="24"/>
          <w:szCs w:val="24"/>
        </w:rPr>
        <w:t xml:space="preserve"> terrorism, as each definition may be different. However, every terrorist </w:t>
      </w:r>
      <w:proofErr w:type="spellStart"/>
      <w:r w:rsidRPr="522C34BE" w:rsidR="17146BEF">
        <w:rPr>
          <w:rFonts w:ascii="Arial" w:hAnsi="Arial" w:eastAsia="Arial" w:cs="Arial"/>
          <w:sz w:val="24"/>
          <w:szCs w:val="24"/>
        </w:rPr>
        <w:t>organisation</w:t>
      </w:r>
      <w:proofErr w:type="spellEnd"/>
      <w:r w:rsidRPr="522C34BE" w:rsidR="17146BEF">
        <w:rPr>
          <w:rFonts w:ascii="Arial" w:hAnsi="Arial" w:eastAsia="Arial" w:cs="Arial"/>
          <w:sz w:val="24"/>
          <w:szCs w:val="24"/>
        </w:rPr>
        <w:t xml:space="preserve"> has similar characteristics, such as seeking glorification on behalf of different matters such </w:t>
      </w:r>
      <w:proofErr w:type="gramStart"/>
      <w:r w:rsidRPr="522C34BE" w:rsidR="17146BEF">
        <w:rPr>
          <w:rFonts w:ascii="Arial" w:hAnsi="Arial" w:eastAsia="Arial" w:cs="Arial"/>
          <w:sz w:val="24"/>
          <w:szCs w:val="24"/>
        </w:rPr>
        <w:t>as;</w:t>
      </w:r>
      <w:proofErr w:type="gramEnd"/>
      <w:r w:rsidRPr="522C34BE" w:rsidR="17146BEF">
        <w:rPr>
          <w:rFonts w:ascii="Arial" w:hAnsi="Arial" w:eastAsia="Arial" w:cs="Arial"/>
          <w:sz w:val="24"/>
          <w:szCs w:val="24"/>
        </w:rPr>
        <w:t xml:space="preserve"> political, religious, racial or ideology. The evidence within this essay concludes that the PIRA displayed characteristics of terrorism that would meet the Home Office statutory test. The PIRA is defined as a terrorist </w:t>
      </w:r>
      <w:proofErr w:type="spellStart"/>
      <w:r w:rsidRPr="522C34BE" w:rsidR="17146BEF">
        <w:rPr>
          <w:rFonts w:ascii="Arial" w:hAnsi="Arial" w:eastAsia="Arial" w:cs="Arial"/>
          <w:sz w:val="24"/>
          <w:szCs w:val="24"/>
        </w:rPr>
        <w:t>organisation</w:t>
      </w:r>
      <w:proofErr w:type="spellEnd"/>
      <w:r w:rsidRPr="522C34BE" w:rsidR="17146BEF">
        <w:rPr>
          <w:rFonts w:ascii="Arial" w:hAnsi="Arial" w:eastAsia="Arial" w:cs="Arial"/>
          <w:sz w:val="24"/>
          <w:szCs w:val="24"/>
        </w:rPr>
        <w:t xml:space="preserve"> because its actions involved extreme violence to cause property damage, serious risk, and harm to civilians, affecting their safety and endangering their lives (Home Office, 2020). Moreover, their actions influenced the government, governmental </w:t>
      </w:r>
      <w:proofErr w:type="spellStart"/>
      <w:r w:rsidRPr="522C34BE" w:rsidR="17146BEF">
        <w:rPr>
          <w:rFonts w:ascii="Arial" w:hAnsi="Arial" w:eastAsia="Arial" w:cs="Arial"/>
          <w:sz w:val="24"/>
          <w:szCs w:val="24"/>
        </w:rPr>
        <w:t>organisations</w:t>
      </w:r>
      <w:proofErr w:type="spellEnd"/>
      <w:r w:rsidRPr="522C34BE" w:rsidR="17146BEF">
        <w:rPr>
          <w:rFonts w:ascii="Arial" w:hAnsi="Arial" w:eastAsia="Arial" w:cs="Arial"/>
          <w:sz w:val="24"/>
          <w:szCs w:val="24"/>
        </w:rPr>
        <w:t xml:space="preserve"> and the public and the reasons for these actions </w:t>
      </w:r>
      <w:proofErr w:type="gramStart"/>
      <w:r w:rsidRPr="522C34BE" w:rsidR="17146BEF">
        <w:rPr>
          <w:rFonts w:ascii="Arial" w:hAnsi="Arial" w:eastAsia="Arial" w:cs="Arial"/>
          <w:sz w:val="24"/>
          <w:szCs w:val="24"/>
        </w:rPr>
        <w:t>referred back</w:t>
      </w:r>
      <w:proofErr w:type="gramEnd"/>
      <w:r w:rsidRPr="522C34BE" w:rsidR="17146BEF">
        <w:rPr>
          <w:rFonts w:ascii="Arial" w:hAnsi="Arial" w:eastAsia="Arial" w:cs="Arial"/>
          <w:sz w:val="24"/>
          <w:szCs w:val="24"/>
        </w:rPr>
        <w:t xml:space="preserve"> to political reasons. Therefore, they are deemed as a revolutionary terrorist </w:t>
      </w:r>
      <w:proofErr w:type="spellStart"/>
      <w:r w:rsidRPr="522C34BE" w:rsidR="17146BEF">
        <w:rPr>
          <w:rFonts w:ascii="Arial" w:hAnsi="Arial" w:eastAsia="Arial" w:cs="Arial"/>
          <w:sz w:val="24"/>
          <w:szCs w:val="24"/>
        </w:rPr>
        <w:t>organisation</w:t>
      </w:r>
      <w:proofErr w:type="spellEnd"/>
      <w:r w:rsidRPr="522C34BE" w:rsidR="17146BEF">
        <w:rPr>
          <w:rFonts w:ascii="Arial" w:hAnsi="Arial" w:eastAsia="Arial" w:cs="Arial"/>
          <w:sz w:val="24"/>
          <w:szCs w:val="24"/>
        </w:rPr>
        <w:t>.</w:t>
      </w:r>
    </w:p>
    <w:p w:rsidR="522C34BE" w:rsidP="522C34BE" w:rsidRDefault="522C34BE" w14:paraId="7FF0F1F6" w14:textId="2F25F1AF">
      <w:pPr>
        <w:pStyle w:val="Normal"/>
        <w:spacing w:line="480" w:lineRule="auto"/>
        <w:rPr>
          <w:rFonts w:ascii="Arial" w:hAnsi="Arial" w:eastAsia="Arial" w:cs="Arial"/>
          <w:sz w:val="24"/>
          <w:szCs w:val="24"/>
        </w:rPr>
      </w:pPr>
    </w:p>
    <w:p w:rsidR="522C34BE" w:rsidP="522C34BE" w:rsidRDefault="522C34BE" w14:paraId="5B1B8C11" w14:textId="4A479E37">
      <w:pPr>
        <w:pStyle w:val="Normal"/>
        <w:spacing w:line="480" w:lineRule="auto"/>
        <w:rPr>
          <w:rFonts w:ascii="Arial" w:hAnsi="Arial" w:eastAsia="Arial" w:cs="Arial"/>
          <w:sz w:val="24"/>
          <w:szCs w:val="24"/>
        </w:rPr>
      </w:pPr>
    </w:p>
    <w:p w:rsidR="522C34BE" w:rsidP="522C34BE" w:rsidRDefault="522C34BE" w14:paraId="7B7FA6EA" w14:textId="72D62465">
      <w:pPr>
        <w:pStyle w:val="Normal"/>
        <w:spacing w:line="480" w:lineRule="auto"/>
        <w:rPr>
          <w:rFonts w:ascii="Arial" w:hAnsi="Arial" w:eastAsia="Arial" w:cs="Arial"/>
          <w:sz w:val="24"/>
          <w:szCs w:val="24"/>
        </w:rPr>
      </w:pPr>
    </w:p>
    <w:p w:rsidR="522C34BE" w:rsidP="522C34BE" w:rsidRDefault="522C34BE" w14:paraId="2EA8959C" w14:textId="38BF263B">
      <w:pPr>
        <w:pStyle w:val="Normal"/>
        <w:spacing w:line="480" w:lineRule="auto"/>
        <w:rPr>
          <w:rFonts w:ascii="Arial" w:hAnsi="Arial" w:eastAsia="Arial" w:cs="Arial"/>
          <w:sz w:val="24"/>
          <w:szCs w:val="24"/>
        </w:rPr>
      </w:pPr>
    </w:p>
    <w:p w:rsidR="522C34BE" w:rsidP="522C34BE" w:rsidRDefault="522C34BE" w14:paraId="01E77B06" w14:textId="5FAE5236">
      <w:pPr>
        <w:pStyle w:val="Normal"/>
        <w:spacing w:line="480" w:lineRule="auto"/>
        <w:rPr>
          <w:rFonts w:ascii="Arial" w:hAnsi="Arial" w:eastAsia="Arial" w:cs="Arial"/>
          <w:sz w:val="24"/>
          <w:szCs w:val="24"/>
        </w:rPr>
      </w:pPr>
    </w:p>
    <w:p w:rsidR="522C34BE" w:rsidP="522C34BE" w:rsidRDefault="522C34BE" w14:paraId="2C4DD467" w14:textId="19D6F757">
      <w:pPr>
        <w:pStyle w:val="Normal"/>
        <w:spacing w:line="480" w:lineRule="auto"/>
        <w:rPr>
          <w:rFonts w:ascii="Arial" w:hAnsi="Arial" w:eastAsia="Arial" w:cs="Arial"/>
          <w:sz w:val="24"/>
          <w:szCs w:val="24"/>
        </w:rPr>
      </w:pPr>
    </w:p>
    <w:p w:rsidR="522C34BE" w:rsidP="522C34BE" w:rsidRDefault="522C34BE" w14:paraId="70E43297" w14:textId="5FF8E7F5">
      <w:pPr>
        <w:pStyle w:val="Normal"/>
        <w:spacing w:line="480" w:lineRule="auto"/>
        <w:rPr>
          <w:rFonts w:ascii="Arial" w:hAnsi="Arial" w:eastAsia="Arial" w:cs="Arial"/>
          <w:sz w:val="24"/>
          <w:szCs w:val="24"/>
        </w:rPr>
      </w:pPr>
    </w:p>
    <w:p w:rsidR="522C34BE" w:rsidP="522C34BE" w:rsidRDefault="522C34BE" w14:paraId="13722E24" w14:textId="63BD4230">
      <w:pPr>
        <w:pStyle w:val="Normal"/>
        <w:spacing w:line="480" w:lineRule="auto"/>
        <w:rPr>
          <w:rFonts w:ascii="Arial" w:hAnsi="Arial" w:eastAsia="Arial" w:cs="Arial"/>
          <w:sz w:val="24"/>
          <w:szCs w:val="24"/>
        </w:rPr>
      </w:pPr>
    </w:p>
    <w:p w:rsidR="522C34BE" w:rsidP="522C34BE" w:rsidRDefault="522C34BE" w14:paraId="18F35415" w14:textId="25808DE5">
      <w:pPr>
        <w:pStyle w:val="Normal"/>
        <w:spacing w:line="480" w:lineRule="auto"/>
        <w:rPr>
          <w:rFonts w:ascii="Arial" w:hAnsi="Arial" w:eastAsia="Arial" w:cs="Arial"/>
          <w:sz w:val="24"/>
          <w:szCs w:val="24"/>
        </w:rPr>
      </w:pPr>
    </w:p>
    <w:p w:rsidR="522C34BE" w:rsidP="522C34BE" w:rsidRDefault="522C34BE" w14:paraId="5A6E2249" w14:textId="00EE2B93">
      <w:pPr>
        <w:pStyle w:val="Normal"/>
        <w:spacing w:line="480" w:lineRule="auto"/>
        <w:rPr>
          <w:rFonts w:ascii="Arial" w:hAnsi="Arial" w:eastAsia="Arial" w:cs="Arial"/>
          <w:sz w:val="24"/>
          <w:szCs w:val="24"/>
        </w:rPr>
      </w:pPr>
    </w:p>
    <w:p w:rsidR="522C34BE" w:rsidP="522C34BE" w:rsidRDefault="522C34BE" w14:paraId="2C30DA12" w14:textId="3DC38446">
      <w:pPr>
        <w:pStyle w:val="Normal"/>
        <w:spacing w:line="480" w:lineRule="auto"/>
        <w:rPr>
          <w:rFonts w:ascii="Arial" w:hAnsi="Arial" w:eastAsia="Arial" w:cs="Arial"/>
          <w:sz w:val="24"/>
          <w:szCs w:val="24"/>
        </w:rPr>
      </w:pPr>
    </w:p>
    <w:p w:rsidR="522C34BE" w:rsidP="522C34BE" w:rsidRDefault="522C34BE" w14:paraId="292675C7" w14:textId="3BBF3ECA">
      <w:pPr>
        <w:pStyle w:val="Normal"/>
        <w:spacing w:line="480" w:lineRule="auto"/>
        <w:rPr>
          <w:rFonts w:ascii="Arial" w:hAnsi="Arial" w:eastAsia="Arial" w:cs="Arial"/>
          <w:b w:val="1"/>
          <w:bCs w:val="1"/>
          <w:sz w:val="24"/>
          <w:szCs w:val="24"/>
        </w:rPr>
      </w:pPr>
    </w:p>
    <w:p w:rsidR="522C34BE" w:rsidP="522C34BE" w:rsidRDefault="522C34BE" w14:paraId="35B47439" w14:textId="6F8A10B7">
      <w:pPr>
        <w:pStyle w:val="Normal"/>
        <w:spacing w:line="480" w:lineRule="auto"/>
        <w:rPr>
          <w:rFonts w:ascii="Arial" w:hAnsi="Arial" w:eastAsia="Arial" w:cs="Arial"/>
          <w:b w:val="1"/>
          <w:bCs w:val="1"/>
          <w:sz w:val="24"/>
          <w:szCs w:val="24"/>
        </w:rPr>
      </w:pPr>
    </w:p>
    <w:p w:rsidR="522C34BE" w:rsidP="522C34BE" w:rsidRDefault="522C34BE" w14:paraId="2E30B1B0" w14:textId="179CEAAD">
      <w:pPr>
        <w:pStyle w:val="Normal"/>
        <w:spacing w:line="480" w:lineRule="auto"/>
        <w:rPr>
          <w:rFonts w:ascii="Arial" w:hAnsi="Arial" w:eastAsia="Arial" w:cs="Arial"/>
          <w:b w:val="1"/>
          <w:bCs w:val="1"/>
          <w:sz w:val="24"/>
          <w:szCs w:val="24"/>
        </w:rPr>
      </w:pPr>
    </w:p>
    <w:p w:rsidR="522C34BE" w:rsidP="522C34BE" w:rsidRDefault="522C34BE" w14:paraId="29D65A8A" w14:textId="67F2EEFC">
      <w:pPr>
        <w:pStyle w:val="Normal"/>
        <w:spacing w:line="480" w:lineRule="auto"/>
        <w:rPr>
          <w:rFonts w:ascii="Arial" w:hAnsi="Arial" w:eastAsia="Arial" w:cs="Arial"/>
          <w:b w:val="1"/>
          <w:bCs w:val="1"/>
          <w:sz w:val="24"/>
          <w:szCs w:val="24"/>
        </w:rPr>
      </w:pPr>
    </w:p>
    <w:p w:rsidR="522C34BE" w:rsidP="522C34BE" w:rsidRDefault="522C34BE" w14:paraId="4BE0AE2E" w14:textId="00047D57">
      <w:pPr>
        <w:pStyle w:val="Normal"/>
        <w:spacing w:line="480" w:lineRule="auto"/>
        <w:rPr>
          <w:rFonts w:ascii="Arial" w:hAnsi="Arial" w:eastAsia="Arial" w:cs="Arial"/>
          <w:b w:val="1"/>
          <w:bCs w:val="1"/>
          <w:sz w:val="24"/>
          <w:szCs w:val="24"/>
        </w:rPr>
      </w:pPr>
    </w:p>
    <w:p w:rsidR="522C34BE" w:rsidP="522C34BE" w:rsidRDefault="522C34BE" w14:paraId="6AEF2C43" w14:textId="2049E4DD">
      <w:pPr>
        <w:pStyle w:val="Normal"/>
        <w:spacing w:line="480" w:lineRule="auto"/>
        <w:rPr>
          <w:rFonts w:ascii="Arial" w:hAnsi="Arial" w:eastAsia="Arial" w:cs="Arial"/>
          <w:b w:val="1"/>
          <w:bCs w:val="1"/>
          <w:sz w:val="24"/>
          <w:szCs w:val="24"/>
        </w:rPr>
      </w:pPr>
    </w:p>
    <w:p w:rsidR="522C34BE" w:rsidP="522C34BE" w:rsidRDefault="522C34BE" w14:paraId="192CC5E0" w14:textId="71CF5EC2">
      <w:pPr>
        <w:pStyle w:val="Normal"/>
        <w:spacing w:line="480" w:lineRule="auto"/>
        <w:rPr>
          <w:rFonts w:ascii="Arial" w:hAnsi="Arial" w:eastAsia="Arial" w:cs="Arial"/>
          <w:b w:val="1"/>
          <w:bCs w:val="1"/>
          <w:sz w:val="24"/>
          <w:szCs w:val="24"/>
        </w:rPr>
      </w:pPr>
    </w:p>
    <w:p w:rsidR="75F002C5" w:rsidP="522C34BE" w:rsidRDefault="75F002C5" w14:paraId="1A85E87B" w14:textId="768FC6AF">
      <w:pPr>
        <w:pStyle w:val="Normal"/>
        <w:spacing w:line="480" w:lineRule="auto"/>
        <w:rPr>
          <w:rFonts w:ascii="Arial" w:hAnsi="Arial" w:eastAsia="Arial" w:cs="Arial"/>
          <w:b w:val="1"/>
          <w:bCs w:val="1"/>
          <w:sz w:val="24"/>
          <w:szCs w:val="24"/>
        </w:rPr>
      </w:pPr>
      <w:r w:rsidRPr="522C34BE" w:rsidR="75F002C5">
        <w:rPr>
          <w:rFonts w:ascii="Arial" w:hAnsi="Arial" w:eastAsia="Arial" w:cs="Arial"/>
          <w:b w:val="1"/>
          <w:bCs w:val="1"/>
          <w:sz w:val="24"/>
          <w:szCs w:val="24"/>
        </w:rPr>
        <w:t>Reference</w:t>
      </w:r>
    </w:p>
    <w:p w:rsidR="270B1E22" w:rsidP="522C34BE" w:rsidRDefault="270B1E22" w14:paraId="6D1593DB" w14:textId="3FB9AA4C">
      <w:pPr>
        <w:pStyle w:val="ListParagraph"/>
        <w:numPr>
          <w:ilvl w:val="0"/>
          <w:numId w:val="8"/>
        </w:numPr>
        <w:spacing w:line="480" w:lineRule="auto"/>
        <w:rPr>
          <w:rFonts w:ascii="Arial" w:hAnsi="Arial" w:eastAsia="Arial" w:cs="Arial"/>
          <w:sz w:val="24"/>
          <w:szCs w:val="24"/>
        </w:rPr>
      </w:pPr>
      <w:r w:rsidRPr="522C34BE" w:rsidR="270B1E22">
        <w:rPr>
          <w:rFonts w:ascii="Arial" w:hAnsi="Arial" w:eastAsia="Arial" w:cs="Arial"/>
          <w:sz w:val="24"/>
          <w:szCs w:val="24"/>
        </w:rPr>
        <w:t xml:space="preserve">BBC News. </w:t>
      </w:r>
      <w:r w:rsidRPr="522C34BE" w:rsidR="1BFF62D7">
        <w:rPr>
          <w:rFonts w:ascii="Arial" w:hAnsi="Arial" w:eastAsia="Arial" w:cs="Arial"/>
          <w:sz w:val="24"/>
          <w:szCs w:val="24"/>
        </w:rPr>
        <w:t>(</w:t>
      </w:r>
      <w:r w:rsidRPr="522C34BE" w:rsidR="270B1E22">
        <w:rPr>
          <w:rFonts w:ascii="Arial" w:hAnsi="Arial" w:eastAsia="Arial" w:cs="Arial"/>
          <w:sz w:val="24"/>
          <w:szCs w:val="24"/>
        </w:rPr>
        <w:t>20</w:t>
      </w:r>
      <w:r w:rsidRPr="522C34BE" w:rsidR="10FDA802">
        <w:rPr>
          <w:rFonts w:ascii="Arial" w:hAnsi="Arial" w:eastAsia="Arial" w:cs="Arial"/>
          <w:sz w:val="24"/>
          <w:szCs w:val="24"/>
        </w:rPr>
        <w:t>19</w:t>
      </w:r>
      <w:r w:rsidRPr="522C34BE" w:rsidR="555B831F">
        <w:rPr>
          <w:rFonts w:ascii="Arial" w:hAnsi="Arial" w:eastAsia="Arial" w:cs="Arial"/>
          <w:sz w:val="24"/>
          <w:szCs w:val="24"/>
        </w:rPr>
        <w:t>)</w:t>
      </w:r>
      <w:r w:rsidRPr="522C34BE" w:rsidR="270B1E22">
        <w:rPr>
          <w:rFonts w:ascii="Arial" w:hAnsi="Arial" w:eastAsia="Arial" w:cs="Arial"/>
          <w:sz w:val="24"/>
          <w:szCs w:val="24"/>
        </w:rPr>
        <w:t xml:space="preserve"> Bloody</w:t>
      </w:r>
      <w:r w:rsidRPr="522C34BE" w:rsidR="2E5C0FB2">
        <w:rPr>
          <w:rFonts w:ascii="Arial" w:hAnsi="Arial" w:eastAsia="Arial" w:cs="Arial"/>
          <w:sz w:val="24"/>
          <w:szCs w:val="24"/>
        </w:rPr>
        <w:t xml:space="preserve"> Sunday: What happened on Sunday 30 January </w:t>
      </w:r>
      <w:proofErr w:type="gramStart"/>
      <w:r w:rsidRPr="522C34BE" w:rsidR="2E5C0FB2">
        <w:rPr>
          <w:rFonts w:ascii="Arial" w:hAnsi="Arial" w:eastAsia="Arial" w:cs="Arial"/>
          <w:sz w:val="24"/>
          <w:szCs w:val="24"/>
        </w:rPr>
        <w:t>1972?.</w:t>
      </w:r>
      <w:proofErr w:type="gramEnd"/>
      <w:r w:rsidRPr="522C34BE" w:rsidR="2E5C0FB2">
        <w:rPr>
          <w:rFonts w:ascii="Arial" w:hAnsi="Arial" w:eastAsia="Arial" w:cs="Arial"/>
          <w:sz w:val="24"/>
          <w:szCs w:val="24"/>
        </w:rPr>
        <w:t xml:space="preserve"> [online] Available: &lt; </w:t>
      </w:r>
      <w:hyperlink r:id="R1f7b2e39e08b487e">
        <w:r w:rsidRPr="522C34BE" w:rsidR="2E5C0FB2">
          <w:rPr>
            <w:rStyle w:val="Hyperlink"/>
            <w:rFonts w:ascii="Arial" w:hAnsi="Arial" w:eastAsia="Arial" w:cs="Arial"/>
            <w:sz w:val="24"/>
            <w:szCs w:val="24"/>
          </w:rPr>
          <w:t>https://www.bbc.co.uk/news/uk-northern-ireland-foyle-west-47433319</w:t>
        </w:r>
      </w:hyperlink>
      <w:r w:rsidRPr="522C34BE" w:rsidR="2E5C0FB2">
        <w:rPr>
          <w:rFonts w:ascii="Arial" w:hAnsi="Arial" w:eastAsia="Arial" w:cs="Arial"/>
          <w:sz w:val="24"/>
          <w:szCs w:val="24"/>
        </w:rPr>
        <w:t xml:space="preserve"> &gt; [Accessed 27 February 2021]].</w:t>
      </w:r>
    </w:p>
    <w:p w:rsidR="75F002C5" w:rsidP="522C34BE" w:rsidRDefault="75F002C5" w14:paraId="20012C2E" w14:textId="107CF399">
      <w:pPr>
        <w:pStyle w:val="ListParagraph"/>
        <w:numPr>
          <w:ilvl w:val="0"/>
          <w:numId w:val="8"/>
        </w:numPr>
        <w:spacing w:line="480" w:lineRule="auto"/>
        <w:rPr>
          <w:rFonts w:ascii="Arial" w:hAnsi="Arial" w:eastAsia="Arial" w:cs="Arial"/>
          <w:sz w:val="24"/>
          <w:szCs w:val="24"/>
        </w:rPr>
      </w:pPr>
      <w:r w:rsidRPr="522C34BE" w:rsidR="75F002C5">
        <w:rPr>
          <w:rFonts w:ascii="Arial" w:hAnsi="Arial" w:eastAsia="Arial" w:cs="Arial"/>
          <w:sz w:val="24"/>
          <w:szCs w:val="24"/>
        </w:rPr>
        <w:t>Blake,</w:t>
      </w:r>
      <w:r w:rsidRPr="522C34BE" w:rsidR="75F002C5">
        <w:rPr>
          <w:rFonts w:ascii="Arial" w:hAnsi="Arial" w:eastAsia="Arial" w:cs="Arial"/>
          <w:sz w:val="24"/>
          <w:szCs w:val="24"/>
        </w:rPr>
        <w:t xml:space="preserve"> C., </w:t>
      </w:r>
      <w:r w:rsidRPr="522C34BE" w:rsidR="117520D0">
        <w:rPr>
          <w:rFonts w:ascii="Arial" w:hAnsi="Arial" w:eastAsia="Arial" w:cs="Arial"/>
          <w:sz w:val="24"/>
          <w:szCs w:val="24"/>
        </w:rPr>
        <w:t>(</w:t>
      </w:r>
      <w:r w:rsidRPr="522C34BE" w:rsidR="75F002C5">
        <w:rPr>
          <w:rFonts w:ascii="Arial" w:hAnsi="Arial" w:eastAsia="Arial" w:cs="Arial"/>
          <w:sz w:val="24"/>
          <w:szCs w:val="24"/>
        </w:rPr>
        <w:t>2012</w:t>
      </w:r>
      <w:r w:rsidRPr="522C34BE" w:rsidR="0850B9DD">
        <w:rPr>
          <w:rFonts w:ascii="Arial" w:hAnsi="Arial" w:eastAsia="Arial" w:cs="Arial"/>
          <w:sz w:val="24"/>
          <w:szCs w:val="24"/>
        </w:rPr>
        <w:t>)</w:t>
      </w:r>
      <w:r w:rsidRPr="522C34BE" w:rsidR="75F002C5">
        <w:rPr>
          <w:rFonts w:ascii="Arial" w:hAnsi="Arial" w:eastAsia="Arial" w:cs="Arial"/>
          <w:sz w:val="24"/>
          <w:szCs w:val="24"/>
        </w:rPr>
        <w:t xml:space="preserve"> Policing terrorism. Exeter: Learning Matters, pp.1-188.</w:t>
      </w:r>
    </w:p>
    <w:p w:rsidR="407C9312" w:rsidP="522C34BE" w:rsidRDefault="407C9312" w14:paraId="3465DF68" w14:textId="79FCA833">
      <w:pPr>
        <w:pStyle w:val="ListParagraph"/>
        <w:numPr>
          <w:ilvl w:val="0"/>
          <w:numId w:val="8"/>
        </w:numPr>
        <w:spacing w:line="480" w:lineRule="auto"/>
        <w:rPr>
          <w:rFonts w:ascii="Arial" w:hAnsi="Arial" w:eastAsia="Arial" w:cs="Arial"/>
          <w:sz w:val="24"/>
          <w:szCs w:val="24"/>
        </w:rPr>
      </w:pPr>
      <w:r w:rsidRPr="522C34BE" w:rsidR="407C9312">
        <w:rPr>
          <w:rFonts w:ascii="Arial" w:hAnsi="Arial" w:eastAsia="Arial" w:cs="Arial"/>
          <w:sz w:val="24"/>
          <w:szCs w:val="24"/>
        </w:rPr>
        <w:t>Britannica, (2020) Good Friday Agreement: British-Irish history. [online] Available</w:t>
      </w:r>
      <w:r w:rsidRPr="522C34BE" w:rsidR="2F360434">
        <w:rPr>
          <w:rFonts w:ascii="Arial" w:hAnsi="Arial" w:eastAsia="Arial" w:cs="Arial"/>
          <w:sz w:val="24"/>
          <w:szCs w:val="24"/>
        </w:rPr>
        <w:t xml:space="preserve">: &lt; </w:t>
      </w:r>
      <w:hyperlink r:id="R71221358911c4f8b">
        <w:r w:rsidRPr="522C34BE" w:rsidR="2F360434">
          <w:rPr>
            <w:rStyle w:val="Hyperlink"/>
            <w:rFonts w:ascii="Arial" w:hAnsi="Arial" w:eastAsia="Arial" w:cs="Arial"/>
            <w:sz w:val="24"/>
            <w:szCs w:val="24"/>
          </w:rPr>
          <w:t>https://www.britannica.com/topic/Good-Friday-Agreement</w:t>
        </w:r>
      </w:hyperlink>
      <w:r w:rsidRPr="522C34BE" w:rsidR="2F360434">
        <w:rPr>
          <w:rFonts w:ascii="Arial" w:hAnsi="Arial" w:eastAsia="Arial" w:cs="Arial"/>
          <w:sz w:val="24"/>
          <w:szCs w:val="24"/>
        </w:rPr>
        <w:t xml:space="preserve"> &gt; [Accessed 3</w:t>
      </w:r>
      <w:r w:rsidRPr="522C34BE" w:rsidR="001BB1C6">
        <w:rPr>
          <w:rFonts w:ascii="Arial" w:hAnsi="Arial" w:eastAsia="Arial" w:cs="Arial"/>
          <w:sz w:val="24"/>
          <w:szCs w:val="24"/>
        </w:rPr>
        <w:t xml:space="preserve"> March 2021].</w:t>
      </w:r>
    </w:p>
    <w:p w:rsidR="1E639017" w:rsidP="522C34BE" w:rsidRDefault="1E639017" w14:paraId="761E4EB7" w14:textId="35714C7C">
      <w:pPr>
        <w:pStyle w:val="ListParagraph"/>
        <w:numPr>
          <w:ilvl w:val="0"/>
          <w:numId w:val="8"/>
        </w:numPr>
        <w:spacing w:line="480" w:lineRule="auto"/>
        <w:rPr>
          <w:rFonts w:ascii="Arial" w:hAnsi="Arial" w:eastAsia="Arial" w:cs="Arial"/>
          <w:sz w:val="24"/>
          <w:szCs w:val="24"/>
        </w:rPr>
      </w:pPr>
      <w:r w:rsidRPr="522C34BE" w:rsidR="1E639017">
        <w:rPr>
          <w:rFonts w:ascii="Arial" w:hAnsi="Arial" w:eastAsia="Arial" w:cs="Arial"/>
          <w:sz w:val="24"/>
          <w:szCs w:val="24"/>
        </w:rPr>
        <w:t xml:space="preserve">Dingley, J., </w:t>
      </w:r>
      <w:r w:rsidRPr="522C34BE" w:rsidR="087CA600">
        <w:rPr>
          <w:rFonts w:ascii="Arial" w:hAnsi="Arial" w:eastAsia="Arial" w:cs="Arial"/>
          <w:sz w:val="24"/>
          <w:szCs w:val="24"/>
        </w:rPr>
        <w:t>(</w:t>
      </w:r>
      <w:r w:rsidRPr="522C34BE" w:rsidR="1E639017">
        <w:rPr>
          <w:rFonts w:ascii="Arial" w:hAnsi="Arial" w:eastAsia="Arial" w:cs="Arial"/>
          <w:sz w:val="24"/>
          <w:szCs w:val="24"/>
        </w:rPr>
        <w:t>1998</w:t>
      </w:r>
      <w:r w:rsidRPr="522C34BE" w:rsidR="1944B51D">
        <w:rPr>
          <w:rFonts w:ascii="Arial" w:hAnsi="Arial" w:eastAsia="Arial" w:cs="Arial"/>
          <w:sz w:val="24"/>
          <w:szCs w:val="24"/>
        </w:rPr>
        <w:t>)</w:t>
      </w:r>
      <w:r w:rsidRPr="522C34BE" w:rsidR="1E639017">
        <w:rPr>
          <w:rFonts w:ascii="Arial" w:hAnsi="Arial" w:eastAsia="Arial" w:cs="Arial"/>
          <w:sz w:val="24"/>
          <w:szCs w:val="24"/>
        </w:rPr>
        <w:t xml:space="preserve"> A reply to white’s non-sectarian thesis of PIRA targeting. Terrorism and Political Violence. [online] 10(2), pp.106</w:t>
      </w:r>
      <w:r w:rsidRPr="522C34BE" w:rsidR="20CE71F6">
        <w:rPr>
          <w:rFonts w:ascii="Arial" w:hAnsi="Arial" w:eastAsia="Arial" w:cs="Arial"/>
          <w:sz w:val="24"/>
          <w:szCs w:val="24"/>
        </w:rPr>
        <w:t xml:space="preserve">-117. Available: &lt; </w:t>
      </w:r>
      <w:hyperlink r:id="R2c42b884815848fa">
        <w:r w:rsidRPr="522C34BE" w:rsidR="20CE71F6">
          <w:rPr>
            <w:rStyle w:val="Hyperlink"/>
            <w:rFonts w:ascii="Arial" w:hAnsi="Arial" w:eastAsia="Arial" w:cs="Arial"/>
            <w:sz w:val="24"/>
            <w:szCs w:val="24"/>
          </w:rPr>
          <w:t>https://www.tandfonline.com/doi/abs/10.1080/09546559808427459</w:t>
        </w:r>
      </w:hyperlink>
      <w:r w:rsidRPr="522C34BE" w:rsidR="20CE71F6">
        <w:rPr>
          <w:rFonts w:ascii="Arial" w:hAnsi="Arial" w:eastAsia="Arial" w:cs="Arial"/>
          <w:sz w:val="24"/>
          <w:szCs w:val="24"/>
        </w:rPr>
        <w:t xml:space="preserve"> &gt;.</w:t>
      </w:r>
    </w:p>
    <w:p w:rsidR="0FECEA0B" w:rsidP="522C34BE" w:rsidRDefault="0FECEA0B" w14:paraId="4795BAE5" w14:textId="4AC0A814">
      <w:pPr>
        <w:pStyle w:val="ListParagraph"/>
        <w:numPr>
          <w:ilvl w:val="0"/>
          <w:numId w:val="8"/>
        </w:numPr>
        <w:spacing w:line="480" w:lineRule="auto"/>
        <w:rPr>
          <w:rFonts w:ascii="Arial" w:hAnsi="Arial" w:eastAsia="Arial" w:cs="Arial"/>
          <w:sz w:val="24"/>
          <w:szCs w:val="24"/>
        </w:rPr>
      </w:pPr>
      <w:r w:rsidRPr="522C34BE" w:rsidR="0FECEA0B">
        <w:rPr>
          <w:rFonts w:ascii="Arial" w:hAnsi="Arial" w:eastAsia="Arial" w:cs="Arial"/>
          <w:sz w:val="24"/>
          <w:szCs w:val="24"/>
        </w:rPr>
        <w:t xml:space="preserve">Education.niassembly.gov.uk. (2017) The Belfast Agreement/Good Friday Agreement 1998 | </w:t>
      </w:r>
      <w:r w:rsidRPr="522C34BE" w:rsidR="683ABFD8">
        <w:rPr>
          <w:rFonts w:ascii="Arial" w:hAnsi="Arial" w:eastAsia="Arial" w:cs="Arial"/>
          <w:sz w:val="24"/>
          <w:szCs w:val="24"/>
        </w:rPr>
        <w:t xml:space="preserve">Northern Ireland Assembly Education Service. [online] Available: &lt; </w:t>
      </w:r>
      <w:hyperlink r:id="R4af0369b4d514a25">
        <w:r w:rsidRPr="522C34BE" w:rsidR="683ABFD8">
          <w:rPr>
            <w:rStyle w:val="Hyperlink"/>
            <w:rFonts w:ascii="Arial" w:hAnsi="Arial" w:eastAsia="Arial" w:cs="Arial"/>
            <w:sz w:val="24"/>
            <w:szCs w:val="24"/>
          </w:rPr>
          <w:t>https://education.niassembly.gov.uk/post_16/snapshots_of_devolution/gfa?fbclid=IwAR3auJ4scxCN_qa5ZrAXn-q2d4KFPA-CalzJ2c00vNMBy6ncOtapl3-g704</w:t>
        </w:r>
      </w:hyperlink>
      <w:r w:rsidRPr="522C34BE" w:rsidR="683ABFD8">
        <w:rPr>
          <w:rFonts w:ascii="Arial" w:hAnsi="Arial" w:eastAsia="Arial" w:cs="Arial"/>
          <w:sz w:val="24"/>
          <w:szCs w:val="24"/>
        </w:rPr>
        <w:t xml:space="preserve"> &gt; [Accessed 3 March 2021].</w:t>
      </w:r>
    </w:p>
    <w:p w:rsidR="1354A859" w:rsidP="522C34BE" w:rsidRDefault="1354A859" w14:paraId="7C6965ED" w14:textId="3DF7096B">
      <w:pPr>
        <w:pStyle w:val="ListParagraph"/>
        <w:numPr>
          <w:ilvl w:val="0"/>
          <w:numId w:val="8"/>
        </w:numPr>
        <w:spacing w:line="480" w:lineRule="auto"/>
        <w:rPr>
          <w:rFonts w:ascii="Arial" w:hAnsi="Arial" w:eastAsia="Arial" w:cs="Arial"/>
          <w:sz w:val="24"/>
          <w:szCs w:val="24"/>
        </w:rPr>
      </w:pPr>
      <w:r w:rsidRPr="522C34BE" w:rsidR="1354A859">
        <w:rPr>
          <w:rFonts w:ascii="Arial" w:hAnsi="Arial" w:eastAsia="Arial" w:cs="Arial"/>
          <w:sz w:val="24"/>
          <w:szCs w:val="24"/>
        </w:rPr>
        <w:t>Elden, S., (2014) The geopolitics of Boko Haram and Nigeria’s ‘war on terror’. The Geographical Journal</w:t>
      </w:r>
      <w:r w:rsidRPr="522C34BE" w:rsidR="247ED35B">
        <w:rPr>
          <w:rFonts w:ascii="Arial" w:hAnsi="Arial" w:eastAsia="Arial" w:cs="Arial"/>
          <w:sz w:val="24"/>
          <w:szCs w:val="24"/>
        </w:rPr>
        <w:t xml:space="preserve">, [online] 180(4), pp.414-425. Available: &lt; </w:t>
      </w:r>
      <w:hyperlink r:id="Rd89744a968e84717">
        <w:r w:rsidRPr="522C34BE" w:rsidR="247ED35B">
          <w:rPr>
            <w:rStyle w:val="Hyperlink"/>
            <w:rFonts w:ascii="Arial" w:hAnsi="Arial" w:eastAsia="Arial" w:cs="Arial"/>
            <w:sz w:val="24"/>
            <w:szCs w:val="24"/>
          </w:rPr>
          <w:t>https://www-jstor-org.ezproxy.uwtsd.ac.uk/stable/pdf/43870934.pdf?refreqid=excelsior%3A6084ef89da79aef4856b5ee63dafbc93</w:t>
        </w:r>
      </w:hyperlink>
      <w:r w:rsidRPr="522C34BE" w:rsidR="247ED35B">
        <w:rPr>
          <w:rFonts w:ascii="Arial" w:hAnsi="Arial" w:eastAsia="Arial" w:cs="Arial"/>
          <w:sz w:val="24"/>
          <w:szCs w:val="24"/>
        </w:rPr>
        <w:t xml:space="preserve"> &gt;.</w:t>
      </w:r>
    </w:p>
    <w:p w:rsidR="7E85E606" w:rsidP="522C34BE" w:rsidRDefault="7E85E606" w14:paraId="09FFDD56" w14:textId="426EB26B">
      <w:pPr>
        <w:pStyle w:val="ListParagraph"/>
        <w:numPr>
          <w:ilvl w:val="0"/>
          <w:numId w:val="8"/>
        </w:numPr>
        <w:spacing w:line="480" w:lineRule="auto"/>
        <w:rPr>
          <w:rFonts w:ascii="Arial" w:hAnsi="Arial" w:eastAsia="Arial" w:cs="Arial"/>
          <w:sz w:val="24"/>
          <w:szCs w:val="24"/>
        </w:rPr>
      </w:pPr>
      <w:r w:rsidRPr="522C34BE" w:rsidR="7E85E606">
        <w:rPr>
          <w:rFonts w:ascii="Arial" w:hAnsi="Arial" w:eastAsia="Arial" w:cs="Arial"/>
          <w:sz w:val="24"/>
          <w:szCs w:val="24"/>
        </w:rPr>
        <w:t xml:space="preserve">English, R., </w:t>
      </w:r>
      <w:r w:rsidRPr="522C34BE" w:rsidR="0F479F87">
        <w:rPr>
          <w:rFonts w:ascii="Arial" w:hAnsi="Arial" w:eastAsia="Arial" w:cs="Arial"/>
          <w:sz w:val="24"/>
          <w:szCs w:val="24"/>
        </w:rPr>
        <w:t>(</w:t>
      </w:r>
      <w:r w:rsidRPr="522C34BE" w:rsidR="7E85E606">
        <w:rPr>
          <w:rFonts w:ascii="Arial" w:hAnsi="Arial" w:eastAsia="Arial" w:cs="Arial"/>
          <w:sz w:val="24"/>
          <w:szCs w:val="24"/>
        </w:rPr>
        <w:t>2012</w:t>
      </w:r>
      <w:r w:rsidRPr="522C34BE" w:rsidR="333B03F3">
        <w:rPr>
          <w:rFonts w:ascii="Arial" w:hAnsi="Arial" w:eastAsia="Arial" w:cs="Arial"/>
          <w:sz w:val="24"/>
          <w:szCs w:val="24"/>
        </w:rPr>
        <w:t>)</w:t>
      </w:r>
      <w:r w:rsidRPr="522C34BE" w:rsidR="7E85E606">
        <w:rPr>
          <w:rFonts w:ascii="Arial" w:hAnsi="Arial" w:eastAsia="Arial" w:cs="Arial"/>
          <w:sz w:val="24"/>
          <w:szCs w:val="24"/>
        </w:rPr>
        <w:t xml:space="preserve"> </w:t>
      </w:r>
      <w:r w:rsidRPr="522C34BE" w:rsidR="7E85E606">
        <w:rPr>
          <w:rFonts w:ascii="Arial" w:hAnsi="Arial" w:eastAsia="Arial" w:cs="Arial"/>
          <w:i w:val="1"/>
          <w:iCs w:val="1"/>
          <w:sz w:val="24"/>
          <w:szCs w:val="24"/>
        </w:rPr>
        <w:t>Armed struggle</w:t>
      </w:r>
      <w:r w:rsidRPr="522C34BE" w:rsidR="7E85E606">
        <w:rPr>
          <w:rFonts w:ascii="Arial" w:hAnsi="Arial" w:eastAsia="Arial" w:cs="Arial"/>
          <w:sz w:val="24"/>
          <w:szCs w:val="24"/>
        </w:rPr>
        <w:t>. London: Pan, pp.3-381.</w:t>
      </w:r>
    </w:p>
    <w:p w:rsidR="12F9F3FD" w:rsidP="522C34BE" w:rsidRDefault="12F9F3FD" w14:paraId="349095FA" w14:textId="2B7DCAE1">
      <w:pPr>
        <w:pStyle w:val="ListParagraph"/>
        <w:numPr>
          <w:ilvl w:val="0"/>
          <w:numId w:val="8"/>
        </w:numPr>
        <w:spacing w:line="480" w:lineRule="auto"/>
        <w:rPr>
          <w:rFonts w:ascii="Arial" w:hAnsi="Arial" w:eastAsia="Arial" w:cs="Arial"/>
          <w:sz w:val="24"/>
          <w:szCs w:val="24"/>
        </w:rPr>
      </w:pPr>
      <w:r w:rsidRPr="522C34BE" w:rsidR="12F9F3FD">
        <w:rPr>
          <w:rFonts w:ascii="Arial" w:hAnsi="Arial" w:eastAsia="Arial" w:cs="Arial"/>
          <w:sz w:val="24"/>
          <w:szCs w:val="24"/>
        </w:rPr>
        <w:t>Ganor, B., 2010. Defining</w:t>
      </w:r>
      <w:r w:rsidRPr="522C34BE" w:rsidR="4CD242C3">
        <w:rPr>
          <w:rFonts w:ascii="Arial" w:hAnsi="Arial" w:eastAsia="Arial" w:cs="Arial"/>
          <w:sz w:val="24"/>
          <w:szCs w:val="24"/>
        </w:rPr>
        <w:t xml:space="preserve"> Terrorism: Is One Man’s Terrorist another Man’s Freedom Fighter?. </w:t>
      </w:r>
      <w:r w:rsidRPr="522C34BE" w:rsidR="4CD242C3">
        <w:rPr>
          <w:rFonts w:ascii="Arial" w:hAnsi="Arial" w:eastAsia="Arial" w:cs="Arial"/>
          <w:i w:val="1"/>
          <w:iCs w:val="1"/>
          <w:sz w:val="24"/>
          <w:szCs w:val="24"/>
        </w:rPr>
        <w:t>Police Practice and Research</w:t>
      </w:r>
      <w:r w:rsidRPr="522C34BE" w:rsidR="4CD242C3">
        <w:rPr>
          <w:rFonts w:ascii="Arial" w:hAnsi="Arial" w:eastAsia="Arial" w:cs="Arial"/>
          <w:sz w:val="24"/>
          <w:szCs w:val="24"/>
        </w:rPr>
        <w:t>, [online]</w:t>
      </w:r>
      <w:r w:rsidRPr="522C34BE" w:rsidR="2C24B55C">
        <w:rPr>
          <w:rFonts w:ascii="Arial" w:hAnsi="Arial" w:eastAsia="Arial" w:cs="Arial"/>
          <w:sz w:val="24"/>
          <w:szCs w:val="24"/>
        </w:rPr>
        <w:t xml:space="preserve"> 3(4), pp.287-304. Available: &lt; </w:t>
      </w:r>
      <w:hyperlink r:id="R588e338a8bc740a1">
        <w:r w:rsidRPr="522C34BE" w:rsidR="2C24B55C">
          <w:rPr>
            <w:rStyle w:val="Hyperlink"/>
            <w:rFonts w:ascii="Arial" w:hAnsi="Arial" w:eastAsia="Arial" w:cs="Arial"/>
            <w:sz w:val="24"/>
            <w:szCs w:val="24"/>
          </w:rPr>
          <w:t>https://www.tandfonline.com/doi/abs/10.1080/1561426022000032060?journalCode=gppr20</w:t>
        </w:r>
      </w:hyperlink>
      <w:r w:rsidRPr="522C34BE" w:rsidR="2C24B55C">
        <w:rPr>
          <w:rFonts w:ascii="Arial" w:hAnsi="Arial" w:eastAsia="Arial" w:cs="Arial"/>
          <w:sz w:val="24"/>
          <w:szCs w:val="24"/>
        </w:rPr>
        <w:t xml:space="preserve"> &gt; [Accessed 3 March 2021].</w:t>
      </w:r>
    </w:p>
    <w:p w:rsidR="20E3CD3E" w:rsidP="522C34BE" w:rsidRDefault="20E3CD3E" w14:paraId="065A28CE" w14:textId="4932E580">
      <w:pPr>
        <w:pStyle w:val="ListParagraph"/>
        <w:numPr>
          <w:ilvl w:val="0"/>
          <w:numId w:val="8"/>
        </w:numPr>
        <w:spacing w:line="480" w:lineRule="auto"/>
        <w:rPr>
          <w:rFonts w:ascii="Arial" w:hAnsi="Arial" w:eastAsia="Arial" w:cs="Arial"/>
          <w:sz w:val="24"/>
          <w:szCs w:val="24"/>
        </w:rPr>
      </w:pPr>
      <w:r w:rsidRPr="522C34BE" w:rsidR="20E3CD3E">
        <w:rPr>
          <w:rFonts w:ascii="Arial" w:hAnsi="Arial" w:eastAsia="Arial" w:cs="Arial"/>
          <w:sz w:val="24"/>
          <w:szCs w:val="24"/>
        </w:rPr>
        <w:t xml:space="preserve">Hentz, J. and Solomon, H., (2017) Understanding Boko Haram. London: </w:t>
      </w:r>
      <w:r w:rsidRPr="522C34BE" w:rsidR="02655F76">
        <w:rPr>
          <w:rFonts w:ascii="Arial" w:hAnsi="Arial" w:eastAsia="Arial" w:cs="Arial"/>
          <w:sz w:val="24"/>
          <w:szCs w:val="24"/>
        </w:rPr>
        <w:t>Routledge Taylor &amp; Francis Group, pp.41-65.</w:t>
      </w:r>
    </w:p>
    <w:p w:rsidR="05446C44" w:rsidP="522C34BE" w:rsidRDefault="05446C44" w14:paraId="7271E050" w14:textId="6F4ABFF3">
      <w:pPr>
        <w:pStyle w:val="ListParagraph"/>
        <w:numPr>
          <w:ilvl w:val="0"/>
          <w:numId w:val="8"/>
        </w:numPr>
        <w:spacing w:line="480" w:lineRule="auto"/>
        <w:rPr>
          <w:rFonts w:ascii="Arial" w:hAnsi="Arial" w:eastAsia="Arial" w:cs="Arial"/>
          <w:sz w:val="24"/>
          <w:szCs w:val="24"/>
        </w:rPr>
      </w:pPr>
      <w:r w:rsidRPr="522C34BE" w:rsidR="05446C44">
        <w:rPr>
          <w:rFonts w:ascii="Arial" w:hAnsi="Arial" w:eastAsia="Arial" w:cs="Arial"/>
          <w:sz w:val="24"/>
          <w:szCs w:val="24"/>
        </w:rPr>
        <w:t xml:space="preserve">Home Office, (2020) </w:t>
      </w:r>
      <w:r w:rsidRPr="522C34BE" w:rsidR="05446C44">
        <w:rPr>
          <w:rFonts w:ascii="Arial" w:hAnsi="Arial" w:eastAsia="Arial" w:cs="Arial"/>
          <w:i w:val="1"/>
          <w:iCs w:val="1"/>
          <w:sz w:val="24"/>
          <w:szCs w:val="24"/>
        </w:rPr>
        <w:t xml:space="preserve">Proscribed Terrorist </w:t>
      </w:r>
      <w:proofErr w:type="spellStart"/>
      <w:r w:rsidRPr="522C34BE" w:rsidR="05446C44">
        <w:rPr>
          <w:rFonts w:ascii="Arial" w:hAnsi="Arial" w:eastAsia="Arial" w:cs="Arial"/>
          <w:i w:val="1"/>
          <w:iCs w:val="1"/>
          <w:sz w:val="24"/>
          <w:szCs w:val="24"/>
        </w:rPr>
        <w:t>Organisation</w:t>
      </w:r>
      <w:proofErr w:type="spellEnd"/>
      <w:r w:rsidRPr="522C34BE" w:rsidR="05446C44">
        <w:rPr>
          <w:rFonts w:ascii="Arial" w:hAnsi="Arial" w:eastAsia="Arial" w:cs="Arial"/>
          <w:i w:val="0"/>
          <w:iCs w:val="0"/>
          <w:sz w:val="24"/>
          <w:szCs w:val="24"/>
        </w:rPr>
        <w:t>. [online]</w:t>
      </w:r>
      <w:r w:rsidRPr="522C34BE" w:rsidR="584DE436">
        <w:rPr>
          <w:rFonts w:ascii="Arial" w:hAnsi="Arial" w:eastAsia="Arial" w:cs="Arial"/>
          <w:i w:val="0"/>
          <w:iCs w:val="0"/>
          <w:sz w:val="24"/>
          <w:szCs w:val="24"/>
        </w:rPr>
        <w:t xml:space="preserve"> London: Home Office. Available: &lt; </w:t>
      </w:r>
      <w:hyperlink r:id="Rfe1dbe73ac6e4f84">
        <w:r w:rsidRPr="522C34BE" w:rsidR="4A4FE7D9">
          <w:rPr>
            <w:rStyle w:val="Hyperlink"/>
            <w:rFonts w:ascii="Arial" w:hAnsi="Arial" w:eastAsia="Arial" w:cs="Arial"/>
            <w:i w:val="0"/>
            <w:iCs w:val="0"/>
            <w:sz w:val="24"/>
            <w:szCs w:val="24"/>
          </w:rPr>
          <w:t>https://assets.publishing.service.gov.uk/government/uploads/system/uploads/attachment_data/file/901434/20200717_Proscription.pdf?fbclid=IwAR3auJ4scxCN_qa5ZrAXn-q2d4KFPA-CalzJ2c00vNMBy6ncOtapl3-g704</w:t>
        </w:r>
      </w:hyperlink>
      <w:r w:rsidRPr="522C34BE" w:rsidR="4A4FE7D9">
        <w:rPr>
          <w:rFonts w:ascii="Arial" w:hAnsi="Arial" w:eastAsia="Arial" w:cs="Arial"/>
          <w:i w:val="0"/>
          <w:iCs w:val="0"/>
          <w:sz w:val="24"/>
          <w:szCs w:val="24"/>
        </w:rPr>
        <w:t xml:space="preserve"> &gt; [Accessed 3 March 2021].</w:t>
      </w:r>
    </w:p>
    <w:p w:rsidR="3D1D615A" w:rsidP="522C34BE" w:rsidRDefault="3D1D615A" w14:paraId="71A4A02E" w14:textId="366F7305">
      <w:pPr>
        <w:pStyle w:val="ListParagraph"/>
        <w:numPr>
          <w:ilvl w:val="0"/>
          <w:numId w:val="8"/>
        </w:numPr>
        <w:spacing w:line="480" w:lineRule="auto"/>
        <w:rPr>
          <w:rFonts w:ascii="Arial" w:hAnsi="Arial" w:eastAsia="Arial" w:cs="Arial"/>
          <w:sz w:val="24"/>
          <w:szCs w:val="24"/>
        </w:rPr>
      </w:pPr>
      <w:r w:rsidRPr="522C34BE" w:rsidR="3D1D615A">
        <w:rPr>
          <w:rFonts w:ascii="Arial" w:hAnsi="Arial" w:eastAsia="Arial" w:cs="Arial"/>
          <w:sz w:val="24"/>
          <w:szCs w:val="24"/>
        </w:rPr>
        <w:t xml:space="preserve">Horgan, J. and Taylor, M., </w:t>
      </w:r>
      <w:r w:rsidRPr="522C34BE" w:rsidR="077AA9F3">
        <w:rPr>
          <w:rFonts w:ascii="Arial" w:hAnsi="Arial" w:eastAsia="Arial" w:cs="Arial"/>
          <w:sz w:val="24"/>
          <w:szCs w:val="24"/>
        </w:rPr>
        <w:t>(</w:t>
      </w:r>
      <w:r w:rsidRPr="522C34BE" w:rsidR="3D1D615A">
        <w:rPr>
          <w:rFonts w:ascii="Arial" w:hAnsi="Arial" w:eastAsia="Arial" w:cs="Arial"/>
          <w:sz w:val="24"/>
          <w:szCs w:val="24"/>
        </w:rPr>
        <w:t>1997</w:t>
      </w:r>
      <w:r w:rsidRPr="522C34BE" w:rsidR="61C8B872">
        <w:rPr>
          <w:rFonts w:ascii="Arial" w:hAnsi="Arial" w:eastAsia="Arial" w:cs="Arial"/>
          <w:sz w:val="24"/>
          <w:szCs w:val="24"/>
        </w:rPr>
        <w:t>)</w:t>
      </w:r>
      <w:r w:rsidRPr="522C34BE" w:rsidR="3D1D615A">
        <w:rPr>
          <w:rFonts w:ascii="Arial" w:hAnsi="Arial" w:eastAsia="Arial" w:cs="Arial"/>
          <w:sz w:val="24"/>
          <w:szCs w:val="24"/>
        </w:rPr>
        <w:t xml:space="preserve"> The provisional Irish republican army: Command and functional structure. </w:t>
      </w:r>
      <w:r w:rsidRPr="522C34BE" w:rsidR="3D1D615A">
        <w:rPr>
          <w:rFonts w:ascii="Arial" w:hAnsi="Arial" w:eastAsia="Arial" w:cs="Arial"/>
          <w:i w:val="1"/>
          <w:iCs w:val="1"/>
          <w:sz w:val="24"/>
          <w:szCs w:val="24"/>
        </w:rPr>
        <w:t>Terrorism and Political Violenc</w:t>
      </w:r>
      <w:r w:rsidRPr="522C34BE" w:rsidR="64A04DCF">
        <w:rPr>
          <w:rFonts w:ascii="Arial" w:hAnsi="Arial" w:eastAsia="Arial" w:cs="Arial"/>
          <w:i w:val="1"/>
          <w:iCs w:val="1"/>
          <w:sz w:val="24"/>
          <w:szCs w:val="24"/>
        </w:rPr>
        <w:t>e</w:t>
      </w:r>
      <w:r w:rsidRPr="522C34BE" w:rsidR="64A04DCF">
        <w:rPr>
          <w:rFonts w:ascii="Arial" w:hAnsi="Arial" w:eastAsia="Arial" w:cs="Arial"/>
          <w:sz w:val="24"/>
          <w:szCs w:val="24"/>
        </w:rPr>
        <w:t xml:space="preserve">, [online] 9(3), pp.1-32. Available: </w:t>
      </w:r>
      <w:r w:rsidRPr="522C34BE" w:rsidR="7E6A430E">
        <w:rPr>
          <w:rFonts w:ascii="Arial" w:hAnsi="Arial" w:eastAsia="Arial" w:cs="Arial"/>
          <w:sz w:val="24"/>
          <w:szCs w:val="24"/>
        </w:rPr>
        <w:t xml:space="preserve">&lt; </w:t>
      </w:r>
      <w:hyperlink r:id="R2945963661b04b29">
        <w:r w:rsidRPr="522C34BE" w:rsidR="7E6A430E">
          <w:rPr>
            <w:rStyle w:val="Hyperlink"/>
            <w:rFonts w:ascii="Arial" w:hAnsi="Arial" w:eastAsia="Arial" w:cs="Arial"/>
            <w:sz w:val="24"/>
            <w:szCs w:val="24"/>
          </w:rPr>
          <w:t>https://www-tandfonline-com.ezproxy.uwtsd.ac.uk/doi/pdf/10.1080/09546559708427413?needAccess=true</w:t>
        </w:r>
      </w:hyperlink>
      <w:r w:rsidRPr="522C34BE" w:rsidR="7E6A430E">
        <w:rPr>
          <w:rFonts w:ascii="Arial" w:hAnsi="Arial" w:eastAsia="Arial" w:cs="Arial"/>
          <w:sz w:val="24"/>
          <w:szCs w:val="24"/>
        </w:rPr>
        <w:t xml:space="preserve"> &gt;</w:t>
      </w:r>
      <w:r w:rsidRPr="522C34BE" w:rsidR="646E48A2">
        <w:rPr>
          <w:rFonts w:ascii="Arial" w:hAnsi="Arial" w:eastAsia="Arial" w:cs="Arial"/>
          <w:sz w:val="24"/>
          <w:szCs w:val="24"/>
        </w:rPr>
        <w:t xml:space="preserve"> [Accessed 3 March 2021].</w:t>
      </w:r>
    </w:p>
    <w:p w:rsidR="376BEEB3" w:rsidP="522C34BE" w:rsidRDefault="376BEEB3" w14:paraId="7984E1D5" w14:textId="262A0777">
      <w:pPr>
        <w:pStyle w:val="ListParagraph"/>
        <w:numPr>
          <w:ilvl w:val="0"/>
          <w:numId w:val="8"/>
        </w:numPr>
        <w:spacing w:line="480" w:lineRule="auto"/>
        <w:rPr>
          <w:rFonts w:ascii="Arial" w:hAnsi="Arial" w:eastAsia="Arial" w:cs="Arial"/>
          <w:sz w:val="24"/>
          <w:szCs w:val="24"/>
        </w:rPr>
      </w:pPr>
      <w:r w:rsidRPr="522C34BE" w:rsidR="376BEEB3">
        <w:rPr>
          <w:rFonts w:ascii="Arial" w:hAnsi="Arial" w:eastAsia="Arial" w:cs="Arial"/>
          <w:sz w:val="24"/>
          <w:szCs w:val="24"/>
        </w:rPr>
        <w:t>Horgan, J. and Taylor, M., (1999) Playing the ‘Green Card’ - financing the provisional IRA: Part 1. Terrorism</w:t>
      </w:r>
      <w:r w:rsidRPr="522C34BE" w:rsidR="32125E17">
        <w:rPr>
          <w:rFonts w:ascii="Arial" w:hAnsi="Arial" w:eastAsia="Arial" w:cs="Arial"/>
          <w:sz w:val="24"/>
          <w:szCs w:val="24"/>
        </w:rPr>
        <w:t xml:space="preserve"> and Political Violence, [online] 11(2), pp.1-32. Available: &lt; </w:t>
      </w:r>
      <w:hyperlink r:id="Rf0ff30120f064d7e">
        <w:r w:rsidRPr="522C34BE" w:rsidR="32125E17">
          <w:rPr>
            <w:rStyle w:val="Hyperlink"/>
            <w:rFonts w:ascii="Arial" w:hAnsi="Arial" w:eastAsia="Arial" w:cs="Arial"/>
            <w:sz w:val="24"/>
            <w:szCs w:val="24"/>
          </w:rPr>
          <w:t>https://www-tandfonline-com.ezproxy.uwtsd.ac.uk/doi/pdf/10.1080/09546559908427502?needAccess=true</w:t>
        </w:r>
      </w:hyperlink>
      <w:r w:rsidRPr="522C34BE" w:rsidR="32125E17">
        <w:rPr>
          <w:rFonts w:ascii="Arial" w:hAnsi="Arial" w:eastAsia="Arial" w:cs="Arial"/>
          <w:sz w:val="24"/>
          <w:szCs w:val="24"/>
        </w:rPr>
        <w:t xml:space="preserve"> &gt;</w:t>
      </w:r>
      <w:r w:rsidRPr="522C34BE" w:rsidR="3CD3D2E4">
        <w:rPr>
          <w:rFonts w:ascii="Arial" w:hAnsi="Arial" w:eastAsia="Arial" w:cs="Arial"/>
          <w:sz w:val="24"/>
          <w:szCs w:val="24"/>
        </w:rPr>
        <w:t xml:space="preserve"> [Accessed 3 March 2021].</w:t>
      </w:r>
    </w:p>
    <w:p w:rsidR="4AB96264" w:rsidP="522C34BE" w:rsidRDefault="4AB96264" w14:paraId="0A9B4630" w14:textId="2218AFFA">
      <w:pPr>
        <w:pStyle w:val="ListParagraph"/>
        <w:numPr>
          <w:ilvl w:val="0"/>
          <w:numId w:val="8"/>
        </w:numPr>
        <w:spacing w:line="480" w:lineRule="auto"/>
        <w:rPr>
          <w:rFonts w:ascii="Arial" w:hAnsi="Arial" w:eastAsia="Arial" w:cs="Arial"/>
          <w:sz w:val="24"/>
          <w:szCs w:val="24"/>
        </w:rPr>
      </w:pPr>
      <w:r w:rsidRPr="522C34BE" w:rsidR="4AB96264">
        <w:rPr>
          <w:rFonts w:ascii="Arial" w:hAnsi="Arial" w:eastAsia="Arial" w:cs="Arial"/>
          <w:sz w:val="24"/>
          <w:szCs w:val="24"/>
        </w:rPr>
        <w:t xml:space="preserve">Jackson, B., Baker, J. and Chalk, P., 2005. Aptitude for Destruction, Volume 2: Case Studies of Organizational Learning in Five </w:t>
      </w:r>
      <w:r w:rsidRPr="522C34BE" w:rsidR="4865D950">
        <w:rPr>
          <w:rFonts w:ascii="Arial" w:hAnsi="Arial" w:eastAsia="Arial" w:cs="Arial"/>
          <w:sz w:val="24"/>
          <w:szCs w:val="24"/>
        </w:rPr>
        <w:t>Terrorist Groups. Santa Monica: RAND Corporation, pp.109-</w:t>
      </w:r>
      <w:r w:rsidRPr="522C34BE" w:rsidR="6EF5CAF9">
        <w:rPr>
          <w:rFonts w:ascii="Arial" w:hAnsi="Arial" w:eastAsia="Arial" w:cs="Arial"/>
          <w:sz w:val="24"/>
          <w:szCs w:val="24"/>
        </w:rPr>
        <w:t>154.</w:t>
      </w:r>
    </w:p>
    <w:p w:rsidR="4A02736E" w:rsidP="522C34BE" w:rsidRDefault="4A02736E" w14:paraId="5590DCED" w14:textId="4529A26E">
      <w:pPr>
        <w:pStyle w:val="ListParagraph"/>
        <w:numPr>
          <w:ilvl w:val="0"/>
          <w:numId w:val="8"/>
        </w:numPr>
        <w:spacing w:line="480" w:lineRule="auto"/>
        <w:rPr>
          <w:rFonts w:ascii="Arial" w:hAnsi="Arial" w:eastAsia="Arial" w:cs="Arial"/>
          <w:sz w:val="24"/>
          <w:szCs w:val="24"/>
        </w:rPr>
      </w:pPr>
      <w:r w:rsidRPr="522C34BE" w:rsidR="4A02736E">
        <w:rPr>
          <w:rFonts w:ascii="Arial" w:hAnsi="Arial" w:eastAsia="Arial" w:cs="Arial"/>
          <w:sz w:val="24"/>
          <w:szCs w:val="24"/>
        </w:rPr>
        <w:t xml:space="preserve">Kowalski, R., </w:t>
      </w:r>
      <w:r w:rsidRPr="522C34BE" w:rsidR="56FCA41F">
        <w:rPr>
          <w:rFonts w:ascii="Arial" w:hAnsi="Arial" w:eastAsia="Arial" w:cs="Arial"/>
          <w:sz w:val="24"/>
          <w:szCs w:val="24"/>
        </w:rPr>
        <w:t>(</w:t>
      </w:r>
      <w:r w:rsidRPr="522C34BE" w:rsidR="4A02736E">
        <w:rPr>
          <w:rFonts w:ascii="Arial" w:hAnsi="Arial" w:eastAsia="Arial" w:cs="Arial"/>
          <w:sz w:val="24"/>
          <w:szCs w:val="24"/>
        </w:rPr>
        <w:t>2016</w:t>
      </w:r>
      <w:r w:rsidRPr="522C34BE" w:rsidR="752993E4">
        <w:rPr>
          <w:rFonts w:ascii="Arial" w:hAnsi="Arial" w:eastAsia="Arial" w:cs="Arial"/>
          <w:sz w:val="24"/>
          <w:szCs w:val="24"/>
        </w:rPr>
        <w:t>)</w:t>
      </w:r>
      <w:r w:rsidRPr="522C34BE" w:rsidR="4A02736E">
        <w:rPr>
          <w:rFonts w:ascii="Arial" w:hAnsi="Arial" w:eastAsia="Arial" w:cs="Arial"/>
          <w:sz w:val="24"/>
          <w:szCs w:val="24"/>
        </w:rPr>
        <w:t xml:space="preserve"> The role of </w:t>
      </w:r>
      <w:proofErr w:type="gramStart"/>
      <w:r w:rsidRPr="522C34BE" w:rsidR="4A02736E">
        <w:rPr>
          <w:rFonts w:ascii="Arial" w:hAnsi="Arial" w:eastAsia="Arial" w:cs="Arial"/>
          <w:sz w:val="24"/>
          <w:szCs w:val="24"/>
        </w:rPr>
        <w:t>sectarianism</w:t>
      </w:r>
      <w:proofErr w:type="gramEnd"/>
      <w:r w:rsidRPr="522C34BE" w:rsidR="4A02736E">
        <w:rPr>
          <w:rFonts w:ascii="Arial" w:hAnsi="Arial" w:eastAsia="Arial" w:cs="Arial"/>
          <w:sz w:val="24"/>
          <w:szCs w:val="24"/>
        </w:rPr>
        <w:t xml:space="preserve"> in the Provisional IRA campaign, 1968-1997. </w:t>
      </w:r>
      <w:r w:rsidRPr="522C34BE" w:rsidR="4A02736E">
        <w:rPr>
          <w:rFonts w:ascii="Arial" w:hAnsi="Arial" w:eastAsia="Arial" w:cs="Arial"/>
          <w:i w:val="1"/>
          <w:iCs w:val="1"/>
          <w:sz w:val="24"/>
          <w:szCs w:val="24"/>
        </w:rPr>
        <w:t>Terrori</w:t>
      </w:r>
      <w:r w:rsidRPr="522C34BE" w:rsidR="51476D8E">
        <w:rPr>
          <w:rFonts w:ascii="Arial" w:hAnsi="Arial" w:eastAsia="Arial" w:cs="Arial"/>
          <w:i w:val="1"/>
          <w:iCs w:val="1"/>
          <w:sz w:val="24"/>
          <w:szCs w:val="24"/>
        </w:rPr>
        <w:t>sm and Political Violence</w:t>
      </w:r>
      <w:r w:rsidRPr="522C34BE" w:rsidR="51476D8E">
        <w:rPr>
          <w:rFonts w:ascii="Arial" w:hAnsi="Arial" w:eastAsia="Arial" w:cs="Arial"/>
          <w:sz w:val="24"/>
          <w:szCs w:val="24"/>
        </w:rPr>
        <w:t xml:space="preserve">. [online] 30(4), pp.658-683. Available: &lt; </w:t>
      </w:r>
      <w:hyperlink r:id="Rb48868c1de144d79">
        <w:r w:rsidRPr="522C34BE" w:rsidR="51476D8E">
          <w:rPr>
            <w:rStyle w:val="Hyperlink"/>
            <w:rFonts w:ascii="Arial" w:hAnsi="Arial" w:eastAsia="Arial" w:cs="Arial"/>
            <w:sz w:val="24"/>
            <w:szCs w:val="24"/>
          </w:rPr>
          <w:t>https://www-tandfonline-com.ezproxy.uwtsd.ac.uk/doi/full/10.1080/09546553.2016.1205979</w:t>
        </w:r>
      </w:hyperlink>
      <w:r w:rsidRPr="522C34BE" w:rsidR="51476D8E">
        <w:rPr>
          <w:rFonts w:ascii="Arial" w:hAnsi="Arial" w:eastAsia="Arial" w:cs="Arial"/>
          <w:sz w:val="24"/>
          <w:szCs w:val="24"/>
        </w:rPr>
        <w:t xml:space="preserve"> &gt;.</w:t>
      </w:r>
    </w:p>
    <w:p w:rsidR="2A324F91" w:rsidP="522C34BE" w:rsidRDefault="2A324F91" w14:paraId="57AFF904" w14:textId="1AB6ED0D">
      <w:pPr>
        <w:pStyle w:val="ListParagraph"/>
        <w:numPr>
          <w:ilvl w:val="0"/>
          <w:numId w:val="8"/>
        </w:numPr>
        <w:spacing w:line="480" w:lineRule="auto"/>
        <w:rPr>
          <w:rFonts w:ascii="Arial" w:hAnsi="Arial" w:eastAsia="Arial" w:cs="Arial"/>
          <w:sz w:val="24"/>
          <w:szCs w:val="24"/>
        </w:rPr>
      </w:pPr>
      <w:r w:rsidRPr="522C34BE" w:rsidR="2A324F91">
        <w:rPr>
          <w:rFonts w:ascii="Arial" w:hAnsi="Arial" w:eastAsia="Arial" w:cs="Arial"/>
          <w:sz w:val="24"/>
          <w:szCs w:val="24"/>
        </w:rPr>
        <w:t xml:space="preserve">McKittrick, D. and </w:t>
      </w:r>
      <w:proofErr w:type="spellStart"/>
      <w:r w:rsidRPr="522C34BE" w:rsidR="2A324F91">
        <w:rPr>
          <w:rFonts w:ascii="Arial" w:hAnsi="Arial" w:eastAsia="Arial" w:cs="Arial"/>
          <w:sz w:val="24"/>
          <w:szCs w:val="24"/>
        </w:rPr>
        <w:t>McVea</w:t>
      </w:r>
      <w:proofErr w:type="spellEnd"/>
      <w:r w:rsidRPr="522C34BE" w:rsidR="2A324F91">
        <w:rPr>
          <w:rFonts w:ascii="Arial" w:hAnsi="Arial" w:eastAsia="Arial" w:cs="Arial"/>
          <w:sz w:val="24"/>
          <w:szCs w:val="24"/>
        </w:rPr>
        <w:t xml:space="preserve">, D., </w:t>
      </w:r>
      <w:r w:rsidRPr="522C34BE" w:rsidR="2A86F773">
        <w:rPr>
          <w:rFonts w:ascii="Arial" w:hAnsi="Arial" w:eastAsia="Arial" w:cs="Arial"/>
          <w:sz w:val="24"/>
          <w:szCs w:val="24"/>
        </w:rPr>
        <w:t>(</w:t>
      </w:r>
      <w:r w:rsidRPr="522C34BE" w:rsidR="2A324F91">
        <w:rPr>
          <w:rFonts w:ascii="Arial" w:hAnsi="Arial" w:eastAsia="Arial" w:cs="Arial"/>
          <w:sz w:val="24"/>
          <w:szCs w:val="24"/>
        </w:rPr>
        <w:t>2012</w:t>
      </w:r>
      <w:r w:rsidRPr="522C34BE" w:rsidR="642A8DEF">
        <w:rPr>
          <w:rFonts w:ascii="Arial" w:hAnsi="Arial" w:eastAsia="Arial" w:cs="Arial"/>
          <w:sz w:val="24"/>
          <w:szCs w:val="24"/>
        </w:rPr>
        <w:t>)</w:t>
      </w:r>
      <w:r w:rsidRPr="522C34BE" w:rsidR="2A324F91">
        <w:rPr>
          <w:rFonts w:ascii="Arial" w:hAnsi="Arial" w:eastAsia="Arial" w:cs="Arial"/>
          <w:sz w:val="24"/>
          <w:szCs w:val="24"/>
        </w:rPr>
        <w:t xml:space="preserve"> Making sense of the Troubles. London: Penguin Books, pp.1-386.</w:t>
      </w:r>
    </w:p>
    <w:p w:rsidR="2172FE6F" w:rsidP="522C34BE" w:rsidRDefault="2172FE6F" w14:paraId="7181C588" w14:textId="1CD0A1D0">
      <w:pPr>
        <w:pStyle w:val="ListParagraph"/>
        <w:numPr>
          <w:ilvl w:val="0"/>
          <w:numId w:val="8"/>
        </w:numPr>
        <w:spacing w:line="480" w:lineRule="auto"/>
        <w:rPr>
          <w:rFonts w:ascii="Arial" w:hAnsi="Arial" w:eastAsia="Arial" w:cs="Arial"/>
          <w:sz w:val="24"/>
          <w:szCs w:val="24"/>
        </w:rPr>
      </w:pPr>
      <w:r w:rsidRPr="522C34BE" w:rsidR="2172FE6F">
        <w:rPr>
          <w:rFonts w:ascii="Arial" w:hAnsi="Arial" w:eastAsia="Arial" w:cs="Arial"/>
          <w:sz w:val="24"/>
          <w:szCs w:val="24"/>
        </w:rPr>
        <w:t>Morrison, J., (2008)</w:t>
      </w:r>
      <w:r w:rsidRPr="522C34BE" w:rsidR="26D860ED">
        <w:rPr>
          <w:rFonts w:ascii="Arial" w:hAnsi="Arial" w:eastAsia="Arial" w:cs="Arial"/>
          <w:sz w:val="24"/>
          <w:szCs w:val="24"/>
        </w:rPr>
        <w:t xml:space="preserve"> ‘Nationalist-Separatist Terrorism: The IRA’ [PowerPoint presentation]. </w:t>
      </w:r>
      <w:r w:rsidRPr="522C34BE" w:rsidR="26D860ED">
        <w:rPr>
          <w:rFonts w:ascii="Arial" w:hAnsi="Arial" w:eastAsia="Arial" w:cs="Arial"/>
          <w:i w:val="1"/>
          <w:iCs w:val="1"/>
          <w:sz w:val="24"/>
          <w:szCs w:val="24"/>
        </w:rPr>
        <w:t>IR5007</w:t>
      </w:r>
      <w:r w:rsidRPr="522C34BE" w:rsidR="26D860ED">
        <w:rPr>
          <w:rFonts w:ascii="Arial" w:hAnsi="Arial" w:eastAsia="Arial" w:cs="Arial"/>
          <w:sz w:val="24"/>
          <w:szCs w:val="24"/>
        </w:rPr>
        <w:t>:</w:t>
      </w:r>
      <w:r w:rsidRPr="522C34BE" w:rsidR="610ADE6C">
        <w:rPr>
          <w:rFonts w:ascii="Arial" w:hAnsi="Arial" w:eastAsia="Arial" w:cs="Arial"/>
          <w:sz w:val="24"/>
          <w:szCs w:val="24"/>
        </w:rPr>
        <w:t xml:space="preserve"> Terrorism and Liberal Democracy. Available: &lt; </w:t>
      </w:r>
      <w:hyperlink r:id="Ra30a1ff0bebd4235">
        <w:r w:rsidRPr="522C34BE" w:rsidR="610ADE6C">
          <w:rPr>
            <w:rStyle w:val="Hyperlink"/>
            <w:rFonts w:ascii="Arial" w:hAnsi="Arial" w:eastAsia="Arial" w:cs="Arial"/>
            <w:sz w:val="24"/>
            <w:szCs w:val="24"/>
          </w:rPr>
          <w:t>https://moodle.uwtsd.ac.uk/pluginfile.php/249695/mod_resource/content/1/PIRAPPPRESENTATION.pdf</w:t>
        </w:r>
      </w:hyperlink>
      <w:r w:rsidRPr="522C34BE" w:rsidR="610ADE6C">
        <w:rPr>
          <w:rFonts w:ascii="Arial" w:hAnsi="Arial" w:eastAsia="Arial" w:cs="Arial"/>
          <w:sz w:val="24"/>
          <w:szCs w:val="24"/>
        </w:rPr>
        <w:t xml:space="preserve"> &gt; [Accessed</w:t>
      </w:r>
      <w:r w:rsidRPr="522C34BE" w:rsidR="51877C07">
        <w:rPr>
          <w:rFonts w:ascii="Arial" w:hAnsi="Arial" w:eastAsia="Arial" w:cs="Arial"/>
          <w:sz w:val="24"/>
          <w:szCs w:val="24"/>
        </w:rPr>
        <w:t xml:space="preserve"> 3</w:t>
      </w:r>
      <w:r w:rsidRPr="522C34BE" w:rsidR="1E5F9146">
        <w:rPr>
          <w:rFonts w:ascii="Arial" w:hAnsi="Arial" w:eastAsia="Arial" w:cs="Arial"/>
          <w:sz w:val="24"/>
          <w:szCs w:val="24"/>
        </w:rPr>
        <w:t xml:space="preserve"> </w:t>
      </w:r>
      <w:r w:rsidRPr="522C34BE" w:rsidR="51877C07">
        <w:rPr>
          <w:rFonts w:ascii="Arial" w:hAnsi="Arial" w:eastAsia="Arial" w:cs="Arial"/>
          <w:sz w:val="24"/>
          <w:szCs w:val="24"/>
        </w:rPr>
        <w:t>March 2021].</w:t>
      </w:r>
    </w:p>
    <w:p w:rsidR="10E0E730" w:rsidP="522C34BE" w:rsidRDefault="10E0E730" w14:paraId="2B298B2A" w14:textId="42799C47">
      <w:pPr>
        <w:pStyle w:val="ListParagraph"/>
        <w:numPr>
          <w:ilvl w:val="0"/>
          <w:numId w:val="8"/>
        </w:numPr>
        <w:spacing w:line="480" w:lineRule="auto"/>
        <w:rPr>
          <w:rFonts w:ascii="Arial" w:hAnsi="Arial" w:eastAsia="Arial" w:cs="Arial"/>
          <w:sz w:val="24"/>
          <w:szCs w:val="24"/>
        </w:rPr>
      </w:pPr>
      <w:r w:rsidRPr="522C34BE" w:rsidR="10E0E730">
        <w:rPr>
          <w:rFonts w:ascii="Arial" w:hAnsi="Arial" w:eastAsia="Arial" w:cs="Arial"/>
          <w:sz w:val="24"/>
          <w:szCs w:val="24"/>
        </w:rPr>
        <w:t xml:space="preserve">News.bbc.co.uk. 2002. BBC NEWS| N Ireland | </w:t>
      </w:r>
      <w:r w:rsidRPr="522C34BE" w:rsidR="10E0E730">
        <w:rPr>
          <w:rFonts w:ascii="Arial" w:hAnsi="Arial" w:eastAsia="Arial" w:cs="Arial"/>
          <w:i w:val="1"/>
          <w:iCs w:val="1"/>
          <w:sz w:val="24"/>
          <w:szCs w:val="24"/>
        </w:rPr>
        <w:t>Bloody Friday: What happened</w:t>
      </w:r>
      <w:r w:rsidRPr="522C34BE" w:rsidR="10E0E730">
        <w:rPr>
          <w:rFonts w:ascii="Arial" w:hAnsi="Arial" w:eastAsia="Arial" w:cs="Arial"/>
          <w:sz w:val="24"/>
          <w:szCs w:val="24"/>
        </w:rPr>
        <w:t xml:space="preserve">. [online] Available: &lt; </w:t>
      </w:r>
      <w:hyperlink r:id="Rb98a37c1539c4af6">
        <w:r w:rsidRPr="522C34BE" w:rsidR="10E0E730">
          <w:rPr>
            <w:rStyle w:val="Hyperlink"/>
            <w:rFonts w:ascii="Arial" w:hAnsi="Arial" w:eastAsia="Arial" w:cs="Arial"/>
            <w:sz w:val="24"/>
            <w:szCs w:val="24"/>
          </w:rPr>
          <w:t>http://news.bbc.co.uk/1/hi/northern_ireland/2132219.stm</w:t>
        </w:r>
      </w:hyperlink>
      <w:r w:rsidRPr="522C34BE" w:rsidR="1CB65646">
        <w:rPr>
          <w:rFonts w:ascii="Arial" w:hAnsi="Arial" w:eastAsia="Arial" w:cs="Arial"/>
          <w:sz w:val="24"/>
          <w:szCs w:val="24"/>
        </w:rPr>
        <w:t xml:space="preserve"> &gt; [Accessed 27 February 2021].</w:t>
      </w:r>
    </w:p>
    <w:p w:rsidR="7EB93A7F" w:rsidP="522C34BE" w:rsidRDefault="7EB93A7F" w14:paraId="654C14F7" w14:textId="10AD52E2">
      <w:pPr>
        <w:pStyle w:val="ListParagraph"/>
        <w:numPr>
          <w:ilvl w:val="0"/>
          <w:numId w:val="8"/>
        </w:numPr>
        <w:spacing w:line="480" w:lineRule="auto"/>
        <w:rPr>
          <w:rFonts w:ascii="Arial" w:hAnsi="Arial" w:eastAsia="Arial" w:cs="Arial"/>
          <w:i w:val="1"/>
          <w:iCs w:val="1"/>
          <w:sz w:val="24"/>
          <w:szCs w:val="24"/>
        </w:rPr>
      </w:pPr>
      <w:r w:rsidRPr="522C34BE" w:rsidR="7EB93A7F">
        <w:rPr>
          <w:rFonts w:ascii="Arial" w:hAnsi="Arial" w:eastAsia="Arial" w:cs="Arial"/>
          <w:sz w:val="24"/>
          <w:szCs w:val="24"/>
        </w:rPr>
        <w:t xml:space="preserve">Nimmons, S., (2017) </w:t>
      </w:r>
      <w:r w:rsidRPr="522C34BE" w:rsidR="7EB93A7F">
        <w:rPr>
          <w:rFonts w:ascii="Arial" w:hAnsi="Arial" w:eastAsia="Arial" w:cs="Arial"/>
          <w:i w:val="1"/>
          <w:iCs w:val="1"/>
          <w:sz w:val="24"/>
          <w:szCs w:val="24"/>
        </w:rPr>
        <w:t>Pira – A brief profile of the Provisional IRA</w:t>
      </w:r>
      <w:r w:rsidRPr="522C34BE" w:rsidR="07D60681">
        <w:rPr>
          <w:rFonts w:ascii="Arial" w:hAnsi="Arial" w:eastAsia="Arial" w:cs="Arial"/>
          <w:i w:val="1"/>
          <w:iCs w:val="1"/>
          <w:sz w:val="24"/>
          <w:szCs w:val="24"/>
        </w:rPr>
        <w:t xml:space="preserve">. </w:t>
      </w:r>
      <w:r w:rsidRPr="522C34BE" w:rsidR="07D60681">
        <w:rPr>
          <w:rFonts w:ascii="Arial" w:hAnsi="Arial" w:eastAsia="Arial" w:cs="Arial"/>
          <w:i w:val="0"/>
          <w:iCs w:val="0"/>
          <w:sz w:val="24"/>
          <w:szCs w:val="24"/>
        </w:rPr>
        <w:t xml:space="preserve">[online] Available: &lt; </w:t>
      </w:r>
      <w:hyperlink r:id="Re125560ea04446ba">
        <w:r w:rsidRPr="522C34BE" w:rsidR="07D60681">
          <w:rPr>
            <w:rStyle w:val="Hyperlink"/>
            <w:rFonts w:ascii="Arial" w:hAnsi="Arial" w:eastAsia="Arial" w:cs="Arial"/>
            <w:i w:val="0"/>
            <w:iCs w:val="0"/>
            <w:sz w:val="24"/>
            <w:szCs w:val="24"/>
          </w:rPr>
          <w:t>https://www.nimmonsconsulting.com/wp-content/uploads/2019/05/PIRA-a-brief-profile-of-the-Provisional-IRA.pdf</w:t>
        </w:r>
      </w:hyperlink>
      <w:r w:rsidRPr="522C34BE" w:rsidR="07D60681">
        <w:rPr>
          <w:rFonts w:ascii="Arial" w:hAnsi="Arial" w:eastAsia="Arial" w:cs="Arial"/>
          <w:i w:val="0"/>
          <w:iCs w:val="0"/>
          <w:sz w:val="24"/>
          <w:szCs w:val="24"/>
        </w:rPr>
        <w:t xml:space="preserve"> &gt;</w:t>
      </w:r>
      <w:r w:rsidRPr="522C34BE" w:rsidR="6C86AB39">
        <w:rPr>
          <w:rFonts w:ascii="Arial" w:hAnsi="Arial" w:eastAsia="Arial" w:cs="Arial"/>
          <w:i w:val="0"/>
          <w:iCs w:val="0"/>
          <w:sz w:val="24"/>
          <w:szCs w:val="24"/>
        </w:rPr>
        <w:t xml:space="preserve"> [Accessed 3 March 2021].</w:t>
      </w:r>
    </w:p>
    <w:p w:rsidR="184EF5A5" w:rsidP="522C34BE" w:rsidRDefault="184EF5A5" w14:paraId="05898357" w14:textId="44CDBB34">
      <w:pPr>
        <w:pStyle w:val="ListParagraph"/>
        <w:numPr>
          <w:ilvl w:val="0"/>
          <w:numId w:val="8"/>
        </w:numPr>
        <w:spacing w:line="480" w:lineRule="auto"/>
        <w:rPr>
          <w:rFonts w:ascii="Arial" w:hAnsi="Arial" w:eastAsia="Arial" w:cs="Arial"/>
          <w:sz w:val="24"/>
          <w:szCs w:val="24"/>
        </w:rPr>
      </w:pPr>
      <w:r w:rsidRPr="522C34BE" w:rsidR="184EF5A5">
        <w:rPr>
          <w:rFonts w:ascii="Arial" w:hAnsi="Arial" w:eastAsia="Arial" w:cs="Arial"/>
          <w:sz w:val="24"/>
          <w:szCs w:val="24"/>
        </w:rPr>
        <w:t xml:space="preserve">O’Callaghan, S., </w:t>
      </w:r>
      <w:r w:rsidRPr="522C34BE" w:rsidR="336A5664">
        <w:rPr>
          <w:rFonts w:ascii="Arial" w:hAnsi="Arial" w:eastAsia="Arial" w:cs="Arial"/>
          <w:sz w:val="24"/>
          <w:szCs w:val="24"/>
        </w:rPr>
        <w:t>(</w:t>
      </w:r>
      <w:r w:rsidRPr="522C34BE" w:rsidR="184EF5A5">
        <w:rPr>
          <w:rFonts w:ascii="Arial" w:hAnsi="Arial" w:eastAsia="Arial" w:cs="Arial"/>
          <w:sz w:val="24"/>
          <w:szCs w:val="24"/>
        </w:rPr>
        <w:t>1999</w:t>
      </w:r>
      <w:r w:rsidRPr="522C34BE" w:rsidR="7EB053B3">
        <w:rPr>
          <w:rFonts w:ascii="Arial" w:hAnsi="Arial" w:eastAsia="Arial" w:cs="Arial"/>
          <w:sz w:val="24"/>
          <w:szCs w:val="24"/>
        </w:rPr>
        <w:t>)</w:t>
      </w:r>
      <w:r w:rsidRPr="522C34BE" w:rsidR="184EF5A5">
        <w:rPr>
          <w:rFonts w:ascii="Arial" w:hAnsi="Arial" w:eastAsia="Arial" w:cs="Arial"/>
          <w:sz w:val="24"/>
          <w:szCs w:val="24"/>
        </w:rPr>
        <w:t xml:space="preserve"> </w:t>
      </w:r>
      <w:r w:rsidRPr="522C34BE" w:rsidR="184EF5A5">
        <w:rPr>
          <w:rFonts w:ascii="Arial" w:hAnsi="Arial" w:eastAsia="Arial" w:cs="Arial"/>
          <w:i w:val="1"/>
          <w:iCs w:val="1"/>
          <w:sz w:val="24"/>
          <w:szCs w:val="24"/>
        </w:rPr>
        <w:t>The informer</w:t>
      </w:r>
      <w:r w:rsidRPr="522C34BE" w:rsidR="184EF5A5">
        <w:rPr>
          <w:rFonts w:ascii="Arial" w:hAnsi="Arial" w:eastAsia="Arial" w:cs="Arial"/>
          <w:sz w:val="24"/>
          <w:szCs w:val="24"/>
        </w:rPr>
        <w:t>. London: Transworld Publ., pp.104-109.</w:t>
      </w:r>
    </w:p>
    <w:p w:rsidR="508337C0" w:rsidP="522C34BE" w:rsidRDefault="508337C0" w14:paraId="241C798E" w14:textId="5445D91D">
      <w:pPr>
        <w:pStyle w:val="ListParagraph"/>
        <w:numPr>
          <w:ilvl w:val="0"/>
          <w:numId w:val="8"/>
        </w:numPr>
        <w:spacing w:line="480" w:lineRule="auto"/>
        <w:rPr>
          <w:rFonts w:ascii="Arial" w:hAnsi="Arial" w:eastAsia="Arial" w:cs="Arial"/>
          <w:sz w:val="24"/>
          <w:szCs w:val="24"/>
        </w:rPr>
      </w:pPr>
      <w:r w:rsidRPr="522C34BE" w:rsidR="508337C0">
        <w:rPr>
          <w:rFonts w:ascii="Arial" w:hAnsi="Arial" w:eastAsia="Arial" w:cs="Arial"/>
          <w:sz w:val="24"/>
          <w:szCs w:val="24"/>
        </w:rPr>
        <w:t xml:space="preserve">Powell, </w:t>
      </w:r>
      <w:proofErr w:type="gramStart"/>
      <w:r w:rsidRPr="522C34BE" w:rsidR="508337C0">
        <w:rPr>
          <w:rFonts w:ascii="Arial" w:hAnsi="Arial" w:eastAsia="Arial" w:cs="Arial"/>
          <w:sz w:val="24"/>
          <w:szCs w:val="24"/>
        </w:rPr>
        <w:t>J.,</w:t>
      </w:r>
      <w:proofErr w:type="gramEnd"/>
      <w:r w:rsidRPr="522C34BE" w:rsidR="508337C0">
        <w:rPr>
          <w:rFonts w:ascii="Arial" w:hAnsi="Arial" w:eastAsia="Arial" w:cs="Arial"/>
          <w:sz w:val="24"/>
          <w:szCs w:val="24"/>
        </w:rPr>
        <w:t xml:space="preserve"> </w:t>
      </w:r>
      <w:r w:rsidRPr="522C34BE" w:rsidR="466E1A74">
        <w:rPr>
          <w:rFonts w:ascii="Arial" w:hAnsi="Arial" w:eastAsia="Arial" w:cs="Arial"/>
          <w:sz w:val="24"/>
          <w:szCs w:val="24"/>
        </w:rPr>
        <w:t>(</w:t>
      </w:r>
      <w:r w:rsidRPr="522C34BE" w:rsidR="508337C0">
        <w:rPr>
          <w:rFonts w:ascii="Arial" w:hAnsi="Arial" w:eastAsia="Arial" w:cs="Arial"/>
          <w:sz w:val="24"/>
          <w:szCs w:val="24"/>
        </w:rPr>
        <w:t>2009</w:t>
      </w:r>
      <w:r w:rsidRPr="522C34BE" w:rsidR="77365DA5">
        <w:rPr>
          <w:rFonts w:ascii="Arial" w:hAnsi="Arial" w:eastAsia="Arial" w:cs="Arial"/>
          <w:sz w:val="24"/>
          <w:szCs w:val="24"/>
        </w:rPr>
        <w:t>)</w:t>
      </w:r>
      <w:r w:rsidRPr="522C34BE" w:rsidR="508337C0">
        <w:rPr>
          <w:rFonts w:ascii="Arial" w:hAnsi="Arial" w:eastAsia="Arial" w:cs="Arial"/>
          <w:sz w:val="24"/>
          <w:szCs w:val="24"/>
        </w:rPr>
        <w:t xml:space="preserve"> Great hatred, little room. London: Vintage.</w:t>
      </w:r>
    </w:p>
    <w:p w:rsidR="601E4155" w:rsidP="522C34BE" w:rsidRDefault="601E4155" w14:paraId="785EF70C" w14:textId="69EFB587">
      <w:pPr>
        <w:pStyle w:val="ListParagraph"/>
        <w:numPr>
          <w:ilvl w:val="0"/>
          <w:numId w:val="8"/>
        </w:numPr>
        <w:spacing w:line="480" w:lineRule="auto"/>
        <w:rPr>
          <w:rFonts w:ascii="Arial" w:hAnsi="Arial" w:eastAsia="Arial" w:cs="Arial"/>
          <w:sz w:val="24"/>
          <w:szCs w:val="24"/>
        </w:rPr>
      </w:pPr>
      <w:r w:rsidRPr="522C34BE" w:rsidR="601E4155">
        <w:rPr>
          <w:rFonts w:ascii="Arial" w:hAnsi="Arial" w:eastAsia="Arial" w:cs="Arial"/>
          <w:sz w:val="24"/>
          <w:szCs w:val="24"/>
        </w:rPr>
        <w:t xml:space="preserve">Simpson, </w:t>
      </w:r>
      <w:proofErr w:type="gramStart"/>
      <w:r w:rsidRPr="522C34BE" w:rsidR="601E4155">
        <w:rPr>
          <w:rFonts w:ascii="Arial" w:hAnsi="Arial" w:eastAsia="Arial" w:cs="Arial"/>
          <w:sz w:val="24"/>
          <w:szCs w:val="24"/>
        </w:rPr>
        <w:t>D.,</w:t>
      </w:r>
      <w:proofErr w:type="gramEnd"/>
      <w:r w:rsidRPr="522C34BE" w:rsidR="601E4155">
        <w:rPr>
          <w:rFonts w:ascii="Arial" w:hAnsi="Arial" w:eastAsia="Arial" w:cs="Arial"/>
          <w:sz w:val="24"/>
          <w:szCs w:val="24"/>
        </w:rPr>
        <w:t xml:space="preserve"> (2003) Essay 1. </w:t>
      </w:r>
      <w:r w:rsidRPr="522C34BE" w:rsidR="601E4155">
        <w:rPr>
          <w:rFonts w:ascii="Arial" w:hAnsi="Arial" w:eastAsia="Arial" w:cs="Arial"/>
          <w:i w:val="1"/>
          <w:iCs w:val="1"/>
          <w:sz w:val="24"/>
          <w:szCs w:val="24"/>
        </w:rPr>
        <w:t xml:space="preserve">Terrorism and </w:t>
      </w:r>
      <w:proofErr w:type="gramStart"/>
      <w:r w:rsidRPr="522C34BE" w:rsidR="601E4155">
        <w:rPr>
          <w:rFonts w:ascii="Arial" w:hAnsi="Arial" w:eastAsia="Arial" w:cs="Arial"/>
          <w:i w:val="1"/>
          <w:iCs w:val="1"/>
          <w:sz w:val="24"/>
          <w:szCs w:val="24"/>
        </w:rPr>
        <w:t>the law</w:t>
      </w:r>
      <w:proofErr w:type="gramEnd"/>
      <w:r w:rsidRPr="522C34BE" w:rsidR="601E4155">
        <w:rPr>
          <w:rFonts w:ascii="Arial" w:hAnsi="Arial" w:eastAsia="Arial" w:cs="Arial"/>
          <w:i w:val="1"/>
          <w:iCs w:val="1"/>
          <w:sz w:val="24"/>
          <w:szCs w:val="24"/>
        </w:rPr>
        <w:t xml:space="preserve">: </w:t>
      </w:r>
      <w:r w:rsidRPr="522C34BE" w:rsidR="2186434E">
        <w:rPr>
          <w:rFonts w:ascii="Arial" w:hAnsi="Arial" w:eastAsia="Arial" w:cs="Arial"/>
          <w:i w:val="1"/>
          <w:iCs w:val="1"/>
          <w:sz w:val="24"/>
          <w:szCs w:val="24"/>
        </w:rPr>
        <w:t>past and present international approaches</w:t>
      </w:r>
      <w:r w:rsidRPr="522C34BE" w:rsidR="2186434E">
        <w:rPr>
          <w:rFonts w:ascii="Arial" w:hAnsi="Arial" w:eastAsia="Arial" w:cs="Arial"/>
          <w:sz w:val="24"/>
          <w:szCs w:val="24"/>
        </w:rPr>
        <w:t xml:space="preserve">. The problem of </w:t>
      </w:r>
      <w:r w:rsidRPr="522C34BE" w:rsidR="7C01FEA9">
        <w:rPr>
          <w:rFonts w:ascii="Arial" w:hAnsi="Arial" w:eastAsia="Arial" w:cs="Arial"/>
          <w:sz w:val="24"/>
          <w:szCs w:val="24"/>
        </w:rPr>
        <w:t>definition</w:t>
      </w:r>
      <w:r w:rsidRPr="522C34BE" w:rsidR="2186434E">
        <w:rPr>
          <w:rFonts w:ascii="Arial" w:hAnsi="Arial" w:eastAsia="Arial" w:cs="Arial"/>
          <w:sz w:val="24"/>
          <w:szCs w:val="24"/>
        </w:rPr>
        <w:t>. [online] London: Law Department, L</w:t>
      </w:r>
      <w:r w:rsidRPr="522C34BE" w:rsidR="0311E9C0">
        <w:rPr>
          <w:rFonts w:ascii="Arial" w:hAnsi="Arial" w:eastAsia="Arial" w:cs="Arial"/>
          <w:sz w:val="24"/>
          <w:szCs w:val="24"/>
        </w:rPr>
        <w:t xml:space="preserve">ondon School of Economics, pp.1-9. Available: &lt; </w:t>
      </w:r>
      <w:hyperlink r:id="Ra4cac816d9654c1d">
        <w:r w:rsidRPr="522C34BE" w:rsidR="0311E9C0">
          <w:rPr>
            <w:rStyle w:val="Hyperlink"/>
            <w:rFonts w:ascii="Arial" w:hAnsi="Arial" w:eastAsia="Arial" w:cs="Arial"/>
            <w:sz w:val="24"/>
            <w:szCs w:val="24"/>
          </w:rPr>
          <w:t>https://www.sipri.org/sites/default/files/023-32%20Essay%201.pdf</w:t>
        </w:r>
      </w:hyperlink>
      <w:r w:rsidRPr="522C34BE" w:rsidR="0311E9C0">
        <w:rPr>
          <w:rFonts w:ascii="Arial" w:hAnsi="Arial" w:eastAsia="Arial" w:cs="Arial"/>
          <w:sz w:val="24"/>
          <w:szCs w:val="24"/>
        </w:rPr>
        <w:t xml:space="preserve"> &gt; [Accessed 3 March 2021].</w:t>
      </w:r>
    </w:p>
    <w:p w:rsidR="6E6B0752" w:rsidP="522C34BE" w:rsidRDefault="6E6B0752" w14:paraId="01FFEAB3" w14:textId="295565B9">
      <w:pPr>
        <w:pStyle w:val="ListParagraph"/>
        <w:numPr>
          <w:ilvl w:val="0"/>
          <w:numId w:val="8"/>
        </w:numPr>
        <w:spacing w:line="480" w:lineRule="auto"/>
        <w:rPr>
          <w:rFonts w:ascii="Arial" w:hAnsi="Arial" w:eastAsia="Arial" w:cs="Arial"/>
          <w:sz w:val="24"/>
          <w:szCs w:val="24"/>
        </w:rPr>
      </w:pPr>
      <w:r w:rsidRPr="522C34BE" w:rsidR="6E6B0752">
        <w:rPr>
          <w:rFonts w:ascii="Arial" w:hAnsi="Arial" w:eastAsia="Arial" w:cs="Arial"/>
          <w:sz w:val="24"/>
          <w:szCs w:val="24"/>
        </w:rPr>
        <w:t xml:space="preserve">Somerville, I. and Purcell, A., (2011) </w:t>
      </w:r>
      <w:r w:rsidRPr="522C34BE" w:rsidR="6E6B0752">
        <w:rPr>
          <w:rFonts w:ascii="Arial" w:hAnsi="Arial" w:eastAsia="Arial" w:cs="Arial"/>
          <w:i w:val="1"/>
          <w:iCs w:val="1"/>
          <w:sz w:val="24"/>
          <w:szCs w:val="24"/>
        </w:rPr>
        <w:t>A history of Republican public relations in</w:t>
      </w:r>
      <w:r w:rsidRPr="522C34BE" w:rsidR="26A95620">
        <w:rPr>
          <w:rFonts w:ascii="Arial" w:hAnsi="Arial" w:eastAsia="Arial" w:cs="Arial"/>
          <w:i w:val="1"/>
          <w:iCs w:val="1"/>
          <w:sz w:val="24"/>
          <w:szCs w:val="24"/>
        </w:rPr>
        <w:t xml:space="preserve"> Northern Ireland from “Bloody Sunday” to the “Good Friday Agreement”</w:t>
      </w:r>
      <w:r w:rsidRPr="522C34BE" w:rsidR="26A95620">
        <w:rPr>
          <w:rFonts w:ascii="Arial" w:hAnsi="Arial" w:eastAsia="Arial" w:cs="Arial"/>
          <w:sz w:val="24"/>
          <w:szCs w:val="24"/>
        </w:rPr>
        <w:t>. [online] ProQuest</w:t>
      </w:r>
      <w:r w:rsidRPr="522C34BE" w:rsidR="63150778">
        <w:rPr>
          <w:rFonts w:ascii="Arial" w:hAnsi="Arial" w:eastAsia="Arial" w:cs="Arial"/>
          <w:sz w:val="24"/>
          <w:szCs w:val="24"/>
        </w:rPr>
        <w:t>.</w:t>
      </w:r>
      <w:r w:rsidRPr="522C34BE" w:rsidR="42921164">
        <w:rPr>
          <w:rFonts w:ascii="Arial" w:hAnsi="Arial" w:eastAsia="Arial" w:cs="Arial"/>
          <w:sz w:val="24"/>
          <w:szCs w:val="24"/>
        </w:rPr>
        <w:t xml:space="preserve"> Available: &lt; </w:t>
      </w:r>
      <w:hyperlink r:id="R5b9d725582664292">
        <w:r w:rsidRPr="522C34BE" w:rsidR="42921164">
          <w:rPr>
            <w:rStyle w:val="Hyperlink"/>
            <w:rFonts w:ascii="Arial" w:hAnsi="Arial" w:eastAsia="Arial" w:cs="Arial"/>
            <w:sz w:val="24"/>
            <w:szCs w:val="24"/>
          </w:rPr>
          <w:t>https://search-proquest-com.ezproxy.uwtsd.ac.uk/docview/878729598?pq-origsite=primo&amp;accountid=130472</w:t>
        </w:r>
      </w:hyperlink>
      <w:r w:rsidRPr="522C34BE" w:rsidR="42921164">
        <w:rPr>
          <w:rFonts w:ascii="Arial" w:hAnsi="Arial" w:eastAsia="Arial" w:cs="Arial"/>
          <w:sz w:val="24"/>
          <w:szCs w:val="24"/>
        </w:rPr>
        <w:t xml:space="preserve"> &gt; [Accessed 3 March 2021].</w:t>
      </w:r>
    </w:p>
    <w:p w:rsidR="0C0C5093" w:rsidP="522C34BE" w:rsidRDefault="0C0C5093" w14:paraId="6D5EDE3D" w14:textId="3D394F03">
      <w:pPr>
        <w:pStyle w:val="ListParagraph"/>
        <w:numPr>
          <w:ilvl w:val="0"/>
          <w:numId w:val="8"/>
        </w:numPr>
        <w:spacing w:line="480" w:lineRule="auto"/>
        <w:rPr>
          <w:rFonts w:ascii="Arial" w:hAnsi="Arial" w:eastAsia="Arial" w:cs="Arial"/>
          <w:sz w:val="24"/>
          <w:szCs w:val="24"/>
        </w:rPr>
      </w:pPr>
      <w:r w:rsidRPr="522C34BE" w:rsidR="0C0C5093">
        <w:rPr>
          <w:rFonts w:ascii="Arial" w:hAnsi="Arial" w:eastAsia="Arial" w:cs="Arial"/>
          <w:sz w:val="24"/>
          <w:szCs w:val="24"/>
        </w:rPr>
        <w:t>United Nations, (2018) Counter terrorism 1: Introduction to International Terrorism. [online] Vienna: United Nations, pp.1-19. Available</w:t>
      </w:r>
      <w:r w:rsidRPr="522C34BE" w:rsidR="1272E6F7">
        <w:rPr>
          <w:rFonts w:ascii="Arial" w:hAnsi="Arial" w:eastAsia="Arial" w:cs="Arial"/>
          <w:sz w:val="24"/>
          <w:szCs w:val="24"/>
        </w:rPr>
        <w:t xml:space="preserve">: &lt; </w:t>
      </w:r>
      <w:hyperlink r:id="R9f8302617d7844ec">
        <w:r w:rsidRPr="522C34BE" w:rsidR="1272E6F7">
          <w:rPr>
            <w:rStyle w:val="Hyperlink"/>
            <w:rFonts w:ascii="Arial" w:hAnsi="Arial" w:eastAsia="Arial" w:cs="Arial"/>
            <w:sz w:val="24"/>
            <w:szCs w:val="24"/>
          </w:rPr>
          <w:t>https://www.unodc.org/documents/e4j/18-04932_CT_Mod_01_ebook_FINALpdf.pdf</w:t>
        </w:r>
      </w:hyperlink>
      <w:r w:rsidRPr="522C34BE" w:rsidR="1272E6F7">
        <w:rPr>
          <w:rFonts w:ascii="Arial" w:hAnsi="Arial" w:eastAsia="Arial" w:cs="Arial"/>
          <w:sz w:val="24"/>
          <w:szCs w:val="24"/>
        </w:rPr>
        <w:t xml:space="preserve"> &gt; [Accessed 3 March 2021].</w:t>
      </w:r>
    </w:p>
    <w:p w:rsidR="42A992A9" w:rsidP="522C34BE" w:rsidRDefault="42A992A9" w14:paraId="389E5F6F" w14:textId="60BF29F4">
      <w:pPr>
        <w:pStyle w:val="ListParagraph"/>
        <w:numPr>
          <w:ilvl w:val="0"/>
          <w:numId w:val="8"/>
        </w:numPr>
        <w:spacing w:line="480" w:lineRule="auto"/>
        <w:rPr>
          <w:rFonts w:ascii="Arial" w:hAnsi="Arial" w:eastAsia="Arial" w:cs="Arial"/>
          <w:sz w:val="24"/>
          <w:szCs w:val="24"/>
        </w:rPr>
      </w:pPr>
      <w:r w:rsidRPr="522C34BE" w:rsidR="42A992A9">
        <w:rPr>
          <w:rFonts w:ascii="Arial" w:hAnsi="Arial" w:eastAsia="Arial" w:cs="Arial"/>
          <w:sz w:val="24"/>
          <w:szCs w:val="24"/>
        </w:rPr>
        <w:t xml:space="preserve">White, R., </w:t>
      </w:r>
      <w:r w:rsidRPr="522C34BE" w:rsidR="2EDD62C3">
        <w:rPr>
          <w:rFonts w:ascii="Arial" w:hAnsi="Arial" w:eastAsia="Arial" w:cs="Arial"/>
          <w:sz w:val="24"/>
          <w:szCs w:val="24"/>
        </w:rPr>
        <w:t>(</w:t>
      </w:r>
      <w:r w:rsidRPr="522C34BE" w:rsidR="42A992A9">
        <w:rPr>
          <w:rFonts w:ascii="Arial" w:hAnsi="Arial" w:eastAsia="Arial" w:cs="Arial"/>
          <w:sz w:val="24"/>
          <w:szCs w:val="24"/>
        </w:rPr>
        <w:t>1997</w:t>
      </w:r>
      <w:r w:rsidRPr="522C34BE" w:rsidR="1A426B10">
        <w:rPr>
          <w:rFonts w:ascii="Arial" w:hAnsi="Arial" w:eastAsia="Arial" w:cs="Arial"/>
          <w:sz w:val="24"/>
          <w:szCs w:val="24"/>
        </w:rPr>
        <w:t>)</w:t>
      </w:r>
      <w:r w:rsidRPr="522C34BE" w:rsidR="42A992A9">
        <w:rPr>
          <w:rFonts w:ascii="Arial" w:hAnsi="Arial" w:eastAsia="Arial" w:cs="Arial"/>
          <w:sz w:val="24"/>
          <w:szCs w:val="24"/>
        </w:rPr>
        <w:t xml:space="preserve"> The Irish republican army: An assessment of sectarianism. </w:t>
      </w:r>
      <w:r w:rsidRPr="522C34BE" w:rsidR="42A992A9">
        <w:rPr>
          <w:rFonts w:ascii="Arial" w:hAnsi="Arial" w:eastAsia="Arial" w:cs="Arial"/>
          <w:i w:val="1"/>
          <w:iCs w:val="1"/>
          <w:sz w:val="24"/>
          <w:szCs w:val="24"/>
        </w:rPr>
        <w:t>Terrorism and Political Violence</w:t>
      </w:r>
      <w:r w:rsidRPr="522C34BE" w:rsidR="6EFBCB10">
        <w:rPr>
          <w:rFonts w:ascii="Arial" w:hAnsi="Arial" w:eastAsia="Arial" w:cs="Arial"/>
          <w:sz w:val="24"/>
          <w:szCs w:val="24"/>
        </w:rPr>
        <w:t xml:space="preserve">. [online] 9(1), pp.20-55. Available: &lt; </w:t>
      </w:r>
      <w:hyperlink r:id="R5188caa5339a4841">
        <w:r w:rsidRPr="522C34BE" w:rsidR="6EFBCB10">
          <w:rPr>
            <w:rStyle w:val="Hyperlink"/>
            <w:rFonts w:ascii="Arial" w:hAnsi="Arial" w:eastAsia="Arial" w:cs="Arial"/>
            <w:sz w:val="24"/>
            <w:szCs w:val="24"/>
          </w:rPr>
          <w:t>https://www.tandfonline.com/doi/abs/10.1080/09546559708427385</w:t>
        </w:r>
      </w:hyperlink>
      <w:r w:rsidRPr="522C34BE" w:rsidR="6EFBCB10">
        <w:rPr>
          <w:rFonts w:ascii="Arial" w:hAnsi="Arial" w:eastAsia="Arial" w:cs="Arial"/>
          <w:sz w:val="24"/>
          <w:szCs w:val="24"/>
        </w:rPr>
        <w:t xml:space="preserve"> &gt;.</w:t>
      </w:r>
    </w:p>
    <w:p w:rsidR="389DA181" w:rsidP="522C34BE" w:rsidRDefault="389DA181" w14:paraId="1F099E62" w14:textId="3AC5CA80">
      <w:pPr>
        <w:pStyle w:val="ListParagraph"/>
        <w:numPr>
          <w:ilvl w:val="0"/>
          <w:numId w:val="8"/>
        </w:numPr>
        <w:spacing w:line="480" w:lineRule="auto"/>
        <w:rPr>
          <w:rFonts w:ascii="Arial" w:hAnsi="Arial" w:eastAsia="Arial" w:cs="Arial"/>
          <w:sz w:val="24"/>
          <w:szCs w:val="24"/>
        </w:rPr>
      </w:pPr>
      <w:r w:rsidRPr="522C34BE" w:rsidR="389DA181">
        <w:rPr>
          <w:rFonts w:ascii="Arial" w:hAnsi="Arial" w:eastAsia="Arial" w:cs="Arial"/>
          <w:sz w:val="24"/>
          <w:szCs w:val="24"/>
        </w:rPr>
        <w:t xml:space="preserve">White, R., </w:t>
      </w:r>
      <w:r w:rsidRPr="522C34BE" w:rsidR="525DCA46">
        <w:rPr>
          <w:rFonts w:ascii="Arial" w:hAnsi="Arial" w:eastAsia="Arial" w:cs="Arial"/>
          <w:sz w:val="24"/>
          <w:szCs w:val="24"/>
        </w:rPr>
        <w:t>(</w:t>
      </w:r>
      <w:r w:rsidRPr="522C34BE" w:rsidR="389DA181">
        <w:rPr>
          <w:rFonts w:ascii="Arial" w:hAnsi="Arial" w:eastAsia="Arial" w:cs="Arial"/>
          <w:sz w:val="24"/>
          <w:szCs w:val="24"/>
        </w:rPr>
        <w:t>2007</w:t>
      </w:r>
      <w:r w:rsidRPr="522C34BE" w:rsidR="4387ED77">
        <w:rPr>
          <w:rFonts w:ascii="Arial" w:hAnsi="Arial" w:eastAsia="Arial" w:cs="Arial"/>
          <w:sz w:val="24"/>
          <w:szCs w:val="24"/>
        </w:rPr>
        <w:t>)</w:t>
      </w:r>
      <w:r w:rsidRPr="522C34BE" w:rsidR="389DA181">
        <w:rPr>
          <w:rFonts w:ascii="Arial" w:hAnsi="Arial" w:eastAsia="Arial" w:cs="Arial"/>
          <w:sz w:val="24"/>
          <w:szCs w:val="24"/>
        </w:rPr>
        <w:t xml:space="preserve"> The Irish Republican Army and sectarianism: Moving beyond the anecdote. </w:t>
      </w:r>
      <w:r w:rsidRPr="522C34BE" w:rsidR="389DA181">
        <w:rPr>
          <w:rFonts w:ascii="Arial" w:hAnsi="Arial" w:eastAsia="Arial" w:cs="Arial"/>
          <w:i w:val="1"/>
          <w:iCs w:val="1"/>
          <w:sz w:val="24"/>
          <w:szCs w:val="24"/>
        </w:rPr>
        <w:t>Terrorism and Political Violence</w:t>
      </w:r>
      <w:r w:rsidRPr="522C34BE" w:rsidR="389DA181">
        <w:rPr>
          <w:rFonts w:ascii="Arial" w:hAnsi="Arial" w:eastAsia="Arial" w:cs="Arial"/>
          <w:sz w:val="24"/>
          <w:szCs w:val="24"/>
        </w:rPr>
        <w:t>, [online] 9(2)</w:t>
      </w:r>
      <w:r w:rsidRPr="522C34BE" w:rsidR="381208DC">
        <w:rPr>
          <w:rFonts w:ascii="Arial" w:hAnsi="Arial" w:eastAsia="Arial" w:cs="Arial"/>
          <w:sz w:val="24"/>
          <w:szCs w:val="24"/>
        </w:rPr>
        <w:t xml:space="preserve">, pp.120-131. Available: &lt; </w:t>
      </w:r>
      <w:hyperlink r:id="Rbac28791bf5e4882">
        <w:r w:rsidRPr="522C34BE" w:rsidR="381208DC">
          <w:rPr>
            <w:rStyle w:val="Hyperlink"/>
            <w:rFonts w:ascii="Arial" w:hAnsi="Arial" w:eastAsia="Arial" w:cs="Arial"/>
            <w:sz w:val="24"/>
            <w:szCs w:val="24"/>
          </w:rPr>
          <w:t>https://www.tandfonline.com/doi/abs/10.1080/09546559708427406</w:t>
        </w:r>
      </w:hyperlink>
      <w:r w:rsidRPr="522C34BE" w:rsidR="381208DC">
        <w:rPr>
          <w:rFonts w:ascii="Arial" w:hAnsi="Arial" w:eastAsia="Arial" w:cs="Arial"/>
          <w:sz w:val="24"/>
          <w:szCs w:val="24"/>
        </w:rPr>
        <w:t xml:space="preserve"> &gt;.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AF7255"/>
    <w:rsid w:val="000A41D2"/>
    <w:rsid w:val="001BB1C6"/>
    <w:rsid w:val="003C208C"/>
    <w:rsid w:val="00459659"/>
    <w:rsid w:val="00493ED4"/>
    <w:rsid w:val="00499374"/>
    <w:rsid w:val="005B59C9"/>
    <w:rsid w:val="005FC041"/>
    <w:rsid w:val="0067C4F9"/>
    <w:rsid w:val="006EA6AA"/>
    <w:rsid w:val="007844C5"/>
    <w:rsid w:val="00BC12BE"/>
    <w:rsid w:val="00D7BC2D"/>
    <w:rsid w:val="00F5F6E7"/>
    <w:rsid w:val="00F989AC"/>
    <w:rsid w:val="010870CB"/>
    <w:rsid w:val="01237E65"/>
    <w:rsid w:val="012E6295"/>
    <w:rsid w:val="013B967A"/>
    <w:rsid w:val="0160CFD4"/>
    <w:rsid w:val="016202F0"/>
    <w:rsid w:val="0188EAFD"/>
    <w:rsid w:val="019250AF"/>
    <w:rsid w:val="01B073BD"/>
    <w:rsid w:val="01C30D2B"/>
    <w:rsid w:val="01D79B08"/>
    <w:rsid w:val="01E5E023"/>
    <w:rsid w:val="020601D9"/>
    <w:rsid w:val="02328E01"/>
    <w:rsid w:val="02350F46"/>
    <w:rsid w:val="0236994E"/>
    <w:rsid w:val="024D0991"/>
    <w:rsid w:val="025507D8"/>
    <w:rsid w:val="02655F76"/>
    <w:rsid w:val="02C0C0B0"/>
    <w:rsid w:val="02C39A52"/>
    <w:rsid w:val="02EF8F26"/>
    <w:rsid w:val="02EFC118"/>
    <w:rsid w:val="0308E959"/>
    <w:rsid w:val="030A1377"/>
    <w:rsid w:val="0311E9C0"/>
    <w:rsid w:val="03263EBC"/>
    <w:rsid w:val="0364C2F5"/>
    <w:rsid w:val="037F081B"/>
    <w:rsid w:val="03E69D8E"/>
    <w:rsid w:val="03EAD06F"/>
    <w:rsid w:val="03F18ED8"/>
    <w:rsid w:val="03F3B380"/>
    <w:rsid w:val="040BCCCE"/>
    <w:rsid w:val="04146E13"/>
    <w:rsid w:val="041C6178"/>
    <w:rsid w:val="043B96EC"/>
    <w:rsid w:val="046974DF"/>
    <w:rsid w:val="048DD18B"/>
    <w:rsid w:val="04A8BDAD"/>
    <w:rsid w:val="04C20F1D"/>
    <w:rsid w:val="04D54EA4"/>
    <w:rsid w:val="04E24CF4"/>
    <w:rsid w:val="04F59093"/>
    <w:rsid w:val="050228AF"/>
    <w:rsid w:val="0503DC3A"/>
    <w:rsid w:val="05155F0B"/>
    <w:rsid w:val="0519077C"/>
    <w:rsid w:val="052439C9"/>
    <w:rsid w:val="0535AE9E"/>
    <w:rsid w:val="05446C44"/>
    <w:rsid w:val="056C72DC"/>
    <w:rsid w:val="0577AEBA"/>
    <w:rsid w:val="05809957"/>
    <w:rsid w:val="05ADBB77"/>
    <w:rsid w:val="05BAD98F"/>
    <w:rsid w:val="05CDD8E0"/>
    <w:rsid w:val="0615C240"/>
    <w:rsid w:val="061A87D8"/>
    <w:rsid w:val="0627B41C"/>
    <w:rsid w:val="062BEECA"/>
    <w:rsid w:val="0642F73C"/>
    <w:rsid w:val="06442967"/>
    <w:rsid w:val="064F7180"/>
    <w:rsid w:val="065DB66B"/>
    <w:rsid w:val="0673289C"/>
    <w:rsid w:val="06A67C8A"/>
    <w:rsid w:val="06A8EA17"/>
    <w:rsid w:val="06AA8297"/>
    <w:rsid w:val="06B45A2D"/>
    <w:rsid w:val="06D38774"/>
    <w:rsid w:val="06F2993E"/>
    <w:rsid w:val="06F3A76B"/>
    <w:rsid w:val="06F7F427"/>
    <w:rsid w:val="0712CC33"/>
    <w:rsid w:val="0756A9F0"/>
    <w:rsid w:val="077AA9F3"/>
    <w:rsid w:val="077BBC20"/>
    <w:rsid w:val="077BF136"/>
    <w:rsid w:val="079F2503"/>
    <w:rsid w:val="07A0E358"/>
    <w:rsid w:val="07BFCB00"/>
    <w:rsid w:val="07C4644A"/>
    <w:rsid w:val="07CC720A"/>
    <w:rsid w:val="07D60681"/>
    <w:rsid w:val="07DB6AFA"/>
    <w:rsid w:val="07E03DBF"/>
    <w:rsid w:val="07F986CC"/>
    <w:rsid w:val="0825B221"/>
    <w:rsid w:val="08371853"/>
    <w:rsid w:val="083D77DE"/>
    <w:rsid w:val="0850B9DD"/>
    <w:rsid w:val="0858FDE3"/>
    <w:rsid w:val="0861DD43"/>
    <w:rsid w:val="0871D35B"/>
    <w:rsid w:val="087CA600"/>
    <w:rsid w:val="0893C488"/>
    <w:rsid w:val="08990A3F"/>
    <w:rsid w:val="089FF53E"/>
    <w:rsid w:val="08D12426"/>
    <w:rsid w:val="08D394C5"/>
    <w:rsid w:val="08E5FDA7"/>
    <w:rsid w:val="08E7D80B"/>
    <w:rsid w:val="08F64F22"/>
    <w:rsid w:val="09178C81"/>
    <w:rsid w:val="09339A9A"/>
    <w:rsid w:val="0939E684"/>
    <w:rsid w:val="093AF564"/>
    <w:rsid w:val="09418D53"/>
    <w:rsid w:val="0949FAB0"/>
    <w:rsid w:val="094DDDBB"/>
    <w:rsid w:val="09C8E3C3"/>
    <w:rsid w:val="09E0B217"/>
    <w:rsid w:val="09E1152F"/>
    <w:rsid w:val="09E1F2B9"/>
    <w:rsid w:val="09EE1ED2"/>
    <w:rsid w:val="0A09AB0D"/>
    <w:rsid w:val="0A1D7663"/>
    <w:rsid w:val="0A1E0201"/>
    <w:rsid w:val="0A42BD53"/>
    <w:rsid w:val="0A45BC74"/>
    <w:rsid w:val="0A506118"/>
    <w:rsid w:val="0A5D9C5B"/>
    <w:rsid w:val="0A671A6D"/>
    <w:rsid w:val="0A921F83"/>
    <w:rsid w:val="0A97119E"/>
    <w:rsid w:val="0AACF9C5"/>
    <w:rsid w:val="0B10CC70"/>
    <w:rsid w:val="0B11B3DE"/>
    <w:rsid w:val="0B638CEC"/>
    <w:rsid w:val="0B6EB915"/>
    <w:rsid w:val="0B9C4502"/>
    <w:rsid w:val="0BA57B6E"/>
    <w:rsid w:val="0BAF289F"/>
    <w:rsid w:val="0BB4FBA2"/>
    <w:rsid w:val="0BC0C3CD"/>
    <w:rsid w:val="0BE169F7"/>
    <w:rsid w:val="0BEC3179"/>
    <w:rsid w:val="0BF0E748"/>
    <w:rsid w:val="0BF50E9E"/>
    <w:rsid w:val="0BF942DD"/>
    <w:rsid w:val="0C0C5093"/>
    <w:rsid w:val="0C1AA906"/>
    <w:rsid w:val="0C22B4FF"/>
    <w:rsid w:val="0C2450EB"/>
    <w:rsid w:val="0C4F2D43"/>
    <w:rsid w:val="0C6366D1"/>
    <w:rsid w:val="0C6D2B1A"/>
    <w:rsid w:val="0C6E3AC3"/>
    <w:rsid w:val="0C718746"/>
    <w:rsid w:val="0C748B6A"/>
    <w:rsid w:val="0C983205"/>
    <w:rsid w:val="0CD07CBD"/>
    <w:rsid w:val="0D0A8976"/>
    <w:rsid w:val="0D18CF58"/>
    <w:rsid w:val="0D19937B"/>
    <w:rsid w:val="0D257FEC"/>
    <w:rsid w:val="0D2C5542"/>
    <w:rsid w:val="0D313A14"/>
    <w:rsid w:val="0D3228BA"/>
    <w:rsid w:val="0D5EBFD2"/>
    <w:rsid w:val="0D6A8EC8"/>
    <w:rsid w:val="0D7CEB80"/>
    <w:rsid w:val="0D810AB0"/>
    <w:rsid w:val="0D85E625"/>
    <w:rsid w:val="0D8E123D"/>
    <w:rsid w:val="0D903090"/>
    <w:rsid w:val="0DA0D8BE"/>
    <w:rsid w:val="0DC668AD"/>
    <w:rsid w:val="0DDE6EC4"/>
    <w:rsid w:val="0DE23253"/>
    <w:rsid w:val="0DE4CCDF"/>
    <w:rsid w:val="0DEC4B66"/>
    <w:rsid w:val="0DEFAF66"/>
    <w:rsid w:val="0E10D797"/>
    <w:rsid w:val="0E1689BA"/>
    <w:rsid w:val="0E3E0703"/>
    <w:rsid w:val="0E4F6375"/>
    <w:rsid w:val="0E57B68C"/>
    <w:rsid w:val="0E68A7A0"/>
    <w:rsid w:val="0E937468"/>
    <w:rsid w:val="0E965670"/>
    <w:rsid w:val="0EA4D84E"/>
    <w:rsid w:val="0EA82414"/>
    <w:rsid w:val="0EABE765"/>
    <w:rsid w:val="0EC570FC"/>
    <w:rsid w:val="0ED6FEA9"/>
    <w:rsid w:val="0EDA9914"/>
    <w:rsid w:val="0EEA0645"/>
    <w:rsid w:val="0EED8813"/>
    <w:rsid w:val="0EF07EAC"/>
    <w:rsid w:val="0EF7E4EB"/>
    <w:rsid w:val="0EFF9AE7"/>
    <w:rsid w:val="0F23D23B"/>
    <w:rsid w:val="0F349183"/>
    <w:rsid w:val="0F39E5F5"/>
    <w:rsid w:val="0F479F87"/>
    <w:rsid w:val="0F546484"/>
    <w:rsid w:val="0F7CD96A"/>
    <w:rsid w:val="0F8618F5"/>
    <w:rsid w:val="0F8B7FC7"/>
    <w:rsid w:val="0FB34051"/>
    <w:rsid w:val="0FBFB51C"/>
    <w:rsid w:val="0FCE0B70"/>
    <w:rsid w:val="0FD93697"/>
    <w:rsid w:val="0FDCD4FD"/>
    <w:rsid w:val="0FDF0171"/>
    <w:rsid w:val="0FEB4FA4"/>
    <w:rsid w:val="0FEB7054"/>
    <w:rsid w:val="0FECEA0B"/>
    <w:rsid w:val="0FF08405"/>
    <w:rsid w:val="0FFB5191"/>
    <w:rsid w:val="1039B9D1"/>
    <w:rsid w:val="107326B0"/>
    <w:rsid w:val="108922C7"/>
    <w:rsid w:val="10AD60B8"/>
    <w:rsid w:val="10BFA29C"/>
    <w:rsid w:val="10D70BAB"/>
    <w:rsid w:val="10E0E730"/>
    <w:rsid w:val="10FDA802"/>
    <w:rsid w:val="1113F35C"/>
    <w:rsid w:val="111777BA"/>
    <w:rsid w:val="114E1636"/>
    <w:rsid w:val="1155B534"/>
    <w:rsid w:val="117520D0"/>
    <w:rsid w:val="118F574E"/>
    <w:rsid w:val="11BC6898"/>
    <w:rsid w:val="11D28CA7"/>
    <w:rsid w:val="11D3DC41"/>
    <w:rsid w:val="11E9F828"/>
    <w:rsid w:val="121CF4A8"/>
    <w:rsid w:val="125D6A1E"/>
    <w:rsid w:val="1266149A"/>
    <w:rsid w:val="126BDFCA"/>
    <w:rsid w:val="1272E6F7"/>
    <w:rsid w:val="127FE2AD"/>
    <w:rsid w:val="12813EA6"/>
    <w:rsid w:val="128769C8"/>
    <w:rsid w:val="129F6746"/>
    <w:rsid w:val="12C73978"/>
    <w:rsid w:val="12E03880"/>
    <w:rsid w:val="12E3165E"/>
    <w:rsid w:val="12F41EE3"/>
    <w:rsid w:val="12F6E389"/>
    <w:rsid w:val="12F92C0D"/>
    <w:rsid w:val="12F9F3FD"/>
    <w:rsid w:val="13035404"/>
    <w:rsid w:val="1354A859"/>
    <w:rsid w:val="13583698"/>
    <w:rsid w:val="13847CF3"/>
    <w:rsid w:val="13AAC98D"/>
    <w:rsid w:val="13B94EE9"/>
    <w:rsid w:val="13D48F11"/>
    <w:rsid w:val="13F58410"/>
    <w:rsid w:val="142DD91E"/>
    <w:rsid w:val="1441D06E"/>
    <w:rsid w:val="1454B130"/>
    <w:rsid w:val="1461F836"/>
    <w:rsid w:val="14826E56"/>
    <w:rsid w:val="148F35D4"/>
    <w:rsid w:val="149606E2"/>
    <w:rsid w:val="14B48DE3"/>
    <w:rsid w:val="14CF13BC"/>
    <w:rsid w:val="14D9EA4B"/>
    <w:rsid w:val="14FD9871"/>
    <w:rsid w:val="15161210"/>
    <w:rsid w:val="152239EB"/>
    <w:rsid w:val="152CC4BC"/>
    <w:rsid w:val="15356FFD"/>
    <w:rsid w:val="153B9235"/>
    <w:rsid w:val="1559CD67"/>
    <w:rsid w:val="1572B14E"/>
    <w:rsid w:val="159EDFB5"/>
    <w:rsid w:val="15A56792"/>
    <w:rsid w:val="15A5B057"/>
    <w:rsid w:val="15A82231"/>
    <w:rsid w:val="15AEA694"/>
    <w:rsid w:val="15BE947A"/>
    <w:rsid w:val="15DB0BFB"/>
    <w:rsid w:val="15DF42F1"/>
    <w:rsid w:val="15E8AA56"/>
    <w:rsid w:val="15F75270"/>
    <w:rsid w:val="160409F9"/>
    <w:rsid w:val="160FB718"/>
    <w:rsid w:val="16326923"/>
    <w:rsid w:val="16449D5F"/>
    <w:rsid w:val="169088B1"/>
    <w:rsid w:val="169B0BF4"/>
    <w:rsid w:val="16A28075"/>
    <w:rsid w:val="16B40705"/>
    <w:rsid w:val="16C43D11"/>
    <w:rsid w:val="16CFD0F4"/>
    <w:rsid w:val="16D44F8C"/>
    <w:rsid w:val="16DE7F3F"/>
    <w:rsid w:val="16EEFFA8"/>
    <w:rsid w:val="1710F549"/>
    <w:rsid w:val="17146BEF"/>
    <w:rsid w:val="172972F8"/>
    <w:rsid w:val="172D89D5"/>
    <w:rsid w:val="17342DCA"/>
    <w:rsid w:val="1735D587"/>
    <w:rsid w:val="1761BE8E"/>
    <w:rsid w:val="1767153D"/>
    <w:rsid w:val="179A3D81"/>
    <w:rsid w:val="17A0EA9F"/>
    <w:rsid w:val="17B2D038"/>
    <w:rsid w:val="17B99B8C"/>
    <w:rsid w:val="17C620DA"/>
    <w:rsid w:val="17C6E020"/>
    <w:rsid w:val="17CD20D8"/>
    <w:rsid w:val="17D1FFDF"/>
    <w:rsid w:val="17D62384"/>
    <w:rsid w:val="17F92DA1"/>
    <w:rsid w:val="18045FEF"/>
    <w:rsid w:val="181571AD"/>
    <w:rsid w:val="1817DF91"/>
    <w:rsid w:val="184EF5A5"/>
    <w:rsid w:val="18539651"/>
    <w:rsid w:val="1858D611"/>
    <w:rsid w:val="185939AC"/>
    <w:rsid w:val="185C4049"/>
    <w:rsid w:val="1864535D"/>
    <w:rsid w:val="18673905"/>
    <w:rsid w:val="1869774D"/>
    <w:rsid w:val="18B3BEA9"/>
    <w:rsid w:val="18CCAAFE"/>
    <w:rsid w:val="1907E90A"/>
    <w:rsid w:val="192F738C"/>
    <w:rsid w:val="1936DE72"/>
    <w:rsid w:val="193C0FD2"/>
    <w:rsid w:val="1944B51D"/>
    <w:rsid w:val="1953C5CA"/>
    <w:rsid w:val="196028F6"/>
    <w:rsid w:val="19686D91"/>
    <w:rsid w:val="196BFBA0"/>
    <w:rsid w:val="19BAF1F0"/>
    <w:rsid w:val="19BECCFC"/>
    <w:rsid w:val="19D10427"/>
    <w:rsid w:val="19D51A5D"/>
    <w:rsid w:val="19E5930E"/>
    <w:rsid w:val="19F1BEC8"/>
    <w:rsid w:val="1A2B14F1"/>
    <w:rsid w:val="1A426B10"/>
    <w:rsid w:val="1A44EB71"/>
    <w:rsid w:val="1A544DEC"/>
    <w:rsid w:val="1A5537BF"/>
    <w:rsid w:val="1A64C594"/>
    <w:rsid w:val="1A6EEBBF"/>
    <w:rsid w:val="1A765838"/>
    <w:rsid w:val="1A7EE0C6"/>
    <w:rsid w:val="1AAA2DD0"/>
    <w:rsid w:val="1AC9AA54"/>
    <w:rsid w:val="1AEF6C09"/>
    <w:rsid w:val="1B07FE97"/>
    <w:rsid w:val="1B33EA12"/>
    <w:rsid w:val="1B7ABE87"/>
    <w:rsid w:val="1B9E1278"/>
    <w:rsid w:val="1BDB4176"/>
    <w:rsid w:val="1BE0EF9A"/>
    <w:rsid w:val="1BE5113C"/>
    <w:rsid w:val="1BEDC3F4"/>
    <w:rsid w:val="1BFF62D7"/>
    <w:rsid w:val="1C25E57B"/>
    <w:rsid w:val="1C354D66"/>
    <w:rsid w:val="1C3B375E"/>
    <w:rsid w:val="1C53A7DC"/>
    <w:rsid w:val="1C62B700"/>
    <w:rsid w:val="1C7DD595"/>
    <w:rsid w:val="1C8B46AC"/>
    <w:rsid w:val="1CB65646"/>
    <w:rsid w:val="1CCABD2D"/>
    <w:rsid w:val="1CDA25A1"/>
    <w:rsid w:val="1CF3FC81"/>
    <w:rsid w:val="1CFBE128"/>
    <w:rsid w:val="1CFCFEFA"/>
    <w:rsid w:val="1D1AD973"/>
    <w:rsid w:val="1D265F9A"/>
    <w:rsid w:val="1D3A8868"/>
    <w:rsid w:val="1D518EF8"/>
    <w:rsid w:val="1D51A9B8"/>
    <w:rsid w:val="1D58DC1C"/>
    <w:rsid w:val="1D679EB8"/>
    <w:rsid w:val="1D74B7EA"/>
    <w:rsid w:val="1D7711D7"/>
    <w:rsid w:val="1D7D7CD3"/>
    <w:rsid w:val="1D88DF01"/>
    <w:rsid w:val="1DBF4B8E"/>
    <w:rsid w:val="1DCA3EAF"/>
    <w:rsid w:val="1DD10012"/>
    <w:rsid w:val="1DF54C38"/>
    <w:rsid w:val="1E007E12"/>
    <w:rsid w:val="1E1F0275"/>
    <w:rsid w:val="1E5F9146"/>
    <w:rsid w:val="1E639017"/>
    <w:rsid w:val="1E6E0A83"/>
    <w:rsid w:val="1EBDA8DE"/>
    <w:rsid w:val="1ECAC3F1"/>
    <w:rsid w:val="1EEEBBF7"/>
    <w:rsid w:val="1EF99623"/>
    <w:rsid w:val="1EFE1607"/>
    <w:rsid w:val="1F1AD62F"/>
    <w:rsid w:val="1F1E81C3"/>
    <w:rsid w:val="1F1ECD76"/>
    <w:rsid w:val="1F3FC7D6"/>
    <w:rsid w:val="1F4A9884"/>
    <w:rsid w:val="1F81981A"/>
    <w:rsid w:val="1F8AA836"/>
    <w:rsid w:val="1FBAD2D6"/>
    <w:rsid w:val="1FBE86B8"/>
    <w:rsid w:val="1FE600AA"/>
    <w:rsid w:val="1FF64977"/>
    <w:rsid w:val="20287129"/>
    <w:rsid w:val="20314771"/>
    <w:rsid w:val="20405590"/>
    <w:rsid w:val="205069CA"/>
    <w:rsid w:val="206F61DD"/>
    <w:rsid w:val="20894A7A"/>
    <w:rsid w:val="20986369"/>
    <w:rsid w:val="20B2B940"/>
    <w:rsid w:val="20CD0E5C"/>
    <w:rsid w:val="20CE71F6"/>
    <w:rsid w:val="20DD22EF"/>
    <w:rsid w:val="20E3CD3E"/>
    <w:rsid w:val="2108E730"/>
    <w:rsid w:val="212ABC0E"/>
    <w:rsid w:val="2130E37D"/>
    <w:rsid w:val="2131EF60"/>
    <w:rsid w:val="2163E783"/>
    <w:rsid w:val="216F5DE5"/>
    <w:rsid w:val="2172FE6F"/>
    <w:rsid w:val="21792478"/>
    <w:rsid w:val="2186434E"/>
    <w:rsid w:val="2190590B"/>
    <w:rsid w:val="21A5BC58"/>
    <w:rsid w:val="21E6820E"/>
    <w:rsid w:val="21F7D999"/>
    <w:rsid w:val="21FC8516"/>
    <w:rsid w:val="221F09A5"/>
    <w:rsid w:val="222C6A74"/>
    <w:rsid w:val="2279844D"/>
    <w:rsid w:val="228BEC5D"/>
    <w:rsid w:val="22912772"/>
    <w:rsid w:val="22915085"/>
    <w:rsid w:val="2293ECAD"/>
    <w:rsid w:val="229CAA39"/>
    <w:rsid w:val="22A37440"/>
    <w:rsid w:val="22AA300D"/>
    <w:rsid w:val="22C96018"/>
    <w:rsid w:val="22D3DE7C"/>
    <w:rsid w:val="22D93A28"/>
    <w:rsid w:val="22F80729"/>
    <w:rsid w:val="23097DA3"/>
    <w:rsid w:val="23188C28"/>
    <w:rsid w:val="232B652E"/>
    <w:rsid w:val="2330AAE5"/>
    <w:rsid w:val="23411B03"/>
    <w:rsid w:val="2365612F"/>
    <w:rsid w:val="23785817"/>
    <w:rsid w:val="237F78B1"/>
    <w:rsid w:val="2384FB8B"/>
    <w:rsid w:val="239D6344"/>
    <w:rsid w:val="23BE37DC"/>
    <w:rsid w:val="23C0EB3C"/>
    <w:rsid w:val="23C4920E"/>
    <w:rsid w:val="23E3FA91"/>
    <w:rsid w:val="23E76304"/>
    <w:rsid w:val="23E9A3B8"/>
    <w:rsid w:val="242FA361"/>
    <w:rsid w:val="243AB315"/>
    <w:rsid w:val="243B6DF0"/>
    <w:rsid w:val="2448C430"/>
    <w:rsid w:val="245F00DD"/>
    <w:rsid w:val="2479935F"/>
    <w:rsid w:val="247ED35B"/>
    <w:rsid w:val="24C7358F"/>
    <w:rsid w:val="24CA8EAC"/>
    <w:rsid w:val="24DB8AC4"/>
    <w:rsid w:val="24E7D0F9"/>
    <w:rsid w:val="250C3DAA"/>
    <w:rsid w:val="25345550"/>
    <w:rsid w:val="2545314F"/>
    <w:rsid w:val="255A008C"/>
    <w:rsid w:val="255B5A94"/>
    <w:rsid w:val="255F5A50"/>
    <w:rsid w:val="257F95B5"/>
    <w:rsid w:val="2580CB49"/>
    <w:rsid w:val="2588D91E"/>
    <w:rsid w:val="258BE7B1"/>
    <w:rsid w:val="25920620"/>
    <w:rsid w:val="25C7FFC4"/>
    <w:rsid w:val="25D34729"/>
    <w:rsid w:val="25D6B2C8"/>
    <w:rsid w:val="25F524AE"/>
    <w:rsid w:val="26679CFC"/>
    <w:rsid w:val="268DC320"/>
    <w:rsid w:val="269A3A99"/>
    <w:rsid w:val="26A95620"/>
    <w:rsid w:val="26BCB43A"/>
    <w:rsid w:val="26C5908A"/>
    <w:rsid w:val="26C81A21"/>
    <w:rsid w:val="26D18758"/>
    <w:rsid w:val="26D860ED"/>
    <w:rsid w:val="270B1E22"/>
    <w:rsid w:val="272FB041"/>
    <w:rsid w:val="27461A0A"/>
    <w:rsid w:val="274A6092"/>
    <w:rsid w:val="2759093B"/>
    <w:rsid w:val="27729222"/>
    <w:rsid w:val="277BCE47"/>
    <w:rsid w:val="278CA041"/>
    <w:rsid w:val="27FED651"/>
    <w:rsid w:val="281C6FDE"/>
    <w:rsid w:val="2843DE6C"/>
    <w:rsid w:val="2867D584"/>
    <w:rsid w:val="286A6300"/>
    <w:rsid w:val="288C944F"/>
    <w:rsid w:val="289312A0"/>
    <w:rsid w:val="289C49E5"/>
    <w:rsid w:val="28BEBC74"/>
    <w:rsid w:val="28E5E64E"/>
    <w:rsid w:val="28F42E69"/>
    <w:rsid w:val="29087F8F"/>
    <w:rsid w:val="2916F7F2"/>
    <w:rsid w:val="295F1060"/>
    <w:rsid w:val="296568FE"/>
    <w:rsid w:val="296E4CBD"/>
    <w:rsid w:val="2973BA10"/>
    <w:rsid w:val="297F9EE3"/>
    <w:rsid w:val="29900535"/>
    <w:rsid w:val="29995F05"/>
    <w:rsid w:val="29B43B52"/>
    <w:rsid w:val="29BA1896"/>
    <w:rsid w:val="29C0176A"/>
    <w:rsid w:val="29DA6EC8"/>
    <w:rsid w:val="29DE9FAD"/>
    <w:rsid w:val="29E62DDF"/>
    <w:rsid w:val="29E769AC"/>
    <w:rsid w:val="2A324F91"/>
    <w:rsid w:val="2A381A46"/>
    <w:rsid w:val="2A683810"/>
    <w:rsid w:val="2A787606"/>
    <w:rsid w:val="2A7C9B83"/>
    <w:rsid w:val="2A82D6E4"/>
    <w:rsid w:val="2A82F04A"/>
    <w:rsid w:val="2A86F773"/>
    <w:rsid w:val="2A9D6385"/>
    <w:rsid w:val="2AA3B1B7"/>
    <w:rsid w:val="2AAAFF01"/>
    <w:rsid w:val="2AEF326D"/>
    <w:rsid w:val="2AF99F80"/>
    <w:rsid w:val="2AFE4F9A"/>
    <w:rsid w:val="2B4C344B"/>
    <w:rsid w:val="2B5C6690"/>
    <w:rsid w:val="2B5E34A9"/>
    <w:rsid w:val="2B79C26B"/>
    <w:rsid w:val="2B8EFC0E"/>
    <w:rsid w:val="2BBBD255"/>
    <w:rsid w:val="2BD3D35B"/>
    <w:rsid w:val="2C05CD53"/>
    <w:rsid w:val="2C064BC1"/>
    <w:rsid w:val="2C1105ED"/>
    <w:rsid w:val="2C24B55C"/>
    <w:rsid w:val="2C3DD0CF"/>
    <w:rsid w:val="2C750121"/>
    <w:rsid w:val="2C92B746"/>
    <w:rsid w:val="2CA92BFC"/>
    <w:rsid w:val="2CCCBF41"/>
    <w:rsid w:val="2CFE8021"/>
    <w:rsid w:val="2CFF4B33"/>
    <w:rsid w:val="2D15E98E"/>
    <w:rsid w:val="2D19DE52"/>
    <w:rsid w:val="2D32DAC4"/>
    <w:rsid w:val="2D3F8E75"/>
    <w:rsid w:val="2D4A2BC6"/>
    <w:rsid w:val="2D4D4247"/>
    <w:rsid w:val="2D554F6B"/>
    <w:rsid w:val="2D76E5E4"/>
    <w:rsid w:val="2D786970"/>
    <w:rsid w:val="2D89275A"/>
    <w:rsid w:val="2DA4A4AB"/>
    <w:rsid w:val="2DA9FFFE"/>
    <w:rsid w:val="2DB4C92D"/>
    <w:rsid w:val="2DCAA242"/>
    <w:rsid w:val="2DD1A60C"/>
    <w:rsid w:val="2DDAEBB7"/>
    <w:rsid w:val="2DF607C6"/>
    <w:rsid w:val="2DF8A0F1"/>
    <w:rsid w:val="2DFE603F"/>
    <w:rsid w:val="2E1121FC"/>
    <w:rsid w:val="2E1D0594"/>
    <w:rsid w:val="2E23907F"/>
    <w:rsid w:val="2E543852"/>
    <w:rsid w:val="2E5C0FB2"/>
    <w:rsid w:val="2E6C132A"/>
    <w:rsid w:val="2EA91E81"/>
    <w:rsid w:val="2EBFE9FB"/>
    <w:rsid w:val="2EDD62C3"/>
    <w:rsid w:val="2EE2D47F"/>
    <w:rsid w:val="2EE8D515"/>
    <w:rsid w:val="2EEE240B"/>
    <w:rsid w:val="2EF3C1E6"/>
    <w:rsid w:val="2F016AA8"/>
    <w:rsid w:val="2F0375F5"/>
    <w:rsid w:val="2F24B67B"/>
    <w:rsid w:val="2F24F7BB"/>
    <w:rsid w:val="2F360434"/>
    <w:rsid w:val="2F4D8ABE"/>
    <w:rsid w:val="2F55B17B"/>
    <w:rsid w:val="2F56616D"/>
    <w:rsid w:val="2F77F140"/>
    <w:rsid w:val="2F8DF3EB"/>
    <w:rsid w:val="2FD08A72"/>
    <w:rsid w:val="2FF8EDE6"/>
    <w:rsid w:val="300E93AA"/>
    <w:rsid w:val="3068A4AC"/>
    <w:rsid w:val="306E1822"/>
    <w:rsid w:val="30959DB5"/>
    <w:rsid w:val="30A600C4"/>
    <w:rsid w:val="30B00A32"/>
    <w:rsid w:val="30D0CA90"/>
    <w:rsid w:val="30E329D5"/>
    <w:rsid w:val="30E55677"/>
    <w:rsid w:val="30ED4BF1"/>
    <w:rsid w:val="3102E5B7"/>
    <w:rsid w:val="3126ECD0"/>
    <w:rsid w:val="31351A41"/>
    <w:rsid w:val="315B62F2"/>
    <w:rsid w:val="316A89D3"/>
    <w:rsid w:val="317BC263"/>
    <w:rsid w:val="31C1E74D"/>
    <w:rsid w:val="31C93111"/>
    <w:rsid w:val="31CD762D"/>
    <w:rsid w:val="31D5AB4A"/>
    <w:rsid w:val="31DC7244"/>
    <w:rsid w:val="31E0BF43"/>
    <w:rsid w:val="31E59652"/>
    <w:rsid w:val="31F35638"/>
    <w:rsid w:val="31F548B0"/>
    <w:rsid w:val="31FF18DD"/>
    <w:rsid w:val="3204A131"/>
    <w:rsid w:val="32125E17"/>
    <w:rsid w:val="32207593"/>
    <w:rsid w:val="322A018C"/>
    <w:rsid w:val="32316E16"/>
    <w:rsid w:val="32388B45"/>
    <w:rsid w:val="3243281F"/>
    <w:rsid w:val="3253CB6D"/>
    <w:rsid w:val="3259DEF9"/>
    <w:rsid w:val="3267FE7B"/>
    <w:rsid w:val="3285AAF2"/>
    <w:rsid w:val="32B3D6BC"/>
    <w:rsid w:val="32BBCE8A"/>
    <w:rsid w:val="32CCE451"/>
    <w:rsid w:val="32E8D3FB"/>
    <w:rsid w:val="32EE9E69"/>
    <w:rsid w:val="32F620E8"/>
    <w:rsid w:val="32FCE467"/>
    <w:rsid w:val="32FD9E48"/>
    <w:rsid w:val="3304D4C9"/>
    <w:rsid w:val="3307C533"/>
    <w:rsid w:val="33189980"/>
    <w:rsid w:val="33262F6D"/>
    <w:rsid w:val="3326787D"/>
    <w:rsid w:val="333B03F3"/>
    <w:rsid w:val="334F1031"/>
    <w:rsid w:val="335C4A0C"/>
    <w:rsid w:val="335ECD03"/>
    <w:rsid w:val="335F2C53"/>
    <w:rsid w:val="335F9E09"/>
    <w:rsid w:val="33677875"/>
    <w:rsid w:val="336A5664"/>
    <w:rsid w:val="337DB9AB"/>
    <w:rsid w:val="33B91B54"/>
    <w:rsid w:val="33CACD69"/>
    <w:rsid w:val="33D8EB56"/>
    <w:rsid w:val="33DEF880"/>
    <w:rsid w:val="33E7AAF4"/>
    <w:rsid w:val="33EE72BA"/>
    <w:rsid w:val="34062A09"/>
    <w:rsid w:val="34086B52"/>
    <w:rsid w:val="34290096"/>
    <w:rsid w:val="3431C016"/>
    <w:rsid w:val="34333E81"/>
    <w:rsid w:val="34338593"/>
    <w:rsid w:val="348CFF53"/>
    <w:rsid w:val="34B64C3E"/>
    <w:rsid w:val="34BAEC57"/>
    <w:rsid w:val="34C81E99"/>
    <w:rsid w:val="34CB8300"/>
    <w:rsid w:val="34F90DBF"/>
    <w:rsid w:val="350348D6"/>
    <w:rsid w:val="350366D7"/>
    <w:rsid w:val="351F3B6B"/>
    <w:rsid w:val="35764177"/>
    <w:rsid w:val="357AC8E1"/>
    <w:rsid w:val="357F550A"/>
    <w:rsid w:val="35A5D569"/>
    <w:rsid w:val="35C11DB4"/>
    <w:rsid w:val="35D199D9"/>
    <w:rsid w:val="36042F8C"/>
    <w:rsid w:val="36048513"/>
    <w:rsid w:val="3633F3D8"/>
    <w:rsid w:val="3641DB73"/>
    <w:rsid w:val="36470139"/>
    <w:rsid w:val="36560183"/>
    <w:rsid w:val="365AFB76"/>
    <w:rsid w:val="365F8528"/>
    <w:rsid w:val="366DCFEC"/>
    <w:rsid w:val="366FDF09"/>
    <w:rsid w:val="368AAA2A"/>
    <w:rsid w:val="3696CD15"/>
    <w:rsid w:val="369B0809"/>
    <w:rsid w:val="369FC7BA"/>
    <w:rsid w:val="36B0B8B5"/>
    <w:rsid w:val="36B33792"/>
    <w:rsid w:val="36C9C420"/>
    <w:rsid w:val="36D53327"/>
    <w:rsid w:val="36D72A72"/>
    <w:rsid w:val="36E2B274"/>
    <w:rsid w:val="36E37230"/>
    <w:rsid w:val="36F05A80"/>
    <w:rsid w:val="37000936"/>
    <w:rsid w:val="37049DB1"/>
    <w:rsid w:val="3706C000"/>
    <w:rsid w:val="370EA857"/>
    <w:rsid w:val="3741A5CA"/>
    <w:rsid w:val="3760522D"/>
    <w:rsid w:val="376960D8"/>
    <w:rsid w:val="376BEEB3"/>
    <w:rsid w:val="37801BBE"/>
    <w:rsid w:val="378C3923"/>
    <w:rsid w:val="37949418"/>
    <w:rsid w:val="37A63BE9"/>
    <w:rsid w:val="37AF1C0A"/>
    <w:rsid w:val="37DC2B7D"/>
    <w:rsid w:val="380CB909"/>
    <w:rsid w:val="381208DC"/>
    <w:rsid w:val="382F26BF"/>
    <w:rsid w:val="3836BCA6"/>
    <w:rsid w:val="3852E3E0"/>
    <w:rsid w:val="3853E346"/>
    <w:rsid w:val="386EA865"/>
    <w:rsid w:val="38851D08"/>
    <w:rsid w:val="389DA181"/>
    <w:rsid w:val="38B1D64E"/>
    <w:rsid w:val="38BEAD71"/>
    <w:rsid w:val="38CD18E4"/>
    <w:rsid w:val="38DD9B10"/>
    <w:rsid w:val="38DECB66"/>
    <w:rsid w:val="38EC6E6B"/>
    <w:rsid w:val="39215C86"/>
    <w:rsid w:val="3921FF14"/>
    <w:rsid w:val="394DBDE7"/>
    <w:rsid w:val="39581B51"/>
    <w:rsid w:val="3962E138"/>
    <w:rsid w:val="39647D5C"/>
    <w:rsid w:val="396D1BF2"/>
    <w:rsid w:val="396E5B97"/>
    <w:rsid w:val="39831A5E"/>
    <w:rsid w:val="39A4A29A"/>
    <w:rsid w:val="39A4CC1E"/>
    <w:rsid w:val="39BB2507"/>
    <w:rsid w:val="39BF5FB5"/>
    <w:rsid w:val="39D18B49"/>
    <w:rsid w:val="39D829E6"/>
    <w:rsid w:val="39EB9A75"/>
    <w:rsid w:val="39EFECAB"/>
    <w:rsid w:val="39FF050C"/>
    <w:rsid w:val="3A1F53E1"/>
    <w:rsid w:val="3A56275E"/>
    <w:rsid w:val="3A6A44BD"/>
    <w:rsid w:val="3A731060"/>
    <w:rsid w:val="3A7B367A"/>
    <w:rsid w:val="3A92060F"/>
    <w:rsid w:val="3A9BD708"/>
    <w:rsid w:val="3A9DBB29"/>
    <w:rsid w:val="3AA1019A"/>
    <w:rsid w:val="3AA98D00"/>
    <w:rsid w:val="3AAA0044"/>
    <w:rsid w:val="3AD5CE0E"/>
    <w:rsid w:val="3ADE4EC4"/>
    <w:rsid w:val="3AE21074"/>
    <w:rsid w:val="3AECB005"/>
    <w:rsid w:val="3AEE9FC5"/>
    <w:rsid w:val="3AF843BC"/>
    <w:rsid w:val="3B016043"/>
    <w:rsid w:val="3B115C69"/>
    <w:rsid w:val="3B1A725C"/>
    <w:rsid w:val="3B1BC688"/>
    <w:rsid w:val="3B3967FF"/>
    <w:rsid w:val="3B42A3AA"/>
    <w:rsid w:val="3B548863"/>
    <w:rsid w:val="3B966008"/>
    <w:rsid w:val="3B9AAC5F"/>
    <w:rsid w:val="3BB89CB2"/>
    <w:rsid w:val="3BC0A230"/>
    <w:rsid w:val="3BD3B05A"/>
    <w:rsid w:val="3BF848C6"/>
    <w:rsid w:val="3BF84AA7"/>
    <w:rsid w:val="3C1D9DF0"/>
    <w:rsid w:val="3C3CF2AB"/>
    <w:rsid w:val="3C59F982"/>
    <w:rsid w:val="3C77376E"/>
    <w:rsid w:val="3C78AC74"/>
    <w:rsid w:val="3C8A2C17"/>
    <w:rsid w:val="3C8EDE9F"/>
    <w:rsid w:val="3CD3D2E4"/>
    <w:rsid w:val="3CDDDDA1"/>
    <w:rsid w:val="3CDF0AC1"/>
    <w:rsid w:val="3CE13429"/>
    <w:rsid w:val="3CE52B4A"/>
    <w:rsid w:val="3CFDFE5D"/>
    <w:rsid w:val="3D109A7E"/>
    <w:rsid w:val="3D1D615A"/>
    <w:rsid w:val="3D270B4C"/>
    <w:rsid w:val="3D3041DE"/>
    <w:rsid w:val="3D31D6DD"/>
    <w:rsid w:val="3D3D1BBE"/>
    <w:rsid w:val="3D462E8A"/>
    <w:rsid w:val="3D53F0C6"/>
    <w:rsid w:val="3D85E187"/>
    <w:rsid w:val="3DAD0CF8"/>
    <w:rsid w:val="3DB2D73C"/>
    <w:rsid w:val="3DC58ADF"/>
    <w:rsid w:val="3DD18CB4"/>
    <w:rsid w:val="3DFF3243"/>
    <w:rsid w:val="3E034D50"/>
    <w:rsid w:val="3E05B1D9"/>
    <w:rsid w:val="3E1A3A75"/>
    <w:rsid w:val="3E2450C7"/>
    <w:rsid w:val="3E94A085"/>
    <w:rsid w:val="3EBFD24D"/>
    <w:rsid w:val="3ECC8DB7"/>
    <w:rsid w:val="3ECF747D"/>
    <w:rsid w:val="3EDE648E"/>
    <w:rsid w:val="3EED37CF"/>
    <w:rsid w:val="3EF6BC0E"/>
    <w:rsid w:val="3F0C90E3"/>
    <w:rsid w:val="3F3B7D34"/>
    <w:rsid w:val="3F5743B9"/>
    <w:rsid w:val="3F8DF715"/>
    <w:rsid w:val="3F963E91"/>
    <w:rsid w:val="3FAE3905"/>
    <w:rsid w:val="3FB20FA0"/>
    <w:rsid w:val="3FB85B6C"/>
    <w:rsid w:val="3FBDB08A"/>
    <w:rsid w:val="3FC2D9DC"/>
    <w:rsid w:val="3FFBCB04"/>
    <w:rsid w:val="40040812"/>
    <w:rsid w:val="4011D7B3"/>
    <w:rsid w:val="402A3308"/>
    <w:rsid w:val="403C1BB1"/>
    <w:rsid w:val="4040ACD4"/>
    <w:rsid w:val="4046316D"/>
    <w:rsid w:val="40476B6A"/>
    <w:rsid w:val="40657C8B"/>
    <w:rsid w:val="407C9312"/>
    <w:rsid w:val="408882F7"/>
    <w:rsid w:val="40BACC34"/>
    <w:rsid w:val="40BBF866"/>
    <w:rsid w:val="40CD6E69"/>
    <w:rsid w:val="40F00519"/>
    <w:rsid w:val="415CFF5A"/>
    <w:rsid w:val="418634D7"/>
    <w:rsid w:val="4186F254"/>
    <w:rsid w:val="418E1BDE"/>
    <w:rsid w:val="41C05EC2"/>
    <w:rsid w:val="41DDBAB0"/>
    <w:rsid w:val="41E59652"/>
    <w:rsid w:val="427460E0"/>
    <w:rsid w:val="42763B5B"/>
    <w:rsid w:val="427D76D3"/>
    <w:rsid w:val="42845261"/>
    <w:rsid w:val="42921164"/>
    <w:rsid w:val="429676F7"/>
    <w:rsid w:val="42A992A9"/>
    <w:rsid w:val="42EEFBF2"/>
    <w:rsid w:val="42FC241C"/>
    <w:rsid w:val="4346B309"/>
    <w:rsid w:val="43473629"/>
    <w:rsid w:val="435C6964"/>
    <w:rsid w:val="4368830B"/>
    <w:rsid w:val="436E46D3"/>
    <w:rsid w:val="4379DAB2"/>
    <w:rsid w:val="437D224D"/>
    <w:rsid w:val="4387ED77"/>
    <w:rsid w:val="43CC6942"/>
    <w:rsid w:val="43F37787"/>
    <w:rsid w:val="440AF3FC"/>
    <w:rsid w:val="440F44D9"/>
    <w:rsid w:val="4427A5DB"/>
    <w:rsid w:val="442BDC6F"/>
    <w:rsid w:val="443ACC43"/>
    <w:rsid w:val="443BB048"/>
    <w:rsid w:val="44721430"/>
    <w:rsid w:val="4474296A"/>
    <w:rsid w:val="447C159F"/>
    <w:rsid w:val="44A70402"/>
    <w:rsid w:val="44B77FF9"/>
    <w:rsid w:val="44C9126C"/>
    <w:rsid w:val="44D1D544"/>
    <w:rsid w:val="44EC97DA"/>
    <w:rsid w:val="4564EE2D"/>
    <w:rsid w:val="459E4022"/>
    <w:rsid w:val="45BB8C3C"/>
    <w:rsid w:val="45E9386D"/>
    <w:rsid w:val="45EBEB8A"/>
    <w:rsid w:val="45F40736"/>
    <w:rsid w:val="45F9AE1D"/>
    <w:rsid w:val="46018080"/>
    <w:rsid w:val="46199A22"/>
    <w:rsid w:val="461D75FC"/>
    <w:rsid w:val="461D7DA2"/>
    <w:rsid w:val="46228A5F"/>
    <w:rsid w:val="4623BD9A"/>
    <w:rsid w:val="4647BA59"/>
    <w:rsid w:val="464F2664"/>
    <w:rsid w:val="465828D1"/>
    <w:rsid w:val="466E1A74"/>
    <w:rsid w:val="466E8516"/>
    <w:rsid w:val="4672F595"/>
    <w:rsid w:val="467399EA"/>
    <w:rsid w:val="467AA788"/>
    <w:rsid w:val="469CAD28"/>
    <w:rsid w:val="46B17B74"/>
    <w:rsid w:val="46B35B64"/>
    <w:rsid w:val="46EC9C10"/>
    <w:rsid w:val="46EFE69E"/>
    <w:rsid w:val="47611A1C"/>
    <w:rsid w:val="476EF91A"/>
    <w:rsid w:val="478602FF"/>
    <w:rsid w:val="47877105"/>
    <w:rsid w:val="4787BBEB"/>
    <w:rsid w:val="47880AE1"/>
    <w:rsid w:val="478C7FBC"/>
    <w:rsid w:val="478FD797"/>
    <w:rsid w:val="47C93468"/>
    <w:rsid w:val="47D2FC74"/>
    <w:rsid w:val="47F764B4"/>
    <w:rsid w:val="48014A78"/>
    <w:rsid w:val="48100A16"/>
    <w:rsid w:val="48116493"/>
    <w:rsid w:val="4865D950"/>
    <w:rsid w:val="487801EB"/>
    <w:rsid w:val="487DD043"/>
    <w:rsid w:val="48A184CC"/>
    <w:rsid w:val="48B3AAEA"/>
    <w:rsid w:val="48B4A63A"/>
    <w:rsid w:val="48BCB887"/>
    <w:rsid w:val="48F0B466"/>
    <w:rsid w:val="48F4FDA9"/>
    <w:rsid w:val="48FBB9AD"/>
    <w:rsid w:val="4918DBD9"/>
    <w:rsid w:val="491B5503"/>
    <w:rsid w:val="49228751"/>
    <w:rsid w:val="494EE8E2"/>
    <w:rsid w:val="496FD92D"/>
    <w:rsid w:val="498500EC"/>
    <w:rsid w:val="499D1AD9"/>
    <w:rsid w:val="49A32C0F"/>
    <w:rsid w:val="49B6990F"/>
    <w:rsid w:val="49E3E7CB"/>
    <w:rsid w:val="4A02736E"/>
    <w:rsid w:val="4A4F7B4B"/>
    <w:rsid w:val="4A4FE7D9"/>
    <w:rsid w:val="4A603372"/>
    <w:rsid w:val="4A61C8B9"/>
    <w:rsid w:val="4A7E42C8"/>
    <w:rsid w:val="4A85608F"/>
    <w:rsid w:val="4A9F8431"/>
    <w:rsid w:val="4AABFB6D"/>
    <w:rsid w:val="4AB96264"/>
    <w:rsid w:val="4AD578FE"/>
    <w:rsid w:val="4ADF3086"/>
    <w:rsid w:val="4B015085"/>
    <w:rsid w:val="4B0BBD43"/>
    <w:rsid w:val="4B25D413"/>
    <w:rsid w:val="4B25D578"/>
    <w:rsid w:val="4B25D8A2"/>
    <w:rsid w:val="4B41F639"/>
    <w:rsid w:val="4B4939A0"/>
    <w:rsid w:val="4B4F53C9"/>
    <w:rsid w:val="4B546128"/>
    <w:rsid w:val="4B5E0F75"/>
    <w:rsid w:val="4B686B36"/>
    <w:rsid w:val="4B7CB339"/>
    <w:rsid w:val="4B89B90E"/>
    <w:rsid w:val="4BFD2EA0"/>
    <w:rsid w:val="4C04C8FA"/>
    <w:rsid w:val="4C1AB787"/>
    <w:rsid w:val="4C32B7C0"/>
    <w:rsid w:val="4C3A4D3B"/>
    <w:rsid w:val="4C5D4FF4"/>
    <w:rsid w:val="4C7C7B6C"/>
    <w:rsid w:val="4C7CB5DB"/>
    <w:rsid w:val="4C82C9C8"/>
    <w:rsid w:val="4C85CCB0"/>
    <w:rsid w:val="4CC90EBC"/>
    <w:rsid w:val="4CCB7AF5"/>
    <w:rsid w:val="4CD242C3"/>
    <w:rsid w:val="4CF5D91C"/>
    <w:rsid w:val="4CFBDE7C"/>
    <w:rsid w:val="4D1084D7"/>
    <w:rsid w:val="4D1DD7C0"/>
    <w:rsid w:val="4D240D5C"/>
    <w:rsid w:val="4D2E1230"/>
    <w:rsid w:val="4D47027B"/>
    <w:rsid w:val="4D4E62DB"/>
    <w:rsid w:val="4D6285FB"/>
    <w:rsid w:val="4D66F9D6"/>
    <w:rsid w:val="4D6C5095"/>
    <w:rsid w:val="4D9DFADA"/>
    <w:rsid w:val="4D9FBC2A"/>
    <w:rsid w:val="4DC1F109"/>
    <w:rsid w:val="4DCE8821"/>
    <w:rsid w:val="4DDECB26"/>
    <w:rsid w:val="4E109439"/>
    <w:rsid w:val="4E22C5CA"/>
    <w:rsid w:val="4E39C073"/>
    <w:rsid w:val="4E45276D"/>
    <w:rsid w:val="4E56B35C"/>
    <w:rsid w:val="4E79C828"/>
    <w:rsid w:val="4E7AD29E"/>
    <w:rsid w:val="4E83E6A2"/>
    <w:rsid w:val="4E8C01EA"/>
    <w:rsid w:val="4E9170B4"/>
    <w:rsid w:val="4EABE7E2"/>
    <w:rsid w:val="4EB3848E"/>
    <w:rsid w:val="4EE0835A"/>
    <w:rsid w:val="4EFE2439"/>
    <w:rsid w:val="4EFEDCAD"/>
    <w:rsid w:val="4F172D11"/>
    <w:rsid w:val="4F4A766D"/>
    <w:rsid w:val="4F5295E7"/>
    <w:rsid w:val="4F5DBE6E"/>
    <w:rsid w:val="4F6DA2EA"/>
    <w:rsid w:val="4F7C40A0"/>
    <w:rsid w:val="4F907E4E"/>
    <w:rsid w:val="4FB397E7"/>
    <w:rsid w:val="4FB62C9A"/>
    <w:rsid w:val="4FF86D44"/>
    <w:rsid w:val="500058DC"/>
    <w:rsid w:val="5026FC64"/>
    <w:rsid w:val="503875AA"/>
    <w:rsid w:val="503BAC07"/>
    <w:rsid w:val="504297B4"/>
    <w:rsid w:val="5050D0CE"/>
    <w:rsid w:val="50524C71"/>
    <w:rsid w:val="506AA1F1"/>
    <w:rsid w:val="507406B3"/>
    <w:rsid w:val="507BCF78"/>
    <w:rsid w:val="508337C0"/>
    <w:rsid w:val="508E1B02"/>
    <w:rsid w:val="50A889CA"/>
    <w:rsid w:val="50AEFAEA"/>
    <w:rsid w:val="50C0705A"/>
    <w:rsid w:val="50C6C9D6"/>
    <w:rsid w:val="51032163"/>
    <w:rsid w:val="510867AF"/>
    <w:rsid w:val="512FFDC5"/>
    <w:rsid w:val="51476D8E"/>
    <w:rsid w:val="514BD10C"/>
    <w:rsid w:val="514FEC8F"/>
    <w:rsid w:val="51565E79"/>
    <w:rsid w:val="515F7B0A"/>
    <w:rsid w:val="516160E2"/>
    <w:rsid w:val="51726630"/>
    <w:rsid w:val="51755D44"/>
    <w:rsid w:val="51877C07"/>
    <w:rsid w:val="518F0461"/>
    <w:rsid w:val="518F8BA0"/>
    <w:rsid w:val="519EC01E"/>
    <w:rsid w:val="51D3E92D"/>
    <w:rsid w:val="51E5C56F"/>
    <w:rsid w:val="51FD1BC9"/>
    <w:rsid w:val="52017B6E"/>
    <w:rsid w:val="520D884E"/>
    <w:rsid w:val="522C34BE"/>
    <w:rsid w:val="5255A29B"/>
    <w:rsid w:val="5257A80B"/>
    <w:rsid w:val="525DCA46"/>
    <w:rsid w:val="5265A575"/>
    <w:rsid w:val="52B8D5A0"/>
    <w:rsid w:val="52CA3E1C"/>
    <w:rsid w:val="52D0F6A7"/>
    <w:rsid w:val="52D338C1"/>
    <w:rsid w:val="52E557F8"/>
    <w:rsid w:val="52EC16CA"/>
    <w:rsid w:val="52EE5FD7"/>
    <w:rsid w:val="534A0E55"/>
    <w:rsid w:val="5350C9A5"/>
    <w:rsid w:val="5368DE10"/>
    <w:rsid w:val="53A958AF"/>
    <w:rsid w:val="54112882"/>
    <w:rsid w:val="5412C398"/>
    <w:rsid w:val="5414F214"/>
    <w:rsid w:val="54209F9B"/>
    <w:rsid w:val="5439DFE3"/>
    <w:rsid w:val="54553242"/>
    <w:rsid w:val="545E114F"/>
    <w:rsid w:val="546FCA8C"/>
    <w:rsid w:val="548DDBAD"/>
    <w:rsid w:val="548FB01C"/>
    <w:rsid w:val="549560C3"/>
    <w:rsid w:val="54A46C2B"/>
    <w:rsid w:val="54BB3D7B"/>
    <w:rsid w:val="54BC56F7"/>
    <w:rsid w:val="54D420A1"/>
    <w:rsid w:val="54E12034"/>
    <w:rsid w:val="54F67AA4"/>
    <w:rsid w:val="54F67D16"/>
    <w:rsid w:val="5509F008"/>
    <w:rsid w:val="5516C487"/>
    <w:rsid w:val="55208B27"/>
    <w:rsid w:val="5538A240"/>
    <w:rsid w:val="554CC156"/>
    <w:rsid w:val="555B831F"/>
    <w:rsid w:val="555D6050"/>
    <w:rsid w:val="55840EE2"/>
    <w:rsid w:val="55855E7C"/>
    <w:rsid w:val="5588F0F3"/>
    <w:rsid w:val="559078C9"/>
    <w:rsid w:val="5598D1B7"/>
    <w:rsid w:val="559B3CCF"/>
    <w:rsid w:val="55A39E55"/>
    <w:rsid w:val="55CE76E3"/>
    <w:rsid w:val="5616E639"/>
    <w:rsid w:val="5626F323"/>
    <w:rsid w:val="56333510"/>
    <w:rsid w:val="563D4C63"/>
    <w:rsid w:val="5643B7E8"/>
    <w:rsid w:val="564EB3A3"/>
    <w:rsid w:val="5657B569"/>
    <w:rsid w:val="56856855"/>
    <w:rsid w:val="56924B05"/>
    <w:rsid w:val="569356CF"/>
    <w:rsid w:val="569DD233"/>
    <w:rsid w:val="56A746C7"/>
    <w:rsid w:val="56F2FA06"/>
    <w:rsid w:val="56F592BF"/>
    <w:rsid w:val="56FCA41F"/>
    <w:rsid w:val="571FDF43"/>
    <w:rsid w:val="5786114C"/>
    <w:rsid w:val="57A1EA33"/>
    <w:rsid w:val="57AABCBA"/>
    <w:rsid w:val="57B0D233"/>
    <w:rsid w:val="57D00996"/>
    <w:rsid w:val="57DB6D8C"/>
    <w:rsid w:val="580A2751"/>
    <w:rsid w:val="581ACC18"/>
    <w:rsid w:val="581F0250"/>
    <w:rsid w:val="584DE436"/>
    <w:rsid w:val="58762AC9"/>
    <w:rsid w:val="5892F419"/>
    <w:rsid w:val="58A4B08F"/>
    <w:rsid w:val="58A9A978"/>
    <w:rsid w:val="58CB1531"/>
    <w:rsid w:val="5977DD4E"/>
    <w:rsid w:val="598C1C1A"/>
    <w:rsid w:val="59B0C36A"/>
    <w:rsid w:val="59C9172C"/>
    <w:rsid w:val="59C9EBC7"/>
    <w:rsid w:val="59ED99C4"/>
    <w:rsid w:val="5A0A7521"/>
    <w:rsid w:val="5A0EBAC1"/>
    <w:rsid w:val="5A258583"/>
    <w:rsid w:val="5A387C27"/>
    <w:rsid w:val="5A511D66"/>
    <w:rsid w:val="5A70DEB8"/>
    <w:rsid w:val="5A784D12"/>
    <w:rsid w:val="5A8DD939"/>
    <w:rsid w:val="5A91F940"/>
    <w:rsid w:val="5AA1E806"/>
    <w:rsid w:val="5ADF0C10"/>
    <w:rsid w:val="5AE87EDA"/>
    <w:rsid w:val="5AED6575"/>
    <w:rsid w:val="5B65F52F"/>
    <w:rsid w:val="5B70866C"/>
    <w:rsid w:val="5B808099"/>
    <w:rsid w:val="5BADCB8B"/>
    <w:rsid w:val="5BC6F3E8"/>
    <w:rsid w:val="5BDA69D2"/>
    <w:rsid w:val="5C118FAD"/>
    <w:rsid w:val="5C126A99"/>
    <w:rsid w:val="5C1412F4"/>
    <w:rsid w:val="5C172E6C"/>
    <w:rsid w:val="5C29A99A"/>
    <w:rsid w:val="5C49ACF0"/>
    <w:rsid w:val="5C5522EF"/>
    <w:rsid w:val="5C604427"/>
    <w:rsid w:val="5C7FC535"/>
    <w:rsid w:val="5C82D70E"/>
    <w:rsid w:val="5C9C9AB4"/>
    <w:rsid w:val="5CA82D87"/>
    <w:rsid w:val="5CB2C27E"/>
    <w:rsid w:val="5CCAD696"/>
    <w:rsid w:val="5CDBD174"/>
    <w:rsid w:val="5D0161F2"/>
    <w:rsid w:val="5D1A9BD3"/>
    <w:rsid w:val="5D51CD59"/>
    <w:rsid w:val="5D5257CD"/>
    <w:rsid w:val="5D5375AD"/>
    <w:rsid w:val="5D598F9D"/>
    <w:rsid w:val="5D63F23E"/>
    <w:rsid w:val="5D933675"/>
    <w:rsid w:val="5DB9A5DE"/>
    <w:rsid w:val="5DCB8B31"/>
    <w:rsid w:val="5DD689EF"/>
    <w:rsid w:val="5DD6F3CD"/>
    <w:rsid w:val="5DEEFE0A"/>
    <w:rsid w:val="5DFCAD0C"/>
    <w:rsid w:val="5E0295D8"/>
    <w:rsid w:val="5E112BB7"/>
    <w:rsid w:val="5E1B91D5"/>
    <w:rsid w:val="5E1BE877"/>
    <w:rsid w:val="5E36BBE0"/>
    <w:rsid w:val="5E3A8646"/>
    <w:rsid w:val="5E3DC760"/>
    <w:rsid w:val="5E409D2B"/>
    <w:rsid w:val="5E43FDE8"/>
    <w:rsid w:val="5E46CB07"/>
    <w:rsid w:val="5E5BC367"/>
    <w:rsid w:val="5E77DA6D"/>
    <w:rsid w:val="5E85436D"/>
    <w:rsid w:val="5E89D033"/>
    <w:rsid w:val="5E8ADBBF"/>
    <w:rsid w:val="5EA7D1E7"/>
    <w:rsid w:val="5EBF1868"/>
    <w:rsid w:val="5EBFE824"/>
    <w:rsid w:val="5F0744FA"/>
    <w:rsid w:val="5F2420F8"/>
    <w:rsid w:val="5F299C82"/>
    <w:rsid w:val="5F49306F"/>
    <w:rsid w:val="5F5AA2C5"/>
    <w:rsid w:val="5F6683A0"/>
    <w:rsid w:val="5F718458"/>
    <w:rsid w:val="5F79ECA9"/>
    <w:rsid w:val="5FBFA77A"/>
    <w:rsid w:val="5FDC721B"/>
    <w:rsid w:val="60163C10"/>
    <w:rsid w:val="601A994B"/>
    <w:rsid w:val="601E4155"/>
    <w:rsid w:val="60504B5E"/>
    <w:rsid w:val="605B16E2"/>
    <w:rsid w:val="60609125"/>
    <w:rsid w:val="60621324"/>
    <w:rsid w:val="6069339D"/>
    <w:rsid w:val="606DDC34"/>
    <w:rsid w:val="60708D63"/>
    <w:rsid w:val="607EEFA1"/>
    <w:rsid w:val="60813CAE"/>
    <w:rsid w:val="608F3C07"/>
    <w:rsid w:val="6099F6AC"/>
    <w:rsid w:val="60AF7255"/>
    <w:rsid w:val="60B22A7C"/>
    <w:rsid w:val="60BDE7DB"/>
    <w:rsid w:val="60DDC96F"/>
    <w:rsid w:val="60E293DF"/>
    <w:rsid w:val="60E5DBBC"/>
    <w:rsid w:val="60E9A918"/>
    <w:rsid w:val="60EA0073"/>
    <w:rsid w:val="60FB4074"/>
    <w:rsid w:val="610ADE6C"/>
    <w:rsid w:val="61166E2F"/>
    <w:rsid w:val="61269ECC"/>
    <w:rsid w:val="6126F352"/>
    <w:rsid w:val="612F8858"/>
    <w:rsid w:val="61327D36"/>
    <w:rsid w:val="61520C3A"/>
    <w:rsid w:val="61533658"/>
    <w:rsid w:val="616A2951"/>
    <w:rsid w:val="616E3295"/>
    <w:rsid w:val="616E5CA2"/>
    <w:rsid w:val="617839D3"/>
    <w:rsid w:val="6179A815"/>
    <w:rsid w:val="617E6BC9"/>
    <w:rsid w:val="618E1C6B"/>
    <w:rsid w:val="6192B559"/>
    <w:rsid w:val="6197D80A"/>
    <w:rsid w:val="61BCE42F"/>
    <w:rsid w:val="61C8B872"/>
    <w:rsid w:val="61EF0160"/>
    <w:rsid w:val="61F5E274"/>
    <w:rsid w:val="6210EBD7"/>
    <w:rsid w:val="62294DCC"/>
    <w:rsid w:val="62309CF1"/>
    <w:rsid w:val="6236356C"/>
    <w:rsid w:val="623CD661"/>
    <w:rsid w:val="62629AB7"/>
    <w:rsid w:val="627C9973"/>
    <w:rsid w:val="6281AC1D"/>
    <w:rsid w:val="6289A885"/>
    <w:rsid w:val="62A6A45A"/>
    <w:rsid w:val="62D9414A"/>
    <w:rsid w:val="63059737"/>
    <w:rsid w:val="63150778"/>
    <w:rsid w:val="6327B616"/>
    <w:rsid w:val="6328ACC9"/>
    <w:rsid w:val="63392E83"/>
    <w:rsid w:val="63497D06"/>
    <w:rsid w:val="6353F082"/>
    <w:rsid w:val="636CD9FA"/>
    <w:rsid w:val="63A7D8D0"/>
    <w:rsid w:val="63BA27F7"/>
    <w:rsid w:val="63BA6A49"/>
    <w:rsid w:val="63F462F9"/>
    <w:rsid w:val="6401BA5C"/>
    <w:rsid w:val="640A88EA"/>
    <w:rsid w:val="6414E14B"/>
    <w:rsid w:val="6416226C"/>
    <w:rsid w:val="642A8DEF"/>
    <w:rsid w:val="6430F9F2"/>
    <w:rsid w:val="6435A81D"/>
    <w:rsid w:val="64437B1D"/>
    <w:rsid w:val="64459D56"/>
    <w:rsid w:val="645141B2"/>
    <w:rsid w:val="646E48A2"/>
    <w:rsid w:val="647084BB"/>
    <w:rsid w:val="647A712F"/>
    <w:rsid w:val="649A09DF"/>
    <w:rsid w:val="649CEE54"/>
    <w:rsid w:val="64A04DCF"/>
    <w:rsid w:val="64BBBCEC"/>
    <w:rsid w:val="64D0E271"/>
    <w:rsid w:val="64D15CB7"/>
    <w:rsid w:val="64EAC39D"/>
    <w:rsid w:val="65102FC8"/>
    <w:rsid w:val="651775B2"/>
    <w:rsid w:val="651FACDC"/>
    <w:rsid w:val="65359DAD"/>
    <w:rsid w:val="6556D440"/>
    <w:rsid w:val="656A6EB0"/>
    <w:rsid w:val="65940822"/>
    <w:rsid w:val="659B8246"/>
    <w:rsid w:val="65A01F2F"/>
    <w:rsid w:val="65BAB78E"/>
    <w:rsid w:val="65BD7277"/>
    <w:rsid w:val="65C35A93"/>
    <w:rsid w:val="65D02452"/>
    <w:rsid w:val="65DE075E"/>
    <w:rsid w:val="65F317FA"/>
    <w:rsid w:val="660C9CF0"/>
    <w:rsid w:val="662C3F1C"/>
    <w:rsid w:val="6635E770"/>
    <w:rsid w:val="6653A2FE"/>
    <w:rsid w:val="665C5C14"/>
    <w:rsid w:val="665E0E6D"/>
    <w:rsid w:val="6676B361"/>
    <w:rsid w:val="6683E7A2"/>
    <w:rsid w:val="6699E3A8"/>
    <w:rsid w:val="66AD1A41"/>
    <w:rsid w:val="66CCB8D1"/>
    <w:rsid w:val="66EB7885"/>
    <w:rsid w:val="66EB9B1E"/>
    <w:rsid w:val="66F2CB7C"/>
    <w:rsid w:val="6706FFCC"/>
    <w:rsid w:val="6732E746"/>
    <w:rsid w:val="6737F7D1"/>
    <w:rsid w:val="675228A1"/>
    <w:rsid w:val="67536C64"/>
    <w:rsid w:val="676627A4"/>
    <w:rsid w:val="677B1BDF"/>
    <w:rsid w:val="67A7DF38"/>
    <w:rsid w:val="67CC8BB5"/>
    <w:rsid w:val="67E980ED"/>
    <w:rsid w:val="67ED9ECE"/>
    <w:rsid w:val="67F8619D"/>
    <w:rsid w:val="67FE9777"/>
    <w:rsid w:val="6803F13B"/>
    <w:rsid w:val="68232025"/>
    <w:rsid w:val="68256234"/>
    <w:rsid w:val="683ABFD8"/>
    <w:rsid w:val="685A149B"/>
    <w:rsid w:val="687575B8"/>
    <w:rsid w:val="6876A204"/>
    <w:rsid w:val="687D79CD"/>
    <w:rsid w:val="688CD35B"/>
    <w:rsid w:val="689CA0AF"/>
    <w:rsid w:val="68BE6D5C"/>
    <w:rsid w:val="68D77CA4"/>
    <w:rsid w:val="68E530D2"/>
    <w:rsid w:val="69169438"/>
    <w:rsid w:val="691D5B37"/>
    <w:rsid w:val="69443DB2"/>
    <w:rsid w:val="69608D24"/>
    <w:rsid w:val="6963BA6E"/>
    <w:rsid w:val="6971BF09"/>
    <w:rsid w:val="697D5D26"/>
    <w:rsid w:val="698477A0"/>
    <w:rsid w:val="699990F0"/>
    <w:rsid w:val="699EE70F"/>
    <w:rsid w:val="69A90119"/>
    <w:rsid w:val="69E5D47A"/>
    <w:rsid w:val="6A0251BB"/>
    <w:rsid w:val="6A126E23"/>
    <w:rsid w:val="6A127265"/>
    <w:rsid w:val="6A42C169"/>
    <w:rsid w:val="6A599046"/>
    <w:rsid w:val="6A880859"/>
    <w:rsid w:val="6AA3D46B"/>
    <w:rsid w:val="6AAAA945"/>
    <w:rsid w:val="6ADFC623"/>
    <w:rsid w:val="6AE54F4E"/>
    <w:rsid w:val="6AF0F575"/>
    <w:rsid w:val="6AFB0440"/>
    <w:rsid w:val="6B029AF8"/>
    <w:rsid w:val="6B0663E0"/>
    <w:rsid w:val="6B1643E3"/>
    <w:rsid w:val="6B5E8D44"/>
    <w:rsid w:val="6B617375"/>
    <w:rsid w:val="6B6A8CD5"/>
    <w:rsid w:val="6BF4626D"/>
    <w:rsid w:val="6BF6C707"/>
    <w:rsid w:val="6C237073"/>
    <w:rsid w:val="6C2791A5"/>
    <w:rsid w:val="6C568BA0"/>
    <w:rsid w:val="6C5D3DBC"/>
    <w:rsid w:val="6C6E0282"/>
    <w:rsid w:val="6C86AB39"/>
    <w:rsid w:val="6C8BEEAD"/>
    <w:rsid w:val="6C9E4FB6"/>
    <w:rsid w:val="6CA3ABFA"/>
    <w:rsid w:val="6CB1F26B"/>
    <w:rsid w:val="6D2EEE29"/>
    <w:rsid w:val="6D48A14D"/>
    <w:rsid w:val="6D4E6363"/>
    <w:rsid w:val="6D849DA4"/>
    <w:rsid w:val="6DA5025B"/>
    <w:rsid w:val="6DB4CD10"/>
    <w:rsid w:val="6DBCA93B"/>
    <w:rsid w:val="6DC49205"/>
    <w:rsid w:val="6DC88281"/>
    <w:rsid w:val="6DE3CF2F"/>
    <w:rsid w:val="6DEA055B"/>
    <w:rsid w:val="6E0EED13"/>
    <w:rsid w:val="6E124B6C"/>
    <w:rsid w:val="6E23513B"/>
    <w:rsid w:val="6E3338EA"/>
    <w:rsid w:val="6E408345"/>
    <w:rsid w:val="6E543532"/>
    <w:rsid w:val="6E5F1C9B"/>
    <w:rsid w:val="6E6B0752"/>
    <w:rsid w:val="6E6D716D"/>
    <w:rsid w:val="6E7B15D7"/>
    <w:rsid w:val="6E90C207"/>
    <w:rsid w:val="6E9DC8EE"/>
    <w:rsid w:val="6EA0DA3A"/>
    <w:rsid w:val="6EDCB73D"/>
    <w:rsid w:val="6EEF719B"/>
    <w:rsid w:val="6EF5CAF9"/>
    <w:rsid w:val="6EFBCB10"/>
    <w:rsid w:val="6F14CF48"/>
    <w:rsid w:val="6F1F2DF7"/>
    <w:rsid w:val="6F27558F"/>
    <w:rsid w:val="6F4C2BBE"/>
    <w:rsid w:val="6F54C848"/>
    <w:rsid w:val="6F6741BF"/>
    <w:rsid w:val="6F6CC368"/>
    <w:rsid w:val="6F802BD1"/>
    <w:rsid w:val="6F85D5BC"/>
    <w:rsid w:val="6F8866AB"/>
    <w:rsid w:val="6FA22EE4"/>
    <w:rsid w:val="6FCA87F0"/>
    <w:rsid w:val="705208BC"/>
    <w:rsid w:val="705B22D4"/>
    <w:rsid w:val="706A6C9B"/>
    <w:rsid w:val="706D758C"/>
    <w:rsid w:val="708B41FC"/>
    <w:rsid w:val="70B5A21E"/>
    <w:rsid w:val="70FB02C8"/>
    <w:rsid w:val="70FE4616"/>
    <w:rsid w:val="7129EBAB"/>
    <w:rsid w:val="718DB92C"/>
    <w:rsid w:val="71A9F044"/>
    <w:rsid w:val="71C2A03A"/>
    <w:rsid w:val="71D3B202"/>
    <w:rsid w:val="71E15EBA"/>
    <w:rsid w:val="72049241"/>
    <w:rsid w:val="721C0E3B"/>
    <w:rsid w:val="7234B26B"/>
    <w:rsid w:val="724F32DB"/>
    <w:rsid w:val="725F6226"/>
    <w:rsid w:val="72DAB7CE"/>
    <w:rsid w:val="72E117E0"/>
    <w:rsid w:val="72E59471"/>
    <w:rsid w:val="730D3B97"/>
    <w:rsid w:val="73101AF1"/>
    <w:rsid w:val="731545D4"/>
    <w:rsid w:val="734538AE"/>
    <w:rsid w:val="735C03E1"/>
    <w:rsid w:val="736267B2"/>
    <w:rsid w:val="736B5261"/>
    <w:rsid w:val="73B0CC8B"/>
    <w:rsid w:val="73BE47C9"/>
    <w:rsid w:val="73E8797A"/>
    <w:rsid w:val="73F6B812"/>
    <w:rsid w:val="73FD4A81"/>
    <w:rsid w:val="73FEB5C9"/>
    <w:rsid w:val="740538B8"/>
    <w:rsid w:val="7467657C"/>
    <w:rsid w:val="7485562E"/>
    <w:rsid w:val="74ABEB52"/>
    <w:rsid w:val="74CFF993"/>
    <w:rsid w:val="74F0C7D9"/>
    <w:rsid w:val="7507709E"/>
    <w:rsid w:val="7519A5C2"/>
    <w:rsid w:val="7523F7DB"/>
    <w:rsid w:val="7527A220"/>
    <w:rsid w:val="752993E4"/>
    <w:rsid w:val="753C5290"/>
    <w:rsid w:val="753F6B8A"/>
    <w:rsid w:val="75581EC4"/>
    <w:rsid w:val="755EE5F0"/>
    <w:rsid w:val="75898C10"/>
    <w:rsid w:val="758D53EE"/>
    <w:rsid w:val="759E116A"/>
    <w:rsid w:val="75A69915"/>
    <w:rsid w:val="75B95B1F"/>
    <w:rsid w:val="75D1D991"/>
    <w:rsid w:val="75D613FC"/>
    <w:rsid w:val="75D640B2"/>
    <w:rsid w:val="75D68343"/>
    <w:rsid w:val="75DA42C9"/>
    <w:rsid w:val="75E43471"/>
    <w:rsid w:val="75EA0D80"/>
    <w:rsid w:val="75F002C5"/>
    <w:rsid w:val="75F10EA2"/>
    <w:rsid w:val="76055925"/>
    <w:rsid w:val="7612F595"/>
    <w:rsid w:val="76372814"/>
    <w:rsid w:val="764D82D0"/>
    <w:rsid w:val="765B09F7"/>
    <w:rsid w:val="766D0D50"/>
    <w:rsid w:val="7687B7D0"/>
    <w:rsid w:val="76AD211C"/>
    <w:rsid w:val="76DAA714"/>
    <w:rsid w:val="76F754CB"/>
    <w:rsid w:val="76F9694E"/>
    <w:rsid w:val="76FB2F08"/>
    <w:rsid w:val="76FB901E"/>
    <w:rsid w:val="76FBFC96"/>
    <w:rsid w:val="7710F2E2"/>
    <w:rsid w:val="7728E5D4"/>
    <w:rsid w:val="77365DA5"/>
    <w:rsid w:val="7745C66D"/>
    <w:rsid w:val="776DA9F2"/>
    <w:rsid w:val="777C8431"/>
    <w:rsid w:val="778087CD"/>
    <w:rsid w:val="77890527"/>
    <w:rsid w:val="778AD747"/>
    <w:rsid w:val="778D97D8"/>
    <w:rsid w:val="77B3F1A0"/>
    <w:rsid w:val="77BE223D"/>
    <w:rsid w:val="77C21308"/>
    <w:rsid w:val="77C3A0E1"/>
    <w:rsid w:val="77C3B398"/>
    <w:rsid w:val="77CFE621"/>
    <w:rsid w:val="77DE040E"/>
    <w:rsid w:val="77E13C92"/>
    <w:rsid w:val="77FBAF76"/>
    <w:rsid w:val="7805851B"/>
    <w:rsid w:val="7817F7A5"/>
    <w:rsid w:val="78298B67"/>
    <w:rsid w:val="782FEB05"/>
    <w:rsid w:val="7845DBA0"/>
    <w:rsid w:val="784AF0E4"/>
    <w:rsid w:val="78514684"/>
    <w:rsid w:val="785F42E2"/>
    <w:rsid w:val="7863A47A"/>
    <w:rsid w:val="786B11BA"/>
    <w:rsid w:val="7879682D"/>
    <w:rsid w:val="78843A17"/>
    <w:rsid w:val="78ACF0A5"/>
    <w:rsid w:val="78BC3312"/>
    <w:rsid w:val="78CE3832"/>
    <w:rsid w:val="78D87929"/>
    <w:rsid w:val="78EDBEB5"/>
    <w:rsid w:val="790B849C"/>
    <w:rsid w:val="790DD7F8"/>
    <w:rsid w:val="790DE5BA"/>
    <w:rsid w:val="79197390"/>
    <w:rsid w:val="79337013"/>
    <w:rsid w:val="79405206"/>
    <w:rsid w:val="7949FEE5"/>
    <w:rsid w:val="794E3BFD"/>
    <w:rsid w:val="7985011E"/>
    <w:rsid w:val="799384F6"/>
    <w:rsid w:val="79A27512"/>
    <w:rsid w:val="79C3E168"/>
    <w:rsid w:val="79E28972"/>
    <w:rsid w:val="79E458B9"/>
    <w:rsid w:val="79EEB854"/>
    <w:rsid w:val="79F3D2F1"/>
    <w:rsid w:val="7A134A79"/>
    <w:rsid w:val="7A1B04E9"/>
    <w:rsid w:val="7A32DDA2"/>
    <w:rsid w:val="7A3DB357"/>
    <w:rsid w:val="7A3E804C"/>
    <w:rsid w:val="7A605D54"/>
    <w:rsid w:val="7A65971B"/>
    <w:rsid w:val="7A6BB58A"/>
    <w:rsid w:val="7A851209"/>
    <w:rsid w:val="7A92F347"/>
    <w:rsid w:val="7AA65131"/>
    <w:rsid w:val="7AD221EB"/>
    <w:rsid w:val="7B0F8D48"/>
    <w:rsid w:val="7B2DDD3D"/>
    <w:rsid w:val="7B338336"/>
    <w:rsid w:val="7B52697E"/>
    <w:rsid w:val="7B5595FF"/>
    <w:rsid w:val="7B60480B"/>
    <w:rsid w:val="7B781671"/>
    <w:rsid w:val="7B8A8E3F"/>
    <w:rsid w:val="7BA3541F"/>
    <w:rsid w:val="7BB5D8E4"/>
    <w:rsid w:val="7BB9DF9E"/>
    <w:rsid w:val="7BBABC3E"/>
    <w:rsid w:val="7BC1B832"/>
    <w:rsid w:val="7BC2F081"/>
    <w:rsid w:val="7BCC5416"/>
    <w:rsid w:val="7BDCCBEE"/>
    <w:rsid w:val="7BE41FB1"/>
    <w:rsid w:val="7BE85AA5"/>
    <w:rsid w:val="7BEE3B43"/>
    <w:rsid w:val="7C01FEA9"/>
    <w:rsid w:val="7C0FD8F6"/>
    <w:rsid w:val="7C3D6E39"/>
    <w:rsid w:val="7C571F77"/>
    <w:rsid w:val="7C72066F"/>
    <w:rsid w:val="7CA3CEC8"/>
    <w:rsid w:val="7CD02594"/>
    <w:rsid w:val="7CD64853"/>
    <w:rsid w:val="7D113A76"/>
    <w:rsid w:val="7D883C34"/>
    <w:rsid w:val="7DB3A288"/>
    <w:rsid w:val="7DEA4170"/>
    <w:rsid w:val="7DEF297B"/>
    <w:rsid w:val="7E0E1E4E"/>
    <w:rsid w:val="7E292F11"/>
    <w:rsid w:val="7E2CB8B5"/>
    <w:rsid w:val="7E31548C"/>
    <w:rsid w:val="7E3501F7"/>
    <w:rsid w:val="7E36A253"/>
    <w:rsid w:val="7E52CD98"/>
    <w:rsid w:val="7E6A430E"/>
    <w:rsid w:val="7E7CA4CB"/>
    <w:rsid w:val="7E80CCDA"/>
    <w:rsid w:val="7E85E606"/>
    <w:rsid w:val="7E998CAB"/>
    <w:rsid w:val="7EA996F1"/>
    <w:rsid w:val="7EAFE051"/>
    <w:rsid w:val="7EB053B3"/>
    <w:rsid w:val="7EB93A7F"/>
    <w:rsid w:val="7EC54AF6"/>
    <w:rsid w:val="7ED48D8F"/>
    <w:rsid w:val="7ED75059"/>
    <w:rsid w:val="7EF18060"/>
    <w:rsid w:val="7EFA9143"/>
    <w:rsid w:val="7F104540"/>
    <w:rsid w:val="7F257C82"/>
    <w:rsid w:val="7F3DA253"/>
    <w:rsid w:val="7F59B165"/>
    <w:rsid w:val="7FBA6067"/>
    <w:rsid w:val="7FC467A4"/>
    <w:rsid w:val="7FCD24ED"/>
    <w:rsid w:val="7FD94775"/>
    <w:rsid w:val="7FE180D3"/>
    <w:rsid w:val="7FEDC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F7255"/>
  <w15:chartTrackingRefBased/>
  <w15:docId w15:val="{4bff9575-6e71-4663-af6b-5c62f6cd47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northern-ireland-foyle-west-47433319" TargetMode="External" Id="R1f7b2e39e08b487e" /><Relationship Type="http://schemas.openxmlformats.org/officeDocument/2006/relationships/hyperlink" Target="https://www.britannica.com/topic/Good-Friday-Agreement" TargetMode="External" Id="R71221358911c4f8b" /><Relationship Type="http://schemas.openxmlformats.org/officeDocument/2006/relationships/hyperlink" Target="https://www.tandfonline.com/doi/abs/10.1080/09546559808427459" TargetMode="External" Id="R2c42b884815848fa" /><Relationship Type="http://schemas.openxmlformats.org/officeDocument/2006/relationships/hyperlink" Target="https://education.niassembly.gov.uk/post_16/snapshots_of_devolution/gfa?fbclid=IwAR3auJ4scxCN_qa5ZrAXn-q2d4KFPA-CalzJ2c00vNMBy6ncOtapl3-g704" TargetMode="External" Id="R4af0369b4d514a25" /><Relationship Type="http://schemas.openxmlformats.org/officeDocument/2006/relationships/hyperlink" Target="https://www-jstor-org.ezproxy.uwtsd.ac.uk/stable/pdf/43870934.pdf?refreqid=excelsior%3A6084ef89da79aef4856b5ee63dafbc93" TargetMode="External" Id="Rd89744a968e84717" /><Relationship Type="http://schemas.openxmlformats.org/officeDocument/2006/relationships/hyperlink" Target="https://www.tandfonline.com/doi/abs/10.1080/1561426022000032060?journalCode=gppr20" TargetMode="External" Id="R588e338a8bc740a1" /><Relationship Type="http://schemas.openxmlformats.org/officeDocument/2006/relationships/hyperlink" Target="https://assets.publishing.service.gov.uk/government/uploads/system/uploads/attachment_data/file/901434/20200717_Proscription.pdf?fbclid=IwAR3auJ4scxCN_qa5ZrAXn-q2d4KFPA-CalzJ2c00vNMBy6ncOtapl3-g704" TargetMode="External" Id="Rfe1dbe73ac6e4f84" /><Relationship Type="http://schemas.openxmlformats.org/officeDocument/2006/relationships/hyperlink" Target="https://www-tandfonline-com.ezproxy.uwtsd.ac.uk/doi/pdf/10.1080/09546559708427413?needAccess=true" TargetMode="External" Id="R2945963661b04b29" /><Relationship Type="http://schemas.openxmlformats.org/officeDocument/2006/relationships/hyperlink" Target="https://www-tandfonline-com.ezproxy.uwtsd.ac.uk/doi/pdf/10.1080/09546559908427502?needAccess=true" TargetMode="External" Id="Rf0ff30120f064d7e" /><Relationship Type="http://schemas.openxmlformats.org/officeDocument/2006/relationships/hyperlink" Target="https://www-tandfonline-com.ezproxy.uwtsd.ac.uk/doi/full/10.1080/09546553.2016.1205979" TargetMode="External" Id="Rb48868c1de144d79" /><Relationship Type="http://schemas.openxmlformats.org/officeDocument/2006/relationships/hyperlink" Target="https://moodle.uwtsd.ac.uk/pluginfile.php/249695/mod_resource/content/1/PIRAPPPRESENTATION.pdf" TargetMode="External" Id="Ra30a1ff0bebd4235" /><Relationship Type="http://schemas.openxmlformats.org/officeDocument/2006/relationships/hyperlink" Target="http://news.bbc.co.uk/1/hi/northern_ireland/2132219.stm" TargetMode="External" Id="Rb98a37c1539c4af6" /><Relationship Type="http://schemas.openxmlformats.org/officeDocument/2006/relationships/hyperlink" Target="https://www.nimmonsconsulting.com/wp-content/uploads/2019/05/PIRA-a-brief-profile-of-the-Provisional-IRA.pdf" TargetMode="External" Id="Re125560ea04446ba" /><Relationship Type="http://schemas.openxmlformats.org/officeDocument/2006/relationships/hyperlink" Target="https://www.sipri.org/sites/default/files/023-32%20Essay%201.pdf" TargetMode="External" Id="Ra4cac816d9654c1d" /><Relationship Type="http://schemas.openxmlformats.org/officeDocument/2006/relationships/hyperlink" Target="https://search-proquest-com.ezproxy.uwtsd.ac.uk/docview/878729598?pq-origsite=primo&amp;accountid=130472" TargetMode="External" Id="R5b9d725582664292" /><Relationship Type="http://schemas.openxmlformats.org/officeDocument/2006/relationships/hyperlink" Target="https://www.unodc.org/documents/e4j/18-04932_CT_Mod_01_ebook_FINALpdf.pdf" TargetMode="External" Id="R9f8302617d7844ec" /><Relationship Type="http://schemas.openxmlformats.org/officeDocument/2006/relationships/hyperlink" Target="https://www.tandfonline.com/doi/abs/10.1080/09546559708427385" TargetMode="External" Id="R5188caa5339a4841" /><Relationship Type="http://schemas.openxmlformats.org/officeDocument/2006/relationships/hyperlink" Target="https://www.tandfonline.com/doi/abs/10.1080/09546559708427406" TargetMode="External" Id="Rbac28791bf5e4882" /><Relationship Type="http://schemas.openxmlformats.org/officeDocument/2006/relationships/numbering" Target="/word/numbering.xml" Id="R404ba17eab784e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2021-02-22T12:53:57.6329791Z</dcterms:created>
  <dcterms:modified xsi:type="dcterms:W3CDTF">2021-03-05T22:03:46.5121317Z</dcterms:modified>
  <dc:creator>Jessica Parry (1901894)</dc:creator>
  <lastModifiedBy>Jessica Parry (1901894)</lastModifiedBy>
</coreProperties>
</file>