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E47C4" w14:textId="77777777" w:rsidR="00CC6323" w:rsidRPr="00CC6323" w:rsidRDefault="00CC6323" w:rsidP="00CC6323">
      <w:pPr>
        <w:spacing w:line="480" w:lineRule="auto"/>
        <w:jc w:val="both"/>
        <w:rPr>
          <w:rFonts w:asciiTheme="majorHAnsi" w:eastAsia="Times New Roman" w:hAnsiTheme="majorHAnsi" w:cstheme="majorHAnsi"/>
          <w:b/>
          <w:sz w:val="24"/>
          <w:szCs w:val="24"/>
        </w:rPr>
      </w:pPr>
      <w:r w:rsidRPr="00CC6323">
        <w:rPr>
          <w:rFonts w:asciiTheme="majorHAnsi" w:eastAsia="Times New Roman" w:hAnsiTheme="majorHAnsi" w:cstheme="majorHAnsi"/>
          <w:b/>
          <w:noProof/>
          <w:sz w:val="24"/>
          <w:szCs w:val="24"/>
        </w:rPr>
        <w:drawing>
          <wp:anchor distT="0" distB="0" distL="114300" distR="114300" simplePos="0" relativeHeight="251659264" behindDoc="0" locked="0" layoutInCell="1" allowOverlap="1" wp14:anchorId="18734BFE" wp14:editId="1A370D8B">
            <wp:simplePos x="914400" y="914400"/>
            <wp:positionH relativeFrom="margin">
              <wp:align>left</wp:align>
            </wp:positionH>
            <wp:positionV relativeFrom="margin">
              <wp:align>top</wp:align>
            </wp:positionV>
            <wp:extent cx="4514850" cy="11239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backgroundRemoval t="10000" b="90000" l="10000" r="90000">
                                  <a14:foregroundMark x1="43249" y1="19492" x2="43038" y2="48305"/>
                                  <a14:foregroundMark x1="43882" y1="22034" x2="41772" y2="67797"/>
                                  <a14:foregroundMark x1="41772" y1="67797" x2="45148" y2="26271"/>
                                  <a14:foregroundMark x1="45148" y1="26271" x2="56118" y2="20339"/>
                                  <a14:foregroundMark x1="56118" y1="20339" x2="66878" y2="20339"/>
                                  <a14:foregroundMark x1="66878" y1="20339" x2="70464" y2="62712"/>
                                  <a14:foregroundMark x1="70464" y1="62712" x2="60127" y2="74576"/>
                                  <a14:foregroundMark x1="60127" y1="74576" x2="48945" y2="74576"/>
                                  <a14:foregroundMark x1="48945" y1="74576" x2="43038" y2="37288"/>
                                  <a14:foregroundMark x1="43038" y1="37288" x2="55063" y2="22034"/>
                                  <a14:foregroundMark x1="55063" y1="22034" x2="65823" y2="22034"/>
                                  <a14:foregroundMark x1="65823" y1="22034" x2="54219" y2="32203"/>
                                  <a14:foregroundMark x1="54219" y1="32203" x2="66034" y2="26271"/>
                                  <a14:foregroundMark x1="66034" y1="26271" x2="44515" y2="35593"/>
                                  <a14:foregroundMark x1="44515" y1="35593" x2="55485" y2="33051"/>
                                  <a14:foregroundMark x1="55485" y1="33051" x2="66456" y2="38136"/>
                                  <a14:foregroundMark x1="66456" y1="38136" x2="43671" y2="39831"/>
                                  <a14:foregroundMark x1="43671" y1="39831" x2="67932" y2="36441"/>
                                  <a14:foregroundMark x1="67932" y1="36441" x2="44515" y2="45763"/>
                                  <a14:foregroundMark x1="44515" y1="45763" x2="54008" y2="70339"/>
                                  <a14:foregroundMark x1="54008" y1="70339" x2="35021" y2="73729"/>
                                  <a14:foregroundMark x1="35021" y1="73729" x2="51266" y2="73729"/>
                                  <a14:foregroundMark x1="51266" y1="73729" x2="62236" y2="69492"/>
                                  <a14:foregroundMark x1="62236" y1="69492" x2="51266" y2="66102"/>
                                  <a14:foregroundMark x1="51266" y1="66102" x2="61603" y2="52542"/>
                                  <a14:foregroundMark x1="61603" y1="52542" x2="40295" y2="58475"/>
                                  <a14:foregroundMark x1="40295" y1="58475" x2="55063" y2="60169"/>
                                  <a14:foregroundMark x1="55063" y1="60169" x2="45570" y2="41525"/>
                                  <a14:foregroundMark x1="45570" y1="41525" x2="58439" y2="37288"/>
                                  <a14:foregroundMark x1="58439" y1="37288" x2="48734" y2="60169"/>
                                  <a14:foregroundMark x1="48734" y1="60169" x2="60549" y2="58475"/>
                                  <a14:foregroundMark x1="60549" y1="58475" x2="71941" y2="72881"/>
                                  <a14:foregroundMark x1="71941" y1="72881" x2="61181" y2="62712"/>
                                  <a14:foregroundMark x1="61181" y1="62712" x2="70042" y2="38983"/>
                                  <a14:foregroundMark x1="70042" y1="38983" x2="61814" y2="52542"/>
                                  <a14:foregroundMark x1="65401" y1="19492" x2="72363" y2="52542"/>
                                  <a14:foregroundMark x1="72363" y1="52542" x2="62447" y2="73729"/>
                                  <a14:foregroundMark x1="62447" y1="73729" x2="60127" y2="73729"/>
                                  <a14:foregroundMark x1="68143" y1="22034" x2="72785" y2="64407"/>
                                  <a14:foregroundMark x1="72785" y1="64407" x2="70464" y2="20339"/>
                                  <a14:foregroundMark x1="70464" y1="20339" x2="68987" y2="26271"/>
                                  <a14:foregroundMark x1="72363" y1="21186" x2="71308" y2="65254"/>
                                  <a14:foregroundMark x1="71308" y1="65254" x2="71519" y2="16102"/>
                                  <a14:foregroundMark x1="62869" y1="70339" x2="73418" y2="76271"/>
                                  <a14:foregroundMark x1="73418" y1="76271" x2="70675" y2="71186"/>
                                  <a14:foregroundMark x1="68143" y1="72881" x2="61181" y2="75424"/>
                                  <a14:foregroundMark x1="29325" y1="20339" x2="31013" y2="64407"/>
                                  <a14:foregroundMark x1="31013" y1="64407" x2="35232" y2="79661"/>
                                  <a14:foregroundMark x1="35232" y1="80508" x2="28903" y2="45763"/>
                                  <a14:foregroundMark x1="28903" y1="45763" x2="28903" y2="18644"/>
                                  <a14:foregroundMark x1="28903" y1="18644" x2="42616" y2="18644"/>
                                  <a14:foregroundMark x1="29325" y1="39831" x2="33966" y2="78814"/>
                                  <a14:foregroundMark x1="33966" y1="78814" x2="35443" y2="83898"/>
                                  <a14:foregroundMark x1="35654" y1="83898" x2="29325" y2="45763"/>
                                  <a14:foregroundMark x1="29325" y1="45763" x2="29325" y2="44915"/>
                                  <a14:foregroundMark x1="29114" y1="44068" x2="33544" y2="78814"/>
                                  <a14:foregroundMark x1="29958" y1="46610" x2="32700" y2="88136"/>
                                  <a14:foregroundMark x1="32700" y1="88136" x2="32911" y2="86441"/>
                                  <a14:foregroundMark x1="28903" y1="49153" x2="33333" y2="73729"/>
                                  <a14:foregroundMark x1="28692" y1="44915" x2="32068" y2="76271"/>
                                  <a14:foregroundMark x1="27637" y1="48305" x2="32489" y2="75424"/>
                                  <a14:foregroundMark x1="35232" y1="77966" x2="41561" y2="72034"/>
                                  <a14:foregroundMark x1="38186" y1="77119" x2="42405" y2="80508"/>
                                  <a14:foregroundMark x1="36287" y1="84746" x2="44093" y2="83051"/>
                                  <a14:foregroundMark x1="34599" y1="83051" x2="45781" y2="79661"/>
                                  <a14:foregroundMark x1="45781" y1="79661" x2="45781" y2="7966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514850" cy="1123950"/>
                    </a:xfrm>
                    <a:prstGeom prst="rect">
                      <a:avLst/>
                    </a:prstGeom>
                    <a:noFill/>
                    <a:ln>
                      <a:noFill/>
                    </a:ln>
                  </pic:spPr>
                </pic:pic>
              </a:graphicData>
            </a:graphic>
            <wp14:sizeRelH relativeFrom="margin">
              <wp14:pctWidth>0</wp14:pctWidth>
            </wp14:sizeRelH>
          </wp:anchor>
        </w:drawing>
      </w:r>
    </w:p>
    <w:p w14:paraId="1293EBC5" w14:textId="77777777" w:rsidR="00CC6323" w:rsidRPr="00CC6323" w:rsidRDefault="00CC6323" w:rsidP="00CC6323">
      <w:pPr>
        <w:spacing w:line="480" w:lineRule="auto"/>
        <w:jc w:val="both"/>
        <w:rPr>
          <w:rFonts w:asciiTheme="majorHAnsi" w:eastAsia="Times New Roman" w:hAnsiTheme="majorHAnsi" w:cstheme="majorHAnsi"/>
          <w:b/>
          <w:sz w:val="24"/>
          <w:szCs w:val="24"/>
        </w:rPr>
      </w:pPr>
    </w:p>
    <w:p w14:paraId="4FC89592" w14:textId="77777777" w:rsidR="00CC6323" w:rsidRPr="00CC6323" w:rsidRDefault="00CC6323" w:rsidP="00CC6323">
      <w:pPr>
        <w:spacing w:line="480" w:lineRule="auto"/>
        <w:jc w:val="both"/>
        <w:rPr>
          <w:rFonts w:asciiTheme="majorHAnsi" w:eastAsia="Times New Roman" w:hAnsiTheme="majorHAnsi" w:cstheme="majorHAnsi"/>
          <w:b/>
          <w:sz w:val="24"/>
          <w:szCs w:val="24"/>
        </w:rPr>
      </w:pPr>
    </w:p>
    <w:p w14:paraId="5D1ED3EF" w14:textId="77777777" w:rsidR="00CC6323" w:rsidRPr="00CC6323" w:rsidRDefault="00CC6323" w:rsidP="00CC6323">
      <w:pPr>
        <w:spacing w:line="480" w:lineRule="auto"/>
        <w:jc w:val="both"/>
        <w:rPr>
          <w:rFonts w:asciiTheme="majorHAnsi" w:eastAsia="Times New Roman" w:hAnsiTheme="majorHAnsi" w:cstheme="majorHAnsi"/>
          <w:b/>
          <w:sz w:val="24"/>
          <w:szCs w:val="24"/>
        </w:rPr>
      </w:pPr>
    </w:p>
    <w:p w14:paraId="02B5661F" w14:textId="77777777" w:rsidR="00CC6323" w:rsidRPr="00CC6323" w:rsidRDefault="00CC6323" w:rsidP="00CC6323">
      <w:pPr>
        <w:pStyle w:val="Title"/>
        <w:jc w:val="center"/>
        <w:rPr>
          <w:rFonts w:asciiTheme="majorHAnsi" w:hAnsiTheme="majorHAnsi" w:cstheme="majorHAnsi"/>
        </w:rPr>
      </w:pPr>
      <w:r w:rsidRPr="00CC6323">
        <w:rPr>
          <w:rFonts w:asciiTheme="majorHAnsi" w:hAnsiTheme="majorHAnsi" w:cstheme="majorHAnsi"/>
        </w:rPr>
        <w:t>Problem Solving and Decision Making</w:t>
      </w:r>
    </w:p>
    <w:p w14:paraId="041B7521" w14:textId="77777777" w:rsidR="00CC6323" w:rsidRPr="00CC6323" w:rsidRDefault="00CC6323" w:rsidP="00CC6323">
      <w:pPr>
        <w:pStyle w:val="Title"/>
        <w:jc w:val="center"/>
        <w:rPr>
          <w:rFonts w:asciiTheme="majorHAnsi" w:hAnsiTheme="majorHAnsi" w:cstheme="majorHAnsi"/>
        </w:rPr>
      </w:pPr>
      <w:r w:rsidRPr="00CC6323">
        <w:rPr>
          <w:rFonts w:asciiTheme="majorHAnsi" w:hAnsiTheme="majorHAnsi" w:cstheme="majorHAnsi"/>
        </w:rPr>
        <w:t>BMSW4004</w:t>
      </w:r>
    </w:p>
    <w:p w14:paraId="2C691981" w14:textId="77777777" w:rsidR="00CC6323" w:rsidRPr="00CC6323" w:rsidRDefault="00CC6323" w:rsidP="00CC6323">
      <w:pPr>
        <w:spacing w:line="480" w:lineRule="auto"/>
        <w:jc w:val="center"/>
        <w:rPr>
          <w:rFonts w:asciiTheme="majorHAnsi" w:eastAsia="Times New Roman" w:hAnsiTheme="majorHAnsi" w:cstheme="majorHAnsi"/>
          <w:sz w:val="24"/>
          <w:szCs w:val="24"/>
        </w:rPr>
      </w:pPr>
    </w:p>
    <w:p w14:paraId="57044245" w14:textId="77777777" w:rsidR="00CC6323" w:rsidRPr="00CC6323" w:rsidRDefault="00CC6323" w:rsidP="00CC6323">
      <w:pPr>
        <w:spacing w:line="480" w:lineRule="auto"/>
        <w:jc w:val="center"/>
        <w:rPr>
          <w:rFonts w:asciiTheme="majorHAnsi" w:eastAsia="Times New Roman" w:hAnsiTheme="majorHAnsi" w:cstheme="majorHAnsi"/>
          <w:b/>
          <w:bCs/>
          <w:sz w:val="40"/>
          <w:szCs w:val="40"/>
        </w:rPr>
      </w:pPr>
      <w:r w:rsidRPr="00CC6323">
        <w:rPr>
          <w:rFonts w:asciiTheme="majorHAnsi" w:eastAsia="Times New Roman" w:hAnsiTheme="majorHAnsi" w:cstheme="majorHAnsi"/>
          <w:b/>
          <w:bCs/>
          <w:sz w:val="40"/>
          <w:szCs w:val="40"/>
        </w:rPr>
        <w:t xml:space="preserve">Lecturer: </w:t>
      </w:r>
      <w:proofErr w:type="spellStart"/>
      <w:r w:rsidRPr="00CC6323">
        <w:rPr>
          <w:rFonts w:asciiTheme="majorHAnsi" w:eastAsia="Times New Roman" w:hAnsiTheme="majorHAnsi" w:cstheme="majorHAnsi"/>
          <w:b/>
          <w:bCs/>
          <w:sz w:val="40"/>
          <w:szCs w:val="40"/>
        </w:rPr>
        <w:t>Adesewa</w:t>
      </w:r>
      <w:proofErr w:type="spellEnd"/>
      <w:r w:rsidRPr="00CC6323">
        <w:rPr>
          <w:rFonts w:asciiTheme="majorHAnsi" w:eastAsia="Times New Roman" w:hAnsiTheme="majorHAnsi" w:cstheme="majorHAnsi"/>
          <w:b/>
          <w:bCs/>
          <w:sz w:val="40"/>
          <w:szCs w:val="40"/>
        </w:rPr>
        <w:t xml:space="preserve"> Ajayi</w:t>
      </w:r>
    </w:p>
    <w:p w14:paraId="596F288B" w14:textId="3D6D756E" w:rsidR="00CC6323" w:rsidRPr="00CC6323" w:rsidRDefault="00CC6323" w:rsidP="00CC6323">
      <w:pPr>
        <w:spacing w:line="480" w:lineRule="auto"/>
        <w:jc w:val="center"/>
        <w:rPr>
          <w:rFonts w:asciiTheme="majorHAnsi" w:eastAsia="Times New Roman" w:hAnsiTheme="majorHAnsi" w:cstheme="majorHAnsi"/>
          <w:b/>
          <w:bCs/>
          <w:sz w:val="32"/>
          <w:szCs w:val="32"/>
        </w:rPr>
      </w:pPr>
      <w:r w:rsidRPr="00CC6323">
        <w:rPr>
          <w:rFonts w:asciiTheme="majorHAnsi" w:eastAsia="Times New Roman" w:hAnsiTheme="majorHAnsi" w:cstheme="majorHAnsi"/>
          <w:b/>
          <w:bCs/>
          <w:sz w:val="32"/>
          <w:szCs w:val="32"/>
        </w:rPr>
        <w:t>Student Name: Sorina Melescanu 1914618</w:t>
      </w:r>
    </w:p>
    <w:p w14:paraId="2B3EC75E" w14:textId="227322CA" w:rsidR="00CC6323" w:rsidRPr="00CC6323" w:rsidRDefault="00CC6323">
      <w:pPr>
        <w:rPr>
          <w:rFonts w:asciiTheme="majorHAnsi" w:eastAsia="Times New Roman" w:hAnsiTheme="majorHAnsi" w:cstheme="majorHAnsi"/>
          <w:b/>
          <w:bCs/>
          <w:sz w:val="32"/>
          <w:szCs w:val="32"/>
        </w:rPr>
      </w:pPr>
      <w:r w:rsidRPr="00CC6323">
        <w:rPr>
          <w:rFonts w:asciiTheme="majorHAnsi" w:eastAsia="Times New Roman" w:hAnsiTheme="majorHAnsi" w:cstheme="majorHAnsi"/>
          <w:b/>
          <w:bCs/>
          <w:sz w:val="32"/>
          <w:szCs w:val="32"/>
        </w:rPr>
        <w:br w:type="page"/>
      </w:r>
    </w:p>
    <w:p w14:paraId="0000001B" w14:textId="77777777" w:rsidR="0071630F" w:rsidRPr="00CC6323" w:rsidRDefault="00CF2EA7" w:rsidP="00CC6323">
      <w:pPr>
        <w:spacing w:line="480" w:lineRule="auto"/>
        <w:rPr>
          <w:rFonts w:asciiTheme="majorHAnsi" w:eastAsia="Times New Roman" w:hAnsiTheme="majorHAnsi" w:cstheme="majorHAnsi"/>
          <w:b/>
          <w:sz w:val="24"/>
          <w:szCs w:val="24"/>
        </w:rPr>
      </w:pPr>
      <w:r w:rsidRPr="00CC6323">
        <w:rPr>
          <w:rFonts w:asciiTheme="majorHAnsi" w:eastAsia="Times New Roman" w:hAnsiTheme="majorHAnsi" w:cstheme="majorHAnsi"/>
          <w:b/>
          <w:sz w:val="28"/>
          <w:szCs w:val="28"/>
        </w:rPr>
        <w:lastRenderedPageBreak/>
        <w:t>Introduction</w:t>
      </w:r>
    </w:p>
    <w:p w14:paraId="0000001C" w14:textId="4FB3DE02" w:rsidR="0071630F"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r>
      <w:r w:rsidR="00BD5B42">
        <w:rPr>
          <w:rFonts w:asciiTheme="majorHAnsi" w:eastAsia="Times New Roman" w:hAnsiTheme="majorHAnsi" w:cstheme="majorHAnsi"/>
          <w:sz w:val="24"/>
          <w:szCs w:val="24"/>
        </w:rPr>
        <w:t xml:space="preserve">The pandemic presents both challenges and opportunities to modern organisations, but one cannot form an accurate picture of the situation without looking at its impact on the modern workforce, which is </w:t>
      </w:r>
      <w:r w:rsidRPr="00CC6323">
        <w:rPr>
          <w:rFonts w:asciiTheme="majorHAnsi" w:eastAsia="Times New Roman" w:hAnsiTheme="majorHAnsi" w:cstheme="majorHAnsi"/>
          <w:sz w:val="24"/>
          <w:szCs w:val="24"/>
        </w:rPr>
        <w:t xml:space="preserve">expressed </w:t>
      </w:r>
      <w:r w:rsidR="00BD5B42">
        <w:rPr>
          <w:rFonts w:asciiTheme="majorHAnsi" w:eastAsia="Times New Roman" w:hAnsiTheme="majorHAnsi" w:cstheme="majorHAnsi"/>
          <w:sz w:val="24"/>
          <w:szCs w:val="24"/>
        </w:rPr>
        <w:t xml:space="preserve">by </w:t>
      </w:r>
      <w:r w:rsidRPr="00CC6323">
        <w:rPr>
          <w:rFonts w:asciiTheme="majorHAnsi" w:eastAsia="Times New Roman" w:hAnsiTheme="majorHAnsi" w:cstheme="majorHAnsi"/>
          <w:sz w:val="24"/>
          <w:szCs w:val="24"/>
        </w:rPr>
        <w:t>the high rate of dissatisfaction among workers in the United Kingdom (</w:t>
      </w:r>
      <w:proofErr w:type="spellStart"/>
      <w:r w:rsidRPr="00CC6323">
        <w:rPr>
          <w:rFonts w:asciiTheme="majorHAnsi" w:eastAsia="Times New Roman" w:hAnsiTheme="majorHAnsi" w:cstheme="majorHAnsi"/>
          <w:sz w:val="24"/>
          <w:szCs w:val="24"/>
        </w:rPr>
        <w:t>Nwobia</w:t>
      </w:r>
      <w:proofErr w:type="spellEnd"/>
      <w:r w:rsidRPr="00CC6323">
        <w:rPr>
          <w:rFonts w:asciiTheme="majorHAnsi" w:eastAsia="Times New Roman" w:hAnsiTheme="majorHAnsi" w:cstheme="majorHAnsi"/>
          <w:sz w:val="24"/>
          <w:szCs w:val="24"/>
        </w:rPr>
        <w:t xml:space="preserve"> and </w:t>
      </w:r>
      <w:proofErr w:type="spellStart"/>
      <w:r w:rsidRPr="00CC6323">
        <w:rPr>
          <w:rFonts w:asciiTheme="majorHAnsi" w:eastAsia="Times New Roman" w:hAnsiTheme="majorHAnsi" w:cstheme="majorHAnsi"/>
          <w:sz w:val="24"/>
          <w:szCs w:val="24"/>
        </w:rPr>
        <w:t>Aljohani</w:t>
      </w:r>
      <w:proofErr w:type="spellEnd"/>
      <w:r w:rsidRPr="00CC6323">
        <w:rPr>
          <w:rFonts w:asciiTheme="majorHAnsi" w:eastAsia="Times New Roman" w:hAnsiTheme="majorHAnsi" w:cstheme="majorHAnsi"/>
          <w:sz w:val="24"/>
          <w:szCs w:val="24"/>
        </w:rPr>
        <w:t>, 2017, p. 136). The high rate of dissatisfaction and unhappiness at work causes these employees to actively look for other employment opportunities</w:t>
      </w:r>
      <w:r w:rsidR="00BD5B42">
        <w:rPr>
          <w:rFonts w:asciiTheme="majorHAnsi" w:eastAsia="Times New Roman" w:hAnsiTheme="majorHAnsi" w:cstheme="majorHAnsi"/>
          <w:sz w:val="24"/>
          <w:szCs w:val="24"/>
        </w:rPr>
        <w:t>, which</w:t>
      </w:r>
      <w:r w:rsidRPr="00CC6323">
        <w:rPr>
          <w:rFonts w:asciiTheme="majorHAnsi" w:eastAsia="Times New Roman" w:hAnsiTheme="majorHAnsi" w:cstheme="majorHAnsi"/>
          <w:sz w:val="24"/>
          <w:szCs w:val="24"/>
        </w:rPr>
        <w:t xml:space="preserve"> lower</w:t>
      </w:r>
      <w:r w:rsidR="00BD5B42">
        <w:rPr>
          <w:rFonts w:asciiTheme="majorHAnsi" w:eastAsia="Times New Roman" w:hAnsiTheme="majorHAnsi" w:cstheme="majorHAnsi"/>
          <w:sz w:val="24"/>
          <w:szCs w:val="24"/>
        </w:rPr>
        <w:t xml:space="preserve">s </w:t>
      </w:r>
      <w:r w:rsidRPr="00CC6323">
        <w:rPr>
          <w:rFonts w:asciiTheme="majorHAnsi" w:eastAsia="Times New Roman" w:hAnsiTheme="majorHAnsi" w:cstheme="majorHAnsi"/>
          <w:sz w:val="24"/>
          <w:szCs w:val="24"/>
        </w:rPr>
        <w:t xml:space="preserve">their productivity and value generated for their employers. These feelings are caused by a variety of factors where employee </w:t>
      </w:r>
      <w:proofErr w:type="gramStart"/>
      <w:r w:rsidRPr="00CC6323">
        <w:rPr>
          <w:rFonts w:asciiTheme="majorHAnsi" w:eastAsia="Times New Roman" w:hAnsiTheme="majorHAnsi" w:cstheme="majorHAnsi"/>
          <w:sz w:val="24"/>
          <w:szCs w:val="24"/>
        </w:rPr>
        <w:t>needs</w:t>
      </w:r>
      <w:proofErr w:type="gramEnd"/>
      <w:r w:rsidRPr="00CC6323">
        <w:rPr>
          <w:rFonts w:asciiTheme="majorHAnsi" w:eastAsia="Times New Roman" w:hAnsiTheme="majorHAnsi" w:cstheme="majorHAnsi"/>
          <w:sz w:val="24"/>
          <w:szCs w:val="24"/>
        </w:rPr>
        <w:t xml:space="preserve"> and perspectives are overlooked leading to employees feeling undervalued and translating into stress and tensions at the workplace. The purpose of this </w:t>
      </w:r>
      <w:r w:rsidR="00BD5B42">
        <w:rPr>
          <w:rFonts w:asciiTheme="majorHAnsi" w:eastAsia="Times New Roman" w:hAnsiTheme="majorHAnsi" w:cstheme="majorHAnsi"/>
          <w:sz w:val="24"/>
          <w:szCs w:val="24"/>
        </w:rPr>
        <w:t>analysis</w:t>
      </w:r>
      <w:r w:rsidRPr="00CC6323">
        <w:rPr>
          <w:rFonts w:asciiTheme="majorHAnsi" w:eastAsia="Times New Roman" w:hAnsiTheme="majorHAnsi" w:cstheme="majorHAnsi"/>
          <w:sz w:val="24"/>
          <w:szCs w:val="24"/>
        </w:rPr>
        <w:t xml:space="preserve"> is to explore how workplace dissatisfaction emerges as a challenge facing modern organizations and tools and strategies that could minimize these adverse impacts. The </w:t>
      </w:r>
      <w:r w:rsidR="00BD5B42">
        <w:rPr>
          <w:rFonts w:asciiTheme="majorHAnsi" w:eastAsia="Times New Roman" w:hAnsiTheme="majorHAnsi" w:cstheme="majorHAnsi"/>
          <w:sz w:val="24"/>
          <w:szCs w:val="24"/>
        </w:rPr>
        <w:t>analysis</w:t>
      </w:r>
      <w:r w:rsidRPr="00CC6323">
        <w:rPr>
          <w:rFonts w:asciiTheme="majorHAnsi" w:eastAsia="Times New Roman" w:hAnsiTheme="majorHAnsi" w:cstheme="majorHAnsi"/>
          <w:sz w:val="24"/>
          <w:szCs w:val="24"/>
        </w:rPr>
        <w:t xml:space="preserve"> will then conclude by exploring alternative solutions, their implementation, benefits and business advantages to stakeholders and a review and monitoring framework after the plan is successfully integrated into the company operations.</w:t>
      </w:r>
    </w:p>
    <w:p w14:paraId="71E9F52D" w14:textId="77777777" w:rsidR="00CC6323" w:rsidRPr="00CC6323" w:rsidRDefault="00CC6323">
      <w:pPr>
        <w:spacing w:line="480" w:lineRule="auto"/>
        <w:rPr>
          <w:rFonts w:asciiTheme="majorHAnsi" w:eastAsia="Times New Roman" w:hAnsiTheme="majorHAnsi" w:cstheme="majorHAnsi"/>
          <w:sz w:val="24"/>
          <w:szCs w:val="24"/>
        </w:rPr>
      </w:pPr>
    </w:p>
    <w:p w14:paraId="0000001D" w14:textId="77777777" w:rsidR="0071630F" w:rsidRPr="00BD5B42" w:rsidRDefault="00CF2EA7" w:rsidP="00CC6323">
      <w:pPr>
        <w:spacing w:line="480" w:lineRule="auto"/>
        <w:rPr>
          <w:rFonts w:asciiTheme="majorHAnsi" w:eastAsia="Times New Roman" w:hAnsiTheme="majorHAnsi" w:cstheme="majorHAnsi"/>
          <w:b/>
          <w:sz w:val="28"/>
          <w:szCs w:val="28"/>
        </w:rPr>
      </w:pPr>
      <w:r w:rsidRPr="00BD5B42">
        <w:rPr>
          <w:rFonts w:asciiTheme="majorHAnsi" w:eastAsia="Times New Roman" w:hAnsiTheme="majorHAnsi" w:cstheme="majorHAnsi"/>
          <w:b/>
          <w:sz w:val="28"/>
          <w:szCs w:val="28"/>
        </w:rPr>
        <w:t>Background of the Problem</w:t>
      </w:r>
    </w:p>
    <w:p w14:paraId="0000001E" w14:textId="366A731A" w:rsidR="0071630F" w:rsidRPr="00CC6323"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Organizations typically have the responsibility to create a comfortable working environment by managing the pressures and demands placed on employees. The challenge emerges with recent statistics</w:t>
      </w:r>
      <w:r w:rsidR="00BD5B42">
        <w:rPr>
          <w:rFonts w:asciiTheme="majorHAnsi" w:eastAsia="Times New Roman" w:hAnsiTheme="majorHAnsi" w:cstheme="majorHAnsi"/>
          <w:sz w:val="24"/>
          <w:szCs w:val="24"/>
        </w:rPr>
        <w:t>,</w:t>
      </w:r>
      <w:r w:rsidRPr="00CC6323">
        <w:rPr>
          <w:rFonts w:asciiTheme="majorHAnsi" w:eastAsia="Times New Roman" w:hAnsiTheme="majorHAnsi" w:cstheme="majorHAnsi"/>
          <w:sz w:val="24"/>
          <w:szCs w:val="24"/>
        </w:rPr>
        <w:t xml:space="preserve"> that show a large portion of the working environment consists of individuals who express varying degrees and levels of dissatisfaction with their working environment. The survey explored the feelings of the participating employees who experienced a feeling of fear associated with coming back to work after weekends or leave </w:t>
      </w:r>
      <w:r w:rsidRPr="00CC6323">
        <w:rPr>
          <w:rFonts w:asciiTheme="majorHAnsi" w:eastAsia="Times New Roman" w:hAnsiTheme="majorHAnsi" w:cstheme="majorHAnsi"/>
          <w:sz w:val="24"/>
          <w:szCs w:val="24"/>
        </w:rPr>
        <w:lastRenderedPageBreak/>
        <w:t xml:space="preserve">periods. Another question asked to the participants explored the attitudes of the workers towards their present employers, revealing that a section of employees </w:t>
      </w:r>
      <w:proofErr w:type="gramStart"/>
      <w:r w:rsidRPr="00CC6323">
        <w:rPr>
          <w:rFonts w:asciiTheme="majorHAnsi" w:eastAsia="Times New Roman" w:hAnsiTheme="majorHAnsi" w:cstheme="majorHAnsi"/>
          <w:sz w:val="24"/>
          <w:szCs w:val="24"/>
        </w:rPr>
        <w:t>are</w:t>
      </w:r>
      <w:proofErr w:type="gramEnd"/>
      <w:r w:rsidRPr="00CC6323">
        <w:rPr>
          <w:rFonts w:asciiTheme="majorHAnsi" w:eastAsia="Times New Roman" w:hAnsiTheme="majorHAnsi" w:cstheme="majorHAnsi"/>
          <w:sz w:val="24"/>
          <w:szCs w:val="24"/>
        </w:rPr>
        <w:t xml:space="preserve"> actively looking for employment and new jobs. Based on thes</w:t>
      </w:r>
      <w:r w:rsidR="00BD5B42">
        <w:rPr>
          <w:rFonts w:asciiTheme="majorHAnsi" w:eastAsia="Times New Roman" w:hAnsiTheme="majorHAnsi" w:cstheme="majorHAnsi"/>
          <w:sz w:val="24"/>
          <w:szCs w:val="24"/>
        </w:rPr>
        <w:t>e</w:t>
      </w:r>
      <w:r w:rsidRPr="00CC6323">
        <w:rPr>
          <w:rFonts w:asciiTheme="majorHAnsi" w:eastAsia="Times New Roman" w:hAnsiTheme="majorHAnsi" w:cstheme="majorHAnsi"/>
          <w:sz w:val="24"/>
          <w:szCs w:val="24"/>
        </w:rPr>
        <w:t xml:space="preserve"> statistics, </w:t>
      </w:r>
      <w:proofErr w:type="gramStart"/>
      <w:r w:rsidRPr="00CC6323">
        <w:rPr>
          <w:rFonts w:asciiTheme="majorHAnsi" w:eastAsia="Times New Roman" w:hAnsiTheme="majorHAnsi" w:cstheme="majorHAnsi"/>
          <w:sz w:val="24"/>
          <w:szCs w:val="24"/>
        </w:rPr>
        <w:t>it is clear that stress</w:t>
      </w:r>
      <w:proofErr w:type="gramEnd"/>
      <w:r w:rsidRPr="00CC6323">
        <w:rPr>
          <w:rFonts w:asciiTheme="majorHAnsi" w:eastAsia="Times New Roman" w:hAnsiTheme="majorHAnsi" w:cstheme="majorHAnsi"/>
          <w:sz w:val="24"/>
          <w:szCs w:val="24"/>
        </w:rPr>
        <w:t xml:space="preserve"> at the workplace poses a serious threat and challenge to modern workplaces</w:t>
      </w:r>
      <w:r w:rsidR="00BD5B42">
        <w:rPr>
          <w:rFonts w:asciiTheme="majorHAnsi" w:eastAsia="Times New Roman" w:hAnsiTheme="majorHAnsi" w:cstheme="majorHAnsi"/>
          <w:sz w:val="24"/>
          <w:szCs w:val="24"/>
        </w:rPr>
        <w:t>,</w:t>
      </w:r>
      <w:r w:rsidRPr="00CC6323">
        <w:rPr>
          <w:rFonts w:asciiTheme="majorHAnsi" w:eastAsia="Times New Roman" w:hAnsiTheme="majorHAnsi" w:cstheme="majorHAnsi"/>
          <w:sz w:val="24"/>
          <w:szCs w:val="24"/>
        </w:rPr>
        <w:t xml:space="preserve"> requiring urgent action.</w:t>
      </w:r>
    </w:p>
    <w:p w14:paraId="0000001F" w14:textId="72B2C76C" w:rsidR="0071630F" w:rsidRPr="00CC6323"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 xml:space="preserve">The </w:t>
      </w:r>
      <w:r w:rsidR="00DD0D4D">
        <w:rPr>
          <w:rFonts w:asciiTheme="majorHAnsi" w:eastAsia="Times New Roman" w:hAnsiTheme="majorHAnsi" w:cstheme="majorHAnsi"/>
          <w:sz w:val="24"/>
          <w:szCs w:val="24"/>
        </w:rPr>
        <w:t xml:space="preserve">result of the stress placed on employees </w:t>
      </w:r>
      <w:r w:rsidRPr="00CC6323">
        <w:rPr>
          <w:rFonts w:asciiTheme="majorHAnsi" w:eastAsia="Times New Roman" w:hAnsiTheme="majorHAnsi" w:cstheme="majorHAnsi"/>
          <w:sz w:val="24"/>
          <w:szCs w:val="24"/>
        </w:rPr>
        <w:t>in modern organizations involve altered sleeping patterns and lack of sleep</w:t>
      </w:r>
      <w:r w:rsidR="00DD0D4D">
        <w:rPr>
          <w:rFonts w:asciiTheme="majorHAnsi" w:eastAsia="Times New Roman" w:hAnsiTheme="majorHAnsi" w:cstheme="majorHAnsi"/>
          <w:sz w:val="24"/>
          <w:szCs w:val="24"/>
        </w:rPr>
        <w:t>.</w:t>
      </w:r>
      <w:r w:rsidRPr="00CC6323">
        <w:rPr>
          <w:rFonts w:asciiTheme="majorHAnsi" w:eastAsia="Times New Roman" w:hAnsiTheme="majorHAnsi" w:cstheme="majorHAnsi"/>
          <w:sz w:val="24"/>
          <w:szCs w:val="24"/>
        </w:rPr>
        <w:t xml:space="preserve"> A significant portion of these individuals experience difficulties tied to pressure at the workplace</w:t>
      </w:r>
      <w:r w:rsidR="00DD0D4D">
        <w:rPr>
          <w:rFonts w:asciiTheme="majorHAnsi" w:eastAsia="Times New Roman" w:hAnsiTheme="majorHAnsi" w:cstheme="majorHAnsi"/>
          <w:sz w:val="24"/>
          <w:szCs w:val="24"/>
        </w:rPr>
        <w:t>,</w:t>
      </w:r>
      <w:r w:rsidRPr="00CC6323">
        <w:rPr>
          <w:rFonts w:asciiTheme="majorHAnsi" w:eastAsia="Times New Roman" w:hAnsiTheme="majorHAnsi" w:cstheme="majorHAnsi"/>
          <w:sz w:val="24"/>
          <w:szCs w:val="24"/>
        </w:rPr>
        <w:t xml:space="preserve"> with the feeling that work takes away from other key aspects of their life (De </w:t>
      </w:r>
      <w:proofErr w:type="spellStart"/>
      <w:r w:rsidRPr="00CC6323">
        <w:rPr>
          <w:rFonts w:asciiTheme="majorHAnsi" w:eastAsia="Times New Roman" w:hAnsiTheme="majorHAnsi" w:cstheme="majorHAnsi"/>
          <w:sz w:val="24"/>
          <w:szCs w:val="24"/>
        </w:rPr>
        <w:t>Clercq</w:t>
      </w:r>
      <w:proofErr w:type="spellEnd"/>
      <w:r w:rsidRPr="00CC6323">
        <w:rPr>
          <w:rFonts w:asciiTheme="majorHAnsi" w:eastAsia="Times New Roman" w:hAnsiTheme="majorHAnsi" w:cstheme="majorHAnsi"/>
          <w:sz w:val="24"/>
          <w:szCs w:val="24"/>
        </w:rPr>
        <w:t xml:space="preserve">, </w:t>
      </w:r>
      <w:proofErr w:type="spellStart"/>
      <w:r w:rsidRPr="00CC6323">
        <w:rPr>
          <w:rFonts w:asciiTheme="majorHAnsi" w:eastAsia="Times New Roman" w:hAnsiTheme="majorHAnsi" w:cstheme="majorHAnsi"/>
          <w:sz w:val="24"/>
          <w:szCs w:val="24"/>
        </w:rPr>
        <w:t>Haq</w:t>
      </w:r>
      <w:proofErr w:type="spellEnd"/>
      <w:r w:rsidRPr="00CC6323">
        <w:rPr>
          <w:rFonts w:asciiTheme="majorHAnsi" w:eastAsia="Times New Roman" w:hAnsiTheme="majorHAnsi" w:cstheme="majorHAnsi"/>
          <w:sz w:val="24"/>
          <w:szCs w:val="24"/>
        </w:rPr>
        <w:t>, Azeem and Ahmad, 2019, p. 507). For individuals whose social lives are impacted by excessive demands from their workplace</w:t>
      </w:r>
      <w:r w:rsidR="002A225F" w:rsidRPr="00CC6323">
        <w:rPr>
          <w:rFonts w:asciiTheme="majorHAnsi" w:eastAsia="Times New Roman" w:hAnsiTheme="majorHAnsi" w:cstheme="majorHAnsi"/>
          <w:sz w:val="24"/>
          <w:szCs w:val="24"/>
        </w:rPr>
        <w:t>,</w:t>
      </w:r>
      <w:r w:rsidRPr="00CC6323">
        <w:rPr>
          <w:rFonts w:asciiTheme="majorHAnsi" w:eastAsia="Times New Roman" w:hAnsiTheme="majorHAnsi" w:cstheme="majorHAnsi"/>
          <w:sz w:val="24"/>
          <w:szCs w:val="24"/>
        </w:rPr>
        <w:t xml:space="preserve"> the challenge lies in implementing a proper work-life balance. More women experience the symptoms associated with workplace stress and dissatisfaction as compared to their male counterparts. Another important point to note is that workplace dissatisfaction is higher in younger, more recent graduates as opposed to older colleagues who work for longer and do not quit as much as younger workers.</w:t>
      </w:r>
    </w:p>
    <w:p w14:paraId="00000020" w14:textId="1F2946FF" w:rsidR="0071630F" w:rsidRPr="00CC6323"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 xml:space="preserve">The participating employees revealed that the feelings of dissatisfaction were tied to the fact that they felt undervalued and unappreciated for the key role that they played in the organizations where they worked. These employees felt that the organizations could put in more effort towards understanding and thinking about their needs and providing for their welfare (Chapman, 2020). For these employees, it can be as simple as recognizing extra effort and commending exemplary performance and consistent results by the management </w:t>
      </w:r>
      <w:r w:rsidR="00E107D9" w:rsidRPr="00CC6323">
        <w:rPr>
          <w:rFonts w:asciiTheme="majorHAnsi" w:eastAsia="Times New Roman" w:hAnsiTheme="majorHAnsi" w:cstheme="majorHAnsi"/>
          <w:sz w:val="24"/>
          <w:szCs w:val="24"/>
        </w:rPr>
        <w:t>for reflecting</w:t>
      </w:r>
      <w:r w:rsidRPr="00CC6323">
        <w:rPr>
          <w:rFonts w:asciiTheme="majorHAnsi" w:eastAsia="Times New Roman" w:hAnsiTheme="majorHAnsi" w:cstheme="majorHAnsi"/>
          <w:sz w:val="24"/>
          <w:szCs w:val="24"/>
        </w:rPr>
        <w:t xml:space="preserve"> in their records and in reviews. Organizations have a responsibility to ensure that the individuals working under </w:t>
      </w:r>
      <w:r w:rsidR="0097699A" w:rsidRPr="00CC6323">
        <w:rPr>
          <w:rFonts w:asciiTheme="majorHAnsi" w:eastAsia="Times New Roman" w:hAnsiTheme="majorHAnsi" w:cstheme="majorHAnsi"/>
          <w:sz w:val="24"/>
          <w:szCs w:val="24"/>
        </w:rPr>
        <w:t>them</w:t>
      </w:r>
      <w:r w:rsidRPr="00CC6323">
        <w:rPr>
          <w:rFonts w:asciiTheme="majorHAnsi" w:eastAsia="Times New Roman" w:hAnsiTheme="majorHAnsi" w:cstheme="majorHAnsi"/>
          <w:sz w:val="24"/>
          <w:szCs w:val="24"/>
        </w:rPr>
        <w:t xml:space="preserve"> feel like they are getting equal value for the input and dedication that they contribute towards meeting and attaining organizational goals and </w:t>
      </w:r>
      <w:r w:rsidRPr="00CC6323">
        <w:rPr>
          <w:rFonts w:asciiTheme="majorHAnsi" w:eastAsia="Times New Roman" w:hAnsiTheme="majorHAnsi" w:cstheme="majorHAnsi"/>
          <w:sz w:val="24"/>
          <w:szCs w:val="24"/>
        </w:rPr>
        <w:lastRenderedPageBreak/>
        <w:t xml:space="preserve">targets. This is more so important for professionals working in the health and safety industry who are central to the operations of commercial organizations. </w:t>
      </w:r>
    </w:p>
    <w:p w14:paraId="00000021" w14:textId="77777777" w:rsidR="0071630F" w:rsidRPr="00CC6323"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 xml:space="preserve">The issue of workplace dissatisfaction is important for health and safety professionals who are charged with monitoring the occupational health and safety of the entire organization and its employees, requiring urgent interventions and solutions. When individuals who are responsible for monitoring the welfare of the entire organization are presented with work demands which challenge their ability to maintain a healthy work-life balance, this threatens company operations on a very large scale (Barber, </w:t>
      </w:r>
      <w:proofErr w:type="spellStart"/>
      <w:r w:rsidRPr="00CC6323">
        <w:rPr>
          <w:rFonts w:asciiTheme="majorHAnsi" w:eastAsia="Times New Roman" w:hAnsiTheme="majorHAnsi" w:cstheme="majorHAnsi"/>
          <w:sz w:val="24"/>
          <w:szCs w:val="24"/>
        </w:rPr>
        <w:t>Conlin</w:t>
      </w:r>
      <w:proofErr w:type="spellEnd"/>
      <w:r w:rsidRPr="00CC6323">
        <w:rPr>
          <w:rFonts w:asciiTheme="majorHAnsi" w:eastAsia="Times New Roman" w:hAnsiTheme="majorHAnsi" w:cstheme="majorHAnsi"/>
          <w:sz w:val="24"/>
          <w:szCs w:val="24"/>
        </w:rPr>
        <w:t xml:space="preserve"> and </w:t>
      </w:r>
      <w:proofErr w:type="spellStart"/>
      <w:r w:rsidRPr="00CC6323">
        <w:rPr>
          <w:rFonts w:asciiTheme="majorHAnsi" w:eastAsia="Times New Roman" w:hAnsiTheme="majorHAnsi" w:cstheme="majorHAnsi"/>
          <w:sz w:val="24"/>
          <w:szCs w:val="24"/>
        </w:rPr>
        <w:t>Santuzzi</w:t>
      </w:r>
      <w:proofErr w:type="spellEnd"/>
      <w:r w:rsidRPr="00CC6323">
        <w:rPr>
          <w:rFonts w:asciiTheme="majorHAnsi" w:eastAsia="Times New Roman" w:hAnsiTheme="majorHAnsi" w:cstheme="majorHAnsi"/>
          <w:sz w:val="24"/>
          <w:szCs w:val="24"/>
        </w:rPr>
        <w:t>, 2019, p. 350). The key to finding solutions to this problem as it presents itself to human resource departments in commercial organizations lies in dissecting the problem and understanding its root cause. In this way, the organizations are able to make informed decisions on suggested interventions and solutions to these problems that would require the least investments and result in the least disruption to company operations.</w:t>
      </w:r>
    </w:p>
    <w:p w14:paraId="00000022" w14:textId="5D093BED" w:rsidR="0071630F"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The responses collected from the participants reveal that workplace dissatisfaction is mostly tied to feelings of being undervalued and unappreciated by the employees in relation to their contribution towards the company’s bottom line. In this way, a key solution and intervention specific to this problem are tied to designing a workplace policy that mandates the recognition and respect of employees for their roles in their organization (</w:t>
      </w:r>
      <w:proofErr w:type="spellStart"/>
      <w:r w:rsidRPr="00CC6323">
        <w:rPr>
          <w:rFonts w:asciiTheme="majorHAnsi" w:eastAsia="Times New Roman" w:hAnsiTheme="majorHAnsi" w:cstheme="majorHAnsi"/>
          <w:sz w:val="24"/>
          <w:szCs w:val="24"/>
        </w:rPr>
        <w:t>Gilin</w:t>
      </w:r>
      <w:proofErr w:type="spellEnd"/>
      <w:r w:rsidRPr="00CC6323">
        <w:rPr>
          <w:rFonts w:asciiTheme="majorHAnsi" w:eastAsia="Times New Roman" w:hAnsiTheme="majorHAnsi" w:cstheme="majorHAnsi"/>
          <w:sz w:val="24"/>
          <w:szCs w:val="24"/>
        </w:rPr>
        <w:t xml:space="preserve"> </w:t>
      </w:r>
      <w:proofErr w:type="spellStart"/>
      <w:r w:rsidRPr="00CC6323">
        <w:rPr>
          <w:rFonts w:asciiTheme="majorHAnsi" w:eastAsia="Times New Roman" w:hAnsiTheme="majorHAnsi" w:cstheme="majorHAnsi"/>
          <w:sz w:val="24"/>
          <w:szCs w:val="24"/>
        </w:rPr>
        <w:t>Oore</w:t>
      </w:r>
      <w:proofErr w:type="spellEnd"/>
      <w:r w:rsidRPr="00CC6323">
        <w:rPr>
          <w:rFonts w:asciiTheme="majorHAnsi" w:eastAsia="Times New Roman" w:hAnsiTheme="majorHAnsi" w:cstheme="majorHAnsi"/>
          <w:sz w:val="24"/>
          <w:szCs w:val="24"/>
        </w:rPr>
        <w:t xml:space="preserve"> et al., 2010, p. 878). By enforcing this policy, organizations will successfully create a workplace environment where employees not only feel valued and recognized but also one which increases employee satisfaction and motivation. There are several business advantages tied to making employees feel more satisfied in relation to improving their productivity and competitiveness of the organization. The health and wellbeing of employees should be a </w:t>
      </w:r>
      <w:r w:rsidRPr="00CC6323">
        <w:rPr>
          <w:rFonts w:asciiTheme="majorHAnsi" w:eastAsia="Times New Roman" w:hAnsiTheme="majorHAnsi" w:cstheme="majorHAnsi"/>
          <w:sz w:val="24"/>
          <w:szCs w:val="24"/>
        </w:rPr>
        <w:lastRenderedPageBreak/>
        <w:t xml:space="preserve">central concern of organizations and companies which are dependent on human </w:t>
      </w:r>
      <w:proofErr w:type="spellStart"/>
      <w:r w:rsidRPr="00CC6323">
        <w:rPr>
          <w:rFonts w:asciiTheme="majorHAnsi" w:eastAsia="Times New Roman" w:hAnsiTheme="majorHAnsi" w:cstheme="majorHAnsi"/>
          <w:sz w:val="24"/>
          <w:szCs w:val="24"/>
        </w:rPr>
        <w:t>labor</w:t>
      </w:r>
      <w:proofErr w:type="spellEnd"/>
      <w:r w:rsidRPr="00CC6323">
        <w:rPr>
          <w:rFonts w:asciiTheme="majorHAnsi" w:eastAsia="Times New Roman" w:hAnsiTheme="majorHAnsi" w:cstheme="majorHAnsi"/>
          <w:sz w:val="24"/>
          <w:szCs w:val="24"/>
        </w:rPr>
        <w:t xml:space="preserve"> and the human element in the production process. </w:t>
      </w:r>
    </w:p>
    <w:p w14:paraId="492B603E" w14:textId="77777777" w:rsidR="00CC6323" w:rsidRPr="00CC6323" w:rsidRDefault="00CC6323">
      <w:pPr>
        <w:spacing w:line="480" w:lineRule="auto"/>
        <w:rPr>
          <w:rFonts w:asciiTheme="majorHAnsi" w:eastAsia="Times New Roman" w:hAnsiTheme="majorHAnsi" w:cstheme="majorHAnsi"/>
          <w:sz w:val="24"/>
          <w:szCs w:val="24"/>
        </w:rPr>
      </w:pPr>
    </w:p>
    <w:p w14:paraId="00000023" w14:textId="77777777" w:rsidR="0071630F" w:rsidRPr="00CC6323" w:rsidRDefault="00CF2EA7" w:rsidP="00CC6323">
      <w:pPr>
        <w:spacing w:line="480" w:lineRule="auto"/>
        <w:rPr>
          <w:rFonts w:asciiTheme="majorHAnsi" w:eastAsia="Times New Roman" w:hAnsiTheme="majorHAnsi" w:cstheme="majorHAnsi"/>
          <w:b/>
          <w:sz w:val="28"/>
          <w:szCs w:val="28"/>
        </w:rPr>
      </w:pPr>
      <w:r w:rsidRPr="00CC6323">
        <w:rPr>
          <w:rFonts w:asciiTheme="majorHAnsi" w:eastAsia="Times New Roman" w:hAnsiTheme="majorHAnsi" w:cstheme="majorHAnsi"/>
          <w:b/>
          <w:sz w:val="28"/>
          <w:szCs w:val="28"/>
        </w:rPr>
        <w:t>Solutions to the Challenge</w:t>
      </w:r>
    </w:p>
    <w:p w14:paraId="00000024" w14:textId="4871A35A" w:rsidR="0071630F" w:rsidRPr="00CC6323"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An alternative solution to th</w:t>
      </w:r>
      <w:r w:rsidR="00C23A4A" w:rsidRPr="00CC6323">
        <w:rPr>
          <w:rFonts w:asciiTheme="majorHAnsi" w:eastAsia="Times New Roman" w:hAnsiTheme="majorHAnsi" w:cstheme="majorHAnsi"/>
          <w:sz w:val="24"/>
          <w:szCs w:val="24"/>
        </w:rPr>
        <w:t xml:space="preserve">e </w:t>
      </w:r>
      <w:proofErr w:type="gramStart"/>
      <w:r w:rsidR="00C23A4A" w:rsidRPr="00CC6323">
        <w:rPr>
          <w:rFonts w:asciiTheme="majorHAnsi" w:eastAsia="Times New Roman" w:hAnsiTheme="majorHAnsi" w:cstheme="majorHAnsi"/>
          <w:sz w:val="24"/>
          <w:szCs w:val="24"/>
        </w:rPr>
        <w:t>aforementioned</w:t>
      </w:r>
      <w:r w:rsidRPr="00CC6323">
        <w:rPr>
          <w:rFonts w:asciiTheme="majorHAnsi" w:eastAsia="Times New Roman" w:hAnsiTheme="majorHAnsi" w:cstheme="majorHAnsi"/>
          <w:sz w:val="24"/>
          <w:szCs w:val="24"/>
        </w:rPr>
        <w:t xml:space="preserve"> problem</w:t>
      </w:r>
      <w:proofErr w:type="gramEnd"/>
      <w:r w:rsidRPr="00CC6323">
        <w:rPr>
          <w:rFonts w:asciiTheme="majorHAnsi" w:eastAsia="Times New Roman" w:hAnsiTheme="majorHAnsi" w:cstheme="majorHAnsi"/>
          <w:sz w:val="24"/>
          <w:szCs w:val="24"/>
        </w:rPr>
        <w:t xml:space="preserve"> would involve </w:t>
      </w:r>
      <w:r w:rsidR="00DD0D4D">
        <w:rPr>
          <w:rFonts w:asciiTheme="majorHAnsi" w:eastAsia="Times New Roman" w:hAnsiTheme="majorHAnsi" w:cstheme="majorHAnsi"/>
          <w:sz w:val="24"/>
          <w:szCs w:val="24"/>
        </w:rPr>
        <w:t>utilising</w:t>
      </w:r>
      <w:r w:rsidRPr="00CC6323">
        <w:rPr>
          <w:rFonts w:asciiTheme="majorHAnsi" w:eastAsia="Times New Roman" w:hAnsiTheme="majorHAnsi" w:cstheme="majorHAnsi"/>
          <w:sz w:val="24"/>
          <w:szCs w:val="24"/>
        </w:rPr>
        <w:t xml:space="preserve"> problem-solving tools in these organizations such as the application of a fishbone analysis exploring the cause and effect</w:t>
      </w:r>
      <w:r w:rsidR="00F858D3" w:rsidRPr="00CC6323">
        <w:rPr>
          <w:rFonts w:asciiTheme="majorHAnsi" w:eastAsia="Times New Roman" w:hAnsiTheme="majorHAnsi" w:cstheme="majorHAnsi"/>
          <w:sz w:val="24"/>
          <w:szCs w:val="24"/>
        </w:rPr>
        <w:t xml:space="preserve"> of</w:t>
      </w:r>
      <w:r w:rsidRPr="00CC6323">
        <w:rPr>
          <w:rFonts w:asciiTheme="majorHAnsi" w:eastAsia="Times New Roman" w:hAnsiTheme="majorHAnsi" w:cstheme="majorHAnsi"/>
          <w:sz w:val="24"/>
          <w:szCs w:val="24"/>
        </w:rPr>
        <w:t xml:space="preserve"> relationship around the challenge of rising workplace dissatisfaction and the constant need to find a new job while already employed. Organizations with dissatisfied employees experience a high turnover rate and end up with high associated costs revolving around recruitment and training of new employees (</w:t>
      </w:r>
      <w:proofErr w:type="spellStart"/>
      <w:r w:rsidRPr="00CC6323">
        <w:rPr>
          <w:rFonts w:asciiTheme="majorHAnsi" w:eastAsia="Times New Roman" w:hAnsiTheme="majorHAnsi" w:cstheme="majorHAnsi"/>
          <w:sz w:val="24"/>
          <w:szCs w:val="24"/>
        </w:rPr>
        <w:t>Hombrados</w:t>
      </w:r>
      <w:proofErr w:type="spellEnd"/>
      <w:r w:rsidRPr="00CC6323">
        <w:rPr>
          <w:rFonts w:asciiTheme="majorHAnsi" w:eastAsia="Times New Roman" w:hAnsiTheme="majorHAnsi" w:cstheme="majorHAnsi"/>
          <w:sz w:val="24"/>
          <w:szCs w:val="24"/>
        </w:rPr>
        <w:t xml:space="preserve">-Mendieta and </w:t>
      </w:r>
      <w:proofErr w:type="spellStart"/>
      <w:r w:rsidRPr="00CC6323">
        <w:rPr>
          <w:rFonts w:asciiTheme="majorHAnsi" w:eastAsia="Times New Roman" w:hAnsiTheme="majorHAnsi" w:cstheme="majorHAnsi"/>
          <w:sz w:val="24"/>
          <w:szCs w:val="24"/>
        </w:rPr>
        <w:t>Cosano</w:t>
      </w:r>
      <w:proofErr w:type="spellEnd"/>
      <w:r w:rsidRPr="00CC6323">
        <w:rPr>
          <w:rFonts w:asciiTheme="majorHAnsi" w:eastAsia="Times New Roman" w:hAnsiTheme="majorHAnsi" w:cstheme="majorHAnsi"/>
          <w:sz w:val="24"/>
          <w:szCs w:val="24"/>
        </w:rPr>
        <w:t>-Rivas, 2013, p. 228). A key part of employee attitudes and satisfaction rates are dependent on the creation of a supportive work environment focusing on welfare and making individual employees feel appreciated and recognized. The fishbone analysis identifies variables that increase the chances and feelings of dissatisfaction among these employees. Organizations are then better placed to explore and devise solutions and interventions to reverse this rising trend and generate business advantages for</w:t>
      </w:r>
      <w:r w:rsidR="00DD0D4D">
        <w:rPr>
          <w:rFonts w:asciiTheme="majorHAnsi" w:eastAsia="Times New Roman" w:hAnsiTheme="majorHAnsi" w:cstheme="majorHAnsi"/>
          <w:sz w:val="24"/>
          <w:szCs w:val="24"/>
        </w:rPr>
        <w:t xml:space="preserve"> themselves</w:t>
      </w:r>
      <w:r w:rsidRPr="00CC6323">
        <w:rPr>
          <w:rFonts w:asciiTheme="majorHAnsi" w:eastAsia="Times New Roman" w:hAnsiTheme="majorHAnsi" w:cstheme="majorHAnsi"/>
          <w:sz w:val="24"/>
          <w:szCs w:val="24"/>
        </w:rPr>
        <w:t xml:space="preserve"> and their employees.</w:t>
      </w:r>
    </w:p>
    <w:p w14:paraId="00000025" w14:textId="73DD5893" w:rsidR="0071630F" w:rsidRPr="00CC6323"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 xml:space="preserve">Another key tool in the arsenal of organizations as they explore ways to minimize the opportunity cost associated with workplace dissatisfaction and approaches to boost morale and productivity through a collaborative working environment is the PESTLE </w:t>
      </w:r>
      <w:r w:rsidR="00F47E04" w:rsidRPr="00CC6323">
        <w:rPr>
          <w:rFonts w:asciiTheme="majorHAnsi" w:eastAsia="Times New Roman" w:hAnsiTheme="majorHAnsi" w:cstheme="majorHAnsi"/>
          <w:sz w:val="24"/>
          <w:szCs w:val="24"/>
        </w:rPr>
        <w:t>a</w:t>
      </w:r>
      <w:r w:rsidRPr="00CC6323">
        <w:rPr>
          <w:rFonts w:asciiTheme="majorHAnsi" w:eastAsia="Times New Roman" w:hAnsiTheme="majorHAnsi" w:cstheme="majorHAnsi"/>
          <w:sz w:val="24"/>
          <w:szCs w:val="24"/>
        </w:rPr>
        <w:t>nalysis. The PESTLE analysis</w:t>
      </w:r>
      <w:r w:rsidR="001A4B9B" w:rsidRPr="00CC6323">
        <w:rPr>
          <w:rFonts w:asciiTheme="majorHAnsi" w:eastAsia="Times New Roman" w:hAnsiTheme="majorHAnsi" w:cstheme="majorHAnsi"/>
          <w:sz w:val="24"/>
          <w:szCs w:val="24"/>
        </w:rPr>
        <w:t>,</w:t>
      </w:r>
      <w:r w:rsidRPr="00CC6323">
        <w:rPr>
          <w:rFonts w:asciiTheme="majorHAnsi" w:eastAsia="Times New Roman" w:hAnsiTheme="majorHAnsi" w:cstheme="majorHAnsi"/>
          <w:sz w:val="24"/>
          <w:szCs w:val="24"/>
        </w:rPr>
        <w:t xml:space="preserve"> as a problem-solving tool</w:t>
      </w:r>
      <w:r w:rsidR="00E05C9D" w:rsidRPr="00CC6323">
        <w:rPr>
          <w:rFonts w:asciiTheme="majorHAnsi" w:eastAsia="Times New Roman" w:hAnsiTheme="majorHAnsi" w:cstheme="majorHAnsi"/>
          <w:sz w:val="24"/>
          <w:szCs w:val="24"/>
        </w:rPr>
        <w:t>,</w:t>
      </w:r>
      <w:r w:rsidRPr="00CC6323">
        <w:rPr>
          <w:rFonts w:asciiTheme="majorHAnsi" w:eastAsia="Times New Roman" w:hAnsiTheme="majorHAnsi" w:cstheme="majorHAnsi"/>
          <w:sz w:val="24"/>
          <w:szCs w:val="24"/>
        </w:rPr>
        <w:t xml:space="preserve"> identifies aspects of the environment that interfere and have the potential to affect employee attitudes and satisfaction rates (</w:t>
      </w:r>
      <w:proofErr w:type="spellStart"/>
      <w:r w:rsidRPr="00CC6323">
        <w:rPr>
          <w:rFonts w:asciiTheme="majorHAnsi" w:eastAsia="Times New Roman" w:hAnsiTheme="majorHAnsi" w:cstheme="majorHAnsi"/>
          <w:sz w:val="24"/>
          <w:szCs w:val="24"/>
        </w:rPr>
        <w:t>Perera</w:t>
      </w:r>
      <w:proofErr w:type="spellEnd"/>
      <w:r w:rsidRPr="00CC6323">
        <w:rPr>
          <w:rFonts w:asciiTheme="majorHAnsi" w:eastAsia="Times New Roman" w:hAnsiTheme="majorHAnsi" w:cstheme="majorHAnsi"/>
          <w:sz w:val="24"/>
          <w:szCs w:val="24"/>
        </w:rPr>
        <w:t>, 2017). The tool itself is a short form which</w:t>
      </w:r>
      <w:r w:rsidR="00E05C9D" w:rsidRPr="00CC6323">
        <w:rPr>
          <w:rFonts w:asciiTheme="majorHAnsi" w:eastAsia="Times New Roman" w:hAnsiTheme="majorHAnsi" w:cstheme="majorHAnsi"/>
          <w:sz w:val="24"/>
          <w:szCs w:val="24"/>
        </w:rPr>
        <w:t>,</w:t>
      </w:r>
      <w:r w:rsidRPr="00CC6323">
        <w:rPr>
          <w:rFonts w:asciiTheme="majorHAnsi" w:eastAsia="Times New Roman" w:hAnsiTheme="majorHAnsi" w:cstheme="majorHAnsi"/>
          <w:sz w:val="24"/>
          <w:szCs w:val="24"/>
        </w:rPr>
        <w:t xml:space="preserve"> when expanded, gives an analysis of political, economic, social, technological, legal and environmental considerations to make before </w:t>
      </w:r>
      <w:r w:rsidRPr="00CC6323">
        <w:rPr>
          <w:rFonts w:asciiTheme="majorHAnsi" w:eastAsia="Times New Roman" w:hAnsiTheme="majorHAnsi" w:cstheme="majorHAnsi"/>
          <w:sz w:val="24"/>
          <w:szCs w:val="24"/>
        </w:rPr>
        <w:lastRenderedPageBreak/>
        <w:t>arriving at an informed approach and reaction to workplace dissatisfaction in health and safety professionals. This is a valuable tool particularly as it allows the management to be able to explore the approach to implementation and execution of the final strategy and solution. The PESTLE analysis takes different emphasis points depending on the industry and the challenge being examined by the organization. For example, in this specific situation examining alternative solutions to the problem of workplace dissatisfaction and low morale and productivity from employees, the PESTLE analysis would primarily focus on social and environmental concerns.</w:t>
      </w:r>
    </w:p>
    <w:p w14:paraId="00000026" w14:textId="7FA7D0E1" w:rsidR="0071630F" w:rsidRPr="00CC6323"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 xml:space="preserve">In terms of the social variables that influence workplace satisfaction rates, it is </w:t>
      </w:r>
      <w:r w:rsidR="00DD0D4D">
        <w:rPr>
          <w:rFonts w:asciiTheme="majorHAnsi" w:eastAsia="Times New Roman" w:hAnsiTheme="majorHAnsi" w:cstheme="majorHAnsi"/>
          <w:sz w:val="24"/>
          <w:szCs w:val="24"/>
        </w:rPr>
        <w:t>crucial</w:t>
      </w:r>
      <w:r w:rsidRPr="00CC6323">
        <w:rPr>
          <w:rFonts w:asciiTheme="majorHAnsi" w:eastAsia="Times New Roman" w:hAnsiTheme="majorHAnsi" w:cstheme="majorHAnsi"/>
          <w:sz w:val="24"/>
          <w:szCs w:val="24"/>
        </w:rPr>
        <w:t xml:space="preserve"> for organizations to develop a supportive corporate support structure. In this way, employees are able to form meaningful bonds and are less likely to feel dissatisfied and look for other employment opportunities. The cultural trends should be examined in order to determine whether there are specific interventions that would have a higher positive impact on the phenomenon being explored. For this specific challenge, it is important to note that younger millennial workers are more likely to feel dissatisfied and are more likely to actively look for different employment opportunities.</w:t>
      </w:r>
    </w:p>
    <w:p w14:paraId="00000027" w14:textId="61F7755C" w:rsidR="0071630F" w:rsidRPr="00CC6323"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Based on the identification of age as a key determinant of the probability of employees to feel and experience workplace dissatisfactions, organizations are able to examine possible solutions that would appeal specifically to the nuances of younger new generation workers. As the workforce dynamics evolve and change to reflect and absorb the younger generation of workers brought up during the digital revolution and with vastly different concepts of what it means to be in gainful employment</w:t>
      </w:r>
      <w:r w:rsidR="006875AE" w:rsidRPr="00CC6323">
        <w:rPr>
          <w:rFonts w:asciiTheme="majorHAnsi" w:eastAsia="Times New Roman" w:hAnsiTheme="majorHAnsi" w:cstheme="majorHAnsi"/>
          <w:sz w:val="24"/>
          <w:szCs w:val="24"/>
        </w:rPr>
        <w:t>, t</w:t>
      </w:r>
      <w:r w:rsidRPr="00CC6323">
        <w:rPr>
          <w:rFonts w:asciiTheme="majorHAnsi" w:eastAsia="Times New Roman" w:hAnsiTheme="majorHAnsi" w:cstheme="majorHAnsi"/>
          <w:sz w:val="24"/>
          <w:szCs w:val="24"/>
        </w:rPr>
        <w:t xml:space="preserve">he key solution would be to adopt flexible work environments that allow employees to be able to achieve a healthy work-life balance where they are able to keep up with the demands from their employers. The PESTLE analysis </w:t>
      </w:r>
      <w:r w:rsidRPr="00CC6323">
        <w:rPr>
          <w:rFonts w:asciiTheme="majorHAnsi" w:eastAsia="Times New Roman" w:hAnsiTheme="majorHAnsi" w:cstheme="majorHAnsi"/>
          <w:sz w:val="24"/>
          <w:szCs w:val="24"/>
        </w:rPr>
        <w:lastRenderedPageBreak/>
        <w:t xml:space="preserve">essentially lays the groundwork behind figuring out specific interventions that would finally reduce the likelihood and the rates of unsatisfied and discouraged members of staff. Ultimately the key solution lies in the recognition and respect of all employees for their contributions towards enabling the company to meet its obligations and long-term strategies. In this way, the working environment would allow employees a measure of independence and flexible working conditions and terms that ultimately reduce stress while increasing job satisfaction. </w:t>
      </w:r>
    </w:p>
    <w:p w14:paraId="00000028" w14:textId="04C6FE12" w:rsidR="0071630F"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Based on the first level of analysis of the factors</w:t>
      </w:r>
      <w:r w:rsidR="00C760C9" w:rsidRPr="00CC6323">
        <w:rPr>
          <w:rFonts w:asciiTheme="majorHAnsi" w:eastAsia="Times New Roman" w:hAnsiTheme="majorHAnsi" w:cstheme="majorHAnsi"/>
          <w:sz w:val="24"/>
          <w:szCs w:val="24"/>
        </w:rPr>
        <w:t>,</w:t>
      </w:r>
      <w:r w:rsidRPr="00CC6323">
        <w:rPr>
          <w:rFonts w:asciiTheme="majorHAnsi" w:eastAsia="Times New Roman" w:hAnsiTheme="majorHAnsi" w:cstheme="majorHAnsi"/>
          <w:sz w:val="24"/>
          <w:szCs w:val="24"/>
        </w:rPr>
        <w:t xml:space="preserve"> the most appropriate solution for managing occupational stress that leads to general dissatisfaction with the working conditions and, by extension, a high turnover rate for employees would be the adoption of flexible working conditions (Lee, </w:t>
      </w:r>
      <w:proofErr w:type="spellStart"/>
      <w:r w:rsidRPr="00CC6323">
        <w:rPr>
          <w:rFonts w:asciiTheme="majorHAnsi" w:eastAsia="Times New Roman" w:hAnsiTheme="majorHAnsi" w:cstheme="majorHAnsi"/>
          <w:sz w:val="24"/>
          <w:szCs w:val="24"/>
        </w:rPr>
        <w:t>Magnini</w:t>
      </w:r>
      <w:proofErr w:type="spellEnd"/>
      <w:r w:rsidRPr="00CC6323">
        <w:rPr>
          <w:rFonts w:asciiTheme="majorHAnsi" w:eastAsia="Times New Roman" w:hAnsiTheme="majorHAnsi" w:cstheme="majorHAnsi"/>
          <w:sz w:val="24"/>
          <w:szCs w:val="24"/>
        </w:rPr>
        <w:t xml:space="preserve"> and Kim, 2011, p. 22). Flexible working conditions allow the younger demographic workers who experience a measure of dissatisfaction with modern approaches to working and the working environment to explore alternative approaches to working that allow them to maintain a healthy work-life balance. This solution addresses the root cause of the problem which presents itself through dissatisfaction with the working environment and the demands of the organization.</w:t>
      </w:r>
    </w:p>
    <w:p w14:paraId="610DBDFF" w14:textId="77777777" w:rsidR="00CC6323" w:rsidRPr="00CC6323" w:rsidRDefault="00CC6323">
      <w:pPr>
        <w:spacing w:line="480" w:lineRule="auto"/>
        <w:rPr>
          <w:rFonts w:asciiTheme="majorHAnsi" w:eastAsia="Times New Roman" w:hAnsiTheme="majorHAnsi" w:cstheme="majorHAnsi"/>
          <w:sz w:val="24"/>
          <w:szCs w:val="24"/>
        </w:rPr>
      </w:pPr>
    </w:p>
    <w:p w14:paraId="00000029" w14:textId="77777777" w:rsidR="0071630F" w:rsidRPr="00CC6323" w:rsidRDefault="00CF2EA7" w:rsidP="00CC6323">
      <w:pPr>
        <w:spacing w:line="480" w:lineRule="auto"/>
        <w:rPr>
          <w:rFonts w:asciiTheme="majorHAnsi" w:eastAsia="Times New Roman" w:hAnsiTheme="majorHAnsi" w:cstheme="majorHAnsi"/>
          <w:b/>
          <w:sz w:val="28"/>
          <w:szCs w:val="28"/>
        </w:rPr>
      </w:pPr>
      <w:r w:rsidRPr="00CC6323">
        <w:rPr>
          <w:rFonts w:asciiTheme="majorHAnsi" w:eastAsia="Times New Roman" w:hAnsiTheme="majorHAnsi" w:cstheme="majorHAnsi"/>
          <w:b/>
          <w:sz w:val="28"/>
          <w:szCs w:val="28"/>
        </w:rPr>
        <w:t>Implementation of the Proposed Solution</w:t>
      </w:r>
    </w:p>
    <w:p w14:paraId="0000002A" w14:textId="77777777" w:rsidR="0071630F" w:rsidRPr="00CC6323"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The implementation of this strategy requires health and safety professionals to consider how to communicate this change in working policy to the relevant stakeholders. Research around this intervention demonstrates advantages tied to allowing employees to take advantage of flexible working arrangements with the possibility of remote working and adapting to the evolving working environment (</w:t>
      </w:r>
      <w:proofErr w:type="spellStart"/>
      <w:r w:rsidRPr="00CC6323">
        <w:rPr>
          <w:rFonts w:asciiTheme="majorHAnsi" w:eastAsia="Times New Roman" w:hAnsiTheme="majorHAnsi" w:cstheme="majorHAnsi"/>
          <w:sz w:val="24"/>
          <w:szCs w:val="24"/>
        </w:rPr>
        <w:t>Varlander</w:t>
      </w:r>
      <w:proofErr w:type="spellEnd"/>
      <w:r w:rsidRPr="00CC6323">
        <w:rPr>
          <w:rFonts w:asciiTheme="majorHAnsi" w:eastAsia="Times New Roman" w:hAnsiTheme="majorHAnsi" w:cstheme="majorHAnsi"/>
          <w:sz w:val="24"/>
          <w:szCs w:val="24"/>
        </w:rPr>
        <w:t xml:space="preserve">, 2012, p. 33). Communication of this strategy to relevant stakeholders should explore the business advantages tied to the </w:t>
      </w:r>
      <w:r w:rsidRPr="00CC6323">
        <w:rPr>
          <w:rFonts w:asciiTheme="majorHAnsi" w:eastAsia="Times New Roman" w:hAnsiTheme="majorHAnsi" w:cstheme="majorHAnsi"/>
          <w:sz w:val="24"/>
          <w:szCs w:val="24"/>
        </w:rPr>
        <w:lastRenderedPageBreak/>
        <w:t xml:space="preserve">adoption of this particular course of action and plan. The stakeholders are more likely to agree to interventions which make commercial and business sense. Executives should explore ways to highlight the tangible benefits that organizations benefit by investing in interventions that minimize unhappiness and dissatisfaction in the work environment. </w:t>
      </w:r>
    </w:p>
    <w:p w14:paraId="0000002B" w14:textId="23BA6507" w:rsidR="0071630F"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 xml:space="preserve">Implementation of this intervention remains the responsibility of the human resource department responsible for managing </w:t>
      </w:r>
      <w:proofErr w:type="spellStart"/>
      <w:r w:rsidRPr="00CC6323">
        <w:rPr>
          <w:rFonts w:asciiTheme="majorHAnsi" w:eastAsia="Times New Roman" w:hAnsiTheme="majorHAnsi" w:cstheme="majorHAnsi"/>
          <w:sz w:val="24"/>
          <w:szCs w:val="24"/>
        </w:rPr>
        <w:t>labor</w:t>
      </w:r>
      <w:proofErr w:type="spellEnd"/>
      <w:r w:rsidRPr="00CC6323">
        <w:rPr>
          <w:rFonts w:asciiTheme="majorHAnsi" w:eastAsia="Times New Roman" w:hAnsiTheme="majorHAnsi" w:cstheme="majorHAnsi"/>
          <w:sz w:val="24"/>
          <w:szCs w:val="24"/>
        </w:rPr>
        <w:t xml:space="preserve"> relations and human capital in commercial firms. The first approach should essentially revolve around exploring the organization’s operations in order to come up with a flexible working schedule that takes maximum advantage of the resources available while maintaining the same level of service delivery and operations. From this point, this intervention is dependent on the active participation of employees who should be able to feel immediately more motivated and able to effectively contribute to the company’s bottom line and achieve organizational targets and objectives. Employees in this situation record less overall stress and more control over their targets, which ultimately increases their productivity and the value that they generate for the organizations where they are employed. The development of the rules that support the flexible working environment is essentially the first step of the solution leaving room for a monitoring and review mechanism to explore the impacts and outcomes of this change.</w:t>
      </w:r>
    </w:p>
    <w:p w14:paraId="40C27E22" w14:textId="77777777" w:rsidR="00CC6323" w:rsidRDefault="00CC6323">
      <w:pPr>
        <w:spacing w:line="480" w:lineRule="auto"/>
        <w:rPr>
          <w:rFonts w:asciiTheme="majorHAnsi" w:eastAsia="Times New Roman" w:hAnsiTheme="majorHAnsi" w:cstheme="majorHAnsi"/>
          <w:sz w:val="24"/>
          <w:szCs w:val="24"/>
        </w:rPr>
      </w:pPr>
    </w:p>
    <w:p w14:paraId="0000002C" w14:textId="77777777" w:rsidR="0071630F" w:rsidRPr="00CC6323" w:rsidRDefault="00CF2EA7" w:rsidP="00CC6323">
      <w:pPr>
        <w:spacing w:line="480" w:lineRule="auto"/>
        <w:rPr>
          <w:rFonts w:asciiTheme="majorHAnsi" w:eastAsia="Times New Roman" w:hAnsiTheme="majorHAnsi" w:cstheme="majorHAnsi"/>
          <w:b/>
          <w:sz w:val="28"/>
          <w:szCs w:val="28"/>
        </w:rPr>
      </w:pPr>
      <w:r w:rsidRPr="00CC6323">
        <w:rPr>
          <w:rFonts w:asciiTheme="majorHAnsi" w:eastAsia="Times New Roman" w:hAnsiTheme="majorHAnsi" w:cstheme="majorHAnsi"/>
          <w:b/>
          <w:sz w:val="28"/>
          <w:szCs w:val="28"/>
        </w:rPr>
        <w:t>Conclusion</w:t>
      </w:r>
    </w:p>
    <w:p w14:paraId="0000002D" w14:textId="77777777" w:rsidR="0071630F" w:rsidRPr="00CC6323" w:rsidRDefault="00CF2EA7" w:rsidP="001A2C2D">
      <w:pPr>
        <w:spacing w:line="480" w:lineRule="auto"/>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t xml:space="preserve">The monitoring and review mechanism explores the impacts of the change in policy towards the flexible working environment that supports employees to unlock their full potential. A review mechanism in this situation would typically take the form of an employment review where the employees are given an opportunity where their efforts are recognized, and they are given an opportunity to explore and </w:t>
      </w:r>
      <w:proofErr w:type="spellStart"/>
      <w:r w:rsidRPr="00CC6323">
        <w:rPr>
          <w:rFonts w:asciiTheme="majorHAnsi" w:eastAsia="Times New Roman" w:hAnsiTheme="majorHAnsi" w:cstheme="majorHAnsi"/>
          <w:sz w:val="24"/>
          <w:szCs w:val="24"/>
        </w:rPr>
        <w:t>reevaluate</w:t>
      </w:r>
      <w:proofErr w:type="spellEnd"/>
      <w:r w:rsidRPr="00CC6323">
        <w:rPr>
          <w:rFonts w:asciiTheme="majorHAnsi" w:eastAsia="Times New Roman" w:hAnsiTheme="majorHAnsi" w:cstheme="majorHAnsi"/>
          <w:sz w:val="24"/>
          <w:szCs w:val="24"/>
        </w:rPr>
        <w:t xml:space="preserve"> their options and </w:t>
      </w:r>
      <w:r w:rsidRPr="00CC6323">
        <w:rPr>
          <w:rFonts w:asciiTheme="majorHAnsi" w:eastAsia="Times New Roman" w:hAnsiTheme="majorHAnsi" w:cstheme="majorHAnsi"/>
          <w:sz w:val="24"/>
          <w:szCs w:val="24"/>
        </w:rPr>
        <w:lastRenderedPageBreak/>
        <w:t>perceptions of the work environment. Employees who feel valued and respected are more likely to have more satisfaction and invested in their organizations and are less likely to leave employment. Overall, it is important to explore how to minimize workplace-related stress for health and safety professionals around the world to improve their overall welfare.</w:t>
      </w:r>
    </w:p>
    <w:p w14:paraId="00000032" w14:textId="23168C60" w:rsidR="00CC6323" w:rsidRDefault="00CC6323" w:rsidP="001A2C2D">
      <w:pPr>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br w:type="page"/>
      </w:r>
    </w:p>
    <w:p w14:paraId="766EF528" w14:textId="77777777" w:rsidR="00CC6323" w:rsidRPr="00CC6323" w:rsidRDefault="00CC6323" w:rsidP="00CC6323">
      <w:pPr>
        <w:spacing w:line="480" w:lineRule="auto"/>
        <w:jc w:val="both"/>
        <w:rPr>
          <w:rFonts w:asciiTheme="majorHAnsi" w:eastAsia="Times New Roman" w:hAnsiTheme="majorHAnsi" w:cstheme="majorHAnsi"/>
          <w:b/>
          <w:bCs/>
          <w:sz w:val="28"/>
          <w:szCs w:val="28"/>
        </w:rPr>
      </w:pPr>
      <w:r w:rsidRPr="00CC6323">
        <w:rPr>
          <w:rFonts w:asciiTheme="majorHAnsi" w:eastAsia="Times New Roman" w:hAnsiTheme="majorHAnsi" w:cstheme="majorHAnsi"/>
          <w:b/>
          <w:bCs/>
          <w:sz w:val="28"/>
          <w:szCs w:val="28"/>
        </w:rPr>
        <w:lastRenderedPageBreak/>
        <w:t>References</w:t>
      </w:r>
    </w:p>
    <w:p w14:paraId="19C00847"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 xml:space="preserve">Barber, Larissa K, </w:t>
      </w:r>
      <w:proofErr w:type="spellStart"/>
      <w:r w:rsidRPr="00CC6323">
        <w:rPr>
          <w:rFonts w:asciiTheme="majorHAnsi" w:eastAsia="Times New Roman" w:hAnsiTheme="majorHAnsi" w:cstheme="majorHAnsi"/>
          <w:sz w:val="24"/>
          <w:szCs w:val="24"/>
        </w:rPr>
        <w:t>Conlin</w:t>
      </w:r>
      <w:proofErr w:type="spellEnd"/>
      <w:r w:rsidRPr="00CC6323">
        <w:rPr>
          <w:rFonts w:asciiTheme="majorHAnsi" w:eastAsia="Times New Roman" w:hAnsiTheme="majorHAnsi" w:cstheme="majorHAnsi"/>
          <w:sz w:val="24"/>
          <w:szCs w:val="24"/>
        </w:rPr>
        <w:t xml:space="preserve">, Amanda L, &amp; </w:t>
      </w:r>
      <w:proofErr w:type="spellStart"/>
      <w:r w:rsidRPr="00CC6323">
        <w:rPr>
          <w:rFonts w:asciiTheme="majorHAnsi" w:eastAsia="Times New Roman" w:hAnsiTheme="majorHAnsi" w:cstheme="majorHAnsi"/>
          <w:sz w:val="24"/>
          <w:szCs w:val="24"/>
        </w:rPr>
        <w:t>Santuzzi</w:t>
      </w:r>
      <w:proofErr w:type="spellEnd"/>
      <w:r w:rsidRPr="00CC6323">
        <w:rPr>
          <w:rFonts w:asciiTheme="majorHAnsi" w:eastAsia="Times New Roman" w:hAnsiTheme="majorHAnsi" w:cstheme="majorHAnsi"/>
          <w:sz w:val="24"/>
          <w:szCs w:val="24"/>
        </w:rPr>
        <w:t xml:space="preserve">, Alecia M. (2019). Workplace </w:t>
      </w:r>
      <w:proofErr w:type="spellStart"/>
      <w:r w:rsidRPr="00CC6323">
        <w:rPr>
          <w:rFonts w:asciiTheme="majorHAnsi" w:eastAsia="Times New Roman" w:hAnsiTheme="majorHAnsi" w:cstheme="majorHAnsi"/>
          <w:sz w:val="24"/>
          <w:szCs w:val="24"/>
        </w:rPr>
        <w:t>telepressure</w:t>
      </w:r>
      <w:proofErr w:type="spellEnd"/>
      <w:r w:rsidRPr="00CC6323">
        <w:rPr>
          <w:rFonts w:asciiTheme="majorHAnsi" w:eastAsia="Times New Roman" w:hAnsiTheme="majorHAnsi" w:cstheme="majorHAnsi"/>
          <w:sz w:val="24"/>
          <w:szCs w:val="24"/>
        </w:rPr>
        <w:t xml:space="preserve"> and work–life balance outcomes: The role of work recovery experiences. Stress and Health, 35(3), 350–362. </w:t>
      </w:r>
    </w:p>
    <w:p w14:paraId="770A524C" w14:textId="77777777" w:rsidR="00CC6323" w:rsidRPr="00CC6323" w:rsidRDefault="00CC6323" w:rsidP="001A2C2D">
      <w:pPr>
        <w:spacing w:line="480" w:lineRule="auto"/>
        <w:ind w:firstLine="720"/>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&lt;</w:t>
      </w:r>
      <w:hyperlink r:id="rId9" w:history="1">
        <w:r w:rsidRPr="00CC6323">
          <w:rPr>
            <w:rStyle w:val="Hyperlink"/>
            <w:rFonts w:asciiTheme="majorHAnsi" w:eastAsia="Times New Roman" w:hAnsiTheme="majorHAnsi" w:cstheme="majorHAnsi"/>
            <w:sz w:val="24"/>
            <w:szCs w:val="24"/>
          </w:rPr>
          <w:t>https://doi.org/10.1002/smi.2864</w:t>
        </w:r>
      </w:hyperlink>
      <w:r w:rsidRPr="00CC6323">
        <w:rPr>
          <w:rFonts w:asciiTheme="majorHAnsi" w:eastAsia="Times New Roman" w:hAnsiTheme="majorHAnsi" w:cstheme="majorHAnsi"/>
          <w:sz w:val="24"/>
          <w:szCs w:val="24"/>
        </w:rPr>
        <w:t>&gt;</w:t>
      </w:r>
    </w:p>
    <w:p w14:paraId="62042AE3"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p>
    <w:p w14:paraId="54EE3B47"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 xml:space="preserve">Chapman, B., 2020. </w:t>
      </w:r>
      <w:r w:rsidRPr="00CC6323">
        <w:rPr>
          <w:rFonts w:asciiTheme="majorHAnsi" w:eastAsia="Times New Roman" w:hAnsiTheme="majorHAnsi" w:cstheme="majorHAnsi"/>
          <w:i/>
          <w:sz w:val="24"/>
          <w:szCs w:val="24"/>
        </w:rPr>
        <w:t xml:space="preserve">More Than Half </w:t>
      </w:r>
      <w:proofErr w:type="gramStart"/>
      <w:r w:rsidRPr="00CC6323">
        <w:rPr>
          <w:rFonts w:asciiTheme="majorHAnsi" w:eastAsia="Times New Roman" w:hAnsiTheme="majorHAnsi" w:cstheme="majorHAnsi"/>
          <w:i/>
          <w:sz w:val="24"/>
          <w:szCs w:val="24"/>
        </w:rPr>
        <w:t>Of</w:t>
      </w:r>
      <w:proofErr w:type="gramEnd"/>
      <w:r w:rsidRPr="00CC6323">
        <w:rPr>
          <w:rFonts w:asciiTheme="majorHAnsi" w:eastAsia="Times New Roman" w:hAnsiTheme="majorHAnsi" w:cstheme="majorHAnsi"/>
          <w:i/>
          <w:sz w:val="24"/>
          <w:szCs w:val="24"/>
        </w:rPr>
        <w:t xml:space="preserve"> UK Workers Want To Find A New Job, Survey Says</w:t>
      </w:r>
      <w:r w:rsidRPr="00CC6323">
        <w:rPr>
          <w:rFonts w:asciiTheme="majorHAnsi" w:eastAsia="Times New Roman" w:hAnsiTheme="majorHAnsi" w:cstheme="majorHAnsi"/>
          <w:sz w:val="24"/>
          <w:szCs w:val="24"/>
        </w:rPr>
        <w:t>. [online] The Independent. Available at: &lt;</w:t>
      </w:r>
      <w:hyperlink r:id="rId10">
        <w:r w:rsidRPr="00CC6323">
          <w:rPr>
            <w:rFonts w:asciiTheme="majorHAnsi" w:eastAsia="Times New Roman" w:hAnsiTheme="majorHAnsi" w:cstheme="majorHAnsi"/>
            <w:color w:val="1155CC"/>
            <w:sz w:val="24"/>
            <w:szCs w:val="24"/>
            <w:u w:val="single"/>
          </w:rPr>
          <w:t>https://www.independent.co.uk/news/business/news/uk-workers-new-job-satisfaction-investors-people-a9272191.html</w:t>
        </w:r>
      </w:hyperlink>
      <w:r w:rsidRPr="00CC6323">
        <w:rPr>
          <w:rFonts w:asciiTheme="majorHAnsi" w:eastAsia="Times New Roman" w:hAnsiTheme="majorHAnsi" w:cstheme="majorHAnsi"/>
          <w:sz w:val="24"/>
          <w:szCs w:val="24"/>
        </w:rPr>
        <w:t>&gt; [Accessed 1 December 2020].</w:t>
      </w:r>
    </w:p>
    <w:p w14:paraId="5264F373"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p>
    <w:p w14:paraId="05DC68C2"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 xml:space="preserve">De </w:t>
      </w:r>
      <w:proofErr w:type="spellStart"/>
      <w:r w:rsidRPr="00CC6323">
        <w:rPr>
          <w:rFonts w:asciiTheme="majorHAnsi" w:eastAsia="Times New Roman" w:hAnsiTheme="majorHAnsi" w:cstheme="majorHAnsi"/>
          <w:sz w:val="24"/>
          <w:szCs w:val="24"/>
        </w:rPr>
        <w:t>Clercq</w:t>
      </w:r>
      <w:proofErr w:type="spellEnd"/>
      <w:r w:rsidRPr="00CC6323">
        <w:rPr>
          <w:rFonts w:asciiTheme="majorHAnsi" w:eastAsia="Times New Roman" w:hAnsiTheme="majorHAnsi" w:cstheme="majorHAnsi"/>
          <w:sz w:val="24"/>
          <w:szCs w:val="24"/>
        </w:rPr>
        <w:t xml:space="preserve">, D., </w:t>
      </w:r>
      <w:proofErr w:type="spellStart"/>
      <w:r w:rsidRPr="00CC6323">
        <w:rPr>
          <w:rFonts w:asciiTheme="majorHAnsi" w:eastAsia="Times New Roman" w:hAnsiTheme="majorHAnsi" w:cstheme="majorHAnsi"/>
          <w:sz w:val="24"/>
          <w:szCs w:val="24"/>
        </w:rPr>
        <w:t>Haq</w:t>
      </w:r>
      <w:proofErr w:type="spellEnd"/>
      <w:r w:rsidRPr="00CC6323">
        <w:rPr>
          <w:rFonts w:asciiTheme="majorHAnsi" w:eastAsia="Times New Roman" w:hAnsiTheme="majorHAnsi" w:cstheme="majorHAnsi"/>
          <w:sz w:val="24"/>
          <w:szCs w:val="24"/>
        </w:rPr>
        <w:t xml:space="preserve">, I.U., Azeem, M.U. and Ahmad, H.N., 2019. The relationship between workplace incivility and helping </w:t>
      </w:r>
      <w:proofErr w:type="spellStart"/>
      <w:r w:rsidRPr="00CC6323">
        <w:rPr>
          <w:rFonts w:asciiTheme="majorHAnsi" w:eastAsia="Times New Roman" w:hAnsiTheme="majorHAnsi" w:cstheme="majorHAnsi"/>
          <w:sz w:val="24"/>
          <w:szCs w:val="24"/>
        </w:rPr>
        <w:t>behavior</w:t>
      </w:r>
      <w:proofErr w:type="spellEnd"/>
      <w:r w:rsidRPr="00CC6323">
        <w:rPr>
          <w:rFonts w:asciiTheme="majorHAnsi" w:eastAsia="Times New Roman" w:hAnsiTheme="majorHAnsi" w:cstheme="majorHAnsi"/>
          <w:sz w:val="24"/>
          <w:szCs w:val="24"/>
        </w:rPr>
        <w:t xml:space="preserve">: roles of job dissatisfaction and political skill. </w:t>
      </w:r>
      <w:r w:rsidRPr="00CC6323">
        <w:rPr>
          <w:rFonts w:asciiTheme="majorHAnsi" w:eastAsia="Times New Roman" w:hAnsiTheme="majorHAnsi" w:cstheme="majorHAnsi"/>
          <w:i/>
          <w:sz w:val="24"/>
          <w:szCs w:val="24"/>
        </w:rPr>
        <w:t>The Journal of psychology</w:t>
      </w:r>
      <w:r w:rsidRPr="00CC6323">
        <w:rPr>
          <w:rFonts w:asciiTheme="majorHAnsi" w:eastAsia="Times New Roman" w:hAnsiTheme="majorHAnsi" w:cstheme="majorHAnsi"/>
          <w:sz w:val="24"/>
          <w:szCs w:val="24"/>
        </w:rPr>
        <w:t xml:space="preserve">, </w:t>
      </w:r>
      <w:r w:rsidRPr="00CC6323">
        <w:rPr>
          <w:rFonts w:asciiTheme="majorHAnsi" w:eastAsia="Times New Roman" w:hAnsiTheme="majorHAnsi" w:cstheme="majorHAnsi"/>
          <w:i/>
          <w:sz w:val="24"/>
          <w:szCs w:val="24"/>
        </w:rPr>
        <w:t>153</w:t>
      </w:r>
      <w:r w:rsidRPr="00CC6323">
        <w:rPr>
          <w:rFonts w:asciiTheme="majorHAnsi" w:eastAsia="Times New Roman" w:hAnsiTheme="majorHAnsi" w:cstheme="majorHAnsi"/>
          <w:sz w:val="24"/>
          <w:szCs w:val="24"/>
        </w:rPr>
        <w:t>(5), pp.507-527. Retrieved from &lt;</w:t>
      </w:r>
      <w:hyperlink r:id="rId11" w:history="1">
        <w:r w:rsidRPr="00CC6323">
          <w:rPr>
            <w:rStyle w:val="Hyperlink"/>
            <w:rFonts w:asciiTheme="majorHAnsi" w:eastAsia="Times New Roman" w:hAnsiTheme="majorHAnsi" w:cstheme="majorHAnsi"/>
            <w:sz w:val="24"/>
            <w:szCs w:val="24"/>
          </w:rPr>
          <w:t>https://conservancy.umn.edu/bitstream/handle/11299/98007/Shim_umn_0130E_11391.pdf?sequence=1</w:t>
        </w:r>
      </w:hyperlink>
      <w:r w:rsidRPr="00CC6323">
        <w:rPr>
          <w:rFonts w:asciiTheme="majorHAnsi" w:eastAsia="Times New Roman" w:hAnsiTheme="majorHAnsi" w:cstheme="majorHAnsi"/>
          <w:sz w:val="24"/>
          <w:szCs w:val="24"/>
        </w:rPr>
        <w:t>&gt;</w:t>
      </w:r>
    </w:p>
    <w:p w14:paraId="73AB961E"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p>
    <w:p w14:paraId="18AAED38" w14:textId="77777777" w:rsidR="00CC6323" w:rsidRPr="00CC6323" w:rsidRDefault="00CC6323" w:rsidP="001A2C2D">
      <w:pPr>
        <w:spacing w:line="480" w:lineRule="auto"/>
        <w:ind w:left="720" w:firstLine="720"/>
        <w:jc w:val="both"/>
        <w:rPr>
          <w:rFonts w:asciiTheme="majorHAnsi" w:eastAsia="Times New Roman" w:hAnsiTheme="majorHAnsi" w:cstheme="majorHAnsi"/>
          <w:color w:val="1155CC"/>
          <w:sz w:val="24"/>
          <w:szCs w:val="24"/>
          <w:u w:val="single"/>
        </w:rPr>
      </w:pPr>
      <w:proofErr w:type="spellStart"/>
      <w:r w:rsidRPr="00CC6323">
        <w:rPr>
          <w:rFonts w:asciiTheme="majorHAnsi" w:eastAsia="Times New Roman" w:hAnsiTheme="majorHAnsi" w:cstheme="majorHAnsi"/>
          <w:sz w:val="24"/>
          <w:szCs w:val="24"/>
        </w:rPr>
        <w:t>Gilin</w:t>
      </w:r>
      <w:proofErr w:type="spellEnd"/>
      <w:r w:rsidRPr="00CC6323">
        <w:rPr>
          <w:rFonts w:asciiTheme="majorHAnsi" w:eastAsia="Times New Roman" w:hAnsiTheme="majorHAnsi" w:cstheme="majorHAnsi"/>
          <w:sz w:val="24"/>
          <w:szCs w:val="24"/>
        </w:rPr>
        <w:t xml:space="preserve"> </w:t>
      </w:r>
      <w:proofErr w:type="spellStart"/>
      <w:r w:rsidRPr="00CC6323">
        <w:rPr>
          <w:rFonts w:asciiTheme="majorHAnsi" w:eastAsia="Times New Roman" w:hAnsiTheme="majorHAnsi" w:cstheme="majorHAnsi"/>
          <w:sz w:val="24"/>
          <w:szCs w:val="24"/>
        </w:rPr>
        <w:t>Oore</w:t>
      </w:r>
      <w:proofErr w:type="spellEnd"/>
      <w:r w:rsidRPr="00CC6323">
        <w:rPr>
          <w:rFonts w:asciiTheme="majorHAnsi" w:eastAsia="Times New Roman" w:hAnsiTheme="majorHAnsi" w:cstheme="majorHAnsi"/>
          <w:sz w:val="24"/>
          <w:szCs w:val="24"/>
        </w:rPr>
        <w:t xml:space="preserve">, D.E.B.R.A., Leblanc, D., Day, A., Leiter, M.P., Spence </w:t>
      </w:r>
      <w:proofErr w:type="spellStart"/>
      <w:r w:rsidRPr="00CC6323">
        <w:rPr>
          <w:rFonts w:asciiTheme="majorHAnsi" w:eastAsia="Times New Roman" w:hAnsiTheme="majorHAnsi" w:cstheme="majorHAnsi"/>
          <w:sz w:val="24"/>
          <w:szCs w:val="24"/>
        </w:rPr>
        <w:t>Laschinger</w:t>
      </w:r>
      <w:proofErr w:type="spellEnd"/>
      <w:r w:rsidRPr="00CC6323">
        <w:rPr>
          <w:rFonts w:asciiTheme="majorHAnsi" w:eastAsia="Times New Roman" w:hAnsiTheme="majorHAnsi" w:cstheme="majorHAnsi"/>
          <w:sz w:val="24"/>
          <w:szCs w:val="24"/>
        </w:rPr>
        <w:t xml:space="preserve">, H.K., Price, S.L. and Latimer, M., 2010. When respect deteriorates; incivility as a moderator of the stressor–strain relationship among hospital workers. </w:t>
      </w:r>
      <w:r w:rsidRPr="00CC6323">
        <w:rPr>
          <w:rFonts w:asciiTheme="majorHAnsi" w:eastAsia="Times New Roman" w:hAnsiTheme="majorHAnsi" w:cstheme="majorHAnsi"/>
          <w:i/>
          <w:sz w:val="24"/>
          <w:szCs w:val="24"/>
        </w:rPr>
        <w:t>Journal of Nursing Management</w:t>
      </w:r>
      <w:r w:rsidRPr="00CC6323">
        <w:rPr>
          <w:rFonts w:asciiTheme="majorHAnsi" w:eastAsia="Times New Roman" w:hAnsiTheme="majorHAnsi" w:cstheme="majorHAnsi"/>
          <w:sz w:val="24"/>
          <w:szCs w:val="24"/>
        </w:rPr>
        <w:t xml:space="preserve">, </w:t>
      </w:r>
      <w:r w:rsidRPr="00CC6323">
        <w:rPr>
          <w:rFonts w:asciiTheme="majorHAnsi" w:eastAsia="Times New Roman" w:hAnsiTheme="majorHAnsi" w:cstheme="majorHAnsi"/>
          <w:i/>
          <w:sz w:val="24"/>
          <w:szCs w:val="24"/>
        </w:rPr>
        <w:t>18</w:t>
      </w:r>
      <w:r w:rsidRPr="00CC6323">
        <w:rPr>
          <w:rFonts w:asciiTheme="majorHAnsi" w:eastAsia="Times New Roman" w:hAnsiTheme="majorHAnsi" w:cstheme="majorHAnsi"/>
          <w:sz w:val="24"/>
          <w:szCs w:val="24"/>
        </w:rPr>
        <w:t>(8), pp.878-888. Retrieved from &lt;</w:t>
      </w:r>
      <w:hyperlink r:id="rId12" w:history="1">
        <w:r w:rsidRPr="00CC6323">
          <w:rPr>
            <w:rStyle w:val="Hyperlink"/>
            <w:rFonts w:asciiTheme="majorHAnsi" w:eastAsia="Times New Roman" w:hAnsiTheme="majorHAnsi" w:cstheme="majorHAnsi"/>
            <w:sz w:val="24"/>
            <w:szCs w:val="24"/>
          </w:rPr>
          <w:t>https://onlinelibrary.wiley.com/doi/full/10.1111/j.1365-2834.2010.01139.x?casa_token=6GLKh6qWWDQAAAAA%3AH-iB3nesR6Y-</w:t>
        </w:r>
        <w:r w:rsidRPr="00CC6323">
          <w:rPr>
            <w:rStyle w:val="Hyperlink"/>
            <w:rFonts w:asciiTheme="majorHAnsi" w:eastAsia="Times New Roman" w:hAnsiTheme="majorHAnsi" w:cstheme="majorHAnsi"/>
            <w:sz w:val="24"/>
            <w:szCs w:val="24"/>
          </w:rPr>
          <w:lastRenderedPageBreak/>
          <w:t>PxDMnS8PQWUYVAHxn_hD3ut0WT5pIrl8MqcHgw-_9hCtMTdfirZboytPyAtkk5a56mwt</w:t>
        </w:r>
      </w:hyperlink>
      <w:r w:rsidRPr="00CC6323">
        <w:rPr>
          <w:rFonts w:asciiTheme="majorHAnsi" w:eastAsia="Times New Roman" w:hAnsiTheme="majorHAnsi" w:cstheme="majorHAnsi"/>
          <w:color w:val="1155CC"/>
          <w:sz w:val="24"/>
          <w:szCs w:val="24"/>
          <w:u w:val="single"/>
        </w:rPr>
        <w:t>&gt;</w:t>
      </w:r>
    </w:p>
    <w:p w14:paraId="705B3B9B"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p>
    <w:p w14:paraId="770AA756"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proofErr w:type="spellStart"/>
      <w:r w:rsidRPr="00CC6323">
        <w:rPr>
          <w:rFonts w:asciiTheme="majorHAnsi" w:eastAsia="Times New Roman" w:hAnsiTheme="majorHAnsi" w:cstheme="majorHAnsi"/>
          <w:sz w:val="24"/>
          <w:szCs w:val="24"/>
        </w:rPr>
        <w:t>Hombrados</w:t>
      </w:r>
      <w:proofErr w:type="spellEnd"/>
      <w:r w:rsidRPr="00CC6323">
        <w:rPr>
          <w:rFonts w:asciiTheme="majorHAnsi" w:eastAsia="Times New Roman" w:hAnsiTheme="majorHAnsi" w:cstheme="majorHAnsi"/>
          <w:sz w:val="24"/>
          <w:szCs w:val="24"/>
        </w:rPr>
        <w:t xml:space="preserve">-Mendieta, I. and </w:t>
      </w:r>
      <w:proofErr w:type="spellStart"/>
      <w:r w:rsidRPr="00CC6323">
        <w:rPr>
          <w:rFonts w:asciiTheme="majorHAnsi" w:eastAsia="Times New Roman" w:hAnsiTheme="majorHAnsi" w:cstheme="majorHAnsi"/>
          <w:sz w:val="24"/>
          <w:szCs w:val="24"/>
        </w:rPr>
        <w:t>Cosano</w:t>
      </w:r>
      <w:proofErr w:type="spellEnd"/>
      <w:r w:rsidRPr="00CC6323">
        <w:rPr>
          <w:rFonts w:asciiTheme="majorHAnsi" w:eastAsia="Times New Roman" w:hAnsiTheme="majorHAnsi" w:cstheme="majorHAnsi"/>
          <w:sz w:val="24"/>
          <w:szCs w:val="24"/>
        </w:rPr>
        <w:t xml:space="preserve">-Rivas, F., 2013. Burnout, workplace support, job satisfaction and life satisfaction among social workers in Spain: A structural equation model. </w:t>
      </w:r>
      <w:r w:rsidRPr="00CC6323">
        <w:rPr>
          <w:rFonts w:asciiTheme="majorHAnsi" w:eastAsia="Times New Roman" w:hAnsiTheme="majorHAnsi" w:cstheme="majorHAnsi"/>
          <w:i/>
          <w:sz w:val="24"/>
          <w:szCs w:val="24"/>
        </w:rPr>
        <w:t>International Social Work</w:t>
      </w:r>
      <w:r w:rsidRPr="00CC6323">
        <w:rPr>
          <w:rFonts w:asciiTheme="majorHAnsi" w:eastAsia="Times New Roman" w:hAnsiTheme="majorHAnsi" w:cstheme="majorHAnsi"/>
          <w:sz w:val="24"/>
          <w:szCs w:val="24"/>
        </w:rPr>
        <w:t xml:space="preserve">, </w:t>
      </w:r>
      <w:r w:rsidRPr="00CC6323">
        <w:rPr>
          <w:rFonts w:asciiTheme="majorHAnsi" w:eastAsia="Times New Roman" w:hAnsiTheme="majorHAnsi" w:cstheme="majorHAnsi"/>
          <w:i/>
          <w:sz w:val="24"/>
          <w:szCs w:val="24"/>
        </w:rPr>
        <w:t>56</w:t>
      </w:r>
      <w:r w:rsidRPr="00CC6323">
        <w:rPr>
          <w:rFonts w:asciiTheme="majorHAnsi" w:eastAsia="Times New Roman" w:hAnsiTheme="majorHAnsi" w:cstheme="majorHAnsi"/>
          <w:sz w:val="24"/>
          <w:szCs w:val="24"/>
        </w:rPr>
        <w:t>(2), pp.228-246. Retrieved from &lt;</w:t>
      </w:r>
      <w:hyperlink r:id="rId13" w:history="1">
        <w:r w:rsidRPr="00CC6323">
          <w:rPr>
            <w:rStyle w:val="Hyperlink"/>
            <w:rFonts w:asciiTheme="majorHAnsi" w:eastAsia="Times New Roman" w:hAnsiTheme="majorHAnsi" w:cstheme="majorHAnsi"/>
            <w:sz w:val="24"/>
            <w:szCs w:val="24"/>
          </w:rPr>
          <w:t>https://journals.sagepub.com/doi/full/10.1177/0020872811421620</w:t>
        </w:r>
      </w:hyperlink>
      <w:r w:rsidRPr="00CC6323">
        <w:rPr>
          <w:rFonts w:asciiTheme="majorHAnsi" w:eastAsia="Times New Roman" w:hAnsiTheme="majorHAnsi" w:cstheme="majorHAnsi"/>
          <w:sz w:val="24"/>
          <w:szCs w:val="24"/>
        </w:rPr>
        <w:t>&gt;</w:t>
      </w:r>
    </w:p>
    <w:p w14:paraId="6EC27C29"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 xml:space="preserve">Lee, G., </w:t>
      </w:r>
      <w:proofErr w:type="spellStart"/>
      <w:r w:rsidRPr="00CC6323">
        <w:rPr>
          <w:rFonts w:asciiTheme="majorHAnsi" w:eastAsia="Times New Roman" w:hAnsiTheme="majorHAnsi" w:cstheme="majorHAnsi"/>
          <w:sz w:val="24"/>
          <w:szCs w:val="24"/>
        </w:rPr>
        <w:t>Magnini</w:t>
      </w:r>
      <w:proofErr w:type="spellEnd"/>
      <w:r w:rsidRPr="00CC6323">
        <w:rPr>
          <w:rFonts w:asciiTheme="majorHAnsi" w:eastAsia="Times New Roman" w:hAnsiTheme="majorHAnsi" w:cstheme="majorHAnsi"/>
          <w:sz w:val="24"/>
          <w:szCs w:val="24"/>
        </w:rPr>
        <w:t xml:space="preserve">, V.P. and Kim, B.P., 2011. Employee satisfaction with schedule flexibility: Psychological antecedents and consequences within the workplace. </w:t>
      </w:r>
      <w:r w:rsidRPr="00CC6323">
        <w:rPr>
          <w:rFonts w:asciiTheme="majorHAnsi" w:eastAsia="Times New Roman" w:hAnsiTheme="majorHAnsi" w:cstheme="majorHAnsi"/>
          <w:i/>
          <w:sz w:val="24"/>
          <w:szCs w:val="24"/>
        </w:rPr>
        <w:t>International Journal of Hospitality Management</w:t>
      </w:r>
      <w:r w:rsidRPr="00CC6323">
        <w:rPr>
          <w:rFonts w:asciiTheme="majorHAnsi" w:eastAsia="Times New Roman" w:hAnsiTheme="majorHAnsi" w:cstheme="majorHAnsi"/>
          <w:sz w:val="24"/>
          <w:szCs w:val="24"/>
        </w:rPr>
        <w:t xml:space="preserve">, </w:t>
      </w:r>
      <w:r w:rsidRPr="00CC6323">
        <w:rPr>
          <w:rFonts w:asciiTheme="majorHAnsi" w:eastAsia="Times New Roman" w:hAnsiTheme="majorHAnsi" w:cstheme="majorHAnsi"/>
          <w:i/>
          <w:sz w:val="24"/>
          <w:szCs w:val="24"/>
        </w:rPr>
        <w:t>30</w:t>
      </w:r>
      <w:r w:rsidRPr="00CC6323">
        <w:rPr>
          <w:rFonts w:asciiTheme="majorHAnsi" w:eastAsia="Times New Roman" w:hAnsiTheme="majorHAnsi" w:cstheme="majorHAnsi"/>
          <w:sz w:val="24"/>
          <w:szCs w:val="24"/>
        </w:rPr>
        <w:t>(1), pp.22-30 &lt;</w:t>
      </w:r>
      <w:hyperlink r:id="rId14" w:history="1">
        <w:r w:rsidRPr="00CC6323">
          <w:rPr>
            <w:rStyle w:val="Hyperlink"/>
            <w:rFonts w:asciiTheme="majorHAnsi" w:eastAsia="Times New Roman" w:hAnsiTheme="majorHAnsi" w:cstheme="majorHAnsi"/>
            <w:sz w:val="24"/>
            <w:szCs w:val="24"/>
          </w:rPr>
          <w:t>https://www.sciencedirect.com/science/article/abs/pii/S0278431910000514</w:t>
        </w:r>
      </w:hyperlink>
      <w:r w:rsidRPr="00CC6323">
        <w:rPr>
          <w:rFonts w:asciiTheme="majorHAnsi" w:eastAsia="Times New Roman" w:hAnsiTheme="majorHAnsi" w:cstheme="majorHAnsi"/>
          <w:sz w:val="24"/>
          <w:szCs w:val="24"/>
        </w:rPr>
        <w:t>&gt;</w:t>
      </w:r>
    </w:p>
    <w:p w14:paraId="36221CB8"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proofErr w:type="spellStart"/>
      <w:r w:rsidRPr="00CC6323">
        <w:rPr>
          <w:rFonts w:asciiTheme="majorHAnsi" w:eastAsia="Times New Roman" w:hAnsiTheme="majorHAnsi" w:cstheme="majorHAnsi"/>
          <w:sz w:val="24"/>
          <w:szCs w:val="24"/>
        </w:rPr>
        <w:t>Marchiondo</w:t>
      </w:r>
      <w:proofErr w:type="spellEnd"/>
      <w:r w:rsidRPr="00CC6323">
        <w:rPr>
          <w:rFonts w:asciiTheme="majorHAnsi" w:eastAsia="Times New Roman" w:hAnsiTheme="majorHAnsi" w:cstheme="majorHAnsi"/>
          <w:sz w:val="24"/>
          <w:szCs w:val="24"/>
        </w:rPr>
        <w:t xml:space="preserve">, L.A., Gonzales, </w:t>
      </w:r>
      <w:proofErr w:type="gramStart"/>
      <w:r w:rsidRPr="00CC6323">
        <w:rPr>
          <w:rFonts w:asciiTheme="majorHAnsi" w:eastAsia="Times New Roman" w:hAnsiTheme="majorHAnsi" w:cstheme="majorHAnsi"/>
          <w:sz w:val="24"/>
          <w:szCs w:val="24"/>
        </w:rPr>
        <w:t>E.</w:t>
      </w:r>
      <w:proofErr w:type="gramEnd"/>
      <w:r w:rsidRPr="00CC6323">
        <w:rPr>
          <w:rFonts w:asciiTheme="majorHAnsi" w:eastAsia="Times New Roman" w:hAnsiTheme="majorHAnsi" w:cstheme="majorHAnsi"/>
          <w:sz w:val="24"/>
          <w:szCs w:val="24"/>
        </w:rPr>
        <w:t xml:space="preserve"> and Williams, L.J., 2019. Trajectories of perceived workplace age discrimination and long-term associations with mental, self-rated, and occupational health. </w:t>
      </w:r>
      <w:r w:rsidRPr="00CC6323">
        <w:rPr>
          <w:rFonts w:asciiTheme="majorHAnsi" w:eastAsia="Times New Roman" w:hAnsiTheme="majorHAnsi" w:cstheme="majorHAnsi"/>
          <w:i/>
          <w:sz w:val="24"/>
          <w:szCs w:val="24"/>
        </w:rPr>
        <w:t>The Journals of Gerontology: Series B</w:t>
      </w:r>
      <w:r w:rsidRPr="00CC6323">
        <w:rPr>
          <w:rFonts w:asciiTheme="majorHAnsi" w:eastAsia="Times New Roman" w:hAnsiTheme="majorHAnsi" w:cstheme="majorHAnsi"/>
          <w:sz w:val="24"/>
          <w:szCs w:val="24"/>
        </w:rPr>
        <w:t xml:space="preserve">, </w:t>
      </w:r>
      <w:r w:rsidRPr="00CC6323">
        <w:rPr>
          <w:rFonts w:asciiTheme="majorHAnsi" w:eastAsia="Times New Roman" w:hAnsiTheme="majorHAnsi" w:cstheme="majorHAnsi"/>
          <w:i/>
          <w:sz w:val="24"/>
          <w:szCs w:val="24"/>
        </w:rPr>
        <w:t>74</w:t>
      </w:r>
      <w:r w:rsidRPr="00CC6323">
        <w:rPr>
          <w:rFonts w:asciiTheme="majorHAnsi" w:eastAsia="Times New Roman" w:hAnsiTheme="majorHAnsi" w:cstheme="majorHAnsi"/>
          <w:sz w:val="24"/>
          <w:szCs w:val="24"/>
        </w:rPr>
        <w:t>(4), pp.655-663. &lt;</w:t>
      </w:r>
      <w:hyperlink r:id="rId15" w:history="1">
        <w:r w:rsidRPr="00CC6323">
          <w:rPr>
            <w:rStyle w:val="Hyperlink"/>
            <w:rFonts w:asciiTheme="majorHAnsi" w:eastAsia="Times New Roman" w:hAnsiTheme="majorHAnsi" w:cstheme="majorHAnsi"/>
            <w:sz w:val="24"/>
            <w:szCs w:val="24"/>
          </w:rPr>
          <w:t>https://academic.oup.com/psychsocgerontology/article/74/4/655/3958244</w:t>
        </w:r>
      </w:hyperlink>
      <w:r w:rsidRPr="00CC6323">
        <w:rPr>
          <w:rFonts w:asciiTheme="majorHAnsi" w:eastAsia="Times New Roman" w:hAnsiTheme="majorHAnsi" w:cstheme="majorHAnsi"/>
          <w:sz w:val="24"/>
          <w:szCs w:val="24"/>
        </w:rPr>
        <w:t>&gt;</w:t>
      </w:r>
    </w:p>
    <w:p w14:paraId="55B48101"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p>
    <w:p w14:paraId="08C5EC1E"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proofErr w:type="spellStart"/>
      <w:r w:rsidRPr="00CC6323">
        <w:rPr>
          <w:rFonts w:asciiTheme="majorHAnsi" w:eastAsia="Times New Roman" w:hAnsiTheme="majorHAnsi" w:cstheme="majorHAnsi"/>
          <w:sz w:val="24"/>
          <w:szCs w:val="24"/>
        </w:rPr>
        <w:t>Nwobia</w:t>
      </w:r>
      <w:proofErr w:type="spellEnd"/>
      <w:r w:rsidRPr="00CC6323">
        <w:rPr>
          <w:rFonts w:asciiTheme="majorHAnsi" w:eastAsia="Times New Roman" w:hAnsiTheme="majorHAnsi" w:cstheme="majorHAnsi"/>
          <w:sz w:val="24"/>
          <w:szCs w:val="24"/>
        </w:rPr>
        <w:t xml:space="preserve">, </w:t>
      </w:r>
      <w:proofErr w:type="gramStart"/>
      <w:r w:rsidRPr="00CC6323">
        <w:rPr>
          <w:rFonts w:asciiTheme="majorHAnsi" w:eastAsia="Times New Roman" w:hAnsiTheme="majorHAnsi" w:cstheme="majorHAnsi"/>
          <w:sz w:val="24"/>
          <w:szCs w:val="24"/>
        </w:rPr>
        <w:t>I.E.</w:t>
      </w:r>
      <w:proofErr w:type="gramEnd"/>
      <w:r w:rsidRPr="00CC6323">
        <w:rPr>
          <w:rFonts w:asciiTheme="majorHAnsi" w:eastAsia="Times New Roman" w:hAnsiTheme="majorHAnsi" w:cstheme="majorHAnsi"/>
          <w:sz w:val="24"/>
          <w:szCs w:val="24"/>
        </w:rPr>
        <w:t xml:space="preserve"> and </w:t>
      </w:r>
      <w:proofErr w:type="spellStart"/>
      <w:r w:rsidRPr="00CC6323">
        <w:rPr>
          <w:rFonts w:asciiTheme="majorHAnsi" w:eastAsia="Times New Roman" w:hAnsiTheme="majorHAnsi" w:cstheme="majorHAnsi"/>
          <w:sz w:val="24"/>
          <w:szCs w:val="24"/>
        </w:rPr>
        <w:t>Aljohani</w:t>
      </w:r>
      <w:proofErr w:type="spellEnd"/>
      <w:r w:rsidRPr="00CC6323">
        <w:rPr>
          <w:rFonts w:asciiTheme="majorHAnsi" w:eastAsia="Times New Roman" w:hAnsiTheme="majorHAnsi" w:cstheme="majorHAnsi"/>
          <w:sz w:val="24"/>
          <w:szCs w:val="24"/>
        </w:rPr>
        <w:t xml:space="preserve">, M.S., 2017. The effect of job dissatisfaction and workplace bullying on turnover intention: Organisation climate and group cohesion as moderators. </w:t>
      </w:r>
      <w:r w:rsidRPr="00CC6323">
        <w:rPr>
          <w:rFonts w:asciiTheme="majorHAnsi" w:eastAsia="Times New Roman" w:hAnsiTheme="majorHAnsi" w:cstheme="majorHAnsi"/>
          <w:i/>
          <w:sz w:val="24"/>
          <w:szCs w:val="24"/>
        </w:rPr>
        <w:t>International Journal of Marketing Studies</w:t>
      </w:r>
      <w:r w:rsidRPr="00CC6323">
        <w:rPr>
          <w:rFonts w:asciiTheme="majorHAnsi" w:eastAsia="Times New Roman" w:hAnsiTheme="majorHAnsi" w:cstheme="majorHAnsi"/>
          <w:sz w:val="24"/>
          <w:szCs w:val="24"/>
        </w:rPr>
        <w:t xml:space="preserve">, </w:t>
      </w:r>
      <w:r w:rsidRPr="00CC6323">
        <w:rPr>
          <w:rFonts w:asciiTheme="majorHAnsi" w:eastAsia="Times New Roman" w:hAnsiTheme="majorHAnsi" w:cstheme="majorHAnsi"/>
          <w:i/>
          <w:sz w:val="24"/>
          <w:szCs w:val="24"/>
        </w:rPr>
        <w:t>9</w:t>
      </w:r>
      <w:r w:rsidRPr="00CC6323">
        <w:rPr>
          <w:rFonts w:asciiTheme="majorHAnsi" w:eastAsia="Times New Roman" w:hAnsiTheme="majorHAnsi" w:cstheme="majorHAnsi"/>
          <w:sz w:val="24"/>
          <w:szCs w:val="24"/>
        </w:rPr>
        <w:t>(3), pp.136-143. &lt;</w:t>
      </w:r>
      <w:hyperlink r:id="rId16" w:history="1">
        <w:r w:rsidRPr="00CC6323">
          <w:rPr>
            <w:rStyle w:val="Hyperlink"/>
            <w:rFonts w:asciiTheme="majorHAnsi" w:eastAsia="Times New Roman" w:hAnsiTheme="majorHAnsi" w:cstheme="majorHAnsi"/>
            <w:sz w:val="24"/>
            <w:szCs w:val="24"/>
          </w:rPr>
          <w:t>https://pdfs.semanticscholar.org/51d9/7758a307f3ddddb9337dfcd3dd18aab8ab94.pdf</w:t>
        </w:r>
      </w:hyperlink>
      <w:r w:rsidRPr="00CC6323">
        <w:rPr>
          <w:rFonts w:asciiTheme="majorHAnsi" w:eastAsia="Times New Roman" w:hAnsiTheme="majorHAnsi" w:cstheme="majorHAnsi"/>
          <w:sz w:val="24"/>
          <w:szCs w:val="24"/>
        </w:rPr>
        <w:t>&gt;</w:t>
      </w:r>
    </w:p>
    <w:p w14:paraId="2BFFEBD4" w14:textId="77777777" w:rsidR="00CC6323" w:rsidRPr="00CC6323" w:rsidRDefault="00CC6323" w:rsidP="001A2C2D">
      <w:pPr>
        <w:spacing w:line="480" w:lineRule="auto"/>
        <w:ind w:firstLine="720"/>
        <w:jc w:val="both"/>
        <w:rPr>
          <w:rFonts w:asciiTheme="majorHAnsi" w:eastAsia="Times New Roman" w:hAnsiTheme="majorHAnsi" w:cstheme="majorHAnsi"/>
          <w:sz w:val="24"/>
          <w:szCs w:val="24"/>
        </w:rPr>
      </w:pPr>
    </w:p>
    <w:p w14:paraId="1406EEF2" w14:textId="77777777" w:rsidR="00CC6323" w:rsidRPr="00CC6323" w:rsidRDefault="00CC6323" w:rsidP="001A2C2D">
      <w:pPr>
        <w:spacing w:line="480" w:lineRule="auto"/>
        <w:ind w:left="720" w:firstLine="720"/>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 xml:space="preserve"> </w:t>
      </w:r>
      <w:proofErr w:type="spellStart"/>
      <w:r w:rsidRPr="00CC6323">
        <w:rPr>
          <w:rFonts w:asciiTheme="majorHAnsi" w:eastAsia="Times New Roman" w:hAnsiTheme="majorHAnsi" w:cstheme="majorHAnsi"/>
          <w:sz w:val="24"/>
          <w:szCs w:val="24"/>
        </w:rPr>
        <w:t>Värlander</w:t>
      </w:r>
      <w:proofErr w:type="spellEnd"/>
      <w:r w:rsidRPr="00CC6323">
        <w:rPr>
          <w:rFonts w:asciiTheme="majorHAnsi" w:eastAsia="Times New Roman" w:hAnsiTheme="majorHAnsi" w:cstheme="majorHAnsi"/>
          <w:sz w:val="24"/>
          <w:szCs w:val="24"/>
        </w:rPr>
        <w:t xml:space="preserve">, S. (2012). Individual Flexibility in the Workplace. The Journal of Applied Behavioural Science, 48(1), 33–61. </w:t>
      </w:r>
    </w:p>
    <w:p w14:paraId="690985F7" w14:textId="77777777" w:rsidR="00CC6323" w:rsidRPr="00CC6323" w:rsidRDefault="00CC6323" w:rsidP="001A2C2D">
      <w:pPr>
        <w:spacing w:line="480" w:lineRule="auto"/>
        <w:ind w:firstLine="720"/>
        <w:jc w:val="both"/>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lastRenderedPageBreak/>
        <w:t>&lt;</w:t>
      </w:r>
      <w:hyperlink r:id="rId17" w:history="1">
        <w:r w:rsidRPr="00CC6323">
          <w:rPr>
            <w:rStyle w:val="Hyperlink"/>
            <w:rFonts w:asciiTheme="majorHAnsi" w:eastAsia="Times New Roman" w:hAnsiTheme="majorHAnsi" w:cstheme="majorHAnsi"/>
            <w:sz w:val="24"/>
            <w:szCs w:val="24"/>
          </w:rPr>
          <w:t>https://doi.org/10.1177/0021886311407666</w:t>
        </w:r>
      </w:hyperlink>
      <w:r w:rsidRPr="00CC6323">
        <w:rPr>
          <w:rFonts w:asciiTheme="majorHAnsi" w:eastAsia="Times New Roman" w:hAnsiTheme="majorHAnsi" w:cstheme="majorHAnsi"/>
          <w:sz w:val="24"/>
          <w:szCs w:val="24"/>
        </w:rPr>
        <w:t>&gt;</w:t>
      </w:r>
    </w:p>
    <w:p w14:paraId="00000040" w14:textId="77777777" w:rsidR="0071630F" w:rsidRPr="00CC6323" w:rsidRDefault="0071630F">
      <w:pPr>
        <w:spacing w:line="480" w:lineRule="auto"/>
        <w:rPr>
          <w:rFonts w:asciiTheme="majorHAnsi" w:eastAsia="Times New Roman" w:hAnsiTheme="majorHAnsi" w:cstheme="majorHAnsi"/>
          <w:sz w:val="24"/>
          <w:szCs w:val="24"/>
        </w:rPr>
      </w:pPr>
    </w:p>
    <w:p w14:paraId="00000041" w14:textId="77777777" w:rsidR="0071630F" w:rsidRPr="00CC6323" w:rsidRDefault="00CF2EA7">
      <w:pPr>
        <w:spacing w:line="480" w:lineRule="auto"/>
        <w:rPr>
          <w:rFonts w:asciiTheme="majorHAnsi" w:eastAsia="Times New Roman" w:hAnsiTheme="majorHAnsi" w:cstheme="majorHAnsi"/>
          <w:sz w:val="24"/>
          <w:szCs w:val="24"/>
        </w:rPr>
      </w:pPr>
      <w:r w:rsidRPr="00CC6323">
        <w:rPr>
          <w:rFonts w:asciiTheme="majorHAnsi" w:eastAsia="Times New Roman" w:hAnsiTheme="majorHAnsi" w:cstheme="majorHAnsi"/>
          <w:sz w:val="24"/>
          <w:szCs w:val="24"/>
        </w:rPr>
        <w:tab/>
      </w:r>
    </w:p>
    <w:sectPr w:rsidR="0071630F" w:rsidRPr="00CC6323">
      <w:headerReference w:type="even" r:id="rId18"/>
      <w:headerReference w:type="default" r:id="rId19"/>
      <w:footerReference w:type="even" r:id="rId20"/>
      <w:footerReference w:type="default" r:id="rId21"/>
      <w:headerReference w:type="first" r:id="rId2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2AF7CA" w14:textId="77777777" w:rsidR="00F03FB3" w:rsidRDefault="00F03FB3">
      <w:pPr>
        <w:spacing w:line="240" w:lineRule="auto"/>
      </w:pPr>
      <w:r>
        <w:separator/>
      </w:r>
    </w:p>
  </w:endnote>
  <w:endnote w:type="continuationSeparator" w:id="0">
    <w:p w14:paraId="30F65005" w14:textId="77777777" w:rsidR="00F03FB3" w:rsidRDefault="00F03F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5" w14:textId="77777777" w:rsidR="0071630F" w:rsidRDefault="0071630F">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7" w14:textId="77777777" w:rsidR="0071630F" w:rsidRDefault="0071630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BAF303" w14:textId="77777777" w:rsidR="00F03FB3" w:rsidRDefault="00F03FB3">
      <w:pPr>
        <w:spacing w:line="240" w:lineRule="auto"/>
      </w:pPr>
      <w:r>
        <w:separator/>
      </w:r>
    </w:p>
  </w:footnote>
  <w:footnote w:type="continuationSeparator" w:id="0">
    <w:p w14:paraId="1BD8B37D" w14:textId="77777777" w:rsidR="00F03FB3" w:rsidRDefault="00F03F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3" w14:textId="77777777" w:rsidR="0071630F" w:rsidRDefault="0071630F">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2" w14:textId="5D4AF272" w:rsidR="0071630F" w:rsidRDefault="0071630F">
    <w:pPr>
      <w:jc w:val="right"/>
      <w:rPr>
        <w:rFonts w:ascii="Times New Roman" w:eastAsia="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4" w14:textId="56538610" w:rsidR="0071630F" w:rsidRDefault="0071630F">
    <w:pPr>
      <w:ind w:left="720"/>
      <w:jc w:val="right"/>
      <w:rPr>
        <w:rFonts w:ascii="Times New Roman" w:eastAsia="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2tTQ3NbMwNjE0sjRV0lEKTi0uzszPAykwqgUAfpg9oywAAAA="/>
  </w:docVars>
  <w:rsids>
    <w:rsidRoot w:val="0071630F"/>
    <w:rsid w:val="001A2C2D"/>
    <w:rsid w:val="001A4B9B"/>
    <w:rsid w:val="002A225F"/>
    <w:rsid w:val="006875AE"/>
    <w:rsid w:val="0071630F"/>
    <w:rsid w:val="0097699A"/>
    <w:rsid w:val="00A0606A"/>
    <w:rsid w:val="00B31AFF"/>
    <w:rsid w:val="00BD5B42"/>
    <w:rsid w:val="00C214CC"/>
    <w:rsid w:val="00C23A4A"/>
    <w:rsid w:val="00C760C9"/>
    <w:rsid w:val="00CC6323"/>
    <w:rsid w:val="00CE6E30"/>
    <w:rsid w:val="00CF2EA7"/>
    <w:rsid w:val="00D73B3E"/>
    <w:rsid w:val="00DD0D4D"/>
    <w:rsid w:val="00E05C9D"/>
    <w:rsid w:val="00E107D9"/>
    <w:rsid w:val="00F03FB3"/>
    <w:rsid w:val="00F47E04"/>
    <w:rsid w:val="00F54C37"/>
    <w:rsid w:val="00F85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758A3"/>
  <w15:docId w15:val="{C2C14707-D659-4878-82F8-9FF972A83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CC6323"/>
    <w:pPr>
      <w:tabs>
        <w:tab w:val="center" w:pos="4513"/>
        <w:tab w:val="right" w:pos="9026"/>
      </w:tabs>
      <w:spacing w:line="240" w:lineRule="auto"/>
    </w:pPr>
  </w:style>
  <w:style w:type="character" w:customStyle="1" w:styleId="FooterChar">
    <w:name w:val="Footer Char"/>
    <w:basedOn w:val="DefaultParagraphFont"/>
    <w:link w:val="Footer"/>
    <w:uiPriority w:val="99"/>
    <w:rsid w:val="00CC6323"/>
  </w:style>
  <w:style w:type="character" w:styleId="Hyperlink">
    <w:name w:val="Hyperlink"/>
    <w:basedOn w:val="DefaultParagraphFont"/>
    <w:uiPriority w:val="99"/>
    <w:unhideWhenUsed/>
    <w:rsid w:val="00CC63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journals.sagepub.com/doi/full/10.1177/0020872811421620"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onlinelibrary.wiley.com/doi/full/10.1111/j.1365-2834.2010.01139.x?casa_token=6GLKh6qWWDQAAAAA%3AH-iB3nesR6Y-PxDMnS8PQWUYVAHxn_hD3ut0WT5pIrl8MqcHgw-_9hCtMTdfirZboytPyAtkk5a56mwt" TargetMode="External"/><Relationship Id="rId17" Type="http://schemas.openxmlformats.org/officeDocument/2006/relationships/hyperlink" Target="https://doi.org/10.1177/0021886311407666" TargetMode="External"/><Relationship Id="rId2" Type="http://schemas.openxmlformats.org/officeDocument/2006/relationships/styles" Target="styles.xml"/><Relationship Id="rId16" Type="http://schemas.openxmlformats.org/officeDocument/2006/relationships/hyperlink" Target="https://pdfs.semanticscholar.org/51d9/7758a307f3ddddb9337dfcd3dd18aab8ab94.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nservancy.umn.edu/bitstream/handle/11299/98007/Shim_umn_0130E_11391.pdf?sequence=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cademic.oup.com/psychsocgerontology/article/74/4/655/3958244" TargetMode="External"/><Relationship Id="rId23" Type="http://schemas.openxmlformats.org/officeDocument/2006/relationships/fontTable" Target="fontTable.xml"/><Relationship Id="rId10" Type="http://schemas.openxmlformats.org/officeDocument/2006/relationships/hyperlink" Target="https://www.independent.co.uk/news/business/news/uk-workers-new-job-satisfaction-investors-people-a9272191.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i.org/10.1002/smi.2864" TargetMode="External"/><Relationship Id="rId14" Type="http://schemas.openxmlformats.org/officeDocument/2006/relationships/hyperlink" Target="https://www.sciencedirect.com/science/article/abs/pii/S0278431910000514"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5u8dxrEwmMjYPrhEOA/Q7uh+2SQ==">AMUW2mWL5TYAQKIHWbfCpm6w9pUtxZB6QH3KIEg7ASz3rzo+vgqh9CjIQXrTbOKqmzEUlivd4Qwk6VkBZHl8wF9uKyi9K0VCQU6/Q1hbOPOM3TK7XQPJDOw=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2631</Words>
  <Characters>14999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Sorina Melescanu</cp:lastModifiedBy>
  <cp:revision>3</cp:revision>
  <dcterms:created xsi:type="dcterms:W3CDTF">2020-12-17T19:53:00Z</dcterms:created>
  <dcterms:modified xsi:type="dcterms:W3CDTF">2020-12-17T19:56:00Z</dcterms:modified>
</cp:coreProperties>
</file>