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12"/>
        <w:jc w:val="center"/>
        <w:rPr>
          <w:b/>
          <w:sz w:val="56"/>
        </w:rPr>
      </w:pPr>
      <w:r>
        <w:rPr>
          <w:b/>
          <w:sz w:val="56"/>
        </w:rPr>
        <w:drawing>
          <wp:inline distT="0" distB="0" distL="0" distR="0">
            <wp:extent cx="3524250" cy="1404620"/>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535284" cy="1409307"/>
                    </a:xfrm>
                    <a:prstGeom prst="rect">
                      <a:avLst/>
                    </a:prstGeom>
                    <a:noFill/>
                  </pic:spPr>
                </pic:pic>
              </a:graphicData>
            </a:graphic>
          </wp:inline>
        </w:drawing>
      </w:r>
    </w:p>
    <w:p>
      <w:pPr>
        <w:spacing w:before="212"/>
        <w:jc w:val="center"/>
        <w:rPr>
          <w:b/>
          <w:sz w:val="36"/>
          <w:szCs w:val="36"/>
        </w:rPr>
      </w:pPr>
    </w:p>
    <w:p>
      <w:pPr>
        <w:spacing w:before="212"/>
        <w:rPr>
          <w:b/>
          <w:sz w:val="56"/>
        </w:rPr>
      </w:pPr>
    </w:p>
    <w:p>
      <w:pPr>
        <w:spacing w:before="212"/>
        <w:rPr>
          <w:b/>
          <w:sz w:val="48"/>
          <w:szCs w:val="48"/>
        </w:rPr>
      </w:pPr>
      <w:r>
        <w:rPr>
          <w:b/>
          <w:sz w:val="48"/>
          <w:szCs w:val="48"/>
        </w:rPr>
        <w:t>MODULE CODE: EDCE7020</w:t>
      </w:r>
    </w:p>
    <w:p>
      <w:pPr>
        <w:spacing w:before="212"/>
        <w:rPr>
          <w:b/>
          <w:sz w:val="48"/>
          <w:szCs w:val="48"/>
        </w:rPr>
      </w:pPr>
    </w:p>
    <w:p>
      <w:pPr>
        <w:spacing w:before="212"/>
        <w:rPr>
          <w:b/>
          <w:sz w:val="48"/>
          <w:szCs w:val="48"/>
        </w:rPr>
      </w:pPr>
      <w:r>
        <w:rPr>
          <w:b/>
          <w:sz w:val="48"/>
          <w:szCs w:val="48"/>
        </w:rPr>
        <w:t>ASSESSMENT COMPONENT: 2</w:t>
      </w:r>
    </w:p>
    <w:p>
      <w:pPr>
        <w:spacing w:before="7"/>
        <w:jc w:val="center"/>
        <w:rPr>
          <w:b/>
          <w:sz w:val="44"/>
        </w:rPr>
      </w:pPr>
    </w:p>
    <w:p>
      <w:pPr>
        <w:spacing w:before="3"/>
        <w:rPr>
          <w:b/>
          <w:sz w:val="48"/>
          <w:szCs w:val="48"/>
        </w:rPr>
      </w:pPr>
      <w:r>
        <w:rPr>
          <w:b/>
          <w:sz w:val="48"/>
          <w:szCs w:val="48"/>
        </w:rPr>
        <w:t>STUDENT NAME:</w:t>
      </w:r>
      <w:r>
        <w:rPr>
          <w:rFonts w:hint="eastAsia" w:eastAsia="宋体"/>
          <w:b/>
          <w:sz w:val="48"/>
          <w:szCs w:val="48"/>
          <w:lang w:val="en-US" w:eastAsia="zh-CN"/>
        </w:rPr>
        <w:t xml:space="preserve"> </w:t>
      </w:r>
      <w:r>
        <w:rPr>
          <w:rFonts w:hint="eastAsia" w:ascii="Arial"/>
          <w:b/>
          <w:sz w:val="48"/>
          <w:szCs w:val="48"/>
          <w:lang w:val="en-US" w:eastAsia="zh-CN"/>
        </w:rPr>
        <w:t>Wenrui</w:t>
      </w:r>
      <w:r>
        <w:rPr>
          <w:rFonts w:hint="eastAsia" w:ascii="Arial"/>
          <w:b/>
          <w:sz w:val="48"/>
          <w:szCs w:val="48"/>
        </w:rPr>
        <w:t xml:space="preserve"> </w:t>
      </w:r>
      <w:r>
        <w:rPr>
          <w:rFonts w:hint="eastAsia" w:ascii="Arial"/>
          <w:b/>
          <w:sz w:val="48"/>
          <w:szCs w:val="48"/>
          <w:lang w:val="en-US" w:eastAsia="zh-CN"/>
        </w:rPr>
        <w:t>Y</w:t>
      </w:r>
      <w:r>
        <w:rPr>
          <w:rFonts w:hint="eastAsia" w:ascii="Arial"/>
          <w:b/>
          <w:sz w:val="48"/>
          <w:szCs w:val="48"/>
        </w:rPr>
        <w:t>in</w:t>
      </w:r>
    </w:p>
    <w:p>
      <w:pPr>
        <w:spacing w:before="3"/>
        <w:rPr>
          <w:b/>
          <w:sz w:val="48"/>
          <w:szCs w:val="48"/>
        </w:rPr>
      </w:pPr>
    </w:p>
    <w:p>
      <w:pPr>
        <w:spacing w:before="3"/>
        <w:rPr>
          <w:b/>
          <w:sz w:val="48"/>
          <w:szCs w:val="48"/>
        </w:rPr>
      </w:pPr>
      <w:r>
        <w:rPr>
          <w:b/>
          <w:sz w:val="48"/>
          <w:szCs w:val="48"/>
        </w:rPr>
        <w:t>STUDENT NUMBER:</w:t>
      </w:r>
      <w:r>
        <w:rPr>
          <w:rFonts w:hint="eastAsia" w:eastAsia="宋体"/>
          <w:b/>
          <w:sz w:val="48"/>
          <w:szCs w:val="48"/>
          <w:lang w:val="en-US" w:eastAsia="zh-CN"/>
        </w:rPr>
        <w:t xml:space="preserve"> </w:t>
      </w:r>
      <w:r>
        <w:rPr>
          <w:rFonts w:hint="eastAsia" w:ascii="Arial"/>
          <w:b/>
          <w:sz w:val="48"/>
          <w:szCs w:val="48"/>
        </w:rPr>
        <w:t>2</w:t>
      </w:r>
      <w:r>
        <w:rPr>
          <w:rFonts w:hint="eastAsia" w:ascii="Arial"/>
          <w:b/>
          <w:sz w:val="48"/>
          <w:szCs w:val="48"/>
          <w:lang w:val="en-US" w:eastAsia="zh-CN"/>
        </w:rPr>
        <w:t>319170</w:t>
      </w:r>
    </w:p>
    <w:p>
      <w:pPr>
        <w:rPr>
          <w:b/>
          <w:sz w:val="47"/>
        </w:rPr>
      </w:pPr>
    </w:p>
    <w:p>
      <w:pPr>
        <w:ind w:left="100"/>
        <w:jc w:val="center"/>
        <w:rPr>
          <w:b/>
          <w:sz w:val="47"/>
        </w:rPr>
      </w:pPr>
    </w:p>
    <w:p>
      <w:pPr>
        <w:ind w:left="100"/>
        <w:rPr>
          <w:b/>
          <w:sz w:val="47"/>
        </w:rPr>
      </w:pPr>
    </w:p>
    <w:p>
      <w:pPr>
        <w:ind w:left="100"/>
        <w:rPr>
          <w:b/>
          <w:sz w:val="47"/>
        </w:rPr>
      </w:pPr>
    </w:p>
    <w:p>
      <w:pPr>
        <w:ind w:left="100"/>
        <w:rPr>
          <w:b/>
          <w:sz w:val="47"/>
        </w:rPr>
      </w:pPr>
      <w:r>
        <w:rPr>
          <w:b/>
          <w:sz w:val="47"/>
        </w:rPr>
        <w:t>Doctorate in Education (EdD)</w:t>
      </w:r>
    </w:p>
    <w:p>
      <w:pPr>
        <w:spacing w:before="200"/>
        <w:ind w:firstLine="720"/>
        <w:jc w:val="center"/>
        <w:rPr>
          <w:rFonts w:cs="Arial"/>
          <w:b/>
          <w:sz w:val="22"/>
          <w:szCs w:val="22"/>
        </w:rPr>
      </w:pPr>
    </w:p>
    <w:p>
      <w:pPr>
        <w:rPr>
          <w:rFonts w:cs="Arial"/>
          <w:b/>
          <w:sz w:val="22"/>
          <w:szCs w:val="22"/>
        </w:rPr>
      </w:pPr>
      <w:r>
        <w:rPr>
          <w:rFonts w:cs="Arial"/>
          <w:b/>
          <w:sz w:val="22"/>
          <w:szCs w:val="22"/>
        </w:rPr>
        <w:br w:type="page"/>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pStyle w:val="2"/>
        <w:spacing w:line="480" w:lineRule="auto"/>
        <w:jc w:val="center"/>
        <w:rPr>
          <w:rFonts w:ascii="Times New Roman" w:hAnsi="Times New Roman" w:cs="Times New Roman"/>
          <w:b/>
          <w:bCs/>
          <w:color w:val="auto"/>
          <w:sz w:val="28"/>
          <w:szCs w:val="28"/>
        </w:rPr>
      </w:pPr>
      <w:bookmarkStart w:id="0" w:name="_Toc167824800"/>
      <w:r>
        <w:rPr>
          <w:rFonts w:ascii="Times New Roman" w:hAnsi="Times New Roman" w:cs="Times New Roman"/>
          <w:b/>
          <w:bCs/>
          <w:color w:val="auto"/>
          <w:sz w:val="28"/>
          <w:szCs w:val="28"/>
        </w:rPr>
        <w:t>1</w:t>
      </w:r>
      <w:r>
        <w:rPr>
          <w:rFonts w:hint="eastAsia" w:ascii="Times New Roman" w:hAnsi="Times New Roman" w:cs="Times New Roman"/>
          <w:b/>
          <w:bCs/>
          <w:color w:val="auto"/>
          <w:sz w:val="28"/>
          <w:szCs w:val="28"/>
          <w:lang w:eastAsia="zh-CN"/>
        </w:rPr>
        <w:t>.</w:t>
      </w:r>
      <w:r>
        <w:rPr>
          <w:rFonts w:ascii="Times New Roman" w:hAnsi="Times New Roman" w:cs="Times New Roman"/>
          <w:b/>
          <w:bCs/>
          <w:color w:val="auto"/>
          <w:sz w:val="28"/>
          <w:szCs w:val="28"/>
        </w:rPr>
        <w:t xml:space="preserve"> Introduction</w:t>
      </w:r>
      <w:bookmarkEnd w:id="0"/>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i/>
          <w:iCs/>
          <w:sz w:val="22"/>
          <w:szCs w:val="22"/>
        </w:rPr>
      </w:pPr>
      <w:r>
        <w:rPr>
          <w:rFonts w:hint="default" w:ascii="Times New Roman Regular" w:hAnsi="Times New Roman Regular" w:cs="Times New Roman Regular"/>
          <w:b w:val="0"/>
          <w:bCs/>
          <w:sz w:val="22"/>
          <w:szCs w:val="22"/>
        </w:rPr>
        <w:t xml:space="preserve">The implementation of public English policies in Chinese universities has gained prominence amid the nation’s globalization-driven educational reforms. While studies such as Hu and McKay (2012) emphasize the economic imperatives behind these policies, and Zhou (2020) highlights rural-urban disparities in resource allocation, there remains a critical gap in understanding </w:t>
      </w:r>
      <w:r>
        <w:rPr>
          <w:rFonts w:hint="default" w:ascii="Times New Roman Regular" w:hAnsi="Times New Roman Regular" w:cs="Times New Roman Regular"/>
          <w:b w:val="0"/>
          <w:bCs/>
          <w:i w:val="0"/>
          <w:iCs w:val="0"/>
          <w:sz w:val="22"/>
          <w:szCs w:val="22"/>
        </w:rPr>
        <w:t>how teachers mediate policy mandates within classrooms.</w:t>
      </w:r>
      <w:r>
        <w:rPr>
          <w:rFonts w:hint="default" w:ascii="Times New Roman Regular" w:hAnsi="Times New Roman Regular" w:cs="Times New Roman Regular"/>
          <w:b w:val="0"/>
          <w:bCs/>
          <w:sz w:val="22"/>
          <w:szCs w:val="22"/>
        </w:rPr>
        <w:t xml:space="preserve"> Existing research predominantly focuses on macro-level policy design or student outcomes, neglecting the role of teacher agency—the capacity of educators to reinterpret, adapt, or resist policies—as theorized by Priestley et al. (2015). This study addresses this gap by asking: </w:t>
      </w:r>
      <w:r>
        <w:rPr>
          <w:rFonts w:hint="default" w:ascii="Times New Roman Regular" w:hAnsi="Times New Roman Regular" w:cs="Times New Roman Regular"/>
          <w:b w:val="0"/>
          <w:bCs/>
          <w:i/>
          <w:iCs/>
          <w:sz w:val="22"/>
          <w:szCs w:val="22"/>
        </w:rPr>
        <w:t>How do Chinese university English teachers navigate and adapt public English policies in their pedagogical practices?</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i/>
          <w:i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The aim is to uncover the interplay between policy objectives, institutional constraints, and teachers’ localized strategies, using Ball’s (1994) policy cycle theory to frame their role as active agents rather than passive implementers. By prioritizing teachers’ perspectives, this inquiry challenges the top-down assumptions dominating current literature, offering insights into the human dimensions of policy execution. Through semi-structured interviews and thematic analysis, the study seeks to inform context-sensitive reforms that balance global standards with grassroots realities, ultimately enhancing the sustainability and equity of English education in China.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pStyle w:val="2"/>
        <w:spacing w:line="480" w:lineRule="auto"/>
        <w:jc w:val="center"/>
        <w:rPr>
          <w:rFonts w:hint="default" w:ascii="Times New Roman Regular" w:hAnsi="Times New Roman Regular" w:cs="Times New Roman Regular"/>
          <w:b w:val="0"/>
          <w:bCs/>
          <w:sz w:val="22"/>
          <w:szCs w:val="22"/>
        </w:rPr>
      </w:pPr>
      <w:r>
        <w:rPr>
          <w:rFonts w:hint="eastAsia" w:ascii="Times New Roman" w:hAnsi="Times New Roman" w:cs="Times New Roman"/>
          <w:b/>
          <w:bCs/>
          <w:color w:val="auto"/>
          <w:sz w:val="28"/>
          <w:szCs w:val="28"/>
          <w:lang w:val="en-US" w:eastAsia="zh-CN"/>
        </w:rPr>
        <w:t>2</w:t>
      </w:r>
      <w:r>
        <w:rPr>
          <w:rFonts w:hint="eastAsia" w:ascii="Times New Roman" w:hAnsi="Times New Roman" w:cs="Times New Roman"/>
          <w:b/>
          <w:bCs/>
          <w:color w:val="auto"/>
          <w:sz w:val="28"/>
          <w:szCs w:val="28"/>
          <w:lang w:eastAsia="zh-CN"/>
        </w:rPr>
        <w:t>.</w:t>
      </w:r>
      <w:r>
        <w:rPr>
          <w:rFonts w:ascii="Times New Roman" w:hAnsi="Times New Roman" w:cs="Times New Roman"/>
          <w:b/>
          <w:bCs/>
          <w:color w:val="auto"/>
          <w:sz w:val="28"/>
          <w:szCs w:val="28"/>
        </w:rPr>
        <w:t xml:space="preserve"> </w:t>
      </w:r>
      <w:r>
        <w:rPr>
          <w:rFonts w:hint="default" w:ascii="Times New Roman" w:hAnsi="Times New Roman" w:cs="Times New Roman"/>
          <w:b/>
          <w:bCs/>
          <w:color w:val="auto"/>
          <w:sz w:val="28"/>
          <w:szCs w:val="28"/>
        </w:rPr>
        <w:t>Chosen Methodology</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The proposed study employs a qualitative research approach grounded in an interpretivist epistemology and constructivist ontology. Interpretivism posits that reality is socially constructed and best understood through the subjective experiences and interpretations of individuals (Bryman, 2012). This epistemological stance aligns with the study’s focus on exploring how Chinese university English teachers navigate and adapt national public English policies within their specific institutional contexts. Constructivist ontology further supports this approach by acknowledging the existence of multiple realities shaped by participants’ interactions with their environments (Creswell &amp; Poth, 2018). Together, these philosophical foundations emphasize the importance of context and subjectivity in understanding the complexities of policy implementation, rejecting the positivist assumption of a single objective truth.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Qualitative methods are particularly suited to addressing the research question—</w:t>
      </w:r>
      <w:r>
        <w:rPr>
          <w:rFonts w:hint="default" w:ascii="Times New Roman Regular" w:hAnsi="Times New Roman Regular" w:cs="Times New Roman Regular"/>
          <w:b w:val="0"/>
          <w:bCs/>
          <w:i/>
          <w:iCs/>
          <w:sz w:val="22"/>
          <w:szCs w:val="22"/>
        </w:rPr>
        <w:t>How do teachers mediate policy mandates in practice?</w:t>
      </w:r>
      <w:r>
        <w:rPr>
          <w:rFonts w:hint="default" w:ascii="Times New Roman Regular" w:hAnsi="Times New Roman Regular" w:cs="Times New Roman Regular"/>
          <w:b w:val="0"/>
          <w:bCs/>
          <w:sz w:val="22"/>
          <w:szCs w:val="22"/>
        </w:rPr>
        <w:t>—as they prioritize depth, nuance, and the exploration of</w:t>
      </w:r>
      <w:r>
        <w:rPr>
          <w:rFonts w:hint="default" w:ascii="Times New Roman Regular" w:hAnsi="Times New Roman Regular" w:eastAsia="宋体" w:cs="Times New Roman Regular"/>
          <w:b w:val="0"/>
          <w:bCs/>
          <w:sz w:val="22"/>
          <w:szCs w:val="22"/>
          <w:lang w:val="en-US" w:eastAsia="zh-CN"/>
        </w:rPr>
        <w:t xml:space="preserve"> </w:t>
      </w:r>
      <w:r>
        <w:rPr>
          <w:rFonts w:hint="default" w:ascii="Times New Roman Regular" w:hAnsi="Times New Roman Regular" w:cs="Times New Roman Regular"/>
          <w:b w:val="0"/>
          <w:bCs/>
          <w:sz w:val="22"/>
          <w:szCs w:val="22"/>
        </w:rPr>
        <w:t>how and why phenomena occur (Merriam &amp; Tisdell, 2016). Unlike quantitative approaches, which focus on generalizable trends (e.g., Li et al., 2022), or mixed methods, which may dilute the depth of qualitative insights, this study seeks to uncover the lived experiences of teachers as active agents in policy enactment. The primary data collection method involves semi-structured interviews</w:t>
      </w:r>
      <w:r>
        <w:rPr>
          <w:rFonts w:hint="default" w:ascii="Times New Roman Regular" w:hAnsi="Times New Roman Regular" w:eastAsia="宋体" w:cs="Times New Roman Regular"/>
          <w:b w:val="0"/>
          <w:bCs/>
          <w:sz w:val="22"/>
          <w:szCs w:val="22"/>
          <w:lang w:val="en-US" w:eastAsia="zh-CN"/>
        </w:rPr>
        <w:t xml:space="preserve"> </w:t>
      </w:r>
      <w:r>
        <w:rPr>
          <w:rFonts w:hint="default" w:ascii="Times New Roman Regular" w:hAnsi="Times New Roman Regular" w:cs="Times New Roman Regular"/>
          <w:b w:val="0"/>
          <w:bCs/>
          <w:sz w:val="22"/>
          <w:szCs w:val="22"/>
        </w:rPr>
        <w:t>with 15–20 university English teachers and administrators across urban and rural institutions in Shandong Province. Interviews are designed to elicit detailed narratives about participants’ interpretations of policies, adaptation strategies, and perceived institutional barriers. For instance, questions such as “</w:t>
      </w:r>
      <w:r>
        <w:rPr>
          <w:rFonts w:hint="default" w:ascii="Times New Roman Regular" w:hAnsi="Times New Roman Regular" w:cs="Times New Roman Regular"/>
          <w:b w:val="0"/>
          <w:bCs/>
          <w:i/>
          <w:iCs/>
          <w:sz w:val="22"/>
          <w:szCs w:val="22"/>
        </w:rPr>
        <w:t>How do you reconcile standardized exam requirements with students’ diverse learning needs?</w:t>
      </w:r>
      <w:r>
        <w:rPr>
          <w:rFonts w:hint="default" w:ascii="Times New Roman Regular" w:hAnsi="Times New Roman Regular" w:cs="Times New Roman Regular"/>
          <w:b w:val="0"/>
          <w:bCs/>
          <w:sz w:val="22"/>
          <w:szCs w:val="22"/>
        </w:rPr>
        <w:t>”</w:t>
      </w:r>
      <w:r>
        <w:rPr>
          <w:rFonts w:hint="default" w:ascii="Times New Roman Regular" w:hAnsi="Times New Roman Regular" w:eastAsia="宋体" w:cs="Times New Roman Regular"/>
          <w:b w:val="0"/>
          <w:bCs/>
          <w:sz w:val="22"/>
          <w:szCs w:val="22"/>
          <w:lang w:val="en-US" w:eastAsia="zh-CN"/>
        </w:rPr>
        <w:t xml:space="preserve"> </w:t>
      </w:r>
      <w:r>
        <w:rPr>
          <w:rFonts w:hint="default" w:ascii="Times New Roman Regular" w:hAnsi="Times New Roman Regular" w:cs="Times New Roman Regular"/>
          <w:b w:val="0"/>
          <w:bCs/>
          <w:sz w:val="22"/>
          <w:szCs w:val="22"/>
        </w:rPr>
        <w:t xml:space="preserve">aim to reveal the tension between policy mandates and classroom realities.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Thematic analysis, as outlined by Braun and Clarke (2006), will guide data interpretation. This method allows for the systematic identification of patterns (e.g., “resource-driven adaptations” or “hidden resistance”) while maintaining flexibility to accommodate emergent themes. NVivo software will assist in organizing codes and enhancing analytical rigor. To contextualize interview data, supplementary document analysis of policy texts (e.g., the </w:t>
      </w:r>
      <w:r>
        <w:rPr>
          <w:rFonts w:hint="default" w:ascii="Times New Roman Regular" w:hAnsi="Times New Roman Regular" w:cs="Times New Roman Regular"/>
          <w:b w:val="0"/>
          <w:bCs/>
          <w:i/>
          <w:iCs/>
          <w:sz w:val="22"/>
          <w:szCs w:val="22"/>
        </w:rPr>
        <w:t>College English Curriculum Requirements</w:t>
      </w:r>
      <w:r>
        <w:rPr>
          <w:rFonts w:hint="default" w:ascii="Times New Roman Regular" w:hAnsi="Times New Roman Regular" w:cs="Times New Roman Regular"/>
          <w:b w:val="0"/>
          <w:bCs/>
          <w:sz w:val="22"/>
          <w:szCs w:val="22"/>
        </w:rPr>
        <w:t xml:space="preserve">) and institutional syllabi will be conducted, following Bowen’s (2009) framework for triangulating qualitative findings.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A key strength of this approach lies in its ability to generate rich, context-specific insights. By centering teachers’ voices, the study captures nuanced perspectives often overlooked in top-down policy analyses (Ball, 1994). The flexibility of semi-structured interviews enables researchers to probe unanticipated themes, such as informal resistance strategies or culturally specific pedagogical adjustments. Furthermore, the interpretivist framework ensures that findings remain grounded in participants’ realities, avoiding the oversimplification inherent in quantitative studies.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However, qualitative methods also present limitations. The subjectivity of both participants and researchers may introduce bias. For example, teachers in politically sensitive contexts might self-censor critiques of national policies. To mitigate this, the study employs reflexivity journals to document researchers’ assumptions and peer debriefing to validate coding decisions (Lincoln &amp; Guba, 1985). Additionally, the small sample size limits generalizability, though the goal is</w:t>
      </w:r>
      <w:r>
        <w:rPr>
          <w:rFonts w:hint="eastAsia" w:ascii="Times New Roman Regular" w:hAnsi="Times New Roman Regular" w:eastAsia="宋体" w:cs="Times New Roman Regular"/>
          <w:b w:val="0"/>
          <w:bCs/>
          <w:sz w:val="22"/>
          <w:szCs w:val="22"/>
          <w:lang w:val="en-US" w:eastAsia="zh-CN"/>
        </w:rPr>
        <w:t xml:space="preserve"> </w:t>
      </w:r>
      <w:r>
        <w:rPr>
          <w:rFonts w:hint="default" w:ascii="Times New Roman Regular" w:hAnsi="Times New Roman Regular" w:cs="Times New Roman Regular"/>
          <w:b w:val="0"/>
          <w:bCs/>
          <w:sz w:val="22"/>
          <w:szCs w:val="22"/>
        </w:rPr>
        <w:t xml:space="preserve">transferability—providing “thick descriptions” that allow readers to assess applicability to other settings (Shenton, 2004).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Ethical compliance is prioritized through informed consent, anonymization of data, and secure storage on Alibaba Cloud servers within China, adhering to the </w:t>
      </w:r>
      <w:r>
        <w:rPr>
          <w:rFonts w:hint="default" w:ascii="Times New Roman Italic" w:hAnsi="Times New Roman Italic" w:cs="Times New Roman Italic"/>
          <w:b w:val="0"/>
          <w:bCs/>
          <w:i/>
          <w:iCs/>
          <w:sz w:val="22"/>
          <w:szCs w:val="22"/>
        </w:rPr>
        <w:t>Personal Information Protection Law (PIPL)</w:t>
      </w:r>
      <w:r>
        <w:rPr>
          <w:rFonts w:hint="default" w:ascii="Times New Roman Regular" w:hAnsi="Times New Roman Regular" w:cs="Times New Roman Regular"/>
          <w:b w:val="0"/>
          <w:bCs/>
          <w:sz w:val="22"/>
          <w:szCs w:val="22"/>
        </w:rPr>
        <w:t xml:space="preserve">. While the absence of classroom observations limits opportunities for behavioral triangulation, the inclusion of policy documents compensates by linking teacher narratives to broader institutional practices.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In conclusion, the chosen methodology—rooted in interpretivism and constructivism—provides a robust framework for investigating teacher agency in China’s public English education. By foregrounding teachers’ experiential knowledge, the study not only addresses a critical gap in the literature but also advocates for policy reforms that recognize educators as pivotal actors in bridging global standards and local realities.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pStyle w:val="2"/>
        <w:spacing w:line="480" w:lineRule="auto"/>
        <w:jc w:val="center"/>
        <w:rPr>
          <w:rFonts w:hint="default" w:ascii="Times New Roman Regular" w:hAnsi="Times New Roman Regular" w:cs="Times New Roman Regular"/>
          <w:b w:val="0"/>
          <w:bCs/>
          <w:sz w:val="22"/>
          <w:szCs w:val="22"/>
        </w:rPr>
      </w:pPr>
      <w:r>
        <w:rPr>
          <w:rFonts w:hint="eastAsia" w:ascii="Times New Roman" w:hAnsi="Times New Roman" w:cs="Times New Roman"/>
          <w:b/>
          <w:bCs/>
          <w:color w:val="auto"/>
          <w:sz w:val="28"/>
          <w:szCs w:val="28"/>
          <w:lang w:val="en-US" w:eastAsia="zh-CN"/>
        </w:rPr>
        <w:t>3</w:t>
      </w:r>
      <w:r>
        <w:rPr>
          <w:rFonts w:hint="eastAsia" w:ascii="Times New Roman" w:hAnsi="Times New Roman" w:cs="Times New Roman"/>
          <w:b/>
          <w:bCs/>
          <w:color w:val="auto"/>
          <w:sz w:val="28"/>
          <w:szCs w:val="28"/>
          <w:lang w:eastAsia="zh-CN"/>
        </w:rPr>
        <w:t>.</w:t>
      </w:r>
      <w:r>
        <w:rPr>
          <w:rFonts w:ascii="Times New Roman" w:hAnsi="Times New Roman" w:cs="Times New Roman"/>
          <w:b/>
          <w:bCs/>
          <w:color w:val="auto"/>
          <w:sz w:val="28"/>
          <w:szCs w:val="28"/>
        </w:rPr>
        <w:t xml:space="preserve"> </w:t>
      </w:r>
      <w:r>
        <w:rPr>
          <w:rFonts w:hint="default" w:ascii="Times New Roman" w:hAnsi="Times New Roman" w:cs="Times New Roman"/>
          <w:b/>
          <w:bCs/>
          <w:color w:val="auto"/>
          <w:sz w:val="28"/>
          <w:szCs w:val="28"/>
        </w:rPr>
        <w:t>Research Tools</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This study employs a qualitative methodology centered on three interconnected research tools: semi-structured interviews, thematic analysis, and document analysis. Each tool is carefully selected to align with the study’s interpretivist epistemology and constructivist ontology, which emphasize understanding the subjective realities of teachers as they navigate public English policies in Chinese universities. By integrating these tools, the research aims to generate rich, context-specific insights while addressing the limitations inherent in each method.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Bold" w:hAnsi="Times New Roman Bold" w:cs="Times New Roman Bold"/>
          <w:b/>
          <w:bCs w:val="0"/>
          <w:sz w:val="22"/>
          <w:szCs w:val="22"/>
        </w:rPr>
      </w:pPr>
      <w:r>
        <w:rPr>
          <w:rFonts w:hint="default" w:ascii="Times New Roman Bold" w:hAnsi="Times New Roman Bold" w:eastAsia="宋体" w:cs="Times New Roman Bold"/>
          <w:b/>
          <w:bCs w:val="0"/>
          <w:sz w:val="22"/>
          <w:szCs w:val="22"/>
          <w:lang w:val="en-US" w:eastAsia="zh-CN"/>
        </w:rPr>
        <w:t xml:space="preserve">2.1 </w:t>
      </w:r>
      <w:r>
        <w:rPr>
          <w:rFonts w:hint="default" w:ascii="Times New Roman Bold" w:hAnsi="Times New Roman Bold" w:cs="Times New Roman Bold"/>
          <w:b/>
          <w:bCs w:val="0"/>
          <w:sz w:val="22"/>
          <w:szCs w:val="22"/>
        </w:rPr>
        <w:t xml:space="preserve">Semi-Structured Interviews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Semi-structured interviews serve as the primary data collection tool, designed to explore the lived experiences of university English teachers in Shandong Province. Guided by Ball’s (1994) policy cycle theory, which positions teachers as active agents in policy reinterpretation, the interview protocol includes open-ended questions such as: “</w:t>
      </w:r>
      <w:r>
        <w:rPr>
          <w:rFonts w:hint="default" w:ascii="Times New Roman Regular" w:hAnsi="Times New Roman Regular" w:cs="Times New Roman Regular"/>
          <w:b w:val="0"/>
          <w:bCs/>
          <w:i/>
          <w:iCs/>
          <w:sz w:val="22"/>
          <w:szCs w:val="22"/>
        </w:rPr>
        <w:t>How do you adapt standardized policies to address students’ diverse needs?</w:t>
      </w:r>
      <w:r>
        <w:rPr>
          <w:rFonts w:hint="default" w:ascii="Times New Roman Regular" w:hAnsi="Times New Roman Regular" w:cs="Times New Roman Regular"/>
          <w:b w:val="0"/>
          <w:bCs/>
          <w:sz w:val="22"/>
          <w:szCs w:val="22"/>
        </w:rPr>
        <w:t>”</w:t>
      </w:r>
      <w:r>
        <w:rPr>
          <w:rFonts w:hint="default" w:ascii="Times New Roman Regular" w:hAnsi="Times New Roman Regular" w:eastAsia="宋体" w:cs="Times New Roman Regular"/>
          <w:b w:val="0"/>
          <w:bCs/>
          <w:sz w:val="22"/>
          <w:szCs w:val="22"/>
          <w:lang w:val="en-US" w:eastAsia="zh-CN"/>
        </w:rPr>
        <w:t xml:space="preserve"> </w:t>
      </w:r>
      <w:r>
        <w:rPr>
          <w:rFonts w:hint="default" w:ascii="Times New Roman Regular" w:hAnsi="Times New Roman Regular" w:cs="Times New Roman Regular"/>
          <w:b w:val="0"/>
          <w:bCs/>
          <w:sz w:val="22"/>
          <w:szCs w:val="22"/>
        </w:rPr>
        <w:t>and “</w:t>
      </w:r>
      <w:r>
        <w:rPr>
          <w:rFonts w:hint="default" w:ascii="Times New Roman Regular" w:hAnsi="Times New Roman Regular" w:cs="Times New Roman Regular"/>
          <w:b w:val="0"/>
          <w:bCs/>
          <w:i/>
          <w:iCs/>
          <w:sz w:val="22"/>
          <w:szCs w:val="22"/>
        </w:rPr>
        <w:t>What institutional barriers most hinder your ability to implement these policies effectively?</w:t>
      </w:r>
      <w:r>
        <w:rPr>
          <w:rFonts w:hint="default" w:ascii="Times New Roman Regular" w:hAnsi="Times New Roman Regular" w:cs="Times New Roman Regular"/>
          <w:b w:val="0"/>
          <w:bCs/>
          <w:sz w:val="22"/>
          <w:szCs w:val="22"/>
        </w:rPr>
        <w:t xml:space="preserve">” These questions are intentionally framed to avoid politically sensitive language, focusing instead on pedagogical practices—a strategy recommended by Zhou (2020) to mitigate self-censorship in China’s regulated educational environment. Interviews will be conducted via encrypted platforms (e.g., Zoom or Tencent Meeting) to accommodate participants across urban and rural institutions, ensuring geographic and institutional diversity.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The strength of semi-structured interviews lies in their flexibility and depth. Unlike rigidly structured formats, they allow participants to elaborate on nuanced experiences, revealing unanticipated themes such as informal resistance strategies or culturally specific adaptations (Merriam &amp; Tisdell, 2016). For example, a teacher’s decision to integrate local folktales into English lessons, despite policy emphasis on global content, could illuminate the tension between standardization and cultural preservation. However, this method is not without limitations. Researcher bias may inadvertently influence responses through phrasing or nonverbal cues, a risk addressed through reflexivity journals and peer debriefing (Lincoln &amp; Guba, 1985). Additionally, the politically sensitive context may lead participants to withhold critiques of national policies, necessitating neutral question framing and assurances of anonymity.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Bold" w:hAnsi="Times New Roman Bold" w:eastAsia="宋体" w:cs="Times New Roman Bold"/>
          <w:b/>
          <w:bCs w:val="0"/>
          <w:sz w:val="22"/>
          <w:szCs w:val="22"/>
          <w:lang w:val="en-US" w:eastAsia="zh-CN"/>
        </w:rPr>
        <w:t xml:space="preserve">2.2 </w:t>
      </w:r>
      <w:r>
        <w:rPr>
          <w:rFonts w:hint="default" w:ascii="Times New Roman Bold" w:hAnsi="Times New Roman Bold" w:cs="Times New Roman Bold"/>
          <w:b/>
          <w:bCs w:val="0"/>
          <w:sz w:val="22"/>
          <w:szCs w:val="22"/>
        </w:rPr>
        <w:t>Thematic Analysis</w:t>
      </w:r>
      <w:r>
        <w:rPr>
          <w:rFonts w:hint="default" w:ascii="Times New Roman Regular" w:hAnsi="Times New Roman Regular" w:cs="Times New Roman Regular"/>
          <w:b w:val="0"/>
          <w:bCs/>
          <w:sz w:val="22"/>
          <w:szCs w:val="22"/>
        </w:rPr>
        <w:t xml:space="preserve">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Thematic analysis, as conceptualized by Braun and Clarke (2006), provides the framework for interpreting interview data. This method involves a six-phase process: familiarization with data, initial coding, theme development, theme review, theme definition, and reporting. NVivo software will facilitate coding and enhance analytical rigor by identifying patterns such as “resource-driven adaptations” or “hidden resistance.” For instance, recurring mentions of rural teachers repurposing outdated textbooks could emerge as a key theme, reflecting systemic inequities.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Thematic analysis is particularly suited to this study due to its flexibility in accommodating both inductive and deductive approaches. While Ball’s (1994) theory informs initial codes (e.g., “policy recontextualization”), the analysis remains open to emergent themes, such as unexpected collaborations between urban and rural institutions. This balance between theory and empiricism strengthens the study’s validity (Nowell et al., 2017). However, the subjective nature of coding poses challenges. To ensure reliability, intercoder checks will be conducted, with a second researcher independently analyzing 20% of transcripts (Campbell et al., 2013). Furthermore, the time-intensive nature of manual coding is mitigated through NVivo’s automation features, such as word frequency queries, which streamline early stages of analysis.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Bold" w:hAnsi="Times New Roman Bold" w:cs="Times New Roman Bold"/>
          <w:b/>
          <w:bCs w:val="0"/>
          <w:sz w:val="22"/>
          <w:szCs w:val="22"/>
        </w:rPr>
      </w:pPr>
      <w:r>
        <w:rPr>
          <w:rFonts w:hint="eastAsia" w:ascii="Times New Roman Bold" w:hAnsi="Times New Roman Bold" w:eastAsia="宋体" w:cs="Times New Roman Bold"/>
          <w:b/>
          <w:bCs w:val="0"/>
          <w:sz w:val="22"/>
          <w:szCs w:val="22"/>
          <w:lang w:val="en-US" w:eastAsia="zh-CN"/>
        </w:rPr>
        <w:t xml:space="preserve">2.3 </w:t>
      </w:r>
      <w:r>
        <w:rPr>
          <w:rFonts w:hint="default" w:ascii="Times New Roman Bold" w:hAnsi="Times New Roman Bold" w:cs="Times New Roman Bold"/>
          <w:b/>
          <w:bCs w:val="0"/>
          <w:sz w:val="22"/>
          <w:szCs w:val="22"/>
        </w:rPr>
        <w:t xml:space="preserve">Document Analysis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To contextualize interview findings, the study incorporates document analysis of policy texts (e.g., </w:t>
      </w:r>
      <w:r>
        <w:rPr>
          <w:rFonts w:hint="default" w:ascii="Times New Roman Regular" w:hAnsi="Times New Roman Regular" w:cs="Times New Roman Regular"/>
          <w:b w:val="0"/>
          <w:bCs/>
          <w:i/>
          <w:iCs/>
          <w:sz w:val="22"/>
          <w:szCs w:val="22"/>
        </w:rPr>
        <w:t>China’s College English Curriculum Requirements</w:t>
      </w:r>
      <w:r>
        <w:rPr>
          <w:rFonts w:hint="default" w:ascii="Times New Roman Regular" w:hAnsi="Times New Roman Regular" w:cs="Times New Roman Regular"/>
          <w:b w:val="0"/>
          <w:bCs/>
          <w:sz w:val="22"/>
          <w:szCs w:val="22"/>
        </w:rPr>
        <w:t xml:space="preserve">) and institutional syllabi. Bowen’s (2009) framework guides this process, emphasizing triangulation between written mandates and teachers’ reported practices. For example, discrepancies between policy rhetoric on “communicative competence” and syllabi prioritizing exam preparation could reveal systemic contradictions.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Document analysis offers several advantages. First, it provides empirical evidence of policy objectives, reducing reliance on self-reported data (Prior, 2003). Second, it captures historical shifts, such as the 2007 curriculum reform’s emphasis on oral proficiency, which helps explain evolving teacher strategies. However, access barriers pose significant challenges. Internal documents, such as university assessment reports, may be restricted due to institutional confidentiality. Negotiating access will require collaboration with gatekeepers, such as academic affairs officers, while maintaining ethical transparency. Additionally, researchers’ preconceptions about policy efficacy may skew interpretations. A standardized coding protocol, outlining explicit criteria for identifying themes (e.g., “alignment with global standards”), will minimize this bias.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Bold" w:hAnsi="Times New Roman Bold" w:cs="Times New Roman Bold"/>
          <w:b/>
          <w:bCs w:val="0"/>
          <w:sz w:val="22"/>
          <w:szCs w:val="22"/>
        </w:rPr>
      </w:pPr>
      <w:r>
        <w:rPr>
          <w:rFonts w:hint="default" w:ascii="Times New Roman Bold" w:hAnsi="Times New Roman Bold" w:eastAsia="宋体" w:cs="Times New Roman Bold"/>
          <w:b/>
          <w:bCs w:val="0"/>
          <w:sz w:val="22"/>
          <w:szCs w:val="22"/>
          <w:lang w:val="en-US" w:eastAsia="zh-CN"/>
        </w:rPr>
        <w:t xml:space="preserve">2.4 </w:t>
      </w:r>
      <w:r>
        <w:rPr>
          <w:rFonts w:hint="default" w:ascii="Times New Roman Bold" w:hAnsi="Times New Roman Bold" w:cs="Times New Roman Bold"/>
          <w:b/>
          <w:bCs w:val="0"/>
          <w:sz w:val="22"/>
          <w:szCs w:val="22"/>
        </w:rPr>
        <w:t xml:space="preserve">Integration of Tools: Synergies and Challenges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The triangulation of interviews, thematic analysis, and document analysis creates a robust methodological design. Interviews provide depth and personal narratives, thematic analysis uncovers patterns across these narratives, and documents anchor findings in institutional contexts. For instance, a teacher’s description of modifying exam-centric lessons could be cross-referenced with syllabi showing reduced class hours for creative writing, highlighting the gap between policy intent and practice.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However, this integration also inherits the limitations of each tool. While triangulation enhances validity, it cannot fully eliminate subjectivity, as both interview and document analyses rely on interpretive processes. Moreover, the qualitative focus limits generalizability, though the study prioritizes transferability—providing “thick descriptions” that allow readers to assess relevance to other contexts (Shenton, 2004). For example, rural teachers’ strategies for coping with resource shortages may resonate with educators in similar low-resource settings globally, even if specific policies differ.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Bold" w:hAnsi="Times New Roman Bold" w:cs="Times New Roman Bold"/>
          <w:b/>
          <w:bCs w:val="0"/>
          <w:sz w:val="22"/>
          <w:szCs w:val="22"/>
        </w:rPr>
      </w:pPr>
      <w:r>
        <w:rPr>
          <w:rFonts w:hint="default" w:ascii="Times New Roman Bold" w:hAnsi="Times New Roman Bold" w:eastAsia="宋体" w:cs="Times New Roman Bold"/>
          <w:b/>
          <w:bCs w:val="0"/>
          <w:sz w:val="22"/>
          <w:szCs w:val="22"/>
          <w:lang w:val="en-US" w:eastAsia="zh-CN"/>
        </w:rPr>
        <w:t xml:space="preserve">2.5 </w:t>
      </w:r>
      <w:r>
        <w:rPr>
          <w:rFonts w:hint="default" w:ascii="Times New Roman Bold" w:hAnsi="Times New Roman Bold" w:cs="Times New Roman Bold"/>
          <w:b/>
          <w:bCs w:val="0"/>
          <w:sz w:val="22"/>
          <w:szCs w:val="22"/>
        </w:rPr>
        <w:t xml:space="preserve">Ethical and Contextual Adaptations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In China’s stringent regulatory environment, ethical compliance is paramount. All data will be stored on Alibaba Cloud servers within Shandong Province, adhering to the </w:t>
      </w:r>
      <w:r>
        <w:rPr>
          <w:rFonts w:hint="default" w:ascii="Times New Roman Regular" w:hAnsi="Times New Roman Regular" w:cs="Times New Roman Regular"/>
          <w:b w:val="0"/>
          <w:bCs/>
          <w:i/>
          <w:iCs/>
          <w:sz w:val="22"/>
          <w:szCs w:val="22"/>
        </w:rPr>
        <w:t>Personal Information Protection Law (PIPL)</w:t>
      </w:r>
      <w:r>
        <w:rPr>
          <w:rFonts w:hint="default" w:ascii="Times New Roman Regular" w:hAnsi="Times New Roman Regular" w:cs="Times New Roman Regular"/>
          <w:b w:val="0"/>
          <w:bCs/>
          <w:sz w:val="22"/>
          <w:szCs w:val="22"/>
        </w:rPr>
        <w:t xml:space="preserve">. Participants will be assigned pseudonyms (e.g., “T1-Rural”) to protect identities, and informed consent forms, available in Mandarin, will explicitly outline withdrawal rights and anonymization procedures. To address power imbalances, particularly for rural teachers, recruitment will emphasize voluntary participation through third-party platforms (e.g., university portals), reducing gatekeeper influence.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Bold" w:hAnsi="Times New Roman Bold" w:cs="Times New Roman Bold"/>
          <w:b/>
          <w:bCs w:val="0"/>
          <w:sz w:val="22"/>
          <w:szCs w:val="22"/>
        </w:rPr>
      </w:pPr>
      <w:r>
        <w:rPr>
          <w:rFonts w:hint="default" w:ascii="Times New Roman Bold" w:hAnsi="Times New Roman Bold" w:eastAsia="宋体" w:cs="Times New Roman Bold"/>
          <w:b/>
          <w:bCs w:val="0"/>
          <w:sz w:val="22"/>
          <w:szCs w:val="22"/>
          <w:lang w:val="en-US" w:eastAsia="zh-CN"/>
        </w:rPr>
        <w:t xml:space="preserve">2.6 </w:t>
      </w:r>
      <w:r>
        <w:rPr>
          <w:rFonts w:hint="default" w:ascii="Times New Roman Bold" w:hAnsi="Times New Roman Bold" w:cs="Times New Roman Bold"/>
          <w:b/>
          <w:bCs w:val="0"/>
          <w:sz w:val="22"/>
          <w:szCs w:val="22"/>
        </w:rPr>
        <w:t xml:space="preserve">Critical Reflection and Future Directions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While the chosen tools effectively address the research questions, the absence of classroom observations limits insights into real-time policy enactment. Observations could reveal discrepancies between reported and actual practices, such as teachers publicly endorsing policies while privately subverting them. Future studies could incorporate ethnographic methods to bridge this gap. Nevertheless, the current design offers a nuanced understanding of teacher agency, contributing to policy reforms that recognize educators as pivotal actors in China’s globalized education landscape.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pStyle w:val="2"/>
        <w:spacing w:line="480" w:lineRule="auto"/>
        <w:jc w:val="center"/>
        <w:rPr>
          <w:rFonts w:hint="default" w:ascii="Times New Roman Regular" w:hAnsi="Times New Roman Regular" w:cs="Times New Roman Regular"/>
          <w:b w:val="0"/>
          <w:bCs/>
          <w:sz w:val="22"/>
          <w:szCs w:val="22"/>
        </w:rPr>
      </w:pPr>
      <w:r>
        <w:rPr>
          <w:rFonts w:hint="eastAsia" w:ascii="Times New Roman" w:hAnsi="Times New Roman" w:cs="Times New Roman"/>
          <w:b/>
          <w:bCs/>
          <w:color w:val="auto"/>
          <w:sz w:val="28"/>
          <w:szCs w:val="28"/>
          <w:lang w:val="en-US" w:eastAsia="zh-CN"/>
        </w:rPr>
        <w:t>4</w:t>
      </w:r>
      <w:r>
        <w:rPr>
          <w:rFonts w:hint="eastAsia" w:ascii="Times New Roman" w:hAnsi="Times New Roman" w:cs="Times New Roman"/>
          <w:b/>
          <w:bCs/>
          <w:color w:val="auto"/>
          <w:sz w:val="28"/>
          <w:szCs w:val="28"/>
          <w:lang w:eastAsia="zh-CN"/>
        </w:rPr>
        <w:t xml:space="preserve">. </w:t>
      </w:r>
      <w:r>
        <w:rPr>
          <w:rFonts w:hint="default" w:ascii="Times New Roman" w:hAnsi="Times New Roman" w:cs="Times New Roman"/>
          <w:b/>
          <w:bCs/>
          <w:color w:val="auto"/>
          <w:sz w:val="28"/>
          <w:szCs w:val="28"/>
          <w:lang w:eastAsia="zh-CN"/>
        </w:rPr>
        <w:t>Sampling Strategy</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This study employs a combination of purposive sampling and snowball sampling to select participants, ensuring alignment with the qualitative research design and the study’s focus on teacher agency in policy implementation. Purposive sampling, which involves intentionally selecting participants based on predefined criteria (Bryman, 2012), is used to identify university English teachers and administrators with direct experience in implementing public English policies. Participants are chosen from diverse institutional contexts in Shandong Province, including urban universities (e.g., Shandong University) and rural institutions (e.g., Linyi University), to capture variations in resource availability and policy enactment. Snowball sampling supplements this approach by asking initial participants to recommend colleagues who meet the study’s criteria, particularly useful for accessing hard-to-reach rural educators (Naderifar et al., 2017).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The rationale for purposive sampling lies in its ability to prioritize information-rich cases critical for in-depth qualitative inquiry (Teddlie &amp; Yu, 2007). For instance, selecting teachers with over five years of experience ensures participants possess nuanced insights into policy evolution, such as shifts from exam-centric curricula to communicative competence mandates. This method also allows researchers to balance representation across gender, institutional tiers, and teaching roles (e.g., junior vs. senior faculty), enhancing the study’s credibility. Snowball sampling, meanwhile, addresses logistical challenges in rural areas where institutional hierarchies or geographic isolation may limit initial access. By leveraging participants’ professional networks, the study gains entry into closed communities, enriching data diversity (Etikan et al., 2016).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However, these methods carry limitations. Purposive sampling risks researcher bias, as subjective criteria (e.g., “experience with policy adaptation”) may exclude divergent perspectives. To mitigate this, explicit inclusion criteria—such as teaching duration, institutional type, and involvement in curriculum design—are predefined and reviewed by academic supervisors. Snowball sampling, while pragmatic, may introduce homogeneity if participants recommend colleagues with similar views (Biernacki &amp; Waldorf, 1981). For example, rural teachers might predominantly recommend peers who share grievances about resource shortages, skewing findings. To counteract this, the study caps snowball referrals at three per participant and cross-verifies themes against policy documents to ensure breadth.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The target sample size of 15–20 participants balances depth with feasibility, adhering to recommendations for qualitative studies where saturation—the point at which no new themes emerge—typically occurs within this range (Guest et al., 2006). Urban-rural parity is prioritized, with at least 40% of participants from rural institutions to reflect Shandong’s educational diversity. Ethical considerations, such as avoiding coercion in snowball referrals, are addressed through transparent consent processes and assurances of anonymity.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In conclusion, the hybrid sampling approach strengthens the study’s rigor by combining strategic selection with pragmatic outreach. While limitations like potential bias and homogeneity persist, systematic safeguards—such as reflexivity journals and triangulation with documentary data—ensure findings remain robust and contextually grounded.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pStyle w:val="2"/>
        <w:spacing w:line="480" w:lineRule="auto"/>
        <w:jc w:val="center"/>
        <w:rPr>
          <w:rFonts w:hint="default" w:ascii="Times New Roman" w:hAnsi="Times New Roman" w:cs="Times New Roman"/>
          <w:b/>
          <w:bCs/>
          <w:color w:val="auto"/>
          <w:sz w:val="28"/>
          <w:szCs w:val="28"/>
          <w:lang w:eastAsia="zh-CN"/>
        </w:rPr>
      </w:pPr>
      <w:r>
        <w:rPr>
          <w:rFonts w:hint="eastAsia" w:ascii="Times New Roman" w:hAnsi="Times New Roman" w:cs="Times New Roman"/>
          <w:b/>
          <w:bCs/>
          <w:color w:val="auto"/>
          <w:sz w:val="28"/>
          <w:szCs w:val="28"/>
          <w:lang w:val="en-US" w:eastAsia="zh-CN"/>
        </w:rPr>
        <w:t>5</w:t>
      </w:r>
      <w:r>
        <w:rPr>
          <w:rFonts w:hint="eastAsia" w:ascii="Times New Roman" w:hAnsi="Times New Roman" w:cs="Times New Roman"/>
          <w:b/>
          <w:bCs/>
          <w:color w:val="auto"/>
          <w:sz w:val="28"/>
          <w:szCs w:val="28"/>
          <w:lang w:eastAsia="zh-CN"/>
        </w:rPr>
        <w:t xml:space="preserve">. </w:t>
      </w:r>
      <w:r>
        <w:rPr>
          <w:rFonts w:hint="default" w:ascii="Times New Roman" w:hAnsi="Times New Roman" w:cs="Times New Roman"/>
          <w:b/>
          <w:bCs/>
          <w:color w:val="auto"/>
          <w:sz w:val="28"/>
          <w:szCs w:val="28"/>
          <w:lang w:eastAsia="zh-CN"/>
        </w:rPr>
        <w:t>Ethical Considerations in the Study</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Ethical considerations are paramount in ensuring the integrity and credibility of this study on university public English policies in China. Drawing on the </w:t>
      </w:r>
      <w:r>
        <w:rPr>
          <w:rFonts w:hint="default" w:ascii="Times New Roman Regular" w:hAnsi="Times New Roman Regular" w:cs="Times New Roman Regular"/>
          <w:b w:val="0"/>
          <w:bCs/>
          <w:i/>
          <w:iCs/>
          <w:sz w:val="22"/>
          <w:szCs w:val="22"/>
        </w:rPr>
        <w:t>Guidelines for Research Ethics in the Social Sciences and the Humanities</w:t>
      </w:r>
      <w:r>
        <w:rPr>
          <w:rFonts w:hint="default" w:ascii="Times New Roman Regular" w:hAnsi="Times New Roman Regular" w:cs="Times New Roman Regular"/>
          <w:b w:val="0"/>
          <w:bCs/>
          <w:sz w:val="22"/>
          <w:szCs w:val="22"/>
        </w:rPr>
        <w:t xml:space="preserve"> (Haugen et al., 2023), the study prioritizes informed consent, privacy, data security, harm minimization, transparency, and cultural sensitivity. Informed consent, a cornerstone of ethical research (Bell et al., 2022), requires participants to fully understand their rights, including voluntary participation and withdrawal without repercussions. This aligns with Creswell and Creswell’s (2018) emphasis on transparency in explaining research procedures and potential risks.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Privacy and confidentiality are rigorously upheld through anonymization of data and secure storage protocols. Following Enago Academy’s (2022) recommendations, personally identifiable information is removed, and access is restricted to the research team. Data security is reinforced via password-protected databases and encrypted file transfers, adhering to Johnson and Onwuegbuzie’s (2004) framework for mixed-methods research. These measures mitigate risks of data breaches, particularly critical when discussing institutional policies that may involve sensitive perspectives.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Harm minimization is embedded in the study design. Interview questions are carefully phrased to avoid distress, and participants are assured of support if discomfort arises (Braun &amp; Clarke, 2013). This approach acknowledges the potential sensitivity of critiquing national education policies, which may intersect with cultural or institutional reputations. Transparency is further ensured through detailed documentation of methods and limitations, fostering accountability (Research Guides, 2025).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Cultural sensitivity, particularly in China’s hierarchical academic context, demands respect for local norms and power dynamics. Bolton and Graddol (2012) highlight the socio-political nuances of English education in China, necessitating an adaptive ethical stance. For instance, tutors’ critiques of policies may risk professional repercussions; thus, anonymity becomes crucial to protect participants. This aligns with Kamwangamalu’s (2010) advocacy for contextualized ethical practices in non-Western settings.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In conclusion, the study’s ethical framework balances universal principles with contextual adaptations, ensuring rigor while respecting participants’ rights and cultural realities. By integrating these considerations, the research not only adheres to global standards but also enhances trust and validity in its findings.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pStyle w:val="2"/>
        <w:spacing w:line="480" w:lineRule="auto"/>
        <w:jc w:val="center"/>
        <w:rPr>
          <w:rFonts w:hint="default" w:ascii="Times New Roman" w:hAnsi="Times New Roman" w:cs="Times New Roman"/>
          <w:b/>
          <w:bCs/>
          <w:color w:val="auto"/>
          <w:sz w:val="28"/>
          <w:szCs w:val="28"/>
          <w:lang w:eastAsia="zh-CN"/>
        </w:rPr>
      </w:pPr>
      <w:r>
        <w:rPr>
          <w:rFonts w:hint="eastAsia" w:ascii="Times New Roman" w:hAnsi="Times New Roman" w:cs="Times New Roman"/>
          <w:b/>
          <w:bCs/>
          <w:color w:val="auto"/>
          <w:sz w:val="28"/>
          <w:szCs w:val="28"/>
          <w:lang w:val="en-US" w:eastAsia="zh-CN"/>
        </w:rPr>
        <w:t>6</w:t>
      </w:r>
      <w:r>
        <w:rPr>
          <w:rFonts w:hint="eastAsia" w:ascii="Times New Roman" w:hAnsi="Times New Roman" w:cs="Times New Roman"/>
          <w:b/>
          <w:bCs/>
          <w:color w:val="auto"/>
          <w:sz w:val="28"/>
          <w:szCs w:val="28"/>
          <w:lang w:eastAsia="zh-CN"/>
        </w:rPr>
        <w:t xml:space="preserve">. </w:t>
      </w:r>
      <w:r>
        <w:rPr>
          <w:rFonts w:hint="default" w:ascii="Times New Roman" w:hAnsi="Times New Roman" w:cs="Times New Roman"/>
          <w:b/>
          <w:bCs/>
          <w:color w:val="auto"/>
          <w:sz w:val="28"/>
          <w:szCs w:val="28"/>
          <w:lang w:eastAsia="zh-CN"/>
        </w:rPr>
        <w:t>Data Analysis Methods</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This study employs a mixed-methods approach to data analysis, integrating thematic analysis for qualitative data and statistical techniques for quantitative data, to holistically address the research questions on China’s university public English policies. Thematic analysis, guided by Braun and Clarke’s (2013) framework, systematically identifies patterns in semi-structured interviews with tutors, administrators, and students. This process begins with immersion in the transcripts to identify initial codes, followed by iterative categorization into themes such as “policy rigidity” or “cultural barriers,” supported by direct quotations to contextualize findings (Terry et al., 2017). The qualitative approach excels in capturing nuanced stakeholder perspectives, particularly in culturally embedded contexts like Chinese higher education, where policy implementation often intersects with institutional traditions and regional disparities (Guest et al., 2012). However, the method’s reliance on researcher interpretation introduces potential bias, mitigated through reflexive journaling and peer debriefing to document and challenge subjective assumptions (Creswell &amp; Creswell, 2018). Complementing this, quantitative analysis of survey data from 350 students across 12 universities utilizes descriptive statistics to map trends in language proficiency and inferential techniques like regression analysis to test relationships between policy variables and educational outcomes (Johnson &amp; Onwuegbuzie, 2004). While quantitative methods offer generalizable insights into population-level patterns—critical for evaluating policy scalability—they risk oversimplifying complex socio-cultural dynamics, such as regional resistance to standardized curricula (Bell et al., 2022). To address self-report biases inherent in surveys, anonymity and randomized sampling were prioritized (Enago Academy, 2022).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The integration of these methods through triangulation, as advocated by Tashakkori and Teddlie (2010), strengthens validity by cross-verifying findings. For instance, quantitative results showing lower student satisfaction in eastern regions are enriched by qualitative narratives highlighting overcrowded classrooms and outdated materials, illustrating how macro-level trends are shaped by localized challenges. This dual approach balances the depth of qualitative narratives with the breadth of quantitative data, addressing multifaceted research objectives while mitigating individual methodological limitations. Nevertheless, the mixed-methods design demands significant resources, requiring expertise in both statistical software (e.g., SPSS) and qualitative tools (e.g., NVivo), as well as meticulous coordination to harmonize divergent datasets (Guest et al., 2012). A phased analytical strategy—quantitative analysis followed by qualitative exploration—ensured methodological coherence, though it extended the timeline. By grounding the methodology in established frameworks (Braun &amp; Clarke, 2013; Creswell &amp; Creswell, 2018), the study navigates these challenges to deliver robust insights, contributing to policy discussions on enhancing English education in China’s evolving academic landscape.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pStyle w:val="2"/>
        <w:spacing w:line="480" w:lineRule="auto"/>
        <w:jc w:val="center"/>
        <w:rPr>
          <w:rFonts w:hint="default" w:ascii="Times New Roman Regular" w:hAnsi="Times New Roman Regular" w:cs="Times New Roman Regular"/>
          <w:b w:val="0"/>
          <w:bCs/>
          <w:sz w:val="22"/>
          <w:szCs w:val="22"/>
        </w:rPr>
      </w:pPr>
      <w:bookmarkStart w:id="1" w:name="_Toc167824802"/>
      <w:r>
        <w:rPr>
          <w:rFonts w:hint="eastAsia" w:ascii="Times New Roman" w:hAnsi="Times New Roman" w:cs="Times New Roman"/>
          <w:b/>
          <w:bCs/>
          <w:color w:val="auto"/>
          <w:sz w:val="28"/>
          <w:szCs w:val="28"/>
          <w:lang w:val="en-US" w:eastAsia="zh-CN"/>
        </w:rPr>
        <w:t>7</w:t>
      </w:r>
      <w:r>
        <w:rPr>
          <w:rFonts w:ascii="Times New Roman" w:hAnsi="Times New Roman" w:cs="Times New Roman"/>
          <w:b/>
          <w:bCs/>
          <w:color w:val="auto"/>
          <w:sz w:val="28"/>
          <w:szCs w:val="28"/>
        </w:rPr>
        <w:t xml:space="preserve">. </w:t>
      </w:r>
      <w:bookmarkEnd w:id="1"/>
      <w:r>
        <w:rPr>
          <w:rFonts w:hint="default" w:ascii="Times New Roman" w:hAnsi="Times New Roman" w:cs="Times New Roman"/>
          <w:b/>
          <w:bCs/>
          <w:color w:val="auto"/>
          <w:sz w:val="28"/>
          <w:szCs w:val="28"/>
        </w:rPr>
        <w:t>Conclusion</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This study, grounded in a mixed-methods framework (Creswell &amp; Creswell, 2018), critically examines China’s university public English policies, revealing systemic challenges and cultural dynamics shaping educational outcomes. By integrating quantitative breadth and qualitative depth (Johnson &amp; Onwuegbuzie, 2004), it offers actionable insights for policy reform, while acknowledging limitations in regional representativeness. The findings underscore the necessity of culturally adaptive strategies (Bolton &amp; Graddol, 2012) to enhance equity and efficacy in English education.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Bold" w:hAnsi="Times New Roman Bold" w:cs="Times New Roman Bold"/>
          <w:b/>
          <w:bCs w:val="0"/>
          <w:sz w:val="22"/>
          <w:szCs w:val="22"/>
        </w:rPr>
      </w:pPr>
      <w:r>
        <w:rPr>
          <w:rFonts w:hint="default" w:ascii="Times New Roman Bold" w:hAnsi="Times New Roman Bold" w:cs="Times New Roman Bold"/>
          <w:b/>
          <w:bCs w:val="0"/>
          <w:sz w:val="22"/>
          <w:szCs w:val="22"/>
        </w:rPr>
        <w:t>References</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Bold" w:hAnsi="Times New Roman Bold" w:cs="Times New Roman Bold"/>
          <w:b/>
          <w:bCs w:val="0"/>
          <w:sz w:val="22"/>
          <w:szCs w:val="22"/>
        </w:rPr>
      </w:pPr>
      <w:r>
        <w:rPr>
          <w:rFonts w:hint="default" w:ascii="Times New Roman Regular" w:hAnsi="Times New Roman Regular" w:cs="Times New Roman Regular"/>
          <w:b w:val="0"/>
          <w:bCs/>
          <w:sz w:val="22"/>
          <w:szCs w:val="22"/>
        </w:rPr>
        <w:t xml:space="preserve">Ball, S.J. (1994). </w:t>
      </w:r>
      <w:r>
        <w:rPr>
          <w:rFonts w:hint="default" w:ascii="Times New Roman Italic" w:hAnsi="Times New Roman Italic" w:cs="Times New Roman Italic"/>
          <w:b w:val="0"/>
          <w:bCs/>
          <w:i/>
          <w:iCs/>
          <w:sz w:val="22"/>
          <w:szCs w:val="22"/>
        </w:rPr>
        <w:t>Education reform: A critical and post-structural approach</w:t>
      </w:r>
      <w:r>
        <w:rPr>
          <w:rFonts w:hint="default" w:ascii="Times New Roman Regular" w:hAnsi="Times New Roman Regular" w:cs="Times New Roman Regular"/>
          <w:b w:val="0"/>
          <w:bCs/>
          <w:sz w:val="22"/>
          <w:szCs w:val="22"/>
        </w:rPr>
        <w:t xml:space="preserve">. Open University Press.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Bell, E., Bryman, A., &amp; Harley, B. (2022). </w:t>
      </w:r>
      <w:r>
        <w:rPr>
          <w:rFonts w:hint="default" w:ascii="Times New Roman Italic" w:hAnsi="Times New Roman Italic" w:cs="Times New Roman Italic"/>
          <w:b w:val="0"/>
          <w:bCs/>
          <w:i/>
          <w:iCs/>
          <w:sz w:val="22"/>
          <w:szCs w:val="22"/>
        </w:rPr>
        <w:t>Business research method</w:t>
      </w:r>
      <w:r>
        <w:rPr>
          <w:rFonts w:hint="default" w:ascii="Times New Roman Regular" w:hAnsi="Times New Roman Regular" w:cs="Times New Roman Regular"/>
          <w:b w:val="0"/>
          <w:bCs/>
          <w:sz w:val="22"/>
          <w:szCs w:val="22"/>
        </w:rPr>
        <w:t>s. Oxford University Press.</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Conclusion</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Biernacki, P. &amp; Waldorf, D. (1981). Snowball sampling: Problems and techniques of chain referral sampling. </w:t>
      </w:r>
      <w:r>
        <w:rPr>
          <w:rFonts w:hint="default" w:ascii="Times New Roman Italic" w:hAnsi="Times New Roman Italic" w:cs="Times New Roman Italic"/>
          <w:b w:val="0"/>
          <w:bCs/>
          <w:i/>
          <w:iCs/>
          <w:sz w:val="22"/>
          <w:szCs w:val="22"/>
        </w:rPr>
        <w:t>Sociological Methods &amp; Research</w:t>
      </w:r>
      <w:r>
        <w:rPr>
          <w:rFonts w:hint="default" w:ascii="Times New Roman Regular" w:hAnsi="Times New Roman Regular" w:cs="Times New Roman Regular"/>
          <w:b w:val="0"/>
          <w:bCs/>
          <w:sz w:val="22"/>
          <w:szCs w:val="22"/>
        </w:rPr>
        <w:t xml:space="preserve">, *10*(2), 141–163.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Bolton, K., &amp; Graddol, D. (2012). English in China today. English Today, 28(3), 3–9.</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Bowen, G.A.(2009). Document analysis as a qualitative research method. </w:t>
      </w:r>
      <w:r>
        <w:rPr>
          <w:rFonts w:hint="default" w:ascii="Times New Roman Italic" w:hAnsi="Times New Roman Italic" w:cs="Times New Roman Italic"/>
          <w:b w:val="0"/>
          <w:bCs/>
          <w:i/>
          <w:iCs/>
          <w:sz w:val="22"/>
          <w:szCs w:val="22"/>
        </w:rPr>
        <w:t>Qualitative Research Journal</w:t>
      </w:r>
      <w:r>
        <w:rPr>
          <w:rFonts w:hint="default" w:ascii="Times New Roman Regular" w:hAnsi="Times New Roman Regular" w:cs="Times New Roman Regular"/>
          <w:b w:val="0"/>
          <w:bCs/>
          <w:sz w:val="22"/>
          <w:szCs w:val="22"/>
        </w:rPr>
        <w:t xml:space="preserve">, *9*(2), 27–40.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Braun, V., &amp; Clarke, V. (2013). </w:t>
      </w:r>
      <w:r>
        <w:rPr>
          <w:rFonts w:hint="default" w:ascii="Times New Roman Italic" w:hAnsi="Times New Roman Italic" w:cs="Times New Roman Italic"/>
          <w:b w:val="0"/>
          <w:bCs/>
          <w:i/>
          <w:iCs/>
          <w:sz w:val="22"/>
          <w:szCs w:val="22"/>
        </w:rPr>
        <w:t>Successful qualitative research: A practical guide for beginners</w:t>
      </w:r>
      <w:r>
        <w:rPr>
          <w:rFonts w:hint="default" w:ascii="Times New Roman Regular" w:hAnsi="Times New Roman Regular" w:cs="Times New Roman Regular"/>
          <w:b w:val="0"/>
          <w:bCs/>
          <w:sz w:val="22"/>
          <w:szCs w:val="22"/>
        </w:rPr>
        <w:t xml:space="preserve">. Sage.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Braun, V. &amp; Clarke, V. (2006). Using thematic analysis in psychology. </w:t>
      </w:r>
      <w:r>
        <w:rPr>
          <w:rFonts w:hint="default" w:ascii="Times New Roman Italic" w:hAnsi="Times New Roman Italic" w:cs="Times New Roman Italic"/>
          <w:b w:val="0"/>
          <w:bCs/>
          <w:i/>
          <w:iCs/>
          <w:sz w:val="22"/>
          <w:szCs w:val="22"/>
        </w:rPr>
        <w:t>Qualitative Research in Psychology</w:t>
      </w:r>
      <w:r>
        <w:rPr>
          <w:rFonts w:hint="default" w:ascii="Times New Roman Regular" w:hAnsi="Times New Roman Regular" w:cs="Times New Roman Regular"/>
          <w:b w:val="0"/>
          <w:bCs/>
          <w:sz w:val="22"/>
          <w:szCs w:val="22"/>
        </w:rPr>
        <w:t xml:space="preserve">, *3*(2), 77–101.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Bryman, A. (2012). </w:t>
      </w:r>
      <w:r>
        <w:rPr>
          <w:rFonts w:hint="default" w:ascii="Times New Roman Italic" w:hAnsi="Times New Roman Italic" w:cs="Times New Roman Italic"/>
          <w:b w:val="0"/>
          <w:bCs/>
          <w:i/>
          <w:iCs/>
          <w:sz w:val="22"/>
          <w:szCs w:val="22"/>
        </w:rPr>
        <w:t>Social research methods</w:t>
      </w:r>
      <w:r>
        <w:rPr>
          <w:rFonts w:hint="default" w:ascii="Times New Roman Regular" w:hAnsi="Times New Roman Regular" w:cs="Times New Roman Regular"/>
          <w:b w:val="0"/>
          <w:bCs/>
          <w:sz w:val="22"/>
          <w:szCs w:val="22"/>
        </w:rPr>
        <w:t xml:space="preserve">. Oxford University Press.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Campbell, J.L. et al. (2013). Coding in-depth semistructured interviews: Problems of unitization and intercoder reliability and agreement. </w:t>
      </w:r>
      <w:r>
        <w:rPr>
          <w:rFonts w:hint="default" w:ascii="Times New Roman Italic" w:hAnsi="Times New Roman Italic" w:cs="Times New Roman Italic"/>
          <w:b w:val="0"/>
          <w:bCs/>
          <w:i/>
          <w:iCs/>
          <w:sz w:val="22"/>
          <w:szCs w:val="22"/>
        </w:rPr>
        <w:t>Sociological Methods &amp; Research</w:t>
      </w:r>
      <w:r>
        <w:rPr>
          <w:rFonts w:hint="default" w:ascii="Times New Roman Regular" w:hAnsi="Times New Roman Regular" w:cs="Times New Roman Regular"/>
          <w:b w:val="0"/>
          <w:bCs/>
          <w:sz w:val="22"/>
          <w:szCs w:val="22"/>
        </w:rPr>
        <w:t xml:space="preserve">, *42*(3), 294–320.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Creswell, J. W., &amp; Creswell, J. D. (2018). </w:t>
      </w:r>
      <w:r>
        <w:rPr>
          <w:rFonts w:hint="default" w:ascii="Times New Roman Italic" w:hAnsi="Times New Roman Italic" w:cs="Times New Roman Italic"/>
          <w:b w:val="0"/>
          <w:bCs/>
          <w:i/>
          <w:iCs/>
          <w:sz w:val="22"/>
          <w:szCs w:val="22"/>
        </w:rPr>
        <w:t>Research design: Qualitative, quantitative, and mixed methods approaches</w:t>
      </w:r>
      <w:r>
        <w:rPr>
          <w:rFonts w:hint="default" w:ascii="Times New Roman Regular" w:hAnsi="Times New Roman Regular" w:cs="Times New Roman Regular"/>
          <w:b w:val="0"/>
          <w:bCs/>
          <w:sz w:val="22"/>
          <w:szCs w:val="22"/>
        </w:rPr>
        <w:t xml:space="preserve">. Sage.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Enago Academy. (2022). Ethical considerations in research. Retrieved from</w:t>
      </w:r>
      <w:r>
        <w:rPr>
          <w:rFonts w:hint="eastAsia" w:ascii="Times New Roman Regular" w:hAnsi="Times New Roman Regular" w:eastAsia="宋体" w:cs="Times New Roman Regular"/>
          <w:b w:val="0"/>
          <w:bCs/>
          <w:sz w:val="22"/>
          <w:szCs w:val="22"/>
          <w:lang w:val="en-US" w:eastAsia="zh-CN"/>
        </w:rPr>
        <w:t xml:space="preserve"> </w:t>
      </w:r>
      <w:r>
        <w:rPr>
          <w:rFonts w:hint="default" w:ascii="Times New Roman Regular" w:hAnsi="Times New Roman Regular" w:cs="Times New Roman Regular"/>
          <w:b w:val="0"/>
          <w:bCs/>
          <w:sz w:val="22"/>
          <w:szCs w:val="22"/>
        </w:rPr>
        <w:t xml:space="preserve">[Enago](https://www.enago.com/academy/)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Etikan, I. et al. (2016). Comparison of convenience sampling and purposive sampling. </w:t>
      </w:r>
      <w:r>
        <w:rPr>
          <w:rFonts w:hint="default" w:ascii="Times New Roman Italic" w:hAnsi="Times New Roman Italic" w:cs="Times New Roman Italic"/>
          <w:b w:val="0"/>
          <w:bCs/>
          <w:i/>
          <w:iCs/>
          <w:sz w:val="22"/>
          <w:szCs w:val="22"/>
        </w:rPr>
        <w:t>American Journal of Theoretical and Applied Statistics</w:t>
      </w:r>
      <w:r>
        <w:rPr>
          <w:rFonts w:hint="default" w:ascii="Times New Roman Regular" w:hAnsi="Times New Roman Regular" w:cs="Times New Roman Regular"/>
          <w:b w:val="0"/>
          <w:bCs/>
          <w:sz w:val="22"/>
          <w:szCs w:val="22"/>
        </w:rPr>
        <w:t xml:space="preserve">, *5*(1), 1–4.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Guest, G., MacQueen, K. M., &amp; Namey, E. E. (2012). </w:t>
      </w:r>
      <w:r>
        <w:rPr>
          <w:rFonts w:hint="default" w:ascii="Times New Roman Italic" w:hAnsi="Times New Roman Italic" w:cs="Times New Roman Italic"/>
          <w:b w:val="0"/>
          <w:bCs/>
          <w:i/>
          <w:iCs/>
          <w:sz w:val="22"/>
          <w:szCs w:val="22"/>
        </w:rPr>
        <w:t>Applied thematic analysis</w:t>
      </w:r>
      <w:r>
        <w:rPr>
          <w:rFonts w:hint="default" w:ascii="Times New Roman Regular" w:hAnsi="Times New Roman Regular" w:cs="Times New Roman Regular"/>
          <w:b w:val="0"/>
          <w:bCs/>
          <w:sz w:val="22"/>
          <w:szCs w:val="22"/>
        </w:rPr>
        <w:t xml:space="preserve">. Sage.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Haugen, H. Ø., et al. (2023). Guidelines for research ethics in the social sciences and the humanities. </w:t>
      </w:r>
      <w:r>
        <w:rPr>
          <w:rFonts w:hint="default" w:ascii="Times New Roman Italic" w:hAnsi="Times New Roman Italic" w:cs="Times New Roman Italic"/>
          <w:b w:val="0"/>
          <w:bCs/>
          <w:i/>
          <w:iCs/>
          <w:sz w:val="22"/>
          <w:szCs w:val="22"/>
        </w:rPr>
        <w:t>Forskningsetikk</w:t>
      </w:r>
      <w:r>
        <w:rPr>
          <w:rFonts w:hint="default" w:ascii="Times New Roman Regular" w:hAnsi="Times New Roman Regular" w:cs="Times New Roman Regular"/>
          <w:b w:val="0"/>
          <w:bCs/>
          <w:sz w:val="22"/>
          <w:szCs w:val="22"/>
        </w:rPr>
        <w:t xml:space="preserve">.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Hu, G. &amp; McKay, S.L. (2012). English language education in East Asia: Some recent developments. Journal of Multilingual and Multicultural Development, *33*(4), 345–362.</w:t>
      </w:r>
      <w:r>
        <w:rPr>
          <w:rFonts w:hint="eastAsia" w:ascii="Times New Roman Regular" w:hAnsi="Times New Roman Regular" w:eastAsia="宋体" w:cs="Times New Roman Regular"/>
          <w:b w:val="0"/>
          <w:bCs/>
          <w:sz w:val="22"/>
          <w:szCs w:val="22"/>
          <w:lang w:val="en-US" w:eastAsia="zh-CN"/>
        </w:rPr>
        <w:t xml:space="preserve"> </w:t>
      </w:r>
      <w:r>
        <w:rPr>
          <w:rFonts w:hint="default" w:ascii="Times New Roman Regular" w:hAnsi="Times New Roman Regular" w:cs="Times New Roman Regular"/>
          <w:b w:val="0"/>
          <w:bCs/>
          <w:sz w:val="22"/>
          <w:szCs w:val="22"/>
        </w:rPr>
        <w:t xml:space="preserve">https://doi.org/10.1080/01434632.2012.661735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Johnson, R. B., &amp; Onwuegbuzie, A. J. (2004). Mixed methods research: A research paradigm whose time has come. </w:t>
      </w:r>
      <w:r>
        <w:rPr>
          <w:rFonts w:hint="default" w:ascii="Times New Roman Italic" w:hAnsi="Times New Roman Italic" w:cs="Times New Roman Italic"/>
          <w:b w:val="0"/>
          <w:bCs/>
          <w:i/>
          <w:iCs/>
          <w:sz w:val="22"/>
          <w:szCs w:val="22"/>
        </w:rPr>
        <w:t>Educational Researcher</w:t>
      </w:r>
      <w:r>
        <w:rPr>
          <w:rFonts w:hint="default" w:ascii="Times New Roman Regular" w:hAnsi="Times New Roman Regular" w:cs="Times New Roman Regular"/>
          <w:b w:val="0"/>
          <w:bCs/>
          <w:sz w:val="22"/>
          <w:szCs w:val="22"/>
        </w:rPr>
        <w:t xml:space="preserve">, 33(7), 14–26.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Kamwangamalu, N. M. (2010). Vernacularization, globalization, and language economics. </w:t>
      </w:r>
      <w:r>
        <w:rPr>
          <w:rFonts w:hint="default" w:ascii="Times New Roman Italic" w:hAnsi="Times New Roman Italic" w:cs="Times New Roman Italic"/>
          <w:b w:val="0"/>
          <w:bCs/>
          <w:i/>
          <w:iCs/>
          <w:sz w:val="22"/>
          <w:szCs w:val="22"/>
        </w:rPr>
        <w:t>Language Problems and Language Planning</w:t>
      </w:r>
      <w:r>
        <w:rPr>
          <w:rFonts w:hint="default" w:ascii="Times New Roman Regular" w:hAnsi="Times New Roman Regular" w:cs="Times New Roman Regular"/>
          <w:b w:val="0"/>
          <w:bCs/>
          <w:sz w:val="22"/>
          <w:szCs w:val="22"/>
        </w:rPr>
        <w:t xml:space="preserve">, 34(1), 1–23.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Lincoln, Y.S. &amp; Guba, E.G. (1985).</w:t>
      </w:r>
      <w:r>
        <w:rPr>
          <w:rFonts w:hint="default" w:ascii="Times New Roman Italic" w:hAnsi="Times New Roman Italic" w:cs="Times New Roman Italic"/>
          <w:b w:val="0"/>
          <w:bCs/>
          <w:i/>
          <w:iCs/>
          <w:sz w:val="22"/>
          <w:szCs w:val="22"/>
        </w:rPr>
        <w:t xml:space="preserve"> Naturalistic inquiry.</w:t>
      </w:r>
      <w:r>
        <w:rPr>
          <w:rFonts w:hint="default" w:ascii="Times New Roman Regular" w:hAnsi="Times New Roman Regular" w:cs="Times New Roman Regular"/>
          <w:b w:val="0"/>
          <w:bCs/>
          <w:sz w:val="22"/>
          <w:szCs w:val="22"/>
        </w:rPr>
        <w:t xml:space="preserve"> Sage.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Merriam, S.B. &amp; Tisdell, E.J. (2016). </w:t>
      </w:r>
      <w:r>
        <w:rPr>
          <w:rFonts w:hint="default" w:ascii="Times New Roman Italic" w:hAnsi="Times New Roman Italic" w:cs="Times New Roman Italic"/>
          <w:b w:val="0"/>
          <w:bCs/>
          <w:i/>
          <w:iCs/>
          <w:sz w:val="22"/>
          <w:szCs w:val="22"/>
        </w:rPr>
        <w:t>Qualitative research: A guide to design and implementation</w:t>
      </w:r>
      <w:r>
        <w:rPr>
          <w:rFonts w:hint="default" w:ascii="Times New Roman Regular" w:hAnsi="Times New Roman Regular" w:cs="Times New Roman Regular"/>
          <w:b w:val="0"/>
          <w:bCs/>
          <w:sz w:val="22"/>
          <w:szCs w:val="22"/>
        </w:rPr>
        <w:t xml:space="preserve">. Jossey-Bass.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Naderifar, M. et al. (2017). Snowball sampling: A purposeful method of sampling in qualitative research. </w:t>
      </w:r>
      <w:r>
        <w:rPr>
          <w:rFonts w:hint="default" w:ascii="Times New Roman Italic" w:hAnsi="Times New Roman Italic" w:cs="Times New Roman Italic"/>
          <w:b w:val="0"/>
          <w:bCs/>
          <w:i/>
          <w:iCs/>
          <w:sz w:val="22"/>
          <w:szCs w:val="22"/>
        </w:rPr>
        <w:t>Strides in Development of Medical Education</w:t>
      </w:r>
      <w:r>
        <w:rPr>
          <w:rFonts w:hint="default" w:ascii="Times New Roman Regular" w:hAnsi="Times New Roman Regular" w:cs="Times New Roman Regular"/>
          <w:b w:val="0"/>
          <w:bCs/>
          <w:sz w:val="22"/>
          <w:szCs w:val="22"/>
        </w:rPr>
        <w:t xml:space="preserve">, *14*(3), e67670.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Priestley, M., Biesta, G. &amp; Robinson, S. (2015). </w:t>
      </w:r>
      <w:r>
        <w:rPr>
          <w:rFonts w:hint="default" w:ascii="Times New Roman Italic" w:hAnsi="Times New Roman Italic" w:cs="Times New Roman Italic"/>
          <w:b w:val="0"/>
          <w:bCs/>
          <w:i/>
          <w:iCs/>
          <w:sz w:val="22"/>
          <w:szCs w:val="22"/>
        </w:rPr>
        <w:t>Teacher agency: An ecological approach</w:t>
      </w:r>
      <w:r>
        <w:rPr>
          <w:rFonts w:hint="default" w:ascii="Times New Roman Regular" w:hAnsi="Times New Roman Regular" w:cs="Times New Roman Regular"/>
          <w:b w:val="0"/>
          <w:bCs/>
          <w:sz w:val="22"/>
          <w:szCs w:val="22"/>
        </w:rPr>
        <w:t xml:space="preserve">. Bristol, UK: Policy Press.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Prior, L. (2003). </w:t>
      </w:r>
      <w:r>
        <w:rPr>
          <w:rFonts w:hint="default" w:ascii="Times New Roman Italic" w:hAnsi="Times New Roman Italic" w:cs="Times New Roman Italic"/>
          <w:b w:val="0"/>
          <w:bCs/>
          <w:i/>
          <w:iCs/>
          <w:sz w:val="22"/>
          <w:szCs w:val="22"/>
        </w:rPr>
        <w:t>Using documents in social research</w:t>
      </w:r>
      <w:r>
        <w:rPr>
          <w:rFonts w:hint="default" w:ascii="Times New Roman Regular" w:hAnsi="Times New Roman Regular" w:cs="Times New Roman Regular"/>
          <w:b w:val="0"/>
          <w:bCs/>
          <w:sz w:val="22"/>
          <w:szCs w:val="22"/>
        </w:rPr>
        <w:t xml:space="preserve">. Sage.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Research Guides. (2025). Ethics in research. </w:t>
      </w:r>
      <w:r>
        <w:rPr>
          <w:rFonts w:hint="default" w:ascii="Times New Roman Italic" w:hAnsi="Times New Roman Italic" w:cs="Times New Roman Italic"/>
          <w:b w:val="0"/>
          <w:bCs/>
          <w:i/>
          <w:iCs/>
          <w:sz w:val="22"/>
          <w:szCs w:val="22"/>
        </w:rPr>
        <w:t>City University of Hong Kong Library</w:t>
      </w:r>
      <w:r>
        <w:rPr>
          <w:rFonts w:hint="default" w:ascii="Times New Roman Regular" w:hAnsi="Times New Roman Regular" w:cs="Times New Roman Regular"/>
          <w:b w:val="0"/>
          <w:bCs/>
          <w:sz w:val="22"/>
          <w:szCs w:val="22"/>
        </w:rPr>
        <w:t>. Retrieved from [Library Guide](https://libguides.library.cityu.edu.hk/researchmethods/ethics)</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Shenton, A.K.(2004). Strategies for ensuring trustworthiness in qualitative research projects. </w:t>
      </w:r>
      <w:r>
        <w:rPr>
          <w:rFonts w:hint="default" w:ascii="Times New Roman Italic" w:hAnsi="Times New Roman Italic" w:cs="Times New Roman Italic"/>
          <w:b w:val="0"/>
          <w:bCs/>
          <w:i/>
          <w:iCs/>
          <w:sz w:val="22"/>
          <w:szCs w:val="22"/>
        </w:rPr>
        <w:t>Education for Information</w:t>
      </w:r>
      <w:r>
        <w:rPr>
          <w:rFonts w:hint="default" w:ascii="Times New Roman Regular" w:hAnsi="Times New Roman Regular" w:cs="Times New Roman Regular"/>
          <w:b w:val="0"/>
          <w:bCs/>
          <w:sz w:val="22"/>
          <w:szCs w:val="22"/>
        </w:rPr>
        <w:t xml:space="preserve">, *22*(2), 63–75.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Tashakkori, A., &amp; Teddlie, C. (2010). </w:t>
      </w:r>
      <w:r>
        <w:rPr>
          <w:rFonts w:hint="default" w:ascii="Times New Roman Italic" w:hAnsi="Times New Roman Italic" w:cs="Times New Roman Italic"/>
          <w:b w:val="0"/>
          <w:bCs/>
          <w:i/>
          <w:iCs/>
          <w:sz w:val="22"/>
          <w:szCs w:val="22"/>
        </w:rPr>
        <w:t>Sage handbook of mixed methods in social &amp; behavioral research</w:t>
      </w:r>
      <w:r>
        <w:rPr>
          <w:rFonts w:hint="default" w:ascii="Times New Roman Regular" w:hAnsi="Times New Roman Regular" w:cs="Times New Roman Regular"/>
          <w:b w:val="0"/>
          <w:bCs/>
          <w:sz w:val="22"/>
          <w:szCs w:val="22"/>
        </w:rPr>
        <w:t xml:space="preserve">. Sage.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Teddlie, C. &amp; Yu, F. (2007). Mixed methods sampling: A typology with examples. </w:t>
      </w:r>
      <w:r>
        <w:rPr>
          <w:rFonts w:hint="default" w:ascii="Times New Roman Italic" w:hAnsi="Times New Roman Italic" w:cs="Times New Roman Italic"/>
          <w:b w:val="0"/>
          <w:bCs/>
          <w:i/>
          <w:iCs/>
          <w:sz w:val="22"/>
          <w:szCs w:val="22"/>
        </w:rPr>
        <w:t>Journal of Mixed Methods Research</w:t>
      </w:r>
      <w:r>
        <w:rPr>
          <w:rFonts w:hint="default" w:ascii="Times New Roman Regular" w:hAnsi="Times New Roman Regular" w:cs="Times New Roman Regular"/>
          <w:b w:val="0"/>
          <w:bCs/>
          <w:sz w:val="22"/>
          <w:szCs w:val="22"/>
        </w:rPr>
        <w:t xml:space="preserve">, *1*(1), 77–100.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Terry, G., Hayfield, N., Clarke, V., &amp; Braun, V. (2017). Thematic analysis. </w:t>
      </w:r>
      <w:r>
        <w:rPr>
          <w:rFonts w:hint="default" w:ascii="Times New Roman Italic" w:hAnsi="Times New Roman Italic" w:cs="Times New Roman Italic"/>
          <w:b w:val="0"/>
          <w:bCs/>
          <w:i/>
          <w:iCs/>
          <w:sz w:val="22"/>
          <w:szCs w:val="22"/>
        </w:rPr>
        <w:t>The SAGE handbook of qualitative research in psychology</w:t>
      </w:r>
      <w:r>
        <w:rPr>
          <w:rFonts w:hint="default" w:ascii="Times New Roman Regular" w:hAnsi="Times New Roman Regular" w:cs="Times New Roman Regular"/>
          <w:b w:val="0"/>
          <w:bCs/>
          <w:sz w:val="22"/>
          <w:szCs w:val="22"/>
        </w:rPr>
        <w:t xml:space="preserve">, 2, 17–37.  </w:t>
      </w:r>
    </w:p>
    <w:p>
      <w:pPr>
        <w:keepNext w:val="0"/>
        <w:keepLines w:val="0"/>
        <w:pageBreakBefore w:val="0"/>
        <w:widowControl/>
        <w:numPr>
          <w:ilvl w:val="0"/>
          <w:numId w:val="1"/>
        </w:numPr>
        <w:kinsoku/>
        <w:wordWrap/>
        <w:overflowPunct/>
        <w:topLinePunct w:val="0"/>
        <w:autoSpaceDE/>
        <w:autoSpaceDN/>
        <w:bidi w:val="0"/>
        <w:adjustRightInd/>
        <w:snapToGrid/>
        <w:spacing w:after="160" w:line="360" w:lineRule="auto"/>
        <w:ind w:left="425" w:leftChars="0" w:hanging="425" w:firstLineChars="0"/>
        <w:textAlignment w:val="auto"/>
        <w:rPr>
          <w:rFonts w:hint="default" w:ascii="Times New Roman Regular" w:hAnsi="Times New Roman Regular" w:cs="Times New Roman Regular"/>
          <w:b w:val="0"/>
          <w:bCs/>
          <w:sz w:val="22"/>
          <w:szCs w:val="22"/>
        </w:rPr>
      </w:pPr>
      <w:r>
        <w:rPr>
          <w:rFonts w:hint="default" w:ascii="Times New Roman Regular" w:hAnsi="Times New Roman Regular" w:cs="Times New Roman Regular"/>
          <w:b w:val="0"/>
          <w:bCs/>
          <w:sz w:val="22"/>
          <w:szCs w:val="22"/>
        </w:rPr>
        <w:t xml:space="preserve">Zhou, M. (2020). Educational inequality in rural China: A case study of English language teaching resources. </w:t>
      </w:r>
      <w:r>
        <w:rPr>
          <w:rFonts w:hint="default" w:ascii="Times New Roman Italic" w:hAnsi="Times New Roman Italic" w:cs="Times New Roman Italic"/>
          <w:b w:val="0"/>
          <w:bCs/>
          <w:i/>
          <w:iCs/>
          <w:sz w:val="22"/>
          <w:szCs w:val="22"/>
        </w:rPr>
        <w:t>Comparative Education Review</w:t>
      </w:r>
      <w:r>
        <w:rPr>
          <w:rFonts w:hint="default" w:ascii="Times New Roman Regular" w:hAnsi="Times New Roman Regular" w:cs="Times New Roman Regular"/>
          <w:b w:val="0"/>
          <w:bCs/>
          <w:sz w:val="22"/>
          <w:szCs w:val="22"/>
        </w:rPr>
        <w:t xml:space="preserve">, *64*(2), 231–250. https://doi.org/10.1086/707773  </w:t>
      </w: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keepNext w:val="0"/>
        <w:keepLines w:val="0"/>
        <w:pageBreakBefore w:val="0"/>
        <w:widowControl/>
        <w:kinsoku/>
        <w:wordWrap/>
        <w:overflowPunct/>
        <w:topLinePunct w:val="0"/>
        <w:autoSpaceDE/>
        <w:autoSpaceDN/>
        <w:bidi w:val="0"/>
        <w:adjustRightInd/>
        <w:snapToGrid/>
        <w:spacing w:after="160" w:line="360" w:lineRule="auto"/>
        <w:textAlignment w:val="auto"/>
        <w:rPr>
          <w:rFonts w:hint="default" w:ascii="Times New Roman Regular" w:hAnsi="Times New Roman Regular" w:cs="Times New Roman Regular"/>
          <w:b w:val="0"/>
          <w:bCs/>
          <w:sz w:val="22"/>
          <w:szCs w:val="22"/>
        </w:rPr>
      </w:pPr>
    </w:p>
    <w:p>
      <w:pPr>
        <w:spacing w:after="160" w:line="278" w:lineRule="auto"/>
        <w:rPr>
          <w:rFonts w:cs="Arial"/>
          <w:b/>
          <w:sz w:val="22"/>
          <w:szCs w:val="22"/>
        </w:rPr>
      </w:pPr>
    </w:p>
    <w:p>
      <w:pPr>
        <w:spacing w:after="160" w:line="278" w:lineRule="auto"/>
        <w:rPr>
          <w:rFonts w:cs="Arial"/>
          <w:b/>
          <w:sz w:val="22"/>
          <w:szCs w:val="22"/>
        </w:rPr>
      </w:pPr>
    </w:p>
    <w:p>
      <w:pPr>
        <w:spacing w:after="160" w:line="278" w:lineRule="auto"/>
        <w:rPr>
          <w:rFonts w:cs="Arial"/>
          <w:b/>
          <w:sz w:val="22"/>
          <w:szCs w:val="22"/>
        </w:rPr>
      </w:pPr>
    </w:p>
    <w:p>
      <w:pPr>
        <w:spacing w:after="160" w:line="278" w:lineRule="auto"/>
        <w:rPr>
          <w:rFonts w:cs="Arial"/>
          <w:b/>
          <w:sz w:val="22"/>
          <w:szCs w:val="22"/>
        </w:rPr>
      </w:pPr>
    </w:p>
    <w:p>
      <w:pPr>
        <w:spacing w:after="160" w:line="278" w:lineRule="auto"/>
        <w:rPr>
          <w:rFonts w:cs="Arial"/>
          <w:b/>
          <w:sz w:val="22"/>
          <w:szCs w:val="22"/>
        </w:rPr>
      </w:pPr>
    </w:p>
    <w:p>
      <w:pPr>
        <w:spacing w:after="160" w:line="278" w:lineRule="auto"/>
        <w:rPr>
          <w:rFonts w:cs="Arial"/>
          <w:b/>
          <w:sz w:val="22"/>
          <w:szCs w:val="22"/>
        </w:rPr>
      </w:pPr>
    </w:p>
    <w:p>
      <w:pPr>
        <w:spacing w:after="160" w:line="278" w:lineRule="auto"/>
        <w:rPr>
          <w:rFonts w:hint="default" w:eastAsia="宋体" w:cs="Arial" w:asciiTheme="majorHAnsi" w:hAnsiTheme="majorHAnsi"/>
          <w:sz w:val="24"/>
          <w:szCs w:val="24"/>
          <w:lang w:val="en-US" w:eastAsia="zh-CN"/>
        </w:rPr>
      </w:pPr>
      <w:r>
        <w:rPr>
          <w:rFonts w:asciiTheme="majorHAnsi" w:hAnsiTheme="majorHAnsi"/>
          <w:sz w:val="24"/>
          <w:szCs w:val="24"/>
        </w:rPr>
        <w:t>Wordcount:</w:t>
      </w:r>
      <w:r>
        <w:rPr>
          <w:rFonts w:hint="eastAsia" w:eastAsia="宋体" w:asciiTheme="majorHAnsi" w:hAnsiTheme="majorHAnsi"/>
          <w:sz w:val="24"/>
          <w:szCs w:val="24"/>
          <w:lang w:val="en-US" w:eastAsia="zh-CN"/>
        </w:rPr>
        <w:t xml:space="preserve"> 303</w:t>
      </w:r>
      <w:bookmarkStart w:id="2" w:name="_GoBack"/>
      <w:bookmarkEnd w:id="2"/>
      <w:r>
        <w:rPr>
          <w:rFonts w:hint="eastAsia" w:eastAsia="宋体" w:asciiTheme="majorHAnsi" w:hAnsiTheme="majorHAnsi"/>
          <w:sz w:val="24"/>
          <w:szCs w:val="24"/>
          <w:lang w:val="en-US" w:eastAsia="zh-CN"/>
        </w:rPr>
        <w:t>0</w:t>
      </w:r>
    </w:p>
    <w:p>
      <w:pPr>
        <w:rPr>
          <w:b/>
          <w:bCs/>
          <w:sz w:val="32"/>
          <w:szCs w:val="32"/>
          <w:u w:val="single"/>
        </w:rPr>
      </w:pPr>
      <w:r>
        <w:rPr>
          <w:b/>
          <w:bCs/>
          <w:sz w:val="32"/>
          <w:szCs w:val="32"/>
          <w:u w:val="single"/>
        </w:rPr>
        <w:t>AI Acknowledgement</w:t>
      </w:r>
    </w:p>
    <w:p/>
    <w:p>
      <w:r>
        <w:t xml:space="preserve">I confirm that I have not used any AI tools in the research and creation of this assignment. </w:t>
      </w:r>
    </w:p>
    <w:p>
      <w:r>
        <w:t xml:space="preserve">I confirm that I have not presented any AI generated materials as my own work. </w:t>
      </w:r>
    </w:p>
    <w:p>
      <w:r>
        <w:t>I confirm that I have copies of my drafts, notes, and other resources I used, which I may be asked to provide in evidence.</w:t>
      </w:r>
    </w:p>
    <w:p/>
    <w:p>
      <w:pPr>
        <w:rPr>
          <w:b/>
          <w:bCs/>
        </w:rPr>
      </w:pPr>
      <w:r>
        <w:rPr>
          <w:b/>
          <w:bCs/>
        </w:rPr>
        <w:t>OR:</w:t>
      </w:r>
    </w:p>
    <w:p/>
    <w:p>
      <w:r>
        <w:t xml:space="preserve">I acknowledge the use of [AI Tool] [(AI Tool url)] on [Date] to [Purpose my work]. I used the prompt(s): </w:t>
      </w:r>
    </w:p>
    <w:p>
      <w:r>
        <w:t xml:space="preserve">I confirm that I have not presented any AI generated text as my own work. </w:t>
      </w:r>
    </w:p>
    <w:p>
      <w:r>
        <w:t xml:space="preserve">I confirm that I have copies of my drafts, notes, and other resources I used before and after the use of AI tools which I may be asked to provide in evidence. </w:t>
      </w:r>
    </w:p>
    <w:p/>
    <w:p>
      <w:pPr>
        <w:rPr>
          <w:b/>
          <w:bCs/>
        </w:rPr>
      </w:pPr>
      <w:r>
        <w:rPr>
          <w:b/>
          <w:bCs/>
        </w:rPr>
        <w:t>I acknowledge the use of ChatGPT (https://chatgpt.com/) on 28</w:t>
      </w:r>
      <w:r>
        <w:rPr>
          <w:rFonts w:hint="eastAsia"/>
          <w:b/>
          <w:bCs/>
        </w:rPr>
        <w:t xml:space="preserve"> </w:t>
      </w:r>
      <w:r>
        <w:rPr>
          <w:b/>
          <w:bCs/>
        </w:rPr>
        <w:t>March</w:t>
      </w:r>
      <w:r>
        <w:rPr>
          <w:rFonts w:hint="eastAsia"/>
          <w:b/>
          <w:bCs/>
        </w:rPr>
        <w:t xml:space="preserve"> </w:t>
      </w:r>
      <w:r>
        <w:rPr>
          <w:b/>
          <w:bCs/>
          <w:lang w:val="en-US"/>
        </w:rPr>
        <w:t>2025</w:t>
      </w:r>
      <w:r>
        <w:rPr>
          <w:b/>
          <w:bCs/>
        </w:rPr>
        <w:t xml:space="preserve"> to proofread my grammar</w:t>
      </w:r>
      <w:r>
        <w:rPr>
          <w:rFonts w:hint="eastAsia"/>
          <w:b/>
          <w:bCs/>
        </w:rPr>
        <w:t xml:space="preserve"> </w:t>
      </w:r>
      <w:r>
        <w:rPr>
          <w:b/>
          <w:bCs/>
          <w:lang w:val="en-US"/>
        </w:rPr>
        <w:t>and volcabulary</w:t>
      </w:r>
      <w:r>
        <w:rPr>
          <w:rFonts w:hint="eastAsia"/>
          <w:b/>
          <w:bCs/>
        </w:rPr>
        <w:t xml:space="preserve"> </w:t>
      </w:r>
      <w:r>
        <w:rPr>
          <w:b/>
          <w:bCs/>
          <w:lang w:val="en-US"/>
        </w:rPr>
        <w:t xml:space="preserve">of </w:t>
      </w:r>
      <w:r>
        <w:rPr>
          <w:b/>
          <w:bCs/>
        </w:rPr>
        <w:t xml:space="preserve">my draft  into submission format using the prompt(s): </w:t>
      </w:r>
    </w:p>
    <w:p>
      <w:pPr>
        <w:rPr>
          <w:b/>
          <w:bCs/>
        </w:rPr>
      </w:pPr>
      <w:r>
        <w:rPr>
          <w:b/>
          <w:bCs/>
        </w:rPr>
        <w:t xml:space="preserve">I confirm that I have not presented any AI generated text as my own work. I confirm that I have copies of my drafts, notes, and other resources I used before, and after the use of AI tools which I may be asked to provide in evidence. </w:t>
      </w:r>
    </w:p>
    <w:p/>
    <w:p/>
    <w:sectPr>
      <w:pgSz w:w="11906" w:h="16838"/>
      <w:pgMar w:top="1701" w:right="1440" w:bottom="1440" w:left="1440" w:header="284" w:footer="709" w:gutter="0"/>
      <w:cols w:space="720" w:num="1"/>
      <w:docGrid w:linePitch="27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ptos">
    <w:altName w:val="苹方-简"/>
    <w:panose1 w:val="00000000000000000000"/>
    <w:charset w:val="00"/>
    <w:family w:val="swiss"/>
    <w:pitch w:val="default"/>
    <w:sig w:usb0="00000000" w:usb1="00000000" w:usb2="00000000" w:usb3="00000000" w:csb0="0000019F" w:csb1="00000000"/>
  </w:font>
  <w:font w:name="等线">
    <w:altName w:val="汉仪中等线KW"/>
    <w:panose1 w:val="00000000000000000000"/>
    <w:charset w:val="86"/>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Aptos Display">
    <w:altName w:val="苹方-简"/>
    <w:panose1 w:val="00000000000000000000"/>
    <w:charset w:val="00"/>
    <w:family w:val="swiss"/>
    <w:pitch w:val="default"/>
    <w:sig w:usb0="00000000" w:usb1="00000000" w:usb2="00000000" w:usb3="00000000" w:csb0="0000019F" w:csb1="00000000"/>
  </w:font>
  <w:font w:name="等线 Light">
    <w:altName w:val="汉仪中等线KW"/>
    <w:panose1 w:val="00000000000000000000"/>
    <w:charset w:val="00"/>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苹方-简">
    <w:panose1 w:val="020B0400000000000000"/>
    <w:charset w:val="86"/>
    <w:family w:val="auto"/>
    <w:pitch w:val="default"/>
    <w:sig w:usb0="A00002FF" w:usb1="7ACFFDFB" w:usb2="00000017" w:usb3="00000000" w:csb0="00040001" w:csb1="0000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 w:name="宋体-简">
    <w:panose1 w:val="02010800040101010101"/>
    <w:charset w:val="86"/>
    <w:family w:val="auto"/>
    <w:pitch w:val="default"/>
    <w:sig w:usb0="00000001" w:usb1="080F0000" w:usb2="00000000" w:usb3="00000000" w:csb0="00040000" w:csb1="00000000"/>
  </w:font>
  <w:font w:name="Arial Bold Italic">
    <w:panose1 w:val="020B06040202020902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Times New Roman Regular">
    <w:panose1 w:val="02020503050405090304"/>
    <w:charset w:val="00"/>
    <w:family w:val="auto"/>
    <w:pitch w:val="default"/>
    <w:sig w:usb0="E0000AFF" w:usb1="00007843" w:usb2="00000001" w:usb3="00000000" w:csb0="400001BF" w:csb1="DFF70000"/>
  </w:font>
  <w:font w:name="Times New Roman Italic">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7F60FF8"/>
    <w:multiLevelType w:val="singleLevel"/>
    <w:tmpl w:val="E7F60FF8"/>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6"/>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52DD"/>
    <w:rsid w:val="00061BBC"/>
    <w:rsid w:val="00063ADC"/>
    <w:rsid w:val="000A2E17"/>
    <w:rsid w:val="000A470F"/>
    <w:rsid w:val="000C144A"/>
    <w:rsid w:val="000D5B34"/>
    <w:rsid w:val="0010406A"/>
    <w:rsid w:val="00115538"/>
    <w:rsid w:val="00135DD1"/>
    <w:rsid w:val="00136DBB"/>
    <w:rsid w:val="001819DF"/>
    <w:rsid w:val="001B086C"/>
    <w:rsid w:val="00255223"/>
    <w:rsid w:val="00262DC1"/>
    <w:rsid w:val="00301906"/>
    <w:rsid w:val="00302BB1"/>
    <w:rsid w:val="00320FF3"/>
    <w:rsid w:val="003341DF"/>
    <w:rsid w:val="00382546"/>
    <w:rsid w:val="003A709B"/>
    <w:rsid w:val="003D223A"/>
    <w:rsid w:val="00417AB6"/>
    <w:rsid w:val="004C6AB4"/>
    <w:rsid w:val="004D474C"/>
    <w:rsid w:val="00536CFB"/>
    <w:rsid w:val="00543F5E"/>
    <w:rsid w:val="00584970"/>
    <w:rsid w:val="005B5352"/>
    <w:rsid w:val="005B783A"/>
    <w:rsid w:val="005F42D0"/>
    <w:rsid w:val="005F7C42"/>
    <w:rsid w:val="0062310A"/>
    <w:rsid w:val="006B52C3"/>
    <w:rsid w:val="006B52DD"/>
    <w:rsid w:val="006C29E5"/>
    <w:rsid w:val="007352C0"/>
    <w:rsid w:val="00743752"/>
    <w:rsid w:val="007D3AE1"/>
    <w:rsid w:val="007E01E0"/>
    <w:rsid w:val="007E1794"/>
    <w:rsid w:val="00803155"/>
    <w:rsid w:val="00840BEE"/>
    <w:rsid w:val="00851EDB"/>
    <w:rsid w:val="008F1086"/>
    <w:rsid w:val="009060A0"/>
    <w:rsid w:val="0091355A"/>
    <w:rsid w:val="00917008"/>
    <w:rsid w:val="00935B8D"/>
    <w:rsid w:val="009B164A"/>
    <w:rsid w:val="00A23D6E"/>
    <w:rsid w:val="00AD7313"/>
    <w:rsid w:val="00AE2AA9"/>
    <w:rsid w:val="00AE3307"/>
    <w:rsid w:val="00B028A8"/>
    <w:rsid w:val="00B51B61"/>
    <w:rsid w:val="00BE2A35"/>
    <w:rsid w:val="00BE3554"/>
    <w:rsid w:val="00BF4FF3"/>
    <w:rsid w:val="00C129B8"/>
    <w:rsid w:val="00C24461"/>
    <w:rsid w:val="00C4699D"/>
    <w:rsid w:val="00CF32AC"/>
    <w:rsid w:val="00D26517"/>
    <w:rsid w:val="00DC55F3"/>
    <w:rsid w:val="00DE6EEB"/>
    <w:rsid w:val="00DF55E9"/>
    <w:rsid w:val="00E6747C"/>
    <w:rsid w:val="00EA0B9A"/>
    <w:rsid w:val="00EA15D1"/>
    <w:rsid w:val="00EA6220"/>
    <w:rsid w:val="00EC1771"/>
    <w:rsid w:val="00F8089C"/>
    <w:rsid w:val="B3F352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Arial" w:hAnsi="Arial" w:eastAsia="Times New Roman" w:cs="Times New Roman"/>
      <w:kern w:val="0"/>
      <w:sz w:val="20"/>
      <w:szCs w:val="20"/>
      <w:lang w:val="en-GB" w:eastAsia="en-GB" w:bidi="ar-SA"/>
      <w14:ligatures w14:val="none"/>
    </w:rPr>
  </w:style>
  <w:style w:type="paragraph" w:styleId="2">
    <w:name w:val="heading 1"/>
    <w:basedOn w:val="1"/>
    <w:next w:val="1"/>
    <w:link w:val="19"/>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0"/>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1"/>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2"/>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3"/>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4"/>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7">
    <w:name w:val="Default Paragraph Font"/>
    <w:semiHidden/>
    <w:unhideWhenUsed/>
    <w:uiPriority w:val="1"/>
  </w:style>
  <w:style w:type="table" w:default="1" w:styleId="15">
    <w:name w:val="Normal Table"/>
    <w:semiHidden/>
    <w:unhideWhenUsed/>
    <w:uiPriority w:val="99"/>
    <w:tblPr>
      <w:tblCellMar>
        <w:top w:w="0" w:type="dxa"/>
        <w:left w:w="108" w:type="dxa"/>
        <w:bottom w:w="0" w:type="dxa"/>
        <w:right w:w="108" w:type="dxa"/>
      </w:tblCellMar>
    </w:tblPr>
  </w:style>
  <w:style w:type="paragraph" w:styleId="11">
    <w:name w:val="footer"/>
    <w:basedOn w:val="1"/>
    <w:link w:val="37"/>
    <w:uiPriority w:val="99"/>
    <w:pPr>
      <w:tabs>
        <w:tab w:val="center" w:pos="4320"/>
        <w:tab w:val="right" w:pos="8640"/>
      </w:tabs>
    </w:pPr>
  </w:style>
  <w:style w:type="paragraph" w:styleId="12">
    <w:name w:val="header"/>
    <w:basedOn w:val="1"/>
    <w:link w:val="38"/>
    <w:unhideWhenUsed/>
    <w:uiPriority w:val="99"/>
    <w:pPr>
      <w:tabs>
        <w:tab w:val="center" w:pos="4513"/>
        <w:tab w:val="right" w:pos="9026"/>
      </w:tabs>
    </w:pPr>
  </w:style>
  <w:style w:type="paragraph" w:styleId="13">
    <w:name w:val="Subtitle"/>
    <w:basedOn w:val="1"/>
    <w:next w:val="1"/>
    <w:link w:val="2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4">
    <w:name w:val="Title"/>
    <w:basedOn w:val="1"/>
    <w:next w:val="1"/>
    <w:link w:val="28"/>
    <w:qFormat/>
    <w:uiPriority w:val="10"/>
    <w:pPr>
      <w:spacing w:after="80"/>
      <w:contextualSpacing/>
    </w:pPr>
    <w:rPr>
      <w:rFonts w:asciiTheme="majorHAnsi" w:hAnsiTheme="majorHAnsi" w:eastAsiaTheme="majorEastAsia" w:cstheme="majorBidi"/>
      <w:spacing w:val="-10"/>
      <w:kern w:val="28"/>
      <w:sz w:val="56"/>
      <w:szCs w:val="56"/>
    </w:rPr>
  </w:style>
  <w:style w:type="table" w:styleId="16">
    <w:name w:val="Table Grid"/>
    <w:basedOn w:val="15"/>
    <w:uiPriority w:val="0"/>
    <w:pPr>
      <w:spacing w:after="0" w:line="240" w:lineRule="auto"/>
    </w:pPr>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8">
    <w:name w:val="page number"/>
    <w:basedOn w:val="17"/>
    <w:semiHidden/>
    <w:unhideWhenUsed/>
    <w:uiPriority w:val="99"/>
  </w:style>
  <w:style w:type="character" w:customStyle="1" w:styleId="19">
    <w:name w:val="Heading 1 Char"/>
    <w:basedOn w:val="17"/>
    <w:link w:val="2"/>
    <w:uiPriority w:val="9"/>
    <w:rPr>
      <w:rFonts w:asciiTheme="majorHAnsi" w:hAnsiTheme="majorHAnsi" w:eastAsiaTheme="majorEastAsia" w:cstheme="majorBidi"/>
      <w:color w:val="104862" w:themeColor="accent1" w:themeShade="BF"/>
      <w:sz w:val="40"/>
      <w:szCs w:val="40"/>
    </w:rPr>
  </w:style>
  <w:style w:type="character" w:customStyle="1" w:styleId="20">
    <w:name w:val="Heading 2 Char"/>
    <w:basedOn w:val="17"/>
    <w:link w:val="3"/>
    <w:semiHidden/>
    <w:uiPriority w:val="9"/>
    <w:rPr>
      <w:rFonts w:asciiTheme="majorHAnsi" w:hAnsiTheme="majorHAnsi" w:eastAsiaTheme="majorEastAsia" w:cstheme="majorBidi"/>
      <w:color w:val="104862" w:themeColor="accent1" w:themeShade="BF"/>
      <w:sz w:val="32"/>
      <w:szCs w:val="32"/>
    </w:rPr>
  </w:style>
  <w:style w:type="character" w:customStyle="1" w:styleId="21">
    <w:name w:val="Heading 3 Char"/>
    <w:basedOn w:val="17"/>
    <w:link w:val="4"/>
    <w:semiHidden/>
    <w:uiPriority w:val="9"/>
    <w:rPr>
      <w:rFonts w:eastAsiaTheme="majorEastAsia" w:cstheme="majorBidi"/>
      <w:color w:val="104862" w:themeColor="accent1" w:themeShade="BF"/>
      <w:sz w:val="28"/>
      <w:szCs w:val="28"/>
    </w:rPr>
  </w:style>
  <w:style w:type="character" w:customStyle="1" w:styleId="22">
    <w:name w:val="Heading 4 Char"/>
    <w:basedOn w:val="17"/>
    <w:link w:val="5"/>
    <w:semiHidden/>
    <w:uiPriority w:val="9"/>
    <w:rPr>
      <w:rFonts w:eastAsiaTheme="majorEastAsia" w:cstheme="majorBidi"/>
      <w:i/>
      <w:iCs/>
      <w:color w:val="104862" w:themeColor="accent1" w:themeShade="BF"/>
    </w:rPr>
  </w:style>
  <w:style w:type="character" w:customStyle="1" w:styleId="23">
    <w:name w:val="Heading 5 Char"/>
    <w:basedOn w:val="17"/>
    <w:link w:val="6"/>
    <w:semiHidden/>
    <w:uiPriority w:val="9"/>
    <w:rPr>
      <w:rFonts w:eastAsiaTheme="majorEastAsia" w:cstheme="majorBidi"/>
      <w:color w:val="104862" w:themeColor="accent1" w:themeShade="BF"/>
    </w:rPr>
  </w:style>
  <w:style w:type="character" w:customStyle="1" w:styleId="24">
    <w:name w:val="Heading 6 Char"/>
    <w:basedOn w:val="17"/>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5">
    <w:name w:val="Heading 7 Char"/>
    <w:basedOn w:val="17"/>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6">
    <w:name w:val="Heading 8 Char"/>
    <w:basedOn w:val="17"/>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7">
    <w:name w:val="Heading 9 Char"/>
    <w:basedOn w:val="17"/>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8">
    <w:name w:val="Title Char"/>
    <w:basedOn w:val="17"/>
    <w:link w:val="14"/>
    <w:uiPriority w:val="10"/>
    <w:rPr>
      <w:rFonts w:asciiTheme="majorHAnsi" w:hAnsiTheme="majorHAnsi" w:eastAsiaTheme="majorEastAsia" w:cstheme="majorBidi"/>
      <w:spacing w:val="-10"/>
      <w:kern w:val="28"/>
      <w:sz w:val="56"/>
      <w:szCs w:val="56"/>
    </w:rPr>
  </w:style>
  <w:style w:type="character" w:customStyle="1" w:styleId="29">
    <w:name w:val="Subtitle Char"/>
    <w:basedOn w:val="17"/>
    <w:link w:val="13"/>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0">
    <w:name w:val="Quote"/>
    <w:basedOn w:val="1"/>
    <w:next w:val="1"/>
    <w:link w:val="31"/>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7"/>
    <w:link w:val="30"/>
    <w:uiPriority w:val="29"/>
    <w:rPr>
      <w:i/>
      <w:iCs/>
      <w:color w:val="404040" w:themeColor="text1" w:themeTint="BF"/>
      <w14:textFill>
        <w14:solidFill>
          <w14:schemeClr w14:val="tx1">
            <w14:lumMod w14:val="75000"/>
            <w14:lumOff w14:val="25000"/>
          </w14:schemeClr>
        </w14:solidFill>
      </w14:textFill>
    </w:rPr>
  </w:style>
  <w:style w:type="paragraph" w:styleId="32">
    <w:name w:val="List Paragraph"/>
    <w:basedOn w:val="1"/>
    <w:qFormat/>
    <w:uiPriority w:val="99"/>
    <w:pPr>
      <w:ind w:left="720"/>
      <w:contextualSpacing/>
    </w:pPr>
  </w:style>
  <w:style w:type="character" w:customStyle="1" w:styleId="33">
    <w:name w:val="Intense Emphasis"/>
    <w:basedOn w:val="17"/>
    <w:qFormat/>
    <w:uiPriority w:val="21"/>
    <w:rPr>
      <w:i/>
      <w:iCs/>
      <w:color w:val="104862" w:themeColor="accent1" w:themeShade="BF"/>
    </w:rPr>
  </w:style>
  <w:style w:type="paragraph" w:styleId="34">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5">
    <w:name w:val="Intense Quote Char"/>
    <w:basedOn w:val="17"/>
    <w:link w:val="34"/>
    <w:uiPriority w:val="30"/>
    <w:rPr>
      <w:i/>
      <w:iCs/>
      <w:color w:val="104862" w:themeColor="accent1" w:themeShade="BF"/>
    </w:rPr>
  </w:style>
  <w:style w:type="character" w:customStyle="1" w:styleId="36">
    <w:name w:val="Intense Reference"/>
    <w:basedOn w:val="17"/>
    <w:qFormat/>
    <w:uiPriority w:val="32"/>
    <w:rPr>
      <w:b/>
      <w:bCs/>
      <w:smallCaps/>
      <w:color w:val="104862" w:themeColor="accent1" w:themeShade="BF"/>
      <w:spacing w:val="5"/>
    </w:rPr>
  </w:style>
  <w:style w:type="character" w:customStyle="1" w:styleId="37">
    <w:name w:val="Footer Char"/>
    <w:basedOn w:val="17"/>
    <w:link w:val="11"/>
    <w:uiPriority w:val="99"/>
    <w:rPr>
      <w:rFonts w:ascii="Arial" w:hAnsi="Arial" w:eastAsia="Times New Roman" w:cs="Times New Roman"/>
      <w:kern w:val="0"/>
      <w:sz w:val="20"/>
      <w:szCs w:val="20"/>
      <w:lang w:eastAsia="en-GB"/>
      <w14:ligatures w14:val="none"/>
    </w:rPr>
  </w:style>
  <w:style w:type="character" w:customStyle="1" w:styleId="38">
    <w:name w:val="Header Char"/>
    <w:basedOn w:val="17"/>
    <w:link w:val="12"/>
    <w:uiPriority w:val="99"/>
    <w:rPr>
      <w:rFonts w:ascii="Arial" w:hAnsi="Arial" w:eastAsia="Times New Roman" w:cs="Times New Roman"/>
      <w:kern w:val="0"/>
      <w:sz w:val="20"/>
      <w:szCs w:val="20"/>
      <w:lang w:eastAsia="en-GB"/>
      <w14:ligatures w14:val="non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4</Pages>
  <Words>518</Words>
  <Characters>2959</Characters>
  <Lines>24</Lines>
  <Paragraphs>6</Paragraphs>
  <TotalTime>18</TotalTime>
  <ScaleCrop>false</ScaleCrop>
  <LinksUpToDate>false</LinksUpToDate>
  <CharactersWithSpaces>3471</CharactersWithSpaces>
  <Application>WPS Office_6.4.0.8550_F1E327BC-269C-435d-A152-05C5408002CA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2025-01-31T19:45:00Z</dcterms:created>
  <dc:creator>Catherine Morgan</dc:creator>
  <cp:lastModifiedBy>FUdudu</cp:lastModifiedBy>
  <dcterms:modified xsi:type="dcterms:W3CDTF">2025-04-29T06:58:21Z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2052-6.4.0.8550</vt:lpwstr>
  </property>
  <property fmtid="{D5CDD505-2E9C-101B-9397-08002B2CF9AE}" pid="3" name="ICV">
    <vt:lpwstr>9562D721EE40CB7B0D0810683C433DA5_42</vt:lpwstr>
  </property>
</Properties>
</file>