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rFonts w:ascii="Times New Roman" w:cs="Times New Roman" w:eastAsia="Times New Roman" w:hAnsi="Times New Roman"/>
        </w:rPr>
      </w:pPr>
      <w:bookmarkStart w:colFirst="0" w:colLast="0" w:name="_oj51a4epcny6" w:id="0"/>
      <w:bookmarkEnd w:id="0"/>
      <w:r w:rsidDel="00000000" w:rsidR="00000000" w:rsidRPr="00000000">
        <w:rPr>
          <w:rtl w:val="0"/>
        </w:rPr>
      </w:r>
    </w:p>
    <w:p w:rsidR="00000000" w:rsidDel="00000000" w:rsidP="00000000" w:rsidRDefault="00000000" w:rsidRPr="00000000" w14:paraId="00000002">
      <w:pPr>
        <w:pStyle w:val="Title"/>
        <w:jc w:val="center"/>
        <w:rPr>
          <w:rFonts w:ascii="Times New Roman" w:cs="Times New Roman" w:eastAsia="Times New Roman" w:hAnsi="Times New Roman"/>
        </w:rPr>
      </w:pPr>
      <w:bookmarkStart w:colFirst="0" w:colLast="0" w:name="_jlx32hodzqft" w:id="1"/>
      <w:bookmarkEnd w:id="1"/>
      <w:r w:rsidDel="00000000" w:rsidR="00000000" w:rsidRPr="00000000">
        <w:rPr>
          <w:rtl w:val="0"/>
        </w:rPr>
      </w:r>
    </w:p>
    <w:p w:rsidR="00000000" w:rsidDel="00000000" w:rsidP="00000000" w:rsidRDefault="00000000" w:rsidRPr="00000000" w14:paraId="00000003">
      <w:pPr>
        <w:pStyle w:val="Title"/>
        <w:jc w:val="center"/>
        <w:rPr>
          <w:rFonts w:ascii="Times New Roman" w:cs="Times New Roman" w:eastAsia="Times New Roman" w:hAnsi="Times New Roman"/>
        </w:rPr>
      </w:pPr>
      <w:bookmarkStart w:colFirst="0" w:colLast="0" w:name="_9huc18vy6o18" w:id="2"/>
      <w:bookmarkEnd w:id="2"/>
      <w:r w:rsidDel="00000000" w:rsidR="00000000" w:rsidRPr="00000000">
        <w:rPr>
          <w:rtl w:val="0"/>
        </w:rPr>
      </w:r>
    </w:p>
    <w:p w:rsidR="00000000" w:rsidDel="00000000" w:rsidP="00000000" w:rsidRDefault="00000000" w:rsidRPr="00000000" w14:paraId="00000004">
      <w:pPr>
        <w:pStyle w:val="Title"/>
        <w:jc w:val="center"/>
        <w:rPr>
          <w:rFonts w:ascii="Times New Roman" w:cs="Times New Roman" w:eastAsia="Times New Roman" w:hAnsi="Times New Roman"/>
        </w:rPr>
      </w:pPr>
      <w:bookmarkStart w:colFirst="0" w:colLast="0" w:name="_f4u172ok2hjs" w:id="3"/>
      <w:bookmarkEnd w:id="3"/>
      <w:r w:rsidDel="00000000" w:rsidR="00000000" w:rsidRPr="00000000">
        <w:rPr>
          <w:rtl w:val="0"/>
        </w:rPr>
      </w:r>
    </w:p>
    <w:p w:rsidR="00000000" w:rsidDel="00000000" w:rsidP="00000000" w:rsidRDefault="00000000" w:rsidRPr="00000000" w14:paraId="00000005">
      <w:pPr>
        <w:pStyle w:val="Title"/>
        <w:jc w:val="center"/>
        <w:rPr>
          <w:rFonts w:ascii="Times New Roman" w:cs="Times New Roman" w:eastAsia="Times New Roman" w:hAnsi="Times New Roman"/>
        </w:rPr>
      </w:pPr>
      <w:bookmarkStart w:colFirst="0" w:colLast="0" w:name="_l0ad9ha6560b" w:id="4"/>
      <w:bookmarkEnd w:id="4"/>
      <w:r w:rsidDel="00000000" w:rsidR="00000000" w:rsidRPr="00000000">
        <w:rPr>
          <w:rFonts w:ascii="Times New Roman" w:cs="Times New Roman" w:eastAsia="Times New Roman" w:hAnsi="Times New Roman"/>
          <w:rtl w:val="0"/>
        </w:rPr>
        <w:t xml:space="preserve">Common Law</w:t>
      </w:r>
    </w:p>
    <w:p w:rsidR="00000000" w:rsidDel="00000000" w:rsidP="00000000" w:rsidRDefault="00000000" w:rsidRPr="00000000" w14:paraId="00000006">
      <w:pPr>
        <w:pStyle w:val="Subtitle"/>
        <w:jc w:val="center"/>
        <w:rPr>
          <w:b w:val="1"/>
          <w:color w:val="000000"/>
        </w:rPr>
      </w:pPr>
      <w:bookmarkStart w:colFirst="0" w:colLast="0" w:name="_hn0w771s0bs0" w:id="5"/>
      <w:bookmarkEnd w:id="5"/>
      <w:r w:rsidDel="00000000" w:rsidR="00000000" w:rsidRPr="00000000">
        <w:rPr>
          <w:rtl w:val="0"/>
        </w:rPr>
      </w:r>
    </w:p>
    <w:p w:rsidR="00000000" w:rsidDel="00000000" w:rsidP="00000000" w:rsidRDefault="00000000" w:rsidRPr="00000000" w14:paraId="00000007">
      <w:pPr>
        <w:pStyle w:val="Subtitle"/>
        <w:jc w:val="center"/>
        <w:rPr>
          <w:b w:val="1"/>
          <w:color w:val="000000"/>
        </w:rPr>
      </w:pPr>
      <w:bookmarkStart w:colFirst="0" w:colLast="0" w:name="_sr85d9xmc1wq" w:id="6"/>
      <w:bookmarkEnd w:id="6"/>
      <w:r w:rsidDel="00000000" w:rsidR="00000000" w:rsidRPr="00000000">
        <w:rPr>
          <w:b w:val="1"/>
          <w:color w:val="000000"/>
          <w:rtl w:val="0"/>
        </w:rPr>
        <w:t xml:space="preserve">Legal Process</w:t>
      </w:r>
    </w:p>
    <w:p w:rsidR="00000000" w:rsidDel="00000000" w:rsidP="00000000" w:rsidRDefault="00000000" w:rsidRPr="00000000" w14:paraId="00000008">
      <w:pPr>
        <w:pStyle w:val="Subtitle"/>
        <w:jc w:val="center"/>
        <w:rPr>
          <w:color w:val="000000"/>
        </w:rPr>
      </w:pPr>
      <w:bookmarkStart w:colFirst="0" w:colLast="0" w:name="_8tuttnuu8xwx" w:id="7"/>
      <w:bookmarkEnd w:id="7"/>
      <w:r w:rsidDel="00000000" w:rsidR="00000000" w:rsidRPr="00000000">
        <w:rPr>
          <w:color w:val="000000"/>
          <w:rtl w:val="0"/>
        </w:rPr>
        <w:t xml:space="preserve">BMPL4005/ BMPL4006</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spacing w:line="480" w:lineRule="auto"/>
        <w:rPr/>
      </w:pPr>
      <w:r w:rsidDel="00000000" w:rsidR="00000000" w:rsidRPr="00000000">
        <w:rPr>
          <w:rtl w:val="0"/>
        </w:rPr>
      </w:r>
    </w:p>
    <w:p w:rsidR="00000000" w:rsidDel="00000000" w:rsidP="00000000" w:rsidRDefault="00000000" w:rsidRPr="00000000" w14:paraId="0000001A">
      <w:pPr>
        <w:spacing w:line="480" w:lineRule="auto"/>
        <w:rPr/>
      </w:pPr>
      <w:r w:rsidDel="00000000" w:rsidR="00000000" w:rsidRPr="00000000">
        <w:rPr>
          <w:rtl w:val="0"/>
        </w:rPr>
      </w:r>
    </w:p>
    <w:p w:rsidR="00000000" w:rsidDel="00000000" w:rsidP="00000000" w:rsidRDefault="00000000" w:rsidRPr="00000000" w14:paraId="0000001B">
      <w:pPr>
        <w:spacing w:line="480" w:lineRule="auto"/>
        <w:rPr/>
      </w:pPr>
      <w:r w:rsidDel="00000000" w:rsidR="00000000" w:rsidRPr="00000000">
        <w:rPr>
          <w:rtl w:val="0"/>
        </w:rPr>
      </w:r>
    </w:p>
    <w:p w:rsidR="00000000" w:rsidDel="00000000" w:rsidP="00000000" w:rsidRDefault="00000000" w:rsidRPr="00000000" w14:paraId="0000001C">
      <w:pPr>
        <w:spacing w:line="480" w:lineRule="auto"/>
        <w:rPr/>
      </w:pPr>
      <w:r w:rsidDel="00000000" w:rsidR="00000000" w:rsidRPr="00000000">
        <w:rPr>
          <w:rtl w:val="0"/>
        </w:rPr>
        <w:t xml:space="preserve">Student ID: 2232079</w:t>
      </w:r>
    </w:p>
    <w:p w:rsidR="00000000" w:rsidDel="00000000" w:rsidP="00000000" w:rsidRDefault="00000000" w:rsidRPr="00000000" w14:paraId="0000001D">
      <w:pPr>
        <w:spacing w:line="480" w:lineRule="auto"/>
        <w:rPr/>
      </w:pPr>
      <w:r w:rsidDel="00000000" w:rsidR="00000000" w:rsidRPr="00000000">
        <w:rPr>
          <w:rtl w:val="0"/>
        </w:rPr>
        <w:t xml:space="preserve">Lecturers: Zita Draper and Sian Turvey</w:t>
      </w:r>
    </w:p>
    <w:p w:rsidR="00000000" w:rsidDel="00000000" w:rsidP="00000000" w:rsidRDefault="00000000" w:rsidRPr="00000000" w14:paraId="0000001E">
      <w:pPr>
        <w:spacing w:line="480" w:lineRule="auto"/>
        <w:rPr>
          <w:b w:val="1"/>
          <w:color w:val="ff0000"/>
        </w:rPr>
      </w:pPr>
      <w:r w:rsidDel="00000000" w:rsidR="00000000" w:rsidRPr="00000000">
        <w:rPr>
          <w:rtl w:val="0"/>
        </w:rPr>
        <w:t xml:space="preserve">Word Count: 1410</w:t>
      </w:r>
      <w:r w:rsidDel="00000000" w:rsidR="00000000" w:rsidRPr="00000000">
        <w:rPr>
          <w:rtl w:val="0"/>
        </w:rPr>
      </w:r>
    </w:p>
    <w:p w:rsidR="00000000" w:rsidDel="00000000" w:rsidP="00000000" w:rsidRDefault="00000000" w:rsidRPr="00000000" w14:paraId="0000001F">
      <w:pPr>
        <w:spacing w:line="480" w:lineRule="auto"/>
        <w:rPr/>
      </w:pPr>
      <w:r w:rsidDel="00000000" w:rsidR="00000000" w:rsidRPr="00000000">
        <w:rPr>
          <w:rtl w:val="0"/>
        </w:rPr>
        <w:t xml:space="preserve">Submission due date: 10th March 2023</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2"/>
        <w:spacing w:line="480" w:lineRule="auto"/>
        <w:jc w:val="center"/>
        <w:rPr>
          <w:sz w:val="30"/>
          <w:szCs w:val="30"/>
        </w:rPr>
      </w:pPr>
      <w:bookmarkStart w:colFirst="0" w:colLast="0" w:name="_o1jnkuvj48ey" w:id="8"/>
      <w:bookmarkEnd w:id="8"/>
      <w:r w:rsidDel="00000000" w:rsidR="00000000" w:rsidRPr="00000000">
        <w:rPr>
          <w:sz w:val="30"/>
          <w:szCs w:val="30"/>
          <w:rtl w:val="0"/>
        </w:rPr>
        <w:t xml:space="preserve">Introduction</w:t>
      </w:r>
    </w:p>
    <w:p w:rsidR="00000000" w:rsidDel="00000000" w:rsidP="00000000" w:rsidRDefault="00000000" w:rsidRPr="00000000" w14:paraId="00000022">
      <w:pPr>
        <w:spacing w:line="480" w:lineRule="auto"/>
        <w:rPr/>
      </w:pPr>
      <w:r w:rsidDel="00000000" w:rsidR="00000000" w:rsidRPr="00000000">
        <w:rPr>
          <w:rtl w:val="0"/>
        </w:rPr>
      </w:r>
    </w:p>
    <w:p w:rsidR="00000000" w:rsidDel="00000000" w:rsidP="00000000" w:rsidRDefault="00000000" w:rsidRPr="00000000" w14:paraId="00000023">
      <w:pPr>
        <w:spacing w:line="480" w:lineRule="auto"/>
        <w:jc w:val="both"/>
        <w:rPr/>
      </w:pPr>
      <w:r w:rsidDel="00000000" w:rsidR="00000000" w:rsidRPr="00000000">
        <w:rPr>
          <w:rtl w:val="0"/>
        </w:rPr>
        <w:t xml:space="preserve">It is universally known that the juridical frameworks of England and Wales evolved through precedents, customs, stare decisis and judicial decisions, rather than through legislations enacted by the Parliament. Common law is the legal framework that has been governed in the English court system since the Middle Ages and later extended to the United States, Canada, Australia and other countries (Wilson et al., 2016). However, with the development of time research and literature on legal reforms have caused much debate about the adversarial nature of common law, and its reliance on customs and precedents claiming that civil legal reform is much superior (Koch, 2004; Zywicki, 2008; Steilen, 2011; Rozenberg, 2016). Hence, this essay will discuss and evaluate the strengths, weaknesses and areas that need improvement in common law by conducting a comparison between common and civil legal reforms.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shd w:fill="ffffff" w:val="clear"/>
        <w:spacing w:line="480" w:lineRule="auto"/>
        <w:jc w:val="both"/>
        <w:rPr/>
      </w:pPr>
      <w:r w:rsidDel="00000000" w:rsidR="00000000" w:rsidRPr="00000000">
        <w:rPr>
          <w:rtl w:val="0"/>
        </w:rPr>
      </w:r>
    </w:p>
    <w:p w:rsidR="00000000" w:rsidDel="00000000" w:rsidP="00000000" w:rsidRDefault="00000000" w:rsidRPr="00000000" w14:paraId="00000026">
      <w:pPr>
        <w:shd w:fill="ffffff" w:val="clear"/>
        <w:spacing w:line="480" w:lineRule="auto"/>
        <w:jc w:val="both"/>
        <w:rPr/>
      </w:pPr>
      <w:r w:rsidDel="00000000" w:rsidR="00000000" w:rsidRPr="00000000">
        <w:rPr>
          <w:rtl w:val="0"/>
        </w:rPr>
        <w:t xml:space="preserve">According to Smith and Keenan (2007), common law is developed from customs and precedents that are based on court decisions, and it is labelled as ‘common’ because it applies equally to all members of society. Common law includes substantive principle rules that outline the legal jurisdictions that govern society, as well as laws that state the rules and procedures for acquiring rights and operational methodologies of courts. Literature on Law, states that common law was inspired by King Henry II's legal reforms and was established after the Norman defeat in 1066. Following the Norman conquest, England required stronger and more structured laws, thus, The General Eyre was created in the 12th century. The General Eyre consisted of a singular court in which kings were made responsible for legal administration.  Kings had the duty to travel to Westminster and conduct what today is known as inspections and performance reports of law enforcement and governmental administration (Smith and Keenan, 2007). King Henry II was the first to officiate legal reforms such as General Eyre by creating two acts namely, The Assize of Clarendon in 1166 and The Assize of Northampton in 1176. The principles of the acts were to create structure, accountability and institutional legitimacy, hence, 12 men from each county were assigned to detect and bring forward to General Eyre suspects of crime. However, during the reign of Richard II, General Eyre was abolished, the High Court was formed and gradually, more customary legal reforms were created and implemented by judges, which invented the common law.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shd w:fill="ffffff" w:val="clear"/>
        <w:spacing w:line="480" w:lineRule="auto"/>
        <w:jc w:val="both"/>
        <w:rPr/>
      </w:pPr>
      <w:r w:rsidDel="00000000" w:rsidR="00000000" w:rsidRPr="00000000">
        <w:rPr>
          <w:rtl w:val="0"/>
        </w:rPr>
      </w:r>
    </w:p>
    <w:p w:rsidR="00000000" w:rsidDel="00000000" w:rsidP="00000000" w:rsidRDefault="00000000" w:rsidRPr="00000000" w14:paraId="00000029">
      <w:pPr>
        <w:shd w:fill="ffffff" w:val="clear"/>
        <w:spacing w:line="480" w:lineRule="auto"/>
        <w:jc w:val="both"/>
        <w:rPr/>
      </w:pPr>
      <w:r w:rsidDel="00000000" w:rsidR="00000000" w:rsidRPr="00000000">
        <w:rPr>
          <w:rtl w:val="0"/>
        </w:rPr>
        <w:t xml:space="preserve">Nowadays, common law is practised by judges in countries such as India, Australia, South Africa, Nigeria, Canada, The United States and The United Kingdom due to its strong embedded historical roots in the legal system. However, applying ancient legal principles today can be challenging; hence, it is very common for judges to enact legislations that address the requirements of contemporary society (Smith and Keenan, 2007). Yet, some offences such as murder, manslaughter and assault have remained acts assessed and punished under the principles of the old common law. Although much of the current legal debates revolve around the adversarial nature of common law, its juridical tendency to supremacism, decision rigidity, narrow issues focus and lack of practicability (Rozenberg, 2016; Shughart II, 2018). The practicability of common law can be seen in tribunals and instances where precedents are used as a means of stare decisis, as well as in common-law marriages (Fairbairn, 2022). Similarly, there are many debates around the world on civil law, yet, many argue that civil jurisdiction is more effective due to its ability to focus on a broader range of issues and cases involving citizens, corporations and the government (Koch, 2004). Therefore, to understand the advantages and drawbacks of common and civil law, in addition to its practicality, the foregoing discussion implies a brief outline of civil law followed by a comparison between common and civil jurisdictions.</w:t>
      </w:r>
    </w:p>
    <w:p w:rsidR="00000000" w:rsidDel="00000000" w:rsidP="00000000" w:rsidRDefault="00000000" w:rsidRPr="00000000" w14:paraId="0000002A">
      <w:pPr>
        <w:shd w:fill="ffffff" w:val="clear"/>
        <w:spacing w:line="480" w:lineRule="auto"/>
        <w:jc w:val="both"/>
        <w:rPr/>
      </w:pPr>
      <w:r w:rsidDel="00000000" w:rsidR="00000000" w:rsidRPr="00000000">
        <w:rPr>
          <w:rtl w:val="0"/>
        </w:rPr>
      </w:r>
    </w:p>
    <w:p w:rsidR="00000000" w:rsidDel="00000000" w:rsidP="00000000" w:rsidRDefault="00000000" w:rsidRPr="00000000" w14:paraId="0000002B">
      <w:pPr>
        <w:shd w:fill="ffffff" w:val="clear"/>
        <w:spacing w:line="480" w:lineRule="auto"/>
        <w:jc w:val="both"/>
        <w:rPr/>
      </w:pPr>
      <w:r w:rsidDel="00000000" w:rsidR="00000000" w:rsidRPr="00000000">
        <w:rPr>
          <w:rtl w:val="0"/>
        </w:rPr>
        <w:t xml:space="preserve">Civil law is defined as a private legal system that focuses on regulating conflicts and harms produced by private parties such as members of a community, corporations, and organisations rather than dealing with criminal law, state issues or other affairs. Family law, contracts, defamation, property, discrimination, housing, homicide or serious bodily injuries caused by negligence are some of the issues that civil law is concerned with (CLA, 2023). According to Mousourakis (2016), civil law dates back to Roman times when Emperor Justinian set the foundations of the modern civil legal system that is presently, highly predominant in most European countries. Recent literature on Law has provided ample arguments and comparisons between common and civil law. Several scholars claim that having juridical litigation under a codified system to which judges can refer is more efficient than relying on case law and precedents that often do not match the circumstances of the present global society. Although, common law judges explain that the main purpose of precedents is to have an angle to which they can refer and make consistent decisions, the issue that should be taken under consideration is the lack of past similarities with certain offences and cases. The consensus view seems to be that common law’s reliance on precedents can potentially lead to unfair punishment, corruption, and juridical supremacism which can create challenges for the English legal system (Koch, 2004; Zywicki, 2008; Steilen, 2011; Rozenberg, 2016). </w:t>
      </w:r>
    </w:p>
    <w:p w:rsidR="00000000" w:rsidDel="00000000" w:rsidP="00000000" w:rsidRDefault="00000000" w:rsidRPr="00000000" w14:paraId="0000002C">
      <w:pPr>
        <w:shd w:fill="ffffff" w:val="clear"/>
        <w:spacing w:line="480" w:lineRule="auto"/>
        <w:jc w:val="both"/>
        <w:rPr/>
      </w:pPr>
      <w:r w:rsidDel="00000000" w:rsidR="00000000" w:rsidRPr="00000000">
        <w:rPr>
          <w:rtl w:val="0"/>
        </w:rPr>
      </w:r>
    </w:p>
    <w:p w:rsidR="00000000" w:rsidDel="00000000" w:rsidP="00000000" w:rsidRDefault="00000000" w:rsidRPr="00000000" w14:paraId="0000002D">
      <w:pPr>
        <w:shd w:fill="ffffff" w:val="clear"/>
        <w:spacing w:line="480" w:lineRule="auto"/>
        <w:jc w:val="both"/>
        <w:rPr/>
      </w:pPr>
      <w:r w:rsidDel="00000000" w:rsidR="00000000" w:rsidRPr="00000000">
        <w:rPr>
          <w:rtl w:val="0"/>
        </w:rPr>
        <w:t xml:space="preserve">Another significant difference between civil and common law can be found in the roles that judges have in court cases. For instance, in countries where civil law is practised and applied the part of the judges is highly inquisitorial, linked with evidence investigation and fundamentally, based on the assessment of the case, to apply the relevant code and law (Mousourakis, 2016).  By contrast, the legal methodology applied by common law to ensure successful juridical proceedings is highly dependent on advocacy. In common law, the role of the judge is essentially limited to acting as a third party that evaluates the arguments, witnesses and evidence brought by lawyers in court (Smith and Keenan, 2007). On the contrary, lawyers have a crucial, adversative role and are responsible for building the case by collecting and presenting the evidence and addressing suitable questions. While in civil law jurisdictions, lawyers present arguments based on the case built by the court and assist the defendants and the court. Duties and responsibilities that are perceived by the Office of the High Commissioner for Human Rights as fundamental to the roles that lawyers have “assistance to clients before courts, tribunals or administrative authorities' (UN, 2023, para. 27). However, as explained and suggested by Koch (2004), the duties of lawyers differ in common and civil jurisdictions because common law judges are only trained as litigators rather than being trained to assess and investigate to make decisions. Likewise, Koch (2004), puts forward the view that civil law judges are more likely to have better qualitative performances than common law judges, and conclude cases with better verdicts due to the fact that the quality of decision is directly linked with judge performance. Thus, it can be assumed that civil law’s judge-oriented approach is more effective than common law’s precedent-orientated approach since evidence suggests higher quality performances and the ability to focus on a broader range of issues. Nonetheless, when drawing a parallel between civil law and English common law, it can be observed that the role of the judge plays a crucial part in the quality of case development of both jurisdictions. Hence, common law could work towards improving the quality of its verdicts and judges' performance by developing strategies that focus on judge training.</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2"/>
        <w:shd w:fill="ffffff" w:val="clear"/>
        <w:spacing w:line="480" w:lineRule="auto"/>
        <w:jc w:val="center"/>
        <w:rPr>
          <w:sz w:val="28"/>
          <w:szCs w:val="28"/>
        </w:rPr>
      </w:pPr>
      <w:bookmarkStart w:colFirst="0" w:colLast="0" w:name="_wwzx9kqe811k" w:id="9"/>
      <w:bookmarkEnd w:id="9"/>
      <w:r w:rsidDel="00000000" w:rsidR="00000000" w:rsidRPr="00000000">
        <w:rPr>
          <w:sz w:val="28"/>
          <w:szCs w:val="28"/>
          <w:rtl w:val="0"/>
        </w:rPr>
        <w:t xml:space="preserve">Conclusion</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shd w:fill="ffffff" w:val="clear"/>
        <w:spacing w:line="480" w:lineRule="auto"/>
        <w:jc w:val="both"/>
        <w:rPr/>
      </w:pPr>
      <w:r w:rsidDel="00000000" w:rsidR="00000000" w:rsidRPr="00000000">
        <w:rPr>
          <w:rtl w:val="0"/>
        </w:rPr>
        <w:t xml:space="preserve">To conclude, as discussed and argued in this essay the roles of the judges have significant contributions in both common and civil jurisdictions. Over the years, the common law reform has made use of precedents and customs which have enabled courts to provide predictable stare decisis and verdicts. Though contemporary literature and research on Law view rest on the assumption that with the development of time common law will not be able to do that, as the world is in constant change and not all precedents will match the circumstances of modern society (Koch, 2004; Zywicki, 2008; Steilen, 2011; Rozenberg, 2016). Moreover, the comparison conducted in this essay between common and civil law has shown the importance of judges in court, and the link between the direct implication of judges in court, quality decisions and performance. Therefore, the common law reform could be improved by investing more resources in judge training and extending it from litigation only to a multi-specialised training since it has proven effective for civil law reform.</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4">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5">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6">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7">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8">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9">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A">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B">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C">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D">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E">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3F">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40">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41">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42">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43">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44">
      <w:pPr>
        <w:spacing w:after="240" w:before="240" w:lineRule="auto"/>
        <w:jc w:val="center"/>
        <w:rPr>
          <w:sz w:val="28"/>
          <w:szCs w:val="28"/>
        </w:rPr>
      </w:pPr>
      <w:r w:rsidDel="00000000" w:rsidR="00000000" w:rsidRPr="00000000">
        <w:rPr>
          <w:rtl w:val="0"/>
        </w:rPr>
      </w:r>
    </w:p>
    <w:p w:rsidR="00000000" w:rsidDel="00000000" w:rsidP="00000000" w:rsidRDefault="00000000" w:rsidRPr="00000000" w14:paraId="00000045">
      <w:pPr>
        <w:spacing w:after="240" w:before="240" w:lineRule="auto"/>
        <w:jc w:val="center"/>
        <w:rPr>
          <w:sz w:val="28"/>
          <w:szCs w:val="28"/>
        </w:rPr>
      </w:pPr>
      <w:r w:rsidDel="00000000" w:rsidR="00000000" w:rsidRPr="00000000">
        <w:rPr>
          <w:sz w:val="28"/>
          <w:szCs w:val="28"/>
          <w:rtl w:val="0"/>
        </w:rPr>
        <w:t xml:space="preserve">Bibliography </w:t>
      </w:r>
    </w:p>
    <w:p w:rsidR="00000000" w:rsidDel="00000000" w:rsidP="00000000" w:rsidRDefault="00000000" w:rsidRPr="00000000" w14:paraId="00000046">
      <w:pPr>
        <w:spacing w:after="240" w:before="240" w:lineRule="auto"/>
        <w:rPr>
          <w:sz w:val="24"/>
          <w:szCs w:val="24"/>
        </w:rPr>
      </w:pPr>
      <w:r w:rsidDel="00000000" w:rsidR="00000000" w:rsidRPr="00000000">
        <w:rPr>
          <w:rtl w:val="0"/>
        </w:rPr>
      </w:r>
    </w:p>
    <w:p w:rsidR="00000000" w:rsidDel="00000000" w:rsidP="00000000" w:rsidRDefault="00000000" w:rsidRPr="00000000" w14:paraId="00000047">
      <w:pPr>
        <w:spacing w:after="240" w:before="240" w:lineRule="auto"/>
        <w:jc w:val="both"/>
        <w:rPr/>
      </w:pPr>
      <w:r w:rsidDel="00000000" w:rsidR="00000000" w:rsidRPr="00000000">
        <w:rPr>
          <w:rtl w:val="0"/>
        </w:rPr>
      </w:r>
    </w:p>
    <w:p w:rsidR="00000000" w:rsidDel="00000000" w:rsidP="00000000" w:rsidRDefault="00000000" w:rsidRPr="00000000" w14:paraId="00000048">
      <w:pPr>
        <w:spacing w:after="240" w:before="240" w:lineRule="auto"/>
        <w:jc w:val="both"/>
        <w:rPr/>
      </w:pPr>
      <w:r w:rsidDel="00000000" w:rsidR="00000000" w:rsidRPr="00000000">
        <w:rPr>
          <w:rtl w:val="0"/>
        </w:rPr>
        <w:t xml:space="preserve">Civil Legal Advice (CLA) (2023) Gov.uk. Available at: https://www.gov.uk/civil-legal-advice (Accessed: March 5, 2023).</w:t>
      </w:r>
    </w:p>
    <w:p w:rsidR="00000000" w:rsidDel="00000000" w:rsidP="00000000" w:rsidRDefault="00000000" w:rsidRPr="00000000" w14:paraId="00000049">
      <w:pPr>
        <w:spacing w:after="240" w:before="240" w:lineRule="auto"/>
        <w:jc w:val="both"/>
        <w:rPr/>
      </w:pPr>
      <w:r w:rsidDel="00000000" w:rsidR="00000000" w:rsidRPr="00000000">
        <w:rPr>
          <w:rtl w:val="0"/>
        </w:rPr>
      </w:r>
    </w:p>
    <w:p w:rsidR="00000000" w:rsidDel="00000000" w:rsidP="00000000" w:rsidRDefault="00000000" w:rsidRPr="00000000" w14:paraId="0000004A">
      <w:pPr>
        <w:spacing w:after="240" w:before="240" w:lineRule="auto"/>
        <w:jc w:val="both"/>
        <w:rPr/>
      </w:pPr>
      <w:r w:rsidDel="00000000" w:rsidR="00000000" w:rsidRPr="00000000">
        <w:rPr>
          <w:rtl w:val="0"/>
        </w:rPr>
        <w:t xml:space="preserve">Fairbairn, C. (2022) "Common law marriage" and cohabitation. rep. London: House of Commons , pp. 1–39. </w:t>
      </w:r>
    </w:p>
    <w:p w:rsidR="00000000" w:rsidDel="00000000" w:rsidP="00000000" w:rsidRDefault="00000000" w:rsidRPr="00000000" w14:paraId="0000004B">
      <w:pPr>
        <w:spacing w:after="240" w:before="240" w:lineRule="auto"/>
        <w:jc w:val="both"/>
        <w:rPr/>
      </w:pPr>
      <w:r w:rsidDel="00000000" w:rsidR="00000000" w:rsidRPr="00000000">
        <w:rPr>
          <w:rtl w:val="0"/>
        </w:rPr>
      </w:r>
    </w:p>
    <w:p w:rsidR="00000000" w:rsidDel="00000000" w:rsidP="00000000" w:rsidRDefault="00000000" w:rsidRPr="00000000" w14:paraId="0000004C">
      <w:pPr>
        <w:spacing w:after="240" w:before="240" w:lineRule="auto"/>
        <w:jc w:val="both"/>
        <w:rPr/>
      </w:pPr>
      <w:r w:rsidDel="00000000" w:rsidR="00000000" w:rsidRPr="00000000">
        <w:rPr>
          <w:rtl w:val="0"/>
        </w:rPr>
        <w:t xml:space="preserve">Keenan, D. (2007) ‘Smith and Keenan’s English law: Text and cases’. 15th ed. London, England: Longman.</w:t>
      </w:r>
    </w:p>
    <w:p w:rsidR="00000000" w:rsidDel="00000000" w:rsidP="00000000" w:rsidRDefault="00000000" w:rsidRPr="00000000" w14:paraId="0000004D">
      <w:pPr>
        <w:spacing w:after="240" w:before="240" w:lineRule="auto"/>
        <w:jc w:val="both"/>
        <w:rPr/>
      </w:pPr>
      <w:r w:rsidDel="00000000" w:rsidR="00000000" w:rsidRPr="00000000">
        <w:rPr>
          <w:rtl w:val="0"/>
        </w:rPr>
      </w:r>
    </w:p>
    <w:p w:rsidR="00000000" w:rsidDel="00000000" w:rsidP="00000000" w:rsidRDefault="00000000" w:rsidRPr="00000000" w14:paraId="0000004E">
      <w:pPr>
        <w:spacing w:after="240" w:before="240" w:lineRule="auto"/>
        <w:jc w:val="both"/>
        <w:rPr/>
      </w:pPr>
      <w:r w:rsidDel="00000000" w:rsidR="00000000" w:rsidRPr="00000000">
        <w:rPr>
          <w:rtl w:val="0"/>
        </w:rPr>
      </w:r>
    </w:p>
    <w:p w:rsidR="00000000" w:rsidDel="00000000" w:rsidP="00000000" w:rsidRDefault="00000000" w:rsidRPr="00000000" w14:paraId="0000004F">
      <w:pPr>
        <w:spacing w:after="240" w:before="240" w:lineRule="auto"/>
        <w:jc w:val="both"/>
        <w:rPr/>
      </w:pPr>
      <w:r w:rsidDel="00000000" w:rsidR="00000000" w:rsidRPr="00000000">
        <w:rPr>
          <w:rtl w:val="0"/>
        </w:rPr>
        <w:t xml:space="preserve">Koch, C. H., Jr (2004) “The Advantages of the Civil Law Judiciary as the Model for Emerging Legal Systems,” Indiana Journal of Global Legal Studies, 11(1), pp. 1-16.</w:t>
      </w:r>
    </w:p>
    <w:p w:rsidR="00000000" w:rsidDel="00000000" w:rsidP="00000000" w:rsidRDefault="00000000" w:rsidRPr="00000000" w14:paraId="00000050">
      <w:pPr>
        <w:spacing w:after="240" w:before="240" w:lineRule="auto"/>
        <w:jc w:val="both"/>
        <w:rPr/>
      </w:pPr>
      <w:r w:rsidDel="00000000" w:rsidR="00000000" w:rsidRPr="00000000">
        <w:rPr>
          <w:rtl w:val="0"/>
        </w:rPr>
      </w:r>
    </w:p>
    <w:p w:rsidR="00000000" w:rsidDel="00000000" w:rsidP="00000000" w:rsidRDefault="00000000" w:rsidRPr="00000000" w14:paraId="00000051">
      <w:pPr>
        <w:spacing w:after="240" w:before="240" w:lineRule="auto"/>
        <w:jc w:val="both"/>
        <w:rPr/>
      </w:pPr>
      <w:r w:rsidDel="00000000" w:rsidR="00000000" w:rsidRPr="00000000">
        <w:rPr>
          <w:rtl w:val="0"/>
        </w:rPr>
        <w:t xml:space="preserve">Mousourakis, G. (2016) ‘Roman law and the origins of the civil law tradition’. Cham, Switzerland: Springer International Publishing.</w:t>
      </w:r>
    </w:p>
    <w:p w:rsidR="00000000" w:rsidDel="00000000" w:rsidP="00000000" w:rsidRDefault="00000000" w:rsidRPr="00000000" w14:paraId="00000052">
      <w:pPr>
        <w:spacing w:after="240" w:before="240" w:lineRule="auto"/>
        <w:jc w:val="both"/>
        <w:rPr/>
      </w:pPr>
      <w:r w:rsidDel="00000000" w:rsidR="00000000" w:rsidRPr="00000000">
        <w:rPr>
          <w:rtl w:val="0"/>
        </w:rPr>
      </w:r>
    </w:p>
    <w:p w:rsidR="00000000" w:rsidDel="00000000" w:rsidP="00000000" w:rsidRDefault="00000000" w:rsidRPr="00000000" w14:paraId="00000053">
      <w:pPr>
        <w:spacing w:after="240" w:before="240" w:lineRule="auto"/>
        <w:jc w:val="both"/>
        <w:rPr/>
      </w:pPr>
      <w:r w:rsidDel="00000000" w:rsidR="00000000" w:rsidRPr="00000000">
        <w:rPr>
          <w:rtl w:val="0"/>
        </w:rPr>
        <w:t xml:space="preserve">Rozenberg, J. (2016) Is English common law at risk of becoming out of date?, BBC News. BBC. Available at: https://www.bbc.co.uk/news/uk-35883590 (Accessed: March 5, 2023). </w:t>
      </w:r>
    </w:p>
    <w:p w:rsidR="00000000" w:rsidDel="00000000" w:rsidP="00000000" w:rsidRDefault="00000000" w:rsidRPr="00000000" w14:paraId="00000054">
      <w:pPr>
        <w:spacing w:after="240" w:before="240" w:lineRule="auto"/>
        <w:jc w:val="both"/>
        <w:rPr/>
      </w:pPr>
      <w:r w:rsidDel="00000000" w:rsidR="00000000" w:rsidRPr="00000000">
        <w:rPr>
          <w:rtl w:val="0"/>
        </w:rPr>
      </w:r>
    </w:p>
    <w:p w:rsidR="00000000" w:rsidDel="00000000" w:rsidP="00000000" w:rsidRDefault="00000000" w:rsidRPr="00000000" w14:paraId="00000055">
      <w:pPr>
        <w:spacing w:after="240" w:before="240" w:lineRule="auto"/>
        <w:jc w:val="both"/>
        <w:rPr/>
      </w:pPr>
      <w:r w:rsidDel="00000000" w:rsidR="00000000" w:rsidRPr="00000000">
        <w:rPr>
          <w:rtl w:val="0"/>
        </w:rPr>
        <w:t xml:space="preserve">Shughart II, W. F. (2018). “Gordon Tullock's Critique of the Common Law”. The Independent Review, vol. 23(2), pp. 209-226</w:t>
      </w:r>
    </w:p>
    <w:p w:rsidR="00000000" w:rsidDel="00000000" w:rsidP="00000000" w:rsidRDefault="00000000" w:rsidRPr="00000000" w14:paraId="00000056">
      <w:pPr>
        <w:spacing w:after="240" w:before="240" w:lineRule="auto"/>
        <w:jc w:val="both"/>
        <w:rPr/>
      </w:pPr>
      <w:r w:rsidDel="00000000" w:rsidR="00000000" w:rsidRPr="00000000">
        <w:rPr>
          <w:rtl w:val="0"/>
        </w:rPr>
      </w:r>
    </w:p>
    <w:p w:rsidR="00000000" w:rsidDel="00000000" w:rsidP="00000000" w:rsidRDefault="00000000" w:rsidRPr="00000000" w14:paraId="00000057">
      <w:pPr>
        <w:spacing w:after="240" w:before="240" w:lineRule="auto"/>
        <w:jc w:val="both"/>
        <w:rPr/>
      </w:pPr>
      <w:r w:rsidDel="00000000" w:rsidR="00000000" w:rsidRPr="00000000">
        <w:rPr>
          <w:rtl w:val="0"/>
        </w:rPr>
        <w:t xml:space="preserve">Steilen, M. J. (2011) “The Democratic Common Law,” The Journal Jurisprudence, 10, pp. 437–486.</w:t>
      </w:r>
    </w:p>
    <w:p w:rsidR="00000000" w:rsidDel="00000000" w:rsidP="00000000" w:rsidRDefault="00000000" w:rsidRPr="00000000" w14:paraId="00000058">
      <w:pPr>
        <w:spacing w:after="240" w:before="240" w:lineRule="auto"/>
        <w:jc w:val="both"/>
        <w:rPr/>
      </w:pPr>
      <w:r w:rsidDel="00000000" w:rsidR="00000000" w:rsidRPr="00000000">
        <w:rPr>
          <w:rtl w:val="0"/>
        </w:rPr>
      </w:r>
    </w:p>
    <w:p w:rsidR="00000000" w:rsidDel="00000000" w:rsidP="00000000" w:rsidRDefault="00000000" w:rsidRPr="00000000" w14:paraId="00000059">
      <w:pPr>
        <w:spacing w:after="240" w:before="240" w:lineRule="auto"/>
        <w:jc w:val="both"/>
        <w:rPr/>
      </w:pPr>
      <w:r w:rsidDel="00000000" w:rsidR="00000000" w:rsidRPr="00000000">
        <w:rPr>
          <w:rtl w:val="0"/>
        </w:rPr>
        <w:t xml:space="preserve">UN (2023) Basic principles on the role of Lawyers, OHCHR. Available at: https://www.ohchr.org/en/instruments-mechanisms/instruments/basic-principles-role-lawyers (Accessed: March 5, 2023). </w:t>
      </w:r>
    </w:p>
    <w:p w:rsidR="00000000" w:rsidDel="00000000" w:rsidP="00000000" w:rsidRDefault="00000000" w:rsidRPr="00000000" w14:paraId="0000005A">
      <w:pPr>
        <w:spacing w:after="240" w:before="240" w:lineRule="auto"/>
        <w:jc w:val="both"/>
        <w:rPr/>
      </w:pPr>
      <w:r w:rsidDel="00000000" w:rsidR="00000000" w:rsidRPr="00000000">
        <w:rPr>
          <w:rtl w:val="0"/>
        </w:rPr>
      </w:r>
    </w:p>
    <w:p w:rsidR="00000000" w:rsidDel="00000000" w:rsidP="00000000" w:rsidRDefault="00000000" w:rsidRPr="00000000" w14:paraId="0000005B">
      <w:pPr>
        <w:spacing w:after="240" w:before="240" w:lineRule="auto"/>
        <w:jc w:val="both"/>
        <w:rPr/>
      </w:pPr>
      <w:r w:rsidDel="00000000" w:rsidR="00000000" w:rsidRPr="00000000">
        <w:rPr>
          <w:rtl w:val="0"/>
        </w:rPr>
      </w:r>
    </w:p>
    <w:p w:rsidR="00000000" w:rsidDel="00000000" w:rsidP="00000000" w:rsidRDefault="00000000" w:rsidRPr="00000000" w14:paraId="0000005C">
      <w:pPr>
        <w:spacing w:after="240" w:before="240" w:lineRule="auto"/>
        <w:jc w:val="both"/>
        <w:rPr/>
      </w:pPr>
      <w:r w:rsidDel="00000000" w:rsidR="00000000" w:rsidRPr="00000000">
        <w:rPr>
          <w:rtl w:val="0"/>
        </w:rPr>
        <w:t xml:space="preserve">Wilson, S. et al. (2016) ‘English Legal System’. London, England: Oxford University Press.</w:t>
      </w:r>
    </w:p>
    <w:p w:rsidR="00000000" w:rsidDel="00000000" w:rsidP="00000000" w:rsidRDefault="00000000" w:rsidRPr="00000000" w14:paraId="0000005D">
      <w:pPr>
        <w:spacing w:after="240" w:before="240" w:lineRule="auto"/>
        <w:jc w:val="both"/>
        <w:rPr/>
      </w:pPr>
      <w:r w:rsidDel="00000000" w:rsidR="00000000" w:rsidRPr="00000000">
        <w:rPr>
          <w:rtl w:val="0"/>
        </w:rPr>
      </w:r>
    </w:p>
    <w:p w:rsidR="00000000" w:rsidDel="00000000" w:rsidP="00000000" w:rsidRDefault="00000000" w:rsidRPr="00000000" w14:paraId="0000005E">
      <w:pPr>
        <w:spacing w:after="240" w:before="240" w:lineRule="auto"/>
        <w:jc w:val="both"/>
        <w:rPr/>
      </w:pPr>
      <w:r w:rsidDel="00000000" w:rsidR="00000000" w:rsidRPr="00000000">
        <w:rPr>
          <w:rtl w:val="0"/>
        </w:rPr>
        <w:t xml:space="preserve">Zywicki, T. J. (2008) “Spontaneous order and the common law: Gordon Tullock’s critique,” Public choice, 135(1–2), pp. 35–53.</w:t>
      </w:r>
    </w:p>
    <w:sectPr>
      <w:foot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F">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s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