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FE0B85"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4707749E" w:rsidR="00CD33A8" w:rsidRPr="00274AEF" w:rsidRDefault="00CD33A8" w:rsidP="00CD33A8">
      <w:pPr>
        <w:tabs>
          <w:tab w:val="left" w:pos="6540"/>
        </w:tabs>
        <w:spacing w:line="360" w:lineRule="auto"/>
        <w:rPr>
          <w:rFonts w:ascii="Arial" w:hAnsi="Arial" w:cs="Arial"/>
          <w:sz w:val="28"/>
          <w:szCs w:val="28"/>
        </w:rPr>
      </w:pPr>
      <w:r w:rsidRPr="00274AEF">
        <w:rPr>
          <w:rFonts w:ascii="Arial" w:hAnsi="Arial" w:cs="Arial"/>
          <w:b/>
          <w:bCs/>
          <w:sz w:val="28"/>
          <w:szCs w:val="28"/>
        </w:rPr>
        <w:t>Module name</w:t>
      </w:r>
      <w:r w:rsidRPr="00274AEF">
        <w:rPr>
          <w:rFonts w:ascii="Arial" w:hAnsi="Arial" w:cs="Arial"/>
          <w:sz w:val="28"/>
          <w:szCs w:val="28"/>
        </w:rPr>
        <w:t xml:space="preserve">: </w:t>
      </w:r>
      <w:r w:rsidR="00732A99">
        <w:rPr>
          <w:rFonts w:ascii="Arial" w:hAnsi="Arial" w:cs="Arial"/>
          <w:sz w:val="28"/>
          <w:szCs w:val="28"/>
        </w:rPr>
        <w:t>Introduction to Health and Social Care</w:t>
      </w:r>
    </w:p>
    <w:p w14:paraId="537571AF" w14:textId="788C37A3" w:rsidR="00CD33A8" w:rsidRPr="00732A99" w:rsidRDefault="00CD33A8" w:rsidP="00CD33A8">
      <w:pPr>
        <w:tabs>
          <w:tab w:val="left" w:pos="6540"/>
        </w:tabs>
        <w:spacing w:line="360" w:lineRule="auto"/>
        <w:rPr>
          <w:rFonts w:ascii="Arial" w:hAnsi="Arial" w:cs="Arial"/>
          <w:sz w:val="28"/>
          <w:szCs w:val="28"/>
          <w:lang w:val="nl-NL"/>
        </w:rPr>
      </w:pPr>
      <w:r w:rsidRPr="00732A99">
        <w:rPr>
          <w:rFonts w:ascii="Arial" w:hAnsi="Arial" w:cs="Arial"/>
          <w:b/>
          <w:bCs/>
          <w:sz w:val="28"/>
          <w:szCs w:val="28"/>
          <w:lang w:val="nl-NL"/>
        </w:rPr>
        <w:t>Module code</w:t>
      </w:r>
      <w:r w:rsidRPr="00732A99">
        <w:rPr>
          <w:rFonts w:ascii="Arial" w:hAnsi="Arial" w:cs="Arial"/>
          <w:sz w:val="28"/>
          <w:szCs w:val="28"/>
          <w:lang w:val="nl-NL"/>
        </w:rPr>
        <w:t>:</w:t>
      </w:r>
      <w:r w:rsidR="00732A99" w:rsidRPr="00732A99">
        <w:rPr>
          <w:rFonts w:ascii="Arial" w:hAnsi="Arial" w:cs="Arial"/>
          <w:sz w:val="28"/>
          <w:szCs w:val="28"/>
          <w:lang w:val="nl-NL"/>
        </w:rPr>
        <w:t xml:space="preserve"> LCHS4003</w:t>
      </w:r>
    </w:p>
    <w:p w14:paraId="529D7354" w14:textId="77777777" w:rsidR="00CD33A8" w:rsidRPr="00732A99" w:rsidRDefault="00CD33A8" w:rsidP="00CD33A8">
      <w:pPr>
        <w:tabs>
          <w:tab w:val="left" w:pos="6540"/>
        </w:tabs>
        <w:spacing w:line="360" w:lineRule="auto"/>
        <w:rPr>
          <w:rFonts w:ascii="Arial" w:hAnsi="Arial" w:cs="Arial"/>
          <w:b/>
          <w:bCs/>
          <w:sz w:val="28"/>
          <w:szCs w:val="28"/>
          <w:lang w:val="nl-NL"/>
        </w:rPr>
      </w:pPr>
    </w:p>
    <w:p w14:paraId="0A48766D" w14:textId="5297AA57" w:rsidR="00074402" w:rsidRPr="00732A99" w:rsidRDefault="00074402" w:rsidP="00CD33A8">
      <w:pPr>
        <w:tabs>
          <w:tab w:val="left" w:pos="6540"/>
        </w:tabs>
        <w:spacing w:line="360" w:lineRule="auto"/>
        <w:rPr>
          <w:rFonts w:ascii="Arial" w:hAnsi="Arial" w:cs="Arial"/>
          <w:sz w:val="28"/>
          <w:szCs w:val="28"/>
          <w:lang w:val="nl-NL"/>
        </w:rPr>
      </w:pPr>
      <w:r w:rsidRPr="00732A99">
        <w:rPr>
          <w:rFonts w:ascii="Arial" w:hAnsi="Arial" w:cs="Arial"/>
          <w:b/>
          <w:bCs/>
          <w:sz w:val="28"/>
          <w:szCs w:val="28"/>
          <w:lang w:val="nl-NL"/>
        </w:rPr>
        <w:t>Student name</w:t>
      </w:r>
      <w:r w:rsidRPr="00732A99">
        <w:rPr>
          <w:rFonts w:ascii="Arial" w:hAnsi="Arial" w:cs="Arial"/>
          <w:sz w:val="28"/>
          <w:szCs w:val="28"/>
          <w:lang w:val="nl-NL"/>
        </w:rPr>
        <w:t>:</w:t>
      </w:r>
      <w:r w:rsidR="00732A99" w:rsidRPr="00732A99">
        <w:rPr>
          <w:rFonts w:ascii="Arial" w:hAnsi="Arial" w:cs="Arial"/>
          <w:sz w:val="28"/>
          <w:szCs w:val="28"/>
          <w:lang w:val="nl-NL"/>
        </w:rPr>
        <w:t xml:space="preserve"> Af</w:t>
      </w:r>
      <w:r w:rsidR="00732A99">
        <w:rPr>
          <w:rFonts w:ascii="Arial" w:hAnsi="Arial" w:cs="Arial"/>
          <w:sz w:val="28"/>
          <w:szCs w:val="28"/>
          <w:lang w:val="nl-NL"/>
        </w:rPr>
        <w:t>ruza Akter</w:t>
      </w:r>
    </w:p>
    <w:p w14:paraId="39AA4413" w14:textId="12C37E26" w:rsidR="00074402" w:rsidRPr="00732A99" w:rsidRDefault="00074402" w:rsidP="00CD33A8">
      <w:pPr>
        <w:tabs>
          <w:tab w:val="left" w:pos="6540"/>
        </w:tabs>
        <w:spacing w:line="360" w:lineRule="auto"/>
        <w:rPr>
          <w:rFonts w:ascii="Arial" w:hAnsi="Arial" w:cs="Arial"/>
          <w:sz w:val="28"/>
          <w:szCs w:val="28"/>
          <w:lang w:val="nl-NL"/>
        </w:rPr>
      </w:pPr>
      <w:r w:rsidRPr="00732A99">
        <w:rPr>
          <w:rFonts w:ascii="Arial" w:hAnsi="Arial" w:cs="Arial"/>
          <w:b/>
          <w:bCs/>
          <w:sz w:val="28"/>
          <w:szCs w:val="28"/>
          <w:lang w:val="nl-NL"/>
        </w:rPr>
        <w:t>Student ID</w:t>
      </w:r>
      <w:r w:rsidRPr="00732A99">
        <w:rPr>
          <w:rFonts w:ascii="Arial" w:hAnsi="Arial" w:cs="Arial"/>
          <w:sz w:val="28"/>
          <w:szCs w:val="28"/>
          <w:lang w:val="nl-NL"/>
        </w:rPr>
        <w:t>:</w:t>
      </w:r>
      <w:r w:rsidR="00732A99" w:rsidRPr="00732A99">
        <w:rPr>
          <w:rFonts w:ascii="Arial" w:hAnsi="Arial" w:cs="Arial"/>
          <w:sz w:val="28"/>
          <w:szCs w:val="28"/>
          <w:lang w:val="nl-NL"/>
        </w:rPr>
        <w:t xml:space="preserve"> </w:t>
      </w:r>
      <w:r w:rsidR="00732A99">
        <w:rPr>
          <w:rFonts w:ascii="Arial" w:hAnsi="Arial" w:cs="Arial"/>
          <w:sz w:val="28"/>
          <w:szCs w:val="28"/>
          <w:lang w:val="nl-NL"/>
        </w:rPr>
        <w:t>2514988</w:t>
      </w:r>
    </w:p>
    <w:p w14:paraId="5E81F6AD" w14:textId="77777777" w:rsidR="00074402" w:rsidRPr="00732A99" w:rsidRDefault="00074402" w:rsidP="00CD33A8">
      <w:pPr>
        <w:tabs>
          <w:tab w:val="left" w:pos="6540"/>
        </w:tabs>
        <w:spacing w:line="360" w:lineRule="auto"/>
        <w:rPr>
          <w:rFonts w:ascii="Arial" w:hAnsi="Arial" w:cs="Arial"/>
          <w:sz w:val="28"/>
          <w:szCs w:val="28"/>
          <w:lang w:val="nl-NL"/>
        </w:rPr>
      </w:pPr>
    </w:p>
    <w:p w14:paraId="1A0B2D2B" w14:textId="2D3B1461" w:rsidR="00074402" w:rsidRPr="00732A99" w:rsidRDefault="008E3943" w:rsidP="00CD33A8">
      <w:pPr>
        <w:tabs>
          <w:tab w:val="left" w:pos="6540"/>
        </w:tabs>
        <w:spacing w:line="360" w:lineRule="auto"/>
        <w:rPr>
          <w:rFonts w:ascii="Arial" w:hAnsi="Arial" w:cs="Arial"/>
          <w:sz w:val="28"/>
          <w:szCs w:val="28"/>
        </w:rPr>
      </w:pPr>
      <w:r w:rsidRPr="00732A99">
        <w:rPr>
          <w:rFonts w:ascii="Arial" w:hAnsi="Arial" w:cs="Arial"/>
          <w:b/>
          <w:bCs/>
          <w:sz w:val="28"/>
          <w:szCs w:val="28"/>
        </w:rPr>
        <w:t>Lecturer’s name</w:t>
      </w:r>
      <w:r w:rsidR="00074402" w:rsidRPr="00732A99">
        <w:rPr>
          <w:rFonts w:ascii="Arial" w:hAnsi="Arial" w:cs="Arial"/>
          <w:sz w:val="28"/>
          <w:szCs w:val="28"/>
        </w:rPr>
        <w:t>:</w:t>
      </w:r>
      <w:r w:rsidR="00732A99" w:rsidRPr="00732A99">
        <w:rPr>
          <w:rFonts w:ascii="Arial" w:hAnsi="Arial" w:cs="Arial"/>
          <w:sz w:val="28"/>
          <w:szCs w:val="28"/>
        </w:rPr>
        <w:t xml:space="preserve"> Dr Eleni Koutsogeorgou-A</w:t>
      </w:r>
      <w:r w:rsidR="00732A99">
        <w:rPr>
          <w:rFonts w:ascii="Arial" w:hAnsi="Arial" w:cs="Arial"/>
          <w:sz w:val="28"/>
          <w:szCs w:val="28"/>
        </w:rPr>
        <w:t>ndreou</w:t>
      </w:r>
    </w:p>
    <w:p w14:paraId="39D08584" w14:textId="77777777" w:rsidR="00074402" w:rsidRPr="00732A99" w:rsidRDefault="00074402" w:rsidP="00CD33A8">
      <w:pPr>
        <w:tabs>
          <w:tab w:val="left" w:pos="6540"/>
        </w:tabs>
        <w:spacing w:line="360" w:lineRule="auto"/>
        <w:rPr>
          <w:rFonts w:asciiTheme="minorBidi" w:hAnsiTheme="minorBidi"/>
          <w:sz w:val="22"/>
        </w:rPr>
      </w:pPr>
    </w:p>
    <w:p w14:paraId="5B66D125" w14:textId="77777777" w:rsidR="00074402" w:rsidRPr="00732A99" w:rsidRDefault="00074402" w:rsidP="00CD33A8">
      <w:pPr>
        <w:tabs>
          <w:tab w:val="left" w:pos="6540"/>
        </w:tabs>
        <w:spacing w:line="360" w:lineRule="auto"/>
        <w:rPr>
          <w:rFonts w:asciiTheme="minorBidi" w:hAnsiTheme="minorBidi"/>
          <w:sz w:val="22"/>
        </w:rPr>
      </w:pPr>
    </w:p>
    <w:p w14:paraId="291524A2" w14:textId="2CBFF360" w:rsidR="00074402" w:rsidRPr="00732A99" w:rsidRDefault="00074402" w:rsidP="00CD33A8">
      <w:pPr>
        <w:tabs>
          <w:tab w:val="left" w:pos="6540"/>
        </w:tabs>
        <w:spacing w:line="360" w:lineRule="auto"/>
        <w:rPr>
          <w:rFonts w:asciiTheme="minorBidi" w:hAnsiTheme="minorBidi"/>
          <w:sz w:val="22"/>
        </w:rPr>
      </w:pPr>
    </w:p>
    <w:p w14:paraId="5AE88297" w14:textId="24E6B718" w:rsidR="00B87E75" w:rsidRPr="00732A99" w:rsidRDefault="00B87E75" w:rsidP="00CD33A8">
      <w:pPr>
        <w:tabs>
          <w:tab w:val="left" w:pos="6540"/>
        </w:tabs>
        <w:spacing w:line="360" w:lineRule="auto"/>
        <w:rPr>
          <w:rFonts w:asciiTheme="minorBidi" w:hAnsiTheme="minorBidi"/>
          <w:sz w:val="22"/>
        </w:rPr>
      </w:pPr>
    </w:p>
    <w:p w14:paraId="420ADE33" w14:textId="35FB1322" w:rsidR="00B87E75" w:rsidRPr="00732A99" w:rsidRDefault="00B87E75" w:rsidP="00CD33A8">
      <w:pPr>
        <w:spacing w:line="360" w:lineRule="auto"/>
        <w:rPr>
          <w:rFonts w:asciiTheme="minorBidi" w:hAnsiTheme="minorBidi"/>
          <w:sz w:val="22"/>
        </w:rPr>
      </w:pPr>
      <w:r w:rsidRPr="00732A99">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137FF22A" w:rsidR="00B87E75" w:rsidRPr="00CD33A8" w:rsidRDefault="00B87E75" w:rsidP="00CD33A8">
      <w:pPr>
        <w:spacing w:line="360" w:lineRule="auto"/>
        <w:rPr>
          <w:rFonts w:asciiTheme="minorBidi" w:hAnsiTheme="minorBidi"/>
          <w:sz w:val="22"/>
        </w:rPr>
      </w:pPr>
    </w:p>
    <w:p w14:paraId="2E79F7ED" w14:textId="78ED819E" w:rsidR="00B87E75" w:rsidRPr="00732A99" w:rsidRDefault="00732A99" w:rsidP="00CD33A8">
      <w:pPr>
        <w:spacing w:line="360" w:lineRule="auto"/>
        <w:rPr>
          <w:rFonts w:ascii="Arial" w:hAnsi="Arial" w:cs="Arial"/>
          <w:sz w:val="22"/>
        </w:rPr>
      </w:pPr>
      <w:r w:rsidRPr="00732A99">
        <w:rPr>
          <w:rFonts w:ascii="Arial" w:hAnsi="Arial" w:cs="Arial"/>
          <w:sz w:val="22"/>
        </w:rPr>
        <w:t>Introduction: …………………………………………………………………………………………3</w:t>
      </w:r>
    </w:p>
    <w:p w14:paraId="6FEAE993" w14:textId="4A5E6570" w:rsidR="00732A99" w:rsidRPr="00732A99" w:rsidRDefault="00732A99" w:rsidP="00CD33A8">
      <w:pPr>
        <w:spacing w:line="360" w:lineRule="auto"/>
        <w:rPr>
          <w:rFonts w:ascii="Arial" w:hAnsi="Arial" w:cs="Arial"/>
          <w:sz w:val="22"/>
        </w:rPr>
      </w:pPr>
      <w:r w:rsidRPr="00732A99">
        <w:rPr>
          <w:rFonts w:ascii="Arial" w:hAnsi="Arial" w:cs="Arial"/>
          <w:sz w:val="22"/>
        </w:rPr>
        <w:t>Importance of Effective Communication: …………………………………………………</w:t>
      </w:r>
      <w:r w:rsidR="00052355">
        <w:rPr>
          <w:rFonts w:ascii="Arial" w:hAnsi="Arial" w:cs="Arial"/>
          <w:sz w:val="22"/>
        </w:rPr>
        <w:t>……</w:t>
      </w:r>
      <w:r w:rsidRPr="00732A99">
        <w:rPr>
          <w:rFonts w:ascii="Arial" w:hAnsi="Arial" w:cs="Arial"/>
          <w:sz w:val="22"/>
        </w:rPr>
        <w:t>3</w:t>
      </w:r>
      <w:r w:rsidR="00052355">
        <w:rPr>
          <w:rFonts w:ascii="Arial" w:hAnsi="Arial" w:cs="Arial"/>
          <w:sz w:val="22"/>
        </w:rPr>
        <w:t>-4</w:t>
      </w:r>
    </w:p>
    <w:p w14:paraId="32940170" w14:textId="6A8B7E64" w:rsidR="00732A99" w:rsidRPr="00732A99" w:rsidRDefault="00732A99" w:rsidP="00CD33A8">
      <w:pPr>
        <w:spacing w:line="360" w:lineRule="auto"/>
        <w:rPr>
          <w:rFonts w:ascii="Arial" w:hAnsi="Arial" w:cs="Arial"/>
          <w:sz w:val="22"/>
        </w:rPr>
      </w:pPr>
      <w:r w:rsidRPr="00732A99">
        <w:rPr>
          <w:rFonts w:ascii="Arial" w:hAnsi="Arial" w:cs="Arial"/>
          <w:sz w:val="22"/>
        </w:rPr>
        <w:t>Importance of Administrative Skills: ……………………………………………………………</w:t>
      </w:r>
      <w:r w:rsidR="00052355">
        <w:rPr>
          <w:rFonts w:ascii="Arial" w:hAnsi="Arial" w:cs="Arial"/>
          <w:sz w:val="22"/>
        </w:rPr>
        <w:t>4-5</w:t>
      </w:r>
    </w:p>
    <w:p w14:paraId="543A53DF" w14:textId="281FB884" w:rsidR="00732A99" w:rsidRPr="00732A99" w:rsidRDefault="00732A99" w:rsidP="00CD33A8">
      <w:pPr>
        <w:spacing w:line="360" w:lineRule="auto"/>
        <w:rPr>
          <w:rFonts w:ascii="Arial" w:hAnsi="Arial" w:cs="Arial"/>
          <w:sz w:val="22"/>
        </w:rPr>
      </w:pPr>
      <w:r w:rsidRPr="00732A99">
        <w:rPr>
          <w:rFonts w:ascii="Arial" w:hAnsi="Arial" w:cs="Arial"/>
          <w:sz w:val="22"/>
        </w:rPr>
        <w:t>Importance of Collaborative Working: …………………………………………………………</w:t>
      </w:r>
      <w:r w:rsidR="00052355">
        <w:rPr>
          <w:rFonts w:ascii="Arial" w:hAnsi="Arial" w:cs="Arial"/>
          <w:sz w:val="22"/>
        </w:rPr>
        <w:t>5-6</w:t>
      </w:r>
    </w:p>
    <w:p w14:paraId="71FF815B" w14:textId="16AE85DA" w:rsidR="00732A99" w:rsidRPr="00732A99" w:rsidRDefault="00732A99" w:rsidP="00CD33A8">
      <w:pPr>
        <w:spacing w:line="360" w:lineRule="auto"/>
        <w:rPr>
          <w:rFonts w:ascii="Arial" w:hAnsi="Arial" w:cs="Arial"/>
          <w:sz w:val="22"/>
        </w:rPr>
      </w:pPr>
      <w:r w:rsidRPr="00732A99">
        <w:rPr>
          <w:rFonts w:ascii="Arial" w:hAnsi="Arial" w:cs="Arial"/>
          <w:sz w:val="22"/>
        </w:rPr>
        <w:t>Conclusion: ………………………………………………………………………………………</w:t>
      </w:r>
      <w:r w:rsidR="00052355">
        <w:rPr>
          <w:rFonts w:ascii="Arial" w:hAnsi="Arial" w:cs="Arial"/>
          <w:sz w:val="22"/>
        </w:rPr>
        <w:t>…6</w:t>
      </w:r>
    </w:p>
    <w:p w14:paraId="21970020" w14:textId="58A269FC" w:rsidR="00732A99" w:rsidRPr="00732A99" w:rsidRDefault="00732A99" w:rsidP="00CD33A8">
      <w:pPr>
        <w:spacing w:line="360" w:lineRule="auto"/>
        <w:rPr>
          <w:rFonts w:ascii="Arial" w:hAnsi="Arial" w:cs="Arial"/>
          <w:sz w:val="22"/>
        </w:rPr>
      </w:pPr>
      <w:r w:rsidRPr="00732A99">
        <w:rPr>
          <w:rFonts w:ascii="Arial" w:hAnsi="Arial" w:cs="Arial"/>
          <w:sz w:val="22"/>
        </w:rPr>
        <w:t>References:</w:t>
      </w:r>
      <w:r w:rsidR="00052355">
        <w:rPr>
          <w:rFonts w:ascii="Arial" w:hAnsi="Arial" w:cs="Arial"/>
          <w:sz w:val="22"/>
        </w:rPr>
        <w:t xml:space="preserve"> …………………………………………………………………………………………7</w:t>
      </w:r>
    </w:p>
    <w:p w14:paraId="5BB5086C" w14:textId="77777777" w:rsidR="00732A99" w:rsidRPr="00CD33A8" w:rsidRDefault="00732A99"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188B54A8" w14:textId="77777777" w:rsidR="00274AEF" w:rsidRDefault="00274AEF" w:rsidP="00732A99">
      <w:pPr>
        <w:pStyle w:val="yiv7448423334p1"/>
        <w:shd w:val="clear" w:color="auto" w:fill="FFFFFF"/>
        <w:spacing w:before="0" w:beforeAutospacing="0" w:after="0" w:afterAutospacing="0" w:line="360" w:lineRule="auto"/>
        <w:jc w:val="both"/>
        <w:rPr>
          <w:rStyle w:val="yiv7448423334s1"/>
          <w:rFonts w:ascii="Arial" w:hAnsi="Arial" w:cs="Arial"/>
          <w:color w:val="000000"/>
          <w:sz w:val="22"/>
          <w:szCs w:val="22"/>
        </w:rPr>
      </w:pPr>
      <w:r w:rsidRPr="00732A99">
        <w:rPr>
          <w:rStyle w:val="yiv7448423334s1"/>
          <w:rFonts w:ascii="Arial" w:hAnsi="Arial" w:cs="Arial"/>
          <w:color w:val="000000"/>
          <w:sz w:val="22"/>
          <w:szCs w:val="22"/>
        </w:rPr>
        <w:lastRenderedPageBreak/>
        <w:t>Mr. Ahmed, a 68-year-old man, needs continuous assistance in a community-based health and social care setting while he recovers from a stroke. He gets domiciliary care three times a day after being released from the hospital to help with personal hygiene, medication administration, and meal preparation. A multidisciplinary team comprising a district nurse, a general practitioner (GP), and a speech-language pathologist provides additional support for his care. However, Mr. Ahmed's limited English proficiency and post-stroke impairments create communication barriers that make it difficult to provide effective care. Concerns about communication, administrative procedures, and care coordination are also highlighted by a recent missed domiciliary visit that caused medication to be delayed. Using pertinent laws, theoretical models, and professional frameworks to assess best practices, this report critically investigates the significance of efficient communication, administrative abilities, and teamwork in the context of Mr. Ahmed's care.</w:t>
      </w:r>
    </w:p>
    <w:p w14:paraId="189C723A" w14:textId="77777777" w:rsidR="00052355" w:rsidRPr="00732A99" w:rsidRDefault="00052355"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p>
    <w:p w14:paraId="343B6808" w14:textId="77777777" w:rsidR="00274AEF" w:rsidRPr="00732A99" w:rsidRDefault="00274AEF"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58B320A8" w14:textId="77777777" w:rsidR="00052355" w:rsidRDefault="00274AEF" w:rsidP="00732A99">
      <w:pPr>
        <w:pStyle w:val="yiv7448423334p1"/>
        <w:shd w:val="clear" w:color="auto" w:fill="FFFFFF"/>
        <w:spacing w:before="0" w:beforeAutospacing="0" w:after="0" w:afterAutospacing="0" w:line="360" w:lineRule="auto"/>
        <w:jc w:val="both"/>
        <w:rPr>
          <w:rStyle w:val="yiv7448423334s1"/>
          <w:rFonts w:ascii="Arial" w:hAnsi="Arial" w:cs="Arial"/>
          <w:color w:val="000000"/>
          <w:sz w:val="22"/>
          <w:szCs w:val="22"/>
        </w:rPr>
      </w:pPr>
      <w:r w:rsidRPr="00732A99">
        <w:rPr>
          <w:rStyle w:val="yiv7448423334s2"/>
          <w:rFonts w:ascii="Arial" w:hAnsi="Arial" w:cs="Arial"/>
          <w:b/>
          <w:bCs/>
          <w:color w:val="000000"/>
          <w:sz w:val="22"/>
          <w:szCs w:val="22"/>
        </w:rPr>
        <w:t xml:space="preserve">1. Importance of Effective </w:t>
      </w:r>
      <w:r w:rsidRPr="00732A99">
        <w:rPr>
          <w:rStyle w:val="yiv7448423334s2"/>
          <w:rFonts w:ascii="Arial" w:hAnsi="Arial" w:cs="Arial"/>
          <w:b/>
          <w:bCs/>
          <w:color w:val="000000"/>
          <w:sz w:val="22"/>
          <w:szCs w:val="22"/>
        </w:rPr>
        <w:t>Communication:</w:t>
      </w:r>
      <w:r w:rsidRPr="00732A99">
        <w:rPr>
          <w:rStyle w:val="yiv7448423334s1"/>
          <w:rFonts w:ascii="Arial" w:hAnsi="Arial" w:cs="Arial"/>
          <w:color w:val="000000"/>
          <w:sz w:val="22"/>
          <w:szCs w:val="22"/>
        </w:rPr>
        <w:t> </w:t>
      </w:r>
    </w:p>
    <w:p w14:paraId="4C047BAB" w14:textId="69C8D57E"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In complex cases like Mr. Ahmed's, where language barriers and stroke-related impairments are present, effective communication is essential to providing safe, person-</w:t>
      </w:r>
      <w:r w:rsidRPr="00732A99">
        <w:rPr>
          <w:rStyle w:val="yiv7448423334s1"/>
          <w:rFonts w:ascii="Arial" w:hAnsi="Arial" w:cs="Arial"/>
          <w:color w:val="000000"/>
          <w:sz w:val="22"/>
          <w:szCs w:val="22"/>
        </w:rPr>
        <w:t>centred</w:t>
      </w:r>
      <w:r w:rsidRPr="00732A99">
        <w:rPr>
          <w:rStyle w:val="yiv7448423334s1"/>
          <w:rFonts w:ascii="Arial" w:hAnsi="Arial" w:cs="Arial"/>
          <w:color w:val="000000"/>
          <w:sz w:val="22"/>
          <w:szCs w:val="22"/>
        </w:rPr>
        <w:t xml:space="preserve"> care. As evidenced by the missed medication incident, poor communication can result in misconceptions, decreased adherence to treatment, and an increased risk of harm (Arnold and Boggs, 2020). As a result, it's critical to modify communication tactics to suit each person's needs.</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Healthcare providers should avoid using medical jargon and speak clearly and simply in order to interact with Mr. Ahmed. Because of his poor command of the English language, using qualified interpreters is essential to guaranteeing accurate information exchange and avoiding depending only on family members, which could jeopardize confidentiality and introduce bias (NICE, 2023). However, if Mr. Ahmed gives his permission, it is advantageous to include his wife as a supportive partner since she can strengthen understanding and offer emotional support.</w:t>
      </w:r>
    </w:p>
    <w:p w14:paraId="6309353F" w14:textId="77777777" w:rsidR="00274AEF" w:rsidRPr="00732A99" w:rsidRDefault="00274AEF"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550099BC" w14:textId="17AC3421"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By encouraging equality and prohibiting discrimination based on protected traits like race and language, the Equality Act of 2010 serves as the foundation for communication practices. Healthcare professionals are required by law to make reasonable accommodations for Mr. Ahmed in order to prevent him from being disadvantaged. This entails offering accessible information, culturally competent care, and translation services (Equality Act, 2010). Poorer health outcomes and unequal access to care could arise from failing to do this.</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A helpful framework for comprehending communication in this situation is the Transactional Model of Communication (</w:t>
      </w:r>
      <w:proofErr w:type="spellStart"/>
      <w:r w:rsidRPr="00732A99">
        <w:rPr>
          <w:rStyle w:val="yiv7448423334s1"/>
          <w:rFonts w:ascii="Arial" w:hAnsi="Arial" w:cs="Arial"/>
          <w:color w:val="000000"/>
          <w:sz w:val="22"/>
          <w:szCs w:val="22"/>
        </w:rPr>
        <w:t>Barnlund</w:t>
      </w:r>
      <w:proofErr w:type="spellEnd"/>
      <w:r w:rsidRPr="00732A99">
        <w:rPr>
          <w:rStyle w:val="yiv7448423334s1"/>
          <w:rFonts w:ascii="Arial" w:hAnsi="Arial" w:cs="Arial"/>
          <w:color w:val="000000"/>
          <w:sz w:val="22"/>
          <w:szCs w:val="22"/>
        </w:rPr>
        <w:t xml:space="preserve">, 2008). It highlights that communication is a dynamic, two-way process that is impacted by "noise" and feedback. After his stroke, Mr. Ahmed may experience </w:t>
      </w:r>
      <w:r w:rsidRPr="00732A99">
        <w:rPr>
          <w:rStyle w:val="yiv7448423334s1"/>
          <w:rFonts w:ascii="Arial" w:hAnsi="Arial" w:cs="Arial"/>
          <w:color w:val="000000"/>
          <w:sz w:val="22"/>
          <w:szCs w:val="22"/>
        </w:rPr>
        <w:lastRenderedPageBreak/>
        <w:t>emotional distress, cognitive impairment, and language barriers. Professionals need to actively seek feedback by asking him to repeat information or show that he understands it, for example.</w:t>
      </w:r>
    </w:p>
    <w:p w14:paraId="131691EC" w14:textId="77777777" w:rsidR="00274AEF" w:rsidRPr="00732A99" w:rsidRDefault="00274AEF"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4B001258" w14:textId="1405E740"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Additionally, nonverbal communication is crucial. In situations where verbal communication is limited, facial expressions, gestures, eye contact, and tone of voice can improve comprehension and demonstrate empathy (Hargie, 2011). A speech-language pathologist's assistance also facilitates the creation of alternate communication techniques, like visual cues or communication boards, which can enhance swallowing safety and communication.</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One of the most important ethical factors is respecting autonomy. Professionals must make sure that Mr. Ahmed participates in decision-making whenever possible, even though his wife may speak on his behalf. In accordance with the ethical precepts of autonomy and respect, consent should always be acquired prior to information sharing (Beauchamp and Childress, 2019).</w:t>
      </w:r>
    </w:p>
    <w:p w14:paraId="2EE202C9" w14:textId="3118879B"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 xml:space="preserve">In conclusion, maintaining Mr. Ahmed's safety, upholding his dignity, and fostering </w:t>
      </w:r>
      <w:r w:rsidRPr="00732A99">
        <w:rPr>
          <w:rStyle w:val="yiv7448423334s1"/>
          <w:rFonts w:ascii="Arial" w:hAnsi="Arial" w:cs="Arial"/>
          <w:color w:val="000000"/>
          <w:sz w:val="22"/>
          <w:szCs w:val="22"/>
        </w:rPr>
        <w:t>favourable</w:t>
      </w:r>
      <w:r w:rsidRPr="00732A99">
        <w:rPr>
          <w:rStyle w:val="yiv7448423334s1"/>
          <w:rFonts w:ascii="Arial" w:hAnsi="Arial" w:cs="Arial"/>
          <w:color w:val="000000"/>
          <w:sz w:val="22"/>
          <w:szCs w:val="22"/>
        </w:rPr>
        <w:t xml:space="preserve"> health outcomes all depend on efficient communication. It necessitates an inclusive, person-</w:t>
      </w:r>
      <w:r w:rsidRPr="00732A99">
        <w:rPr>
          <w:rStyle w:val="yiv7448423334s1"/>
          <w:rFonts w:ascii="Arial" w:hAnsi="Arial" w:cs="Arial"/>
          <w:color w:val="000000"/>
          <w:sz w:val="22"/>
          <w:szCs w:val="22"/>
        </w:rPr>
        <w:t>centred</w:t>
      </w:r>
      <w:r w:rsidRPr="00732A99">
        <w:rPr>
          <w:rStyle w:val="yiv7448423334s1"/>
          <w:rFonts w:ascii="Arial" w:hAnsi="Arial" w:cs="Arial"/>
          <w:color w:val="000000"/>
          <w:sz w:val="22"/>
          <w:szCs w:val="22"/>
        </w:rPr>
        <w:t xml:space="preserve"> strategy based on ethical and legal frameworks.</w:t>
      </w:r>
    </w:p>
    <w:p w14:paraId="2F91B58F" w14:textId="77777777" w:rsidR="00274AEF" w:rsidRPr="00732A99" w:rsidRDefault="00274AEF"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010C1389" w14:textId="77777777" w:rsidR="00052355" w:rsidRDefault="00052355" w:rsidP="00732A99">
      <w:pPr>
        <w:pStyle w:val="yiv7448423334p1"/>
        <w:shd w:val="clear" w:color="auto" w:fill="FFFFFF"/>
        <w:spacing w:before="0" w:beforeAutospacing="0" w:after="0" w:afterAutospacing="0" w:line="360" w:lineRule="auto"/>
        <w:jc w:val="both"/>
        <w:rPr>
          <w:rStyle w:val="yiv7448423334s2"/>
          <w:rFonts w:ascii="Arial" w:hAnsi="Arial" w:cs="Arial"/>
          <w:b/>
          <w:bCs/>
          <w:color w:val="000000"/>
          <w:sz w:val="22"/>
          <w:szCs w:val="22"/>
        </w:rPr>
      </w:pPr>
    </w:p>
    <w:p w14:paraId="4BB4FBDB" w14:textId="77777777" w:rsidR="00052355" w:rsidRDefault="00052355" w:rsidP="00732A99">
      <w:pPr>
        <w:pStyle w:val="yiv7448423334p1"/>
        <w:shd w:val="clear" w:color="auto" w:fill="FFFFFF"/>
        <w:spacing w:before="0" w:beforeAutospacing="0" w:after="0" w:afterAutospacing="0" w:line="360" w:lineRule="auto"/>
        <w:jc w:val="both"/>
        <w:rPr>
          <w:rStyle w:val="yiv7448423334s2"/>
          <w:rFonts w:ascii="Arial" w:hAnsi="Arial" w:cs="Arial"/>
          <w:b/>
          <w:bCs/>
          <w:color w:val="000000"/>
          <w:sz w:val="22"/>
          <w:szCs w:val="22"/>
        </w:rPr>
      </w:pPr>
    </w:p>
    <w:p w14:paraId="3B3EDB67" w14:textId="77777777" w:rsidR="00052355" w:rsidRDefault="00274AEF" w:rsidP="00732A99">
      <w:pPr>
        <w:pStyle w:val="yiv7448423334p1"/>
        <w:shd w:val="clear" w:color="auto" w:fill="FFFFFF"/>
        <w:spacing w:before="0" w:beforeAutospacing="0" w:after="0" w:afterAutospacing="0" w:line="360" w:lineRule="auto"/>
        <w:jc w:val="both"/>
        <w:rPr>
          <w:rStyle w:val="yiv7448423334s1"/>
          <w:rFonts w:ascii="Arial" w:hAnsi="Arial" w:cs="Arial"/>
          <w:color w:val="000000"/>
          <w:sz w:val="22"/>
          <w:szCs w:val="22"/>
        </w:rPr>
      </w:pPr>
      <w:r w:rsidRPr="00732A99">
        <w:rPr>
          <w:rStyle w:val="yiv7448423334s2"/>
          <w:rFonts w:ascii="Arial" w:hAnsi="Arial" w:cs="Arial"/>
          <w:b/>
          <w:bCs/>
          <w:color w:val="000000"/>
          <w:sz w:val="22"/>
          <w:szCs w:val="22"/>
        </w:rPr>
        <w:t>2. Importance of Administrative Skills:</w:t>
      </w:r>
      <w:r w:rsidRPr="00732A99">
        <w:rPr>
          <w:rStyle w:val="yiv7448423334s1"/>
          <w:rFonts w:ascii="Arial" w:hAnsi="Arial" w:cs="Arial"/>
          <w:color w:val="000000"/>
          <w:sz w:val="22"/>
          <w:szCs w:val="22"/>
        </w:rPr>
        <w:t> </w:t>
      </w:r>
    </w:p>
    <w:p w14:paraId="49D0E132" w14:textId="4FA65605"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In health and social care settings, having administrative skills is crucial to providing safe, efficient, and responsible care. The missed domiciliary care visit in Mr. Ahmed's case demonstrates how administrative mistakes, like shoddy scheduling or insufficient communication systems, can have a direct negative influence on patient safety, especially when it comes to medication management.</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Maintaining accurate records is essential to professional practice. All care given, including medication administration, clinical observations, and communication with other professionals, must be promptly, accurately, and clearly documented by healthcare professionals (NMC, 2018). In the case of Mr. Ahmed, thorough documentation guarantees continuity of care, allowing all members of the multidisciplinary team to access current information and make defensible decisions. Errors, redundant work, and jeopardized patient safety can result from poor recordkeeping.</w:t>
      </w:r>
    </w:p>
    <w:p w14:paraId="6D5C2197" w14:textId="77777777" w:rsidR="00274AEF" w:rsidRPr="00732A99" w:rsidRDefault="00274AEF"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7DA38249" w14:textId="394FCCD6"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 xml:space="preserve">The legal foundation for managing personal data is provided by the Data Protection Act of 2018 and the UK General Data Protection Regulation (UK GDPR). Sensitive data, such as Mr. Ahmed's health information, must be handled legally, equitably, and securely. Data minimization, accuracy, confidentiality, and purpose limitation are important tenets (ICO, 2023). To support his care, for instance, the district nurse, general practitioner, and domiciliary </w:t>
      </w:r>
      <w:r w:rsidRPr="00732A99">
        <w:rPr>
          <w:rStyle w:val="yiv7448423334s1"/>
          <w:rFonts w:ascii="Arial" w:hAnsi="Arial" w:cs="Arial"/>
          <w:color w:val="000000"/>
          <w:sz w:val="22"/>
          <w:szCs w:val="22"/>
        </w:rPr>
        <w:lastRenderedPageBreak/>
        <w:t>care agency should only exchange pertinent information.</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An essential element of administrative practice is confidentiality. Healthcare providers must make sure that Mr. Ahmed's private information is always secure and shared only with those who are authorized. This entails keeping documents safe, whether they are electronic or paper-based, and avoiding conversations in unsuitable contexts (Doyle et al., 2013).</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Effective record-keeping and governance are emphasized by regulatory frameworks like those established by the Care Quality Commission (CQC). According to these standards, caregivers must keep correct records an</w:t>
      </w:r>
      <w:r w:rsidRPr="00732A99">
        <w:rPr>
          <w:rStyle w:val="yiv7448423334s1"/>
          <w:rFonts w:ascii="Arial" w:hAnsi="Arial" w:cs="Arial"/>
          <w:color w:val="000000"/>
          <w:sz w:val="22"/>
          <w:szCs w:val="22"/>
        </w:rPr>
        <w:t xml:space="preserve">d </w:t>
      </w:r>
      <w:r w:rsidRPr="00732A99">
        <w:rPr>
          <w:rStyle w:val="yiv7448423334s1"/>
          <w:rFonts w:ascii="Arial" w:hAnsi="Arial" w:cs="Arial"/>
          <w:color w:val="000000"/>
          <w:sz w:val="22"/>
          <w:szCs w:val="22"/>
        </w:rPr>
        <w:t>show responsibility when providing care (CQC, 2022). Adherence to these frameworks guarantees safe and effective care.</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Coordinating services, managing incidents, and scheduling care visits are additional administrative duties. In Mr. Ahmed's case, the missed visit suggests a breakdown in these procedures. To monitor visits, guarantee employee accountability, and stop similar occurrences, strong systems must be put in place. To look into the problem, find the underlying causes, and put corrective measures in place, incident reporting procedures should be followed (NHS England, 2021).</w:t>
      </w:r>
    </w:p>
    <w:p w14:paraId="04CA17EB" w14:textId="77777777" w:rsidR="00274AEF" w:rsidRPr="00732A99" w:rsidRDefault="00274AEF"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0628F653" w14:textId="3F80547F"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Effective administration also facilitates professional communication, guaranteeing that all team members are aware of any modifications to Mr. Ahmed's condition or care plan. This encourages continuity of care and lowers the possibility of mistakes.</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In conclusion, safe and efficient care delivery is supported by strong administrative abilities. In the end, they improve Mr. Ahmed's results by guaranteeing correct documentation, safeguarding patient privacy, and assisting with adherence to legal and regulatory requirements.</w:t>
      </w:r>
    </w:p>
    <w:p w14:paraId="6C7E751D" w14:textId="77777777" w:rsidR="00274AEF" w:rsidRDefault="00274AEF"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4034591B" w14:textId="77777777" w:rsidR="00052355" w:rsidRDefault="00052355"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67F62566" w14:textId="77777777" w:rsidR="00052355" w:rsidRPr="00732A99" w:rsidRDefault="00052355" w:rsidP="00732A99">
      <w:pPr>
        <w:pStyle w:val="yiv7448423334p2"/>
        <w:shd w:val="clear" w:color="auto" w:fill="FFFFFF"/>
        <w:spacing w:before="0" w:beforeAutospacing="0" w:after="0" w:afterAutospacing="0" w:line="360" w:lineRule="auto"/>
        <w:jc w:val="both"/>
        <w:rPr>
          <w:rFonts w:ascii="Arial" w:hAnsi="Arial" w:cs="Arial"/>
          <w:color w:val="000000"/>
          <w:sz w:val="22"/>
          <w:szCs w:val="22"/>
        </w:rPr>
      </w:pPr>
    </w:p>
    <w:p w14:paraId="4A5FC4C2" w14:textId="341B3A94"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2"/>
          <w:rFonts w:ascii="Arial" w:hAnsi="Arial" w:cs="Arial"/>
          <w:b/>
          <w:bCs/>
          <w:color w:val="000000"/>
          <w:sz w:val="22"/>
          <w:szCs w:val="22"/>
        </w:rPr>
        <w:t xml:space="preserve">3. Importance of Collaborative </w:t>
      </w:r>
      <w:r w:rsidRPr="00732A99">
        <w:rPr>
          <w:rStyle w:val="yiv7448423334s2"/>
          <w:rFonts w:ascii="Arial" w:hAnsi="Arial" w:cs="Arial"/>
          <w:b/>
          <w:bCs/>
          <w:color w:val="000000"/>
          <w:sz w:val="22"/>
          <w:szCs w:val="22"/>
        </w:rPr>
        <w:t>Working:</w:t>
      </w:r>
    </w:p>
    <w:p w14:paraId="06D919C2" w14:textId="77777777"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For people with complex needs like Mr. Ahmed, providing comprehensive and coordinated care requires teamwork. The general practitioner, district nurse, speech and language therapist, and domiciliary care workers are among the many professionals who provide specialized knowledge and skills to his care.</w:t>
      </w:r>
    </w:p>
    <w:p w14:paraId="0A8AA59B" w14:textId="7E3CC4A0" w:rsidR="00274AEF" w:rsidRPr="00732A99" w:rsidRDefault="00274AEF" w:rsidP="00732A99">
      <w:pPr>
        <w:pStyle w:val="yiv7448423334p1"/>
        <w:shd w:val="clear" w:color="auto" w:fill="FFFFFF"/>
        <w:spacing w:before="0" w:beforeAutospacing="0" w:after="0" w:afterAutospacing="0" w:line="360" w:lineRule="auto"/>
        <w:jc w:val="both"/>
        <w:rPr>
          <w:rFonts w:ascii="Arial" w:hAnsi="Arial" w:cs="Arial"/>
          <w:color w:val="000000"/>
          <w:sz w:val="22"/>
          <w:szCs w:val="22"/>
        </w:rPr>
      </w:pPr>
      <w:r w:rsidRPr="00732A99">
        <w:rPr>
          <w:rStyle w:val="yiv7448423334s1"/>
          <w:rFonts w:ascii="Arial" w:hAnsi="Arial" w:cs="Arial"/>
          <w:color w:val="000000"/>
          <w:sz w:val="22"/>
          <w:szCs w:val="22"/>
        </w:rPr>
        <w:t>Clear communication, shared care plans, and well-defined roles and responsibilities are essential for successful collaboration (Reeves et al., 2017). All professionals will be informed about Mr. Ahmed's current condition and care requirements if information is shared on a regular basis. For instance, to guarantee uniformity in practice, the district nurse should inform the domiciliary care staff of any updates regarding wound care.</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A key component of teamwork is person-</w:t>
      </w:r>
      <w:r w:rsidRPr="00732A99">
        <w:rPr>
          <w:rStyle w:val="yiv7448423334s1"/>
          <w:rFonts w:ascii="Arial" w:hAnsi="Arial" w:cs="Arial"/>
          <w:color w:val="000000"/>
          <w:sz w:val="22"/>
          <w:szCs w:val="22"/>
        </w:rPr>
        <w:t>centred</w:t>
      </w:r>
      <w:r w:rsidRPr="00732A99">
        <w:rPr>
          <w:rStyle w:val="yiv7448423334s1"/>
          <w:rFonts w:ascii="Arial" w:hAnsi="Arial" w:cs="Arial"/>
          <w:color w:val="000000"/>
          <w:sz w:val="22"/>
          <w:szCs w:val="22"/>
        </w:rPr>
        <w:t xml:space="preserve"> care planning. Including Mr. Ahmed and his spouse in the decision-making process guarantees that the care is customized to his unique preferences, cultural background, and communication requirements (NICE, 2023). Coordination can be further </w:t>
      </w:r>
      <w:r w:rsidRPr="00732A99">
        <w:rPr>
          <w:rStyle w:val="yiv7448423334s1"/>
          <w:rFonts w:ascii="Arial" w:hAnsi="Arial" w:cs="Arial"/>
          <w:color w:val="000000"/>
          <w:sz w:val="22"/>
          <w:szCs w:val="22"/>
        </w:rPr>
        <w:lastRenderedPageBreak/>
        <w:t>improved, and care fragmentation can be decreased with integrated care systems and shared electronic records.</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However, organizational differences, role ambiguity, and communication breakdowns are obstacles to multi-agency collaboration. Inadequate coordination or poor communication between services could be the cause of the missed domiciliary visit.</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Regular multidisciplinary team meetings, open lines of communication, and the use of structured tools like SBAR to increase clarity are some strategies to deal with these issues (NHS England, 2021). Accountability and continuity of care can also be improved by designating a care coordinator.</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Furthermore, it is essential to foster respect and understanding among professionals. According to Reeves et al. (2017), interprofessional training can boost collaborative practice, lessen conflict, and improve teamwork.</w:t>
      </w:r>
      <w:r w:rsidRPr="00732A99">
        <w:rPr>
          <w:rFonts w:ascii="Arial" w:hAnsi="Arial" w:cs="Arial"/>
          <w:color w:val="000000"/>
          <w:sz w:val="22"/>
          <w:szCs w:val="22"/>
        </w:rPr>
        <w:t xml:space="preserve"> </w:t>
      </w:r>
      <w:r w:rsidRPr="00732A99">
        <w:rPr>
          <w:rStyle w:val="yiv7448423334s1"/>
          <w:rFonts w:ascii="Arial" w:hAnsi="Arial" w:cs="Arial"/>
          <w:color w:val="000000"/>
          <w:sz w:val="22"/>
          <w:szCs w:val="22"/>
        </w:rPr>
        <w:t>In general, good teamwork increases patient safety, raises the standard of care, and guarantees that Mr. Ahmed gets consistent, well-coordinated support from all services.</w:t>
      </w:r>
    </w:p>
    <w:p w14:paraId="6812580D" w14:textId="47452A39" w:rsidR="0090040D" w:rsidRPr="00732A99" w:rsidRDefault="0090040D" w:rsidP="00732A99">
      <w:pPr>
        <w:tabs>
          <w:tab w:val="left" w:pos="6540"/>
        </w:tabs>
        <w:spacing w:line="360" w:lineRule="auto"/>
        <w:jc w:val="both"/>
        <w:rPr>
          <w:rFonts w:ascii="Arial" w:hAnsi="Arial" w:cs="Arial"/>
          <w:sz w:val="22"/>
        </w:rPr>
      </w:pPr>
    </w:p>
    <w:p w14:paraId="444BAD02" w14:textId="77777777" w:rsidR="00814A9E" w:rsidRPr="00732A99" w:rsidRDefault="00814A9E" w:rsidP="00732A99">
      <w:pPr>
        <w:tabs>
          <w:tab w:val="left" w:pos="6540"/>
        </w:tabs>
        <w:spacing w:line="360" w:lineRule="auto"/>
        <w:jc w:val="both"/>
        <w:rPr>
          <w:rFonts w:ascii="Arial" w:hAnsi="Arial" w:cs="Arial"/>
          <w:sz w:val="22"/>
        </w:rPr>
      </w:pPr>
    </w:p>
    <w:p w14:paraId="71022E41" w14:textId="5E74850F" w:rsidR="00814A9E" w:rsidRPr="00732A99" w:rsidRDefault="00732A99" w:rsidP="00732A99">
      <w:pPr>
        <w:tabs>
          <w:tab w:val="left" w:pos="6540"/>
        </w:tabs>
        <w:spacing w:line="360" w:lineRule="auto"/>
        <w:jc w:val="both"/>
        <w:rPr>
          <w:rFonts w:ascii="Arial" w:hAnsi="Arial" w:cs="Arial"/>
          <w:color w:val="000000"/>
          <w:sz w:val="22"/>
          <w:shd w:val="clear" w:color="auto" w:fill="FFFFFF"/>
        </w:rPr>
      </w:pPr>
      <w:r w:rsidRPr="00732A99">
        <w:rPr>
          <w:rFonts w:ascii="Arial" w:hAnsi="Arial" w:cs="Arial"/>
          <w:color w:val="000000"/>
          <w:sz w:val="22"/>
          <w:shd w:val="clear" w:color="auto" w:fill="FFFFFF"/>
        </w:rPr>
        <w:t>In summary, Mr. Ahmed's case emphasizes how crucial good communication, sound administrative procedures, and teamwork are to providing safe, person-</w:t>
      </w:r>
      <w:r w:rsidRPr="00732A99">
        <w:rPr>
          <w:rFonts w:ascii="Arial" w:hAnsi="Arial" w:cs="Arial"/>
          <w:color w:val="000000"/>
          <w:sz w:val="22"/>
          <w:shd w:val="clear" w:color="auto" w:fill="FFFFFF"/>
        </w:rPr>
        <w:t>centred</w:t>
      </w:r>
      <w:r w:rsidRPr="00732A99">
        <w:rPr>
          <w:rFonts w:ascii="Arial" w:hAnsi="Arial" w:cs="Arial"/>
          <w:color w:val="000000"/>
          <w:sz w:val="22"/>
          <w:shd w:val="clear" w:color="auto" w:fill="FFFFFF"/>
        </w:rPr>
        <w:t xml:space="preserve"> care. In order to ensure compliance with the Equality Act of 2010 and promote inclusive care, communication must be modified to address language barriers and post-stroke impairments. Maintaining confidentiality, accountability, and continuity of care requires administrative competence, especially in accurate record-keeping and compliance with the Data Protection Act of 2018. Additionally, a comprehensive strategy that tackles Mr. Ahmed's complex needs while lowering the risks connected with fragmented care is ensured by cooperative working among multidisciplinary professionals. Failures in these areas can have a detrimental effect on patient outcomes, as the missed domiciliary visit illustrates. In order to improve care quality and guarantee safe, coordinated, and equitable service delivery, it is crucial to strengthen communication strategies, enhance administrative systems, and promote effective teamwork.</w:t>
      </w:r>
    </w:p>
    <w:p w14:paraId="3A5AA249" w14:textId="77777777" w:rsidR="00732A99" w:rsidRPr="00732A99" w:rsidRDefault="00732A99" w:rsidP="00732A99">
      <w:pPr>
        <w:tabs>
          <w:tab w:val="left" w:pos="6540"/>
        </w:tabs>
        <w:spacing w:line="360" w:lineRule="auto"/>
        <w:jc w:val="both"/>
        <w:rPr>
          <w:rFonts w:ascii="Arial" w:hAnsi="Arial" w:cs="Arial"/>
          <w:color w:val="000000"/>
          <w:sz w:val="22"/>
          <w:shd w:val="clear" w:color="auto" w:fill="FFFFFF"/>
        </w:rPr>
      </w:pPr>
    </w:p>
    <w:p w14:paraId="117E861E" w14:textId="77777777" w:rsidR="00732A99" w:rsidRPr="00732A99" w:rsidRDefault="00732A99" w:rsidP="00732A99">
      <w:pPr>
        <w:tabs>
          <w:tab w:val="left" w:pos="6540"/>
        </w:tabs>
        <w:spacing w:line="360" w:lineRule="auto"/>
        <w:jc w:val="both"/>
        <w:rPr>
          <w:rFonts w:ascii="Arial" w:hAnsi="Arial" w:cs="Arial"/>
          <w:color w:val="000000"/>
          <w:sz w:val="22"/>
          <w:shd w:val="clear" w:color="auto" w:fill="FFFFFF"/>
        </w:rPr>
      </w:pPr>
    </w:p>
    <w:p w14:paraId="1DAC8D4F" w14:textId="77777777" w:rsidR="00732A99" w:rsidRDefault="00732A99" w:rsidP="00732A99">
      <w:pPr>
        <w:tabs>
          <w:tab w:val="left" w:pos="6540"/>
        </w:tabs>
        <w:spacing w:line="360" w:lineRule="auto"/>
        <w:jc w:val="both"/>
        <w:rPr>
          <w:rFonts w:ascii="Arial" w:hAnsi="Arial" w:cs="Arial"/>
          <w:color w:val="000000"/>
          <w:sz w:val="22"/>
          <w:shd w:val="clear" w:color="auto" w:fill="FFFFFF"/>
        </w:rPr>
      </w:pPr>
    </w:p>
    <w:p w14:paraId="17019E9D" w14:textId="77777777" w:rsidR="00052355" w:rsidRDefault="00052355" w:rsidP="00732A99">
      <w:pPr>
        <w:tabs>
          <w:tab w:val="left" w:pos="6540"/>
        </w:tabs>
        <w:spacing w:line="360" w:lineRule="auto"/>
        <w:jc w:val="both"/>
        <w:rPr>
          <w:rFonts w:ascii="Arial" w:hAnsi="Arial" w:cs="Arial"/>
          <w:color w:val="000000"/>
          <w:sz w:val="22"/>
          <w:shd w:val="clear" w:color="auto" w:fill="FFFFFF"/>
        </w:rPr>
      </w:pPr>
    </w:p>
    <w:p w14:paraId="7F8248B6" w14:textId="77777777" w:rsidR="00052355" w:rsidRDefault="00052355" w:rsidP="00732A99">
      <w:pPr>
        <w:tabs>
          <w:tab w:val="left" w:pos="6540"/>
        </w:tabs>
        <w:spacing w:line="360" w:lineRule="auto"/>
        <w:jc w:val="both"/>
        <w:rPr>
          <w:rFonts w:ascii="Arial" w:hAnsi="Arial" w:cs="Arial"/>
          <w:color w:val="000000"/>
          <w:sz w:val="22"/>
          <w:shd w:val="clear" w:color="auto" w:fill="FFFFFF"/>
        </w:rPr>
      </w:pPr>
    </w:p>
    <w:p w14:paraId="7588C904" w14:textId="77777777" w:rsidR="00052355" w:rsidRDefault="00052355" w:rsidP="00732A99">
      <w:pPr>
        <w:tabs>
          <w:tab w:val="left" w:pos="6540"/>
        </w:tabs>
        <w:spacing w:line="360" w:lineRule="auto"/>
        <w:jc w:val="both"/>
        <w:rPr>
          <w:rFonts w:ascii="Arial" w:hAnsi="Arial" w:cs="Arial"/>
          <w:color w:val="000000"/>
          <w:sz w:val="22"/>
          <w:shd w:val="clear" w:color="auto" w:fill="FFFFFF"/>
        </w:rPr>
      </w:pPr>
    </w:p>
    <w:p w14:paraId="2E69926F" w14:textId="77777777" w:rsidR="00052355" w:rsidRPr="00732A99" w:rsidRDefault="00052355" w:rsidP="00732A99">
      <w:pPr>
        <w:tabs>
          <w:tab w:val="left" w:pos="6540"/>
        </w:tabs>
        <w:spacing w:line="360" w:lineRule="auto"/>
        <w:jc w:val="both"/>
        <w:rPr>
          <w:rFonts w:ascii="Arial" w:hAnsi="Arial" w:cs="Arial"/>
          <w:color w:val="000000"/>
          <w:sz w:val="22"/>
          <w:shd w:val="clear" w:color="auto" w:fill="FFFFFF"/>
        </w:rPr>
      </w:pPr>
    </w:p>
    <w:p w14:paraId="7AE528D4" w14:textId="74C18A66" w:rsidR="00732A99" w:rsidRPr="00052355" w:rsidRDefault="00732A99" w:rsidP="00732A99">
      <w:pPr>
        <w:tabs>
          <w:tab w:val="left" w:pos="6540"/>
        </w:tabs>
        <w:spacing w:line="360" w:lineRule="auto"/>
        <w:jc w:val="both"/>
        <w:rPr>
          <w:rFonts w:ascii="Arial" w:hAnsi="Arial" w:cs="Arial"/>
          <w:b/>
          <w:bCs/>
          <w:color w:val="000000"/>
          <w:sz w:val="22"/>
          <w:shd w:val="clear" w:color="auto" w:fill="FFFFFF"/>
        </w:rPr>
      </w:pPr>
      <w:r w:rsidRPr="00052355">
        <w:rPr>
          <w:rFonts w:ascii="Arial" w:hAnsi="Arial" w:cs="Arial"/>
          <w:b/>
          <w:bCs/>
          <w:color w:val="000000"/>
          <w:sz w:val="22"/>
          <w:shd w:val="clear" w:color="auto" w:fill="FFFFFF"/>
        </w:rPr>
        <w:lastRenderedPageBreak/>
        <w:t>References:</w:t>
      </w:r>
    </w:p>
    <w:p w14:paraId="26BB3E79"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Arnold, E. and Boggs, K. (2020) </w:t>
      </w:r>
      <w:r w:rsidRPr="00732A99">
        <w:rPr>
          <w:rFonts w:ascii="Arial" w:hAnsi="Arial" w:cs="Arial"/>
          <w:i/>
          <w:iCs/>
          <w:color w:val="1D1D1D"/>
          <w:sz w:val="22"/>
          <w:szCs w:val="22"/>
        </w:rPr>
        <w:t>Interpersonal relationships: Professional communication skills for nurses</w:t>
      </w:r>
      <w:r w:rsidRPr="00732A99">
        <w:rPr>
          <w:rFonts w:ascii="Arial" w:hAnsi="Arial" w:cs="Arial"/>
          <w:color w:val="1D1D1D"/>
          <w:sz w:val="22"/>
          <w:szCs w:val="22"/>
        </w:rPr>
        <w:t xml:space="preserve">. 8th </w:t>
      </w:r>
      <w:proofErr w:type="spellStart"/>
      <w:r w:rsidRPr="00732A99">
        <w:rPr>
          <w:rFonts w:ascii="Arial" w:hAnsi="Arial" w:cs="Arial"/>
          <w:color w:val="1D1D1D"/>
          <w:sz w:val="22"/>
          <w:szCs w:val="22"/>
        </w:rPr>
        <w:t>edn</w:t>
      </w:r>
      <w:proofErr w:type="spellEnd"/>
      <w:r w:rsidRPr="00732A99">
        <w:rPr>
          <w:rFonts w:ascii="Arial" w:hAnsi="Arial" w:cs="Arial"/>
          <w:color w:val="1D1D1D"/>
          <w:sz w:val="22"/>
          <w:szCs w:val="22"/>
        </w:rPr>
        <w:t>. St. Louis: Elsevier.</w:t>
      </w:r>
    </w:p>
    <w:p w14:paraId="73730391"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proofErr w:type="spellStart"/>
      <w:r w:rsidRPr="00732A99">
        <w:rPr>
          <w:rFonts w:ascii="Arial" w:hAnsi="Arial" w:cs="Arial"/>
          <w:color w:val="1D1D1D"/>
          <w:sz w:val="22"/>
          <w:szCs w:val="22"/>
        </w:rPr>
        <w:t>Barnlund</w:t>
      </w:r>
      <w:proofErr w:type="spellEnd"/>
      <w:r w:rsidRPr="00732A99">
        <w:rPr>
          <w:rFonts w:ascii="Arial" w:hAnsi="Arial" w:cs="Arial"/>
          <w:color w:val="1D1D1D"/>
          <w:sz w:val="22"/>
          <w:szCs w:val="22"/>
        </w:rPr>
        <w:t>, D.C. (2008) ‘A transactional model of communication’, in Mortensen, C.D. (ed.) </w:t>
      </w:r>
      <w:r w:rsidRPr="00732A99">
        <w:rPr>
          <w:rFonts w:ascii="Arial" w:hAnsi="Arial" w:cs="Arial"/>
          <w:i/>
          <w:iCs/>
          <w:color w:val="1D1D1D"/>
          <w:sz w:val="22"/>
          <w:szCs w:val="22"/>
        </w:rPr>
        <w:t>Communication theory</w:t>
      </w:r>
      <w:r w:rsidRPr="00732A99">
        <w:rPr>
          <w:rFonts w:ascii="Arial" w:hAnsi="Arial" w:cs="Arial"/>
          <w:color w:val="1D1D1D"/>
          <w:sz w:val="22"/>
          <w:szCs w:val="22"/>
        </w:rPr>
        <w:t xml:space="preserve">. 2nd </w:t>
      </w:r>
      <w:proofErr w:type="spellStart"/>
      <w:r w:rsidRPr="00732A99">
        <w:rPr>
          <w:rFonts w:ascii="Arial" w:hAnsi="Arial" w:cs="Arial"/>
          <w:color w:val="1D1D1D"/>
          <w:sz w:val="22"/>
          <w:szCs w:val="22"/>
        </w:rPr>
        <w:t>edn</w:t>
      </w:r>
      <w:proofErr w:type="spellEnd"/>
      <w:r w:rsidRPr="00732A99">
        <w:rPr>
          <w:rFonts w:ascii="Arial" w:hAnsi="Arial" w:cs="Arial"/>
          <w:color w:val="1D1D1D"/>
          <w:sz w:val="22"/>
          <w:szCs w:val="22"/>
        </w:rPr>
        <w:t>. New Brunswick: Transaction Publishers, pp. 47–57.</w:t>
      </w:r>
    </w:p>
    <w:p w14:paraId="6945BDFC"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Beauchamp, T.L. and Childress, J.F. (2019) </w:t>
      </w:r>
      <w:r w:rsidRPr="00732A99">
        <w:rPr>
          <w:rFonts w:ascii="Arial" w:hAnsi="Arial" w:cs="Arial"/>
          <w:i/>
          <w:iCs/>
          <w:color w:val="1D1D1D"/>
          <w:sz w:val="22"/>
          <w:szCs w:val="22"/>
        </w:rPr>
        <w:t>Principles of biomedical ethics</w:t>
      </w:r>
      <w:r w:rsidRPr="00732A99">
        <w:rPr>
          <w:rFonts w:ascii="Arial" w:hAnsi="Arial" w:cs="Arial"/>
          <w:color w:val="1D1D1D"/>
          <w:sz w:val="22"/>
          <w:szCs w:val="22"/>
        </w:rPr>
        <w:t xml:space="preserve">. 8th </w:t>
      </w:r>
      <w:proofErr w:type="spellStart"/>
      <w:r w:rsidRPr="00732A99">
        <w:rPr>
          <w:rFonts w:ascii="Arial" w:hAnsi="Arial" w:cs="Arial"/>
          <w:color w:val="1D1D1D"/>
          <w:sz w:val="22"/>
          <w:szCs w:val="22"/>
        </w:rPr>
        <w:t>edn</w:t>
      </w:r>
      <w:proofErr w:type="spellEnd"/>
      <w:r w:rsidRPr="00732A99">
        <w:rPr>
          <w:rFonts w:ascii="Arial" w:hAnsi="Arial" w:cs="Arial"/>
          <w:color w:val="1D1D1D"/>
          <w:sz w:val="22"/>
          <w:szCs w:val="22"/>
        </w:rPr>
        <w:t>. Oxford: Oxford University Press.</w:t>
      </w:r>
    </w:p>
    <w:p w14:paraId="29645B20"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Care Quality Commission (2022) </w:t>
      </w:r>
      <w:r w:rsidRPr="00732A99">
        <w:rPr>
          <w:rFonts w:ascii="Arial" w:hAnsi="Arial" w:cs="Arial"/>
          <w:i/>
          <w:iCs/>
          <w:color w:val="1D1D1D"/>
          <w:sz w:val="22"/>
          <w:szCs w:val="22"/>
        </w:rPr>
        <w:t>Fundamental standards</w:t>
      </w:r>
      <w:r w:rsidRPr="00732A99">
        <w:rPr>
          <w:rFonts w:ascii="Arial" w:hAnsi="Arial" w:cs="Arial"/>
          <w:color w:val="1D1D1D"/>
          <w:sz w:val="22"/>
          <w:szCs w:val="22"/>
        </w:rPr>
        <w:t>. Available at: https://www.cqc.org.uk (Accessed: 22 April 2026).</w:t>
      </w:r>
    </w:p>
    <w:p w14:paraId="0ACF2D1B"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Data Protection Act 2018. London: The Stationery Office.</w:t>
      </w:r>
    </w:p>
    <w:p w14:paraId="6F59667A"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Doyle, C., Lennox, L. and Bell, D. (2013) ‘A systematic review of evidence on the links between patient experience and clinical safety and effectiveness’, </w:t>
      </w:r>
      <w:r w:rsidRPr="00732A99">
        <w:rPr>
          <w:rFonts w:ascii="Arial" w:hAnsi="Arial" w:cs="Arial"/>
          <w:i/>
          <w:iCs/>
          <w:color w:val="1D1D1D"/>
          <w:sz w:val="22"/>
          <w:szCs w:val="22"/>
        </w:rPr>
        <w:t>BMJ Open</w:t>
      </w:r>
      <w:r w:rsidRPr="00732A99">
        <w:rPr>
          <w:rFonts w:ascii="Arial" w:hAnsi="Arial" w:cs="Arial"/>
          <w:color w:val="1D1D1D"/>
          <w:sz w:val="22"/>
          <w:szCs w:val="22"/>
        </w:rPr>
        <w:t>, 3(1), pp. 1–18.</w:t>
      </w:r>
    </w:p>
    <w:p w14:paraId="1D09F9EA"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Equality Act 2010. London: The Stationery Office.</w:t>
      </w:r>
    </w:p>
    <w:p w14:paraId="075A0C43"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Hargie, O. (2011) </w:t>
      </w:r>
      <w:r w:rsidRPr="00732A99">
        <w:rPr>
          <w:rFonts w:ascii="Arial" w:hAnsi="Arial" w:cs="Arial"/>
          <w:i/>
          <w:iCs/>
          <w:color w:val="1D1D1D"/>
          <w:sz w:val="22"/>
          <w:szCs w:val="22"/>
        </w:rPr>
        <w:t>Skilled interpersonal communication: Research, theory and practice</w:t>
      </w:r>
      <w:r w:rsidRPr="00732A99">
        <w:rPr>
          <w:rFonts w:ascii="Arial" w:hAnsi="Arial" w:cs="Arial"/>
          <w:color w:val="1D1D1D"/>
          <w:sz w:val="22"/>
          <w:szCs w:val="22"/>
        </w:rPr>
        <w:t xml:space="preserve">. 5th </w:t>
      </w:r>
      <w:proofErr w:type="spellStart"/>
      <w:r w:rsidRPr="00732A99">
        <w:rPr>
          <w:rFonts w:ascii="Arial" w:hAnsi="Arial" w:cs="Arial"/>
          <w:color w:val="1D1D1D"/>
          <w:sz w:val="22"/>
          <w:szCs w:val="22"/>
        </w:rPr>
        <w:t>edn</w:t>
      </w:r>
      <w:proofErr w:type="spellEnd"/>
      <w:r w:rsidRPr="00732A99">
        <w:rPr>
          <w:rFonts w:ascii="Arial" w:hAnsi="Arial" w:cs="Arial"/>
          <w:color w:val="1D1D1D"/>
          <w:sz w:val="22"/>
          <w:szCs w:val="22"/>
        </w:rPr>
        <w:t>. London: Routledge.</w:t>
      </w:r>
    </w:p>
    <w:p w14:paraId="048B3571"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Information Commissioner’s Office (2023) </w:t>
      </w:r>
      <w:r w:rsidRPr="00732A99">
        <w:rPr>
          <w:rFonts w:ascii="Arial" w:hAnsi="Arial" w:cs="Arial"/>
          <w:i/>
          <w:iCs/>
          <w:color w:val="1D1D1D"/>
          <w:sz w:val="22"/>
          <w:szCs w:val="22"/>
        </w:rPr>
        <w:t>Guide to the UK General Data Protection Regulation (UK GDPR)</w:t>
      </w:r>
      <w:r w:rsidRPr="00732A99">
        <w:rPr>
          <w:rFonts w:ascii="Arial" w:hAnsi="Arial" w:cs="Arial"/>
          <w:color w:val="1D1D1D"/>
          <w:sz w:val="22"/>
          <w:szCs w:val="22"/>
        </w:rPr>
        <w:t>. Available at: https://ico.org.uk (Accessed: 22 April 2026).</w:t>
      </w:r>
    </w:p>
    <w:p w14:paraId="3D0B2777"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NHS England (2021) </w:t>
      </w:r>
      <w:r w:rsidRPr="00732A99">
        <w:rPr>
          <w:rFonts w:ascii="Arial" w:hAnsi="Arial" w:cs="Arial"/>
          <w:i/>
          <w:iCs/>
          <w:color w:val="1D1D1D"/>
          <w:sz w:val="22"/>
          <w:szCs w:val="22"/>
        </w:rPr>
        <w:t>Working in multidisciplinary teams</w:t>
      </w:r>
      <w:r w:rsidRPr="00732A99">
        <w:rPr>
          <w:rFonts w:ascii="Arial" w:hAnsi="Arial" w:cs="Arial"/>
          <w:color w:val="1D1D1D"/>
          <w:sz w:val="22"/>
          <w:szCs w:val="22"/>
        </w:rPr>
        <w:t>. Available at: https://www.england.nhs.uk (Accessed: 22 April 2026).</w:t>
      </w:r>
    </w:p>
    <w:p w14:paraId="4656EF3A"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National Institute for Health and Care Excellence (2023) </w:t>
      </w:r>
      <w:r w:rsidRPr="00732A99">
        <w:rPr>
          <w:rFonts w:ascii="Arial" w:hAnsi="Arial" w:cs="Arial"/>
          <w:i/>
          <w:iCs/>
          <w:color w:val="1D1D1D"/>
          <w:sz w:val="22"/>
          <w:szCs w:val="22"/>
        </w:rPr>
        <w:t>Patient experience in adult NHS services</w:t>
      </w:r>
      <w:r w:rsidRPr="00732A99">
        <w:rPr>
          <w:rFonts w:ascii="Arial" w:hAnsi="Arial" w:cs="Arial"/>
          <w:color w:val="1D1D1D"/>
          <w:sz w:val="22"/>
          <w:szCs w:val="22"/>
        </w:rPr>
        <w:t>. Available at: https://www.nice.org.uk (Accessed: 22 April 2026).</w:t>
      </w:r>
    </w:p>
    <w:p w14:paraId="5F4778E6"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Nursing and Midwifery Council (2018) </w:t>
      </w:r>
      <w:r w:rsidRPr="00732A99">
        <w:rPr>
          <w:rFonts w:ascii="Arial" w:hAnsi="Arial" w:cs="Arial"/>
          <w:i/>
          <w:iCs/>
          <w:color w:val="1D1D1D"/>
          <w:sz w:val="22"/>
          <w:szCs w:val="22"/>
        </w:rPr>
        <w:t>The code: Professional standards of practice and behaviour for nurses, midwives and nursing associates</w:t>
      </w:r>
      <w:r w:rsidRPr="00732A99">
        <w:rPr>
          <w:rFonts w:ascii="Arial" w:hAnsi="Arial" w:cs="Arial"/>
          <w:color w:val="1D1D1D"/>
          <w:sz w:val="22"/>
          <w:szCs w:val="22"/>
        </w:rPr>
        <w:t>. London: NMC.</w:t>
      </w:r>
    </w:p>
    <w:p w14:paraId="1FEA2C9E" w14:textId="77777777" w:rsidR="00732A99" w:rsidRPr="00732A99" w:rsidRDefault="00732A99" w:rsidP="00732A99">
      <w:pPr>
        <w:pStyle w:val="NormalWeb"/>
        <w:shd w:val="clear" w:color="auto" w:fill="FFFFFF"/>
        <w:spacing w:before="0" w:beforeAutospacing="0" w:after="180" w:afterAutospacing="0" w:line="360" w:lineRule="auto"/>
        <w:jc w:val="both"/>
        <w:rPr>
          <w:rFonts w:ascii="Arial" w:hAnsi="Arial" w:cs="Arial"/>
          <w:color w:val="1D1D1D"/>
          <w:sz w:val="22"/>
          <w:szCs w:val="22"/>
        </w:rPr>
      </w:pPr>
      <w:r w:rsidRPr="00732A99">
        <w:rPr>
          <w:rFonts w:ascii="Arial" w:hAnsi="Arial" w:cs="Arial"/>
          <w:color w:val="1D1D1D"/>
          <w:sz w:val="22"/>
          <w:szCs w:val="22"/>
        </w:rPr>
        <w:t xml:space="preserve">Reeves, S., </w:t>
      </w:r>
      <w:proofErr w:type="spellStart"/>
      <w:r w:rsidRPr="00732A99">
        <w:rPr>
          <w:rFonts w:ascii="Arial" w:hAnsi="Arial" w:cs="Arial"/>
          <w:color w:val="1D1D1D"/>
          <w:sz w:val="22"/>
          <w:szCs w:val="22"/>
        </w:rPr>
        <w:t>Pelone</w:t>
      </w:r>
      <w:proofErr w:type="spellEnd"/>
      <w:r w:rsidRPr="00732A99">
        <w:rPr>
          <w:rFonts w:ascii="Arial" w:hAnsi="Arial" w:cs="Arial"/>
          <w:color w:val="1D1D1D"/>
          <w:sz w:val="22"/>
          <w:szCs w:val="22"/>
        </w:rPr>
        <w:t xml:space="preserve">, F., Harrison, R., Goldman, J. and </w:t>
      </w:r>
      <w:proofErr w:type="spellStart"/>
      <w:r w:rsidRPr="00732A99">
        <w:rPr>
          <w:rFonts w:ascii="Arial" w:hAnsi="Arial" w:cs="Arial"/>
          <w:color w:val="1D1D1D"/>
          <w:sz w:val="22"/>
          <w:szCs w:val="22"/>
        </w:rPr>
        <w:t>Zwarenstein</w:t>
      </w:r>
      <w:proofErr w:type="spellEnd"/>
      <w:r w:rsidRPr="00732A99">
        <w:rPr>
          <w:rFonts w:ascii="Arial" w:hAnsi="Arial" w:cs="Arial"/>
          <w:color w:val="1D1D1D"/>
          <w:sz w:val="22"/>
          <w:szCs w:val="22"/>
        </w:rPr>
        <w:t>, M. (2017) ‘Interprofessional collaboration to improve professional practice and healthcare outcomes’, </w:t>
      </w:r>
      <w:r w:rsidRPr="00732A99">
        <w:rPr>
          <w:rFonts w:ascii="Arial" w:hAnsi="Arial" w:cs="Arial"/>
          <w:i/>
          <w:iCs/>
          <w:color w:val="1D1D1D"/>
          <w:sz w:val="22"/>
          <w:szCs w:val="22"/>
        </w:rPr>
        <w:t>Cochrane Database of Systematic Reviews</w:t>
      </w:r>
      <w:r w:rsidRPr="00732A99">
        <w:rPr>
          <w:rFonts w:ascii="Arial" w:hAnsi="Arial" w:cs="Arial"/>
          <w:color w:val="1D1D1D"/>
          <w:sz w:val="22"/>
          <w:szCs w:val="22"/>
        </w:rPr>
        <w:t>, Issue 6.</w:t>
      </w:r>
    </w:p>
    <w:p w14:paraId="211FD0B8" w14:textId="77777777" w:rsidR="00732A99" w:rsidRPr="00CD33A8" w:rsidRDefault="00732A99"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33F8F0BD" w14:textId="6CE184E7" w:rsidR="00B87E75" w:rsidRPr="00052355" w:rsidRDefault="00B87E75" w:rsidP="00052355">
      <w:pPr>
        <w:rPr>
          <w:rFonts w:asciiTheme="minorBidi" w:eastAsiaTheme="majorEastAsia" w:hAnsiTheme="minorBidi"/>
          <w:b/>
          <w:sz w:val="28"/>
        </w:rPr>
      </w:pPr>
    </w:p>
    <w:p w14:paraId="1425F4AC" w14:textId="6695D929" w:rsidR="001D7C03" w:rsidRPr="00CD33A8" w:rsidRDefault="001D7C03" w:rsidP="00CD33A8">
      <w:pPr>
        <w:tabs>
          <w:tab w:val="left" w:pos="6540"/>
        </w:tabs>
        <w:spacing w:line="360" w:lineRule="auto"/>
        <w:rPr>
          <w:rFonts w:asciiTheme="minorBidi" w:hAnsiTheme="minorBidi"/>
          <w:sz w:val="22"/>
        </w:rPr>
      </w:pPr>
    </w:p>
    <w:sectPr w:rsidR="001D7C03" w:rsidRPr="00CD33A8" w:rsidSect="00E620E7">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785FC" w14:textId="77777777" w:rsidR="00693B7B" w:rsidRDefault="00693B7B" w:rsidP="003E4ECF">
      <w:pPr>
        <w:spacing w:after="0" w:line="240" w:lineRule="auto"/>
      </w:pPr>
      <w:r>
        <w:separator/>
      </w:r>
    </w:p>
  </w:endnote>
  <w:endnote w:type="continuationSeparator" w:id="0">
    <w:p w14:paraId="085AC26D" w14:textId="77777777" w:rsidR="00693B7B" w:rsidRDefault="00693B7B"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1A372" w14:textId="77777777" w:rsidR="00693B7B" w:rsidRDefault="00693B7B" w:rsidP="003E4ECF">
      <w:pPr>
        <w:spacing w:after="0" w:line="240" w:lineRule="auto"/>
      </w:pPr>
      <w:r>
        <w:separator/>
      </w:r>
    </w:p>
  </w:footnote>
  <w:footnote w:type="continuationSeparator" w:id="0">
    <w:p w14:paraId="6358C2BB" w14:textId="77777777" w:rsidR="00693B7B" w:rsidRDefault="00693B7B"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2355"/>
    <w:rsid w:val="000572BF"/>
    <w:rsid w:val="00074402"/>
    <w:rsid w:val="001D7C03"/>
    <w:rsid w:val="00216C85"/>
    <w:rsid w:val="0026393A"/>
    <w:rsid w:val="00273EDD"/>
    <w:rsid w:val="00274AEF"/>
    <w:rsid w:val="002C3965"/>
    <w:rsid w:val="00321C4C"/>
    <w:rsid w:val="00392BBC"/>
    <w:rsid w:val="003E4ECF"/>
    <w:rsid w:val="004A736E"/>
    <w:rsid w:val="006925AA"/>
    <w:rsid w:val="00693B7B"/>
    <w:rsid w:val="00725177"/>
    <w:rsid w:val="00732A99"/>
    <w:rsid w:val="007A1B8D"/>
    <w:rsid w:val="00814A9E"/>
    <w:rsid w:val="008E3943"/>
    <w:rsid w:val="0090040D"/>
    <w:rsid w:val="009D052C"/>
    <w:rsid w:val="009D1D1E"/>
    <w:rsid w:val="00A035FD"/>
    <w:rsid w:val="00AD23A0"/>
    <w:rsid w:val="00B87E75"/>
    <w:rsid w:val="00CC6ED4"/>
    <w:rsid w:val="00CD33A8"/>
    <w:rsid w:val="00E569FD"/>
    <w:rsid w:val="00E620E7"/>
    <w:rsid w:val="00F66E1B"/>
    <w:rsid w:val="00FE0B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yiv7448423334p1">
    <w:name w:val="yiv7448423334p1"/>
    <w:basedOn w:val="Normal"/>
    <w:rsid w:val="00274AEF"/>
    <w:pPr>
      <w:spacing w:before="100" w:beforeAutospacing="1" w:after="100" w:afterAutospacing="1" w:line="240" w:lineRule="auto"/>
    </w:pPr>
    <w:rPr>
      <w:rFonts w:eastAsia="Times New Roman" w:cs="Times New Roman"/>
      <w:szCs w:val="24"/>
      <w:lang w:eastAsia="en-GB"/>
    </w:rPr>
  </w:style>
  <w:style w:type="character" w:customStyle="1" w:styleId="yiv7448423334s1">
    <w:name w:val="yiv7448423334s1"/>
    <w:basedOn w:val="DefaultParagraphFont"/>
    <w:rsid w:val="00274AEF"/>
  </w:style>
  <w:style w:type="paragraph" w:customStyle="1" w:styleId="yiv7448423334p2">
    <w:name w:val="yiv7448423334p2"/>
    <w:basedOn w:val="Normal"/>
    <w:rsid w:val="00274AEF"/>
    <w:pPr>
      <w:spacing w:before="100" w:beforeAutospacing="1" w:after="100" w:afterAutospacing="1" w:line="240" w:lineRule="auto"/>
    </w:pPr>
    <w:rPr>
      <w:rFonts w:eastAsia="Times New Roman" w:cs="Times New Roman"/>
      <w:szCs w:val="24"/>
      <w:lang w:eastAsia="en-GB"/>
    </w:rPr>
  </w:style>
  <w:style w:type="character" w:customStyle="1" w:styleId="yiv7448423334s2">
    <w:name w:val="yiv7448423334s2"/>
    <w:basedOn w:val="DefaultParagraphFont"/>
    <w:rsid w:val="00274AEF"/>
  </w:style>
  <w:style w:type="paragraph" w:styleId="NormalWeb">
    <w:name w:val="Normal (Web)"/>
    <w:basedOn w:val="Normal"/>
    <w:uiPriority w:val="99"/>
    <w:semiHidden/>
    <w:unhideWhenUsed/>
    <w:rsid w:val="00732A99"/>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8</Pages>
  <Words>1922</Words>
  <Characters>10961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Golam Mahabub Evan (2514987)</cp:lastModifiedBy>
  <cp:revision>9</cp:revision>
  <dcterms:created xsi:type="dcterms:W3CDTF">2021-10-31T12:16:00Z</dcterms:created>
  <dcterms:modified xsi:type="dcterms:W3CDTF">2026-04-22T20:00:00Z</dcterms:modified>
</cp:coreProperties>
</file>