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071F6" w14:textId="77777777" w:rsidR="00F946E2" w:rsidRDefault="00000000">
      <w:pPr>
        <w:jc w:val="center"/>
      </w:pPr>
      <w:r>
        <w:rPr>
          <w:b/>
          <w:sz w:val="24"/>
        </w:rPr>
        <w:t>Smart Medication Reminder for Elderly People</w:t>
      </w:r>
    </w:p>
    <w:p w14:paraId="1DD0B273" w14:textId="75D52E49" w:rsidR="00F946E2" w:rsidRDefault="00000000">
      <w:pPr>
        <w:jc w:val="center"/>
      </w:pPr>
      <w:r>
        <w:rPr>
          <w:sz w:val="18"/>
        </w:rPr>
        <w:t xml:space="preserve">Nasira </w:t>
      </w:r>
      <w:r w:rsidR="00E96BC1">
        <w:rPr>
          <w:sz w:val="18"/>
        </w:rPr>
        <w:t xml:space="preserve">Perveen </w:t>
      </w:r>
      <w:r w:rsidR="00371636">
        <w:rPr>
          <w:sz w:val="18"/>
        </w:rPr>
        <w:t xml:space="preserve">| 2331267 </w:t>
      </w:r>
      <w:r>
        <w:rPr>
          <w:sz w:val="18"/>
        </w:rPr>
        <w:t xml:space="preserve">| ACCB6019 Emerging Trends </w:t>
      </w:r>
    </w:p>
    <w:p w14:paraId="059C1DD4" w14:textId="77777777" w:rsidR="0001307B" w:rsidRPr="0001307B" w:rsidRDefault="0001307B" w:rsidP="0001307B">
      <w:pPr>
        <w:keepLines/>
        <w:ind w:firstLine="360"/>
        <w:rPr>
          <w:lang w:val="en-GB"/>
        </w:rPr>
      </w:pPr>
      <w:r>
        <w:t>My work on the Smart Medication Reminder for Elderly People began with a broad healthcare technology idea. After our teacher’s feedback, I realised it needed a clearer focus, so we chose to help older adults manage prescribed medication schedules. Research showed me that reminders can support routines, but must meet users’ needs and never replace medical advice [1]. Our anonymous survey explored reminder methods, missed doses and preferred support. Its findings helped us prioritise a daily medication schedule, clear reminders, Taken/Missed tracking and optional caregiver support. I learned to base these choices on research and feedback, not simply on features that seem innovative.</w:t>
      </w:r>
    </w:p>
    <w:p w14:paraId="0C1C1280" w14:textId="77777777" w:rsidR="003F285D" w:rsidRPr="003F285D" w:rsidRDefault="000500CF" w:rsidP="003F285D">
      <w:pPr>
        <w:keepLines/>
        <w:ind w:firstLine="360"/>
        <w:rPr>
          <w:lang w:val="en-GB"/>
        </w:rPr>
      </w:pPr>
      <w:r>
        <w:t>Becoming team leader was a new responsibility for me. Because we had limited time to work together, I learned that assigning tasks alone was not enough. We also needed clear communication and better coordination. If I led a similar project again, I would arrange regular progress checks and agree on shared deadlines earlier.</w:t>
      </w:r>
    </w:p>
    <w:p w14:paraId="55023622" w14:textId="2BFE80E2" w:rsidR="00B04DBA" w:rsidRDefault="000500CF" w:rsidP="00B04DBA">
      <w:pPr>
        <w:keepLines/>
        <w:ind w:firstLine="360"/>
      </w:pPr>
      <w:r w:rsidRPr="000500CF">
        <w:rPr>
          <w:lang w:val="en-GB"/>
        </w:rPr>
        <w:t xml:space="preserve"> </w:t>
      </w:r>
      <w:r w:rsidR="00B04DBA" w:rsidRPr="00B04DBA">
        <w:t xml:space="preserve">I also learned that leadership involves monitoring progress, communicating changes, and ensuring consistency across our research, wireframes, and prototype. Based on my observations of participation and assigned responsibilities, I rated Nasira 4/5, Khadar 3/5, </w:t>
      </w:r>
      <w:proofErr w:type="spellStart"/>
      <w:r w:rsidR="00B04DBA" w:rsidRPr="00B04DBA">
        <w:t>Dharar</w:t>
      </w:r>
      <w:proofErr w:type="spellEnd"/>
      <w:r w:rsidR="00B04DBA" w:rsidRPr="00B04DBA">
        <w:t xml:space="preserve"> 4/5, Radu 4/5, and Micah 4/5. Khadar joined later, leaving less time for collaboration; overall, our limited teamwork time means we all still have skills and collaboration to improve. These are my personal judgements, not formal assessment marks.</w:t>
      </w:r>
    </w:p>
    <w:p w14:paraId="2A933895" w14:textId="20E6E595" w:rsidR="00F946E2" w:rsidRDefault="00000000" w:rsidP="00B04DBA">
      <w:pPr>
        <w:keepLines/>
        <w:ind w:firstLine="360"/>
      </w:pPr>
      <w:r>
        <w:t>Feedback from Teams 2 and 3 gave us another perspective on our prototype. They liked the daily schedule, Taken/Missed tracking, and caregiver support. They also suggested making the next medication, dose, and time more noticeable, improving readability, and simplifying navigation. Team 2 asked whether a missed dose would automatically notify a caregiver. This made me consider privacy, so caregiver sharing should be optional and based on informed choice. NICE guidance highlights the importance of communication and involving people in decisions about their medicines [2]. I learned that we should consider each suggestion in relation to older users’ needs, privacy, feasibility, and our project scope instead of accepting every idea automatically.</w:t>
      </w:r>
    </w:p>
    <w:p w14:paraId="6CEE6E83" w14:textId="77777777" w:rsidR="00F946E2" w:rsidRDefault="00000000">
      <w:pPr>
        <w:keepLines/>
        <w:ind w:firstLine="360"/>
      </w:pPr>
      <w:r>
        <w:t>We used HTML, CSS, and JavaScript to build a prototype with screen navigation, login-field validation, password visibility, and an option to mark a medicine as Taken. Our wireframes showed the planned dashboard, medication schedule, reminders, and settings. Together, these features present a simple concept for older adults. However, the prototype is only a demonstration. It does not have a connected database, saved medication records, cloud synchronisation, or real scheduled notifications. The fixed demo login is not secure authentication, and biometric login and automatic caregiver alerts have not been implemented. This taught me to be clear about what is working and what is still planned.</w:t>
      </w:r>
    </w:p>
    <w:p w14:paraId="1212953F" w14:textId="35EA7126" w:rsidR="00F946E2" w:rsidRDefault="00000000">
      <w:pPr>
        <w:keepLines/>
        <w:ind w:firstLine="360"/>
      </w:pPr>
      <w:r>
        <w:t>The main risks are missed or unreliable notifications, confusing medication records, and the inappropriate sharing of health information. Under UK GDPR, health data is special-category personal data, so a future version would need an appropriate lawful basis, safeguards, and access controls [4]. Responsible digital health also needs to put people at the centre, rather than relying on technology alone [5]. The app should help users follow their existing medication plans; it must not diagnose conditions, prescribe medicines, or recommend changes to doses. If we continued developing it, I would first test the dashboard’s readability, navigation, and Taken/Missed recording with older adults. After that, I would prioritise secure authentication and storage, reliable scheduled notifications, consent-based caregiver alerts, and testing across devices. WCAG 2.2 could guide accessibility improvements [3], [6].</w:t>
      </w:r>
    </w:p>
    <w:p w14:paraId="6E73BF30" w14:textId="77777777" w:rsidR="00A60CF8" w:rsidRPr="00A60CF8" w:rsidRDefault="00A60CF8" w:rsidP="00A60CF8">
      <w:pPr>
        <w:keepLines/>
        <w:rPr>
          <w:lang w:val="en-GB"/>
        </w:rPr>
      </w:pPr>
      <w:r>
        <w:t>This project changed how I think about innovation and leadership. Feedback from our teacher helped us narrow the idea, the survey informed our priorities, and peer feedback showed us how the medication interface could improve. Building the prototype helped me understand the difference between demonstrating a feature and delivering a reliable application. As team leader, I developed my planning, communication, and critical-thinking skills, particularly when making sure the presentation, wireframes, and technical explanation matched. I also learned the importance of being honest about features that are not yet complete.</w:t>
      </w:r>
    </w:p>
    <w:p w14:paraId="534E5157" w14:textId="35861A97" w:rsidR="00A60CF8" w:rsidRPr="00A60CF8" w:rsidRDefault="00A60CF8" w:rsidP="00A60CF8">
      <w:pPr>
        <w:keepLines/>
        <w:rPr>
          <w:lang w:val="en-GB"/>
        </w:rPr>
      </w:pPr>
      <w:r>
        <w:t>The systematic review helped me understand that supporting medication adherence may require evidence-based strategies as well as reminders [7]. Working with the team also showed me that individual contributions need to come together around a shared goal [8]. If I continued the project, I would test the app with older adults, use their feedback to improve the user experience, and expand the features only after those improvements.</w:t>
      </w:r>
    </w:p>
    <w:p w14:paraId="7E935829" w14:textId="77777777" w:rsidR="00A60CF8" w:rsidRPr="00A60CF8" w:rsidRDefault="00A60CF8" w:rsidP="00A60CF8">
      <w:pPr>
        <w:keepLines/>
        <w:rPr>
          <w:lang w:val="en-GB"/>
        </w:rPr>
      </w:pPr>
      <w:r>
        <w:t>My main lesson is that useful healthcare technology should address a real need, present medication information clearly, protect personal data, and be honest about its limitations. I learned that innovation is not just about adding features. It also means balancing usability, privacy, and reliability for the people who may depend on the app.</w:t>
      </w:r>
    </w:p>
    <w:p w14:paraId="24A87F3C" w14:textId="77777777" w:rsidR="00A60CF8" w:rsidRDefault="00A60CF8" w:rsidP="00A60CF8">
      <w:pPr>
        <w:keepLines/>
      </w:pPr>
    </w:p>
    <w:p w14:paraId="2B217631" w14:textId="77777777" w:rsidR="000500CF" w:rsidRDefault="000500CF" w:rsidP="00A60CF8">
      <w:pPr>
        <w:keepLines/>
      </w:pPr>
    </w:p>
    <w:p w14:paraId="0850A45B" w14:textId="77777777" w:rsidR="000500CF" w:rsidRDefault="000500CF" w:rsidP="00A60CF8">
      <w:pPr>
        <w:keepLines/>
      </w:pPr>
    </w:p>
    <w:p w14:paraId="3E610462" w14:textId="77777777" w:rsidR="007564FC" w:rsidRDefault="007564FC">
      <w:pPr>
        <w:spacing w:before="80" w:after="60"/>
        <w:rPr>
          <w:b/>
        </w:rPr>
      </w:pPr>
    </w:p>
    <w:p w14:paraId="74ECB64A" w14:textId="77777777" w:rsidR="008C2001" w:rsidRDefault="008C2001">
      <w:pPr>
        <w:spacing w:before="80" w:after="60"/>
        <w:rPr>
          <w:b/>
        </w:rPr>
      </w:pPr>
    </w:p>
    <w:p w14:paraId="60CC7ACE" w14:textId="77777777" w:rsidR="008C2001" w:rsidRDefault="008C2001">
      <w:pPr>
        <w:spacing w:before="80" w:after="60"/>
        <w:rPr>
          <w:b/>
        </w:rPr>
      </w:pPr>
    </w:p>
    <w:p w14:paraId="529C69D9" w14:textId="3FC7189B" w:rsidR="00F946E2" w:rsidRDefault="00000000">
      <w:pPr>
        <w:spacing w:before="80" w:after="60"/>
        <w:rPr>
          <w:b/>
        </w:rPr>
      </w:pPr>
      <w:r>
        <w:rPr>
          <w:b/>
        </w:rPr>
        <w:t>References</w:t>
      </w:r>
      <w:r w:rsidR="007564FC">
        <w:rPr>
          <w:b/>
        </w:rPr>
        <w:t>:</w:t>
      </w:r>
    </w:p>
    <w:p w14:paraId="4C3AC7F0" w14:textId="77777777" w:rsidR="007564FC" w:rsidRDefault="007564FC">
      <w:pPr>
        <w:spacing w:before="80" w:after="60"/>
      </w:pPr>
    </w:p>
    <w:p w14:paraId="55958D90" w14:textId="77777777" w:rsidR="00F946E2" w:rsidRDefault="00000000">
      <w:pPr>
        <w:keepLines/>
        <w:spacing w:after="60"/>
        <w:ind w:left="317" w:hanging="317"/>
      </w:pPr>
      <w:r>
        <w:t xml:space="preserve">[1] K. T. Haile et al., “Digital Health Interventions to Improve Medication Adherence Among Older Adults: A Systematic Review,” Australas. J. Ageing, vol. 45, no. 3, e70206, 2026, </w:t>
      </w:r>
      <w:proofErr w:type="spellStart"/>
      <w:r>
        <w:t>doi</w:t>
      </w:r>
      <w:proofErr w:type="spellEnd"/>
      <w:r>
        <w:t>: 10.1111/ajag.70206.</w:t>
      </w:r>
    </w:p>
    <w:p w14:paraId="65649E15" w14:textId="4494E594" w:rsidR="00F946E2" w:rsidRDefault="00000000">
      <w:pPr>
        <w:keepLines/>
        <w:spacing w:after="60"/>
        <w:ind w:left="317" w:hanging="317"/>
      </w:pPr>
      <w:r>
        <w:t xml:space="preserve">[2] National Institute for Health and Care Excellence, “Medicines adherence: involving patients in decisions about prescribed medicines and supporting adherence,” Clinical Guideline CG76. [Online]. Available: </w:t>
      </w:r>
      <w:hyperlink r:id="rId8" w:history="1">
        <w:r w:rsidR="002D09A0" w:rsidRPr="00C02335">
          <w:rPr>
            <w:rStyle w:val="Hyperlink"/>
          </w:rPr>
          <w:t>https://www.nice.org.uk/guidance/cg76/chapter/Recommendations</w:t>
        </w:r>
      </w:hyperlink>
      <w:r w:rsidR="002D09A0">
        <w:t xml:space="preserve"> </w:t>
      </w:r>
    </w:p>
    <w:p w14:paraId="384852AA" w14:textId="77777777" w:rsidR="006A0D11" w:rsidRPr="006A0D11" w:rsidRDefault="006A0D11" w:rsidP="006A0D11">
      <w:pPr>
        <w:keepLines/>
        <w:spacing w:after="60"/>
        <w:ind w:left="317" w:hanging="317"/>
        <w:rPr>
          <w:lang w:val="en-GB"/>
        </w:rPr>
      </w:pPr>
      <w:r w:rsidRPr="006A0D11">
        <w:rPr>
          <w:b/>
          <w:bCs/>
          <w:lang w:val="en-GB"/>
        </w:rPr>
        <w:t>[3]</w:t>
      </w:r>
      <w:r w:rsidRPr="006A0D11">
        <w:rPr>
          <w:lang w:val="en-GB"/>
        </w:rPr>
        <w:t xml:space="preserve"> World Wide Web Consortium (W3C), “Web Content Accessibility Guidelines (WCAG) 2.2,” </w:t>
      </w:r>
      <w:r w:rsidRPr="006A0D11">
        <w:rPr>
          <w:i/>
          <w:iCs/>
          <w:lang w:val="en-GB"/>
        </w:rPr>
        <w:t>W3C Recommendation</w:t>
      </w:r>
      <w:r w:rsidRPr="006A0D11">
        <w:rPr>
          <w:lang w:val="en-GB"/>
        </w:rPr>
        <w:t xml:space="preserve">, 5 October 2023. Available: </w:t>
      </w:r>
      <w:hyperlink r:id="rId9" w:history="1">
        <w:r w:rsidRPr="006A0D11">
          <w:rPr>
            <w:rStyle w:val="Hyperlink"/>
            <w:lang w:val="en-GB"/>
          </w:rPr>
          <w:t>https://www.w3.org/TR/WCAG22/</w:t>
        </w:r>
      </w:hyperlink>
    </w:p>
    <w:p w14:paraId="1B1488BA" w14:textId="77777777" w:rsidR="00F946E2" w:rsidRDefault="00000000">
      <w:pPr>
        <w:keepLines/>
        <w:spacing w:after="60"/>
        <w:ind w:left="317" w:hanging="317"/>
      </w:pPr>
      <w:r>
        <w:t>[4] Information Commissioner’s Office, “Special category data.” [Online]. Available: https://ico.org.uk/for-organisations/uk-gdpr-guidance-and-resources/lawful-basis/a-guide-to-lawful-basis/special-category-data/</w:t>
      </w:r>
    </w:p>
    <w:p w14:paraId="7DCE0ED3" w14:textId="77777777" w:rsidR="00F946E2" w:rsidRDefault="00000000">
      <w:pPr>
        <w:keepLines/>
        <w:spacing w:after="60"/>
        <w:ind w:left="317" w:hanging="317"/>
      </w:pPr>
      <w:r>
        <w:t>[5] World Health Organization, Global Strategy on Digital Health 2020–2027. Geneva, Switzerland: WHO, 2025. [Online]. Available: https://www.who.int/publications/i/item/9789240116870</w:t>
      </w:r>
    </w:p>
    <w:p w14:paraId="651BAAE3" w14:textId="46CD62DA" w:rsidR="00F946E2" w:rsidRDefault="00000000">
      <w:pPr>
        <w:keepLines/>
        <w:spacing w:after="60"/>
        <w:ind w:left="317" w:hanging="317"/>
      </w:pPr>
      <w:r>
        <w:t xml:space="preserve">[6] W3C, “What’s New in WCAG 2.2,” Web Accessibility Initiative. [Online]. Available: </w:t>
      </w:r>
      <w:hyperlink r:id="rId10" w:history="1">
        <w:r w:rsidR="002D09A0" w:rsidRPr="00C02335">
          <w:rPr>
            <w:rStyle w:val="Hyperlink"/>
          </w:rPr>
          <w:t>https://www.w3.org/WAI/standards-guidelines/wcag/new-in-22/</w:t>
        </w:r>
      </w:hyperlink>
      <w:r w:rsidR="002D09A0">
        <w:t xml:space="preserve"> </w:t>
      </w:r>
    </w:p>
    <w:p w14:paraId="1B3FF083" w14:textId="53E8152C" w:rsidR="006A0D11" w:rsidRPr="006A0D11" w:rsidRDefault="009E7A1A" w:rsidP="009E7A1A">
      <w:pPr>
        <w:keepLines/>
        <w:spacing w:after="60"/>
        <w:ind w:left="317" w:hanging="317"/>
        <w:rPr>
          <w:lang w:val="en-GB"/>
        </w:rPr>
      </w:pPr>
      <w:r w:rsidRPr="009E7A1A">
        <w:rPr>
          <w:b/>
          <w:bCs/>
          <w:lang w:val="en-GB"/>
        </w:rPr>
        <w:t>[7]</w:t>
      </w:r>
      <w:r w:rsidRPr="009E7A1A">
        <w:rPr>
          <w:lang w:val="en-GB"/>
        </w:rPr>
        <w:t xml:space="preserve"> S. Scotti, L. Pasina, C. Lunghi, E. </w:t>
      </w:r>
      <w:proofErr w:type="spellStart"/>
      <w:r w:rsidRPr="009E7A1A">
        <w:rPr>
          <w:lang w:val="en-GB"/>
        </w:rPr>
        <w:t>Raschi</w:t>
      </w:r>
      <w:proofErr w:type="spellEnd"/>
      <w:r w:rsidRPr="009E7A1A">
        <w:rPr>
          <w:lang w:val="en-GB"/>
        </w:rPr>
        <w:t xml:space="preserve">, A. Rossi, E. Olmastroni, M. </w:t>
      </w:r>
      <w:proofErr w:type="spellStart"/>
      <w:r w:rsidRPr="009E7A1A">
        <w:rPr>
          <w:lang w:val="en-GB"/>
        </w:rPr>
        <w:t>Salluzzo</w:t>
      </w:r>
      <w:proofErr w:type="spellEnd"/>
      <w:r w:rsidRPr="009E7A1A">
        <w:rPr>
          <w:lang w:val="en-GB"/>
        </w:rPr>
        <w:t xml:space="preserve">, S. Mucherino, V. Orlando, A. Nobili, E. Menditto, E. Poluzzi, and M. Casula, “Enhancing Medication Adherence in Older Adults: A Systematic Review of Evidence-Based Strategies,” </w:t>
      </w:r>
      <w:r w:rsidRPr="009E7A1A">
        <w:rPr>
          <w:i/>
          <w:iCs/>
          <w:lang w:val="en-GB"/>
        </w:rPr>
        <w:t>Journal of the American Geriatrics Society</w:t>
      </w:r>
      <w:r w:rsidRPr="009E7A1A">
        <w:rPr>
          <w:lang w:val="en-GB"/>
        </w:rPr>
        <w:t xml:space="preserve">, vol. 74, no. 2, pp. 479–487, 2026, </w:t>
      </w:r>
      <w:proofErr w:type="spellStart"/>
      <w:r w:rsidRPr="009E7A1A">
        <w:rPr>
          <w:lang w:val="en-GB"/>
        </w:rPr>
        <w:t>doi</w:t>
      </w:r>
      <w:proofErr w:type="spellEnd"/>
      <w:r w:rsidRPr="009E7A1A">
        <w:rPr>
          <w:lang w:val="en-GB"/>
        </w:rPr>
        <w:t>: 10.1111/jgs.70257.</w:t>
      </w:r>
    </w:p>
    <w:p w14:paraId="18F0F81C" w14:textId="77777777" w:rsidR="00F946E2" w:rsidRDefault="00000000">
      <w:pPr>
        <w:keepLines/>
        <w:spacing w:after="60"/>
        <w:ind w:left="317" w:hanging="317"/>
      </w:pPr>
      <w:r>
        <w:t>[8] T. M. Franz and L. A. Vicker, Making Team Projects Work: A College Instructor’s Guide to Successful Student Groupwork. Routledge, 2025.</w:t>
      </w:r>
    </w:p>
    <w:sectPr w:rsidR="00F946E2" w:rsidSect="007564FC">
      <w:footerReference w:type="default" r:id="rId11"/>
      <w:pgSz w:w="12240" w:h="15840"/>
      <w:pgMar w:top="936" w:right="1152" w:bottom="936" w:left="1152" w:header="720" w:footer="720" w:gutter="0"/>
      <w:pgBorders w:offsetFrom="page">
        <w:top w:val="dashDotStroked" w:sz="24" w:space="24" w:color="auto"/>
        <w:left w:val="dashDotStroked" w:sz="24" w:space="24" w:color="auto"/>
        <w:bottom w:val="dashDotStroked" w:sz="24" w:space="24" w:color="auto"/>
        <w:right w:val="dashDotStroked"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64401" w14:textId="77777777" w:rsidR="00DC7030" w:rsidRDefault="00DC7030">
      <w:pPr>
        <w:spacing w:after="0"/>
      </w:pPr>
      <w:r>
        <w:separator/>
      </w:r>
    </w:p>
  </w:endnote>
  <w:endnote w:type="continuationSeparator" w:id="0">
    <w:p w14:paraId="1AB8800C" w14:textId="77777777" w:rsidR="00DC7030" w:rsidRDefault="00DC703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9865F" w14:textId="77777777" w:rsidR="00F946E2" w:rsidRDefault="00000000">
    <w:pPr>
      <w:pStyle w:val="Footer"/>
      <w:jc w:val="center"/>
    </w:pPr>
    <w:r>
      <w:t xml:space="preserve">ACCB6019 | Individual Reflective Report | </w:t>
    </w:r>
    <w:r>
      <w:fldChar w:fldCharType="begin"/>
    </w:r>
    <w:r>
      <w:instrText xml:space="preserve"> PAGE </w:instrText>
    </w:r>
    <w:r>
      <w:fldChar w:fldCharType="separate"/>
    </w:r>
    <w:r w:rsidR="00A60CF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75B66" w14:textId="77777777" w:rsidR="00DC7030" w:rsidRDefault="00DC7030">
      <w:pPr>
        <w:spacing w:after="0"/>
      </w:pPr>
      <w:r>
        <w:separator/>
      </w:r>
    </w:p>
  </w:footnote>
  <w:footnote w:type="continuationSeparator" w:id="0">
    <w:p w14:paraId="2D40D709" w14:textId="77777777" w:rsidR="00DC7030" w:rsidRDefault="00DC703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12287120">
    <w:abstractNumId w:val="8"/>
  </w:num>
  <w:num w:numId="2" w16cid:durableId="856231423">
    <w:abstractNumId w:val="6"/>
  </w:num>
  <w:num w:numId="3" w16cid:durableId="1251548364">
    <w:abstractNumId w:val="5"/>
  </w:num>
  <w:num w:numId="4" w16cid:durableId="1949464782">
    <w:abstractNumId w:val="4"/>
  </w:num>
  <w:num w:numId="5" w16cid:durableId="755633065">
    <w:abstractNumId w:val="7"/>
  </w:num>
  <w:num w:numId="6" w16cid:durableId="1925800450">
    <w:abstractNumId w:val="3"/>
  </w:num>
  <w:num w:numId="7" w16cid:durableId="1412968224">
    <w:abstractNumId w:val="2"/>
  </w:num>
  <w:num w:numId="8" w16cid:durableId="1305116012">
    <w:abstractNumId w:val="1"/>
  </w:num>
  <w:num w:numId="9" w16cid:durableId="799348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307B"/>
    <w:rsid w:val="00034616"/>
    <w:rsid w:val="000500CF"/>
    <w:rsid w:val="0006063C"/>
    <w:rsid w:val="00105468"/>
    <w:rsid w:val="0015074B"/>
    <w:rsid w:val="0029639D"/>
    <w:rsid w:val="002D09A0"/>
    <w:rsid w:val="00326F90"/>
    <w:rsid w:val="00371636"/>
    <w:rsid w:val="003F285D"/>
    <w:rsid w:val="006A0D11"/>
    <w:rsid w:val="007564FC"/>
    <w:rsid w:val="00844DCD"/>
    <w:rsid w:val="008C2001"/>
    <w:rsid w:val="008E2CB4"/>
    <w:rsid w:val="009E7A1A"/>
    <w:rsid w:val="00A41187"/>
    <w:rsid w:val="00A60CF8"/>
    <w:rsid w:val="00AA1D8D"/>
    <w:rsid w:val="00B04DBA"/>
    <w:rsid w:val="00B47730"/>
    <w:rsid w:val="00CB0664"/>
    <w:rsid w:val="00DC7030"/>
    <w:rsid w:val="00E96BC1"/>
    <w:rsid w:val="00F946E2"/>
    <w:rsid w:val="00FA527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8D88DF"/>
  <w14:defaultImageDpi w14:val="300"/>
  <w15:docId w15:val="{758868A7-5BF7-4FA0-B4DB-4D88EF946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40" w:lineRule="auto"/>
    </w:pPr>
    <w:rPr>
      <w:rFonts w:ascii="Times New Roman" w:hAnsi="Times New Roman"/>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6A0D11"/>
    <w:rPr>
      <w:color w:val="0000FF" w:themeColor="hyperlink"/>
      <w:u w:val="single"/>
    </w:rPr>
  </w:style>
  <w:style w:type="character" w:styleId="UnresolvedMention">
    <w:name w:val="Unresolved Mention"/>
    <w:basedOn w:val="DefaultParagraphFont"/>
    <w:uiPriority w:val="99"/>
    <w:semiHidden/>
    <w:unhideWhenUsed/>
    <w:rsid w:val="006A0D11"/>
    <w:rPr>
      <w:color w:val="605E5C"/>
      <w:shd w:val="clear" w:color="auto" w:fill="E1DFDD"/>
    </w:rPr>
  </w:style>
  <w:style w:type="character" w:styleId="FollowedHyperlink">
    <w:name w:val="FollowedHyperlink"/>
    <w:basedOn w:val="DefaultParagraphFont"/>
    <w:uiPriority w:val="99"/>
    <w:semiHidden/>
    <w:unhideWhenUsed/>
    <w:rsid w:val="002D09A0"/>
    <w:rPr>
      <w:color w:val="800080" w:themeColor="followedHyperlink"/>
      <w:u w:val="single"/>
    </w:rPr>
  </w:style>
  <w:style w:type="paragraph" w:styleId="NormalWeb">
    <w:name w:val="Normal (Web)"/>
    <w:basedOn w:val="Normal"/>
    <w:uiPriority w:val="99"/>
    <w:semiHidden/>
    <w:unhideWhenUsed/>
    <w:rsid w:val="003F285D"/>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cg76/chapter/Recommendation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w3.org/WAI/standards-guidelines/wcag/new-in-22/" TargetMode="External"/><Relationship Id="rId4" Type="http://schemas.openxmlformats.org/officeDocument/2006/relationships/settings" Target="settings.xml"/><Relationship Id="rId9" Type="http://schemas.openxmlformats.org/officeDocument/2006/relationships/hyperlink" Target="https://www.w3.org/TR/WCAG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1060</Words>
  <Characters>6043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7089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Nasira Perveen (2331267)</cp:lastModifiedBy>
  <cp:revision>14</cp:revision>
  <dcterms:created xsi:type="dcterms:W3CDTF">2013-12-23T23:15:00Z</dcterms:created>
  <dcterms:modified xsi:type="dcterms:W3CDTF">2026-10-26T14:00:00Z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5bdd0ab9092c37456d2627246599053573545bff8a2ad6200e66cf070b36c553</vt:lpwstr>
  </property>
</Properties>
</file>