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64ABA" w14:textId="1374E9EE" w:rsidR="009E1050" w:rsidRPr="00A17B08" w:rsidRDefault="00A17B08" w:rsidP="009E1050">
      <w:pPr>
        <w:spacing w:after="240" w:line="360" w:lineRule="auto"/>
        <w:rPr>
          <w:b/>
        </w:rPr>
      </w:pPr>
      <w:r>
        <w:rPr>
          <w:b/>
        </w:rPr>
        <w:t xml:space="preserve">Name: </w:t>
      </w:r>
      <w:r w:rsidR="009E1050" w:rsidRPr="00A17B08">
        <w:rPr>
          <w:b/>
        </w:rPr>
        <w:t>Zachary Wright</w:t>
      </w:r>
    </w:p>
    <w:p w14:paraId="243DBD0D" w14:textId="70837E22" w:rsidR="00A17B08" w:rsidRPr="00A17B08" w:rsidRDefault="00A17B08" w:rsidP="00A17B08">
      <w:pPr>
        <w:spacing w:after="200" w:line="360" w:lineRule="auto"/>
        <w:rPr>
          <w:b/>
          <w:iCs/>
          <w:u w:val="single"/>
        </w:rPr>
      </w:pPr>
      <w:r w:rsidRPr="00A17B08">
        <w:rPr>
          <w:b/>
        </w:rPr>
        <w:t xml:space="preserve">Assignment Title: </w:t>
      </w:r>
      <w:r w:rsidRPr="00A17B08">
        <w:rPr>
          <w:b/>
          <w:iCs/>
        </w:rPr>
        <w:t>How can group singing impact the social and emotional wellbeing of LGBTQIA+ individuals singing in a community choir?</w:t>
      </w:r>
    </w:p>
    <w:p w14:paraId="10C12D7F" w14:textId="77777777" w:rsidR="009E1050" w:rsidRPr="00A17B08" w:rsidRDefault="009E1050" w:rsidP="009E1050">
      <w:pPr>
        <w:spacing w:after="240" w:line="360" w:lineRule="auto"/>
        <w:rPr>
          <w:b/>
        </w:rPr>
      </w:pPr>
      <w:r w:rsidRPr="00A17B08">
        <w:rPr>
          <w:b/>
        </w:rPr>
        <w:t>Independent Study Module: BMPF7013F</w:t>
      </w:r>
    </w:p>
    <w:p w14:paraId="134FE0F2" w14:textId="77777777" w:rsidR="009E1050" w:rsidRDefault="009E1050" w:rsidP="009E1050">
      <w:pPr>
        <w:spacing w:after="240" w:line="360" w:lineRule="auto"/>
        <w:rPr>
          <w:b/>
        </w:rPr>
      </w:pPr>
      <w:r w:rsidRPr="00A17B08">
        <w:rPr>
          <w:b/>
        </w:rPr>
        <w:t>Student Number: 2017341</w:t>
      </w:r>
    </w:p>
    <w:p w14:paraId="1775C3F1" w14:textId="77777777" w:rsidR="00A17B08" w:rsidRPr="00A17B08" w:rsidRDefault="00A17B08" w:rsidP="009E1050">
      <w:pPr>
        <w:spacing w:after="240" w:line="360" w:lineRule="auto"/>
        <w:rPr>
          <w:b/>
        </w:rPr>
      </w:pPr>
    </w:p>
    <w:p w14:paraId="403FA95D" w14:textId="77777777" w:rsidR="009E1050" w:rsidRDefault="009E1050" w:rsidP="009E1050">
      <w:pPr>
        <w:spacing w:after="240" w:line="360" w:lineRule="auto"/>
        <w:rPr>
          <w:bCs/>
        </w:rPr>
      </w:pPr>
      <w:r w:rsidRPr="009E1050">
        <w:rPr>
          <w:b/>
          <w:u w:val="single"/>
        </w:rPr>
        <w:t>Table of Contents</w:t>
      </w:r>
      <w:r>
        <w:rPr>
          <w:bCs/>
        </w:rPr>
        <w:tab/>
      </w:r>
      <w:r>
        <w:rPr>
          <w:bCs/>
        </w:rPr>
        <w:tab/>
      </w:r>
      <w:r>
        <w:rPr>
          <w:bCs/>
        </w:rPr>
        <w:tab/>
      </w:r>
      <w:r>
        <w:rPr>
          <w:bCs/>
        </w:rPr>
        <w:tab/>
      </w:r>
      <w:r>
        <w:rPr>
          <w:bCs/>
        </w:rPr>
        <w:tab/>
      </w:r>
      <w:r>
        <w:rPr>
          <w:bCs/>
        </w:rPr>
        <w:tab/>
      </w:r>
      <w:r>
        <w:rPr>
          <w:bCs/>
        </w:rPr>
        <w:tab/>
      </w:r>
      <w:r>
        <w:rPr>
          <w:bCs/>
        </w:rPr>
        <w:tab/>
      </w:r>
      <w:r>
        <w:rPr>
          <w:bCs/>
        </w:rPr>
        <w:tab/>
      </w:r>
      <w:r w:rsidRPr="009E1050">
        <w:rPr>
          <w:b/>
          <w:u w:val="single"/>
        </w:rPr>
        <w:t>Page Number</w:t>
      </w:r>
    </w:p>
    <w:p w14:paraId="3DE950B5" w14:textId="4699218E" w:rsidR="009E1050" w:rsidRDefault="009E1050" w:rsidP="009E1050">
      <w:pPr>
        <w:spacing w:after="240" w:line="360" w:lineRule="auto"/>
        <w:rPr>
          <w:bCs/>
        </w:rPr>
      </w:pPr>
      <w:r>
        <w:rPr>
          <w:bCs/>
        </w:rPr>
        <w:t>Introduction and Rationale</w:t>
      </w:r>
      <w:r>
        <w:rPr>
          <w:bCs/>
        </w:rPr>
        <w:tab/>
      </w:r>
      <w:r>
        <w:rPr>
          <w:bCs/>
        </w:rPr>
        <w:tab/>
      </w:r>
      <w:r>
        <w:rPr>
          <w:bCs/>
        </w:rPr>
        <w:tab/>
      </w:r>
      <w:r>
        <w:rPr>
          <w:bCs/>
        </w:rPr>
        <w:tab/>
      </w:r>
      <w:r>
        <w:rPr>
          <w:bCs/>
        </w:rPr>
        <w:tab/>
      </w:r>
      <w:r>
        <w:rPr>
          <w:bCs/>
        </w:rPr>
        <w:tab/>
      </w:r>
      <w:r>
        <w:rPr>
          <w:bCs/>
        </w:rPr>
        <w:tab/>
        <w:t xml:space="preserve"> </w:t>
      </w:r>
      <w:r>
        <w:rPr>
          <w:bCs/>
        </w:rPr>
        <w:tab/>
        <w:t>2</w:t>
      </w:r>
    </w:p>
    <w:p w14:paraId="1F662B47" w14:textId="3EF71BE7" w:rsidR="009E1050" w:rsidRDefault="009E1050" w:rsidP="009E1050">
      <w:pPr>
        <w:spacing w:after="240" w:line="360" w:lineRule="auto"/>
        <w:rPr>
          <w:bCs/>
        </w:rPr>
      </w:pPr>
      <w:r>
        <w:rPr>
          <w:bCs/>
        </w:rPr>
        <w:t>Aims and Objectives</w:t>
      </w:r>
      <w:r>
        <w:rPr>
          <w:bCs/>
        </w:rPr>
        <w:tab/>
      </w:r>
      <w:r>
        <w:rPr>
          <w:bCs/>
        </w:rPr>
        <w:tab/>
      </w:r>
      <w:r>
        <w:rPr>
          <w:bCs/>
        </w:rPr>
        <w:tab/>
      </w:r>
      <w:r>
        <w:rPr>
          <w:bCs/>
        </w:rPr>
        <w:tab/>
      </w:r>
      <w:r>
        <w:rPr>
          <w:bCs/>
        </w:rPr>
        <w:tab/>
      </w:r>
      <w:r>
        <w:rPr>
          <w:bCs/>
        </w:rPr>
        <w:tab/>
      </w:r>
      <w:r>
        <w:rPr>
          <w:bCs/>
        </w:rPr>
        <w:tab/>
      </w:r>
      <w:r>
        <w:rPr>
          <w:bCs/>
        </w:rPr>
        <w:tab/>
      </w:r>
      <w:r>
        <w:rPr>
          <w:bCs/>
        </w:rPr>
        <w:tab/>
        <w:t>3</w:t>
      </w:r>
    </w:p>
    <w:p w14:paraId="6BA43866" w14:textId="2F05B549" w:rsidR="009E1050" w:rsidRDefault="009E1050" w:rsidP="009E1050">
      <w:pPr>
        <w:spacing w:after="240" w:line="360" w:lineRule="auto"/>
        <w:rPr>
          <w:bCs/>
        </w:rPr>
      </w:pPr>
      <w:r>
        <w:rPr>
          <w:bCs/>
        </w:rPr>
        <w:t>Literature Review Process</w:t>
      </w:r>
      <w:r>
        <w:rPr>
          <w:bCs/>
        </w:rPr>
        <w:tab/>
      </w:r>
      <w:r>
        <w:rPr>
          <w:bCs/>
        </w:rPr>
        <w:tab/>
      </w:r>
      <w:r>
        <w:rPr>
          <w:bCs/>
        </w:rPr>
        <w:tab/>
      </w:r>
      <w:r>
        <w:rPr>
          <w:bCs/>
        </w:rPr>
        <w:tab/>
      </w:r>
      <w:r>
        <w:rPr>
          <w:bCs/>
        </w:rPr>
        <w:tab/>
      </w:r>
      <w:r>
        <w:rPr>
          <w:bCs/>
        </w:rPr>
        <w:tab/>
      </w:r>
      <w:r>
        <w:rPr>
          <w:bCs/>
        </w:rPr>
        <w:tab/>
      </w:r>
      <w:r>
        <w:rPr>
          <w:bCs/>
        </w:rPr>
        <w:tab/>
        <w:t>5</w:t>
      </w:r>
    </w:p>
    <w:p w14:paraId="5D370D0F" w14:textId="6583766F" w:rsidR="009E1050" w:rsidRDefault="009E1050" w:rsidP="009E1050">
      <w:pPr>
        <w:spacing w:after="240" w:line="360" w:lineRule="auto"/>
        <w:rPr>
          <w:bCs/>
        </w:rPr>
      </w:pPr>
      <w:r>
        <w:rPr>
          <w:bCs/>
        </w:rPr>
        <w:t>Critical Reflection of the Learning Journey</w:t>
      </w:r>
      <w:r>
        <w:rPr>
          <w:bCs/>
        </w:rPr>
        <w:tab/>
      </w:r>
      <w:r>
        <w:rPr>
          <w:bCs/>
        </w:rPr>
        <w:tab/>
      </w:r>
      <w:r>
        <w:rPr>
          <w:bCs/>
        </w:rPr>
        <w:tab/>
      </w:r>
      <w:r>
        <w:rPr>
          <w:bCs/>
        </w:rPr>
        <w:tab/>
      </w:r>
      <w:r>
        <w:rPr>
          <w:bCs/>
        </w:rPr>
        <w:tab/>
      </w:r>
      <w:r>
        <w:rPr>
          <w:bCs/>
        </w:rPr>
        <w:tab/>
        <w:t>8</w:t>
      </w:r>
    </w:p>
    <w:p w14:paraId="27BBB2E8" w14:textId="0CCFA00D" w:rsidR="009E1050" w:rsidRDefault="009E1050" w:rsidP="009E1050">
      <w:pPr>
        <w:spacing w:after="240" w:line="360" w:lineRule="auto"/>
        <w:rPr>
          <w:bCs/>
        </w:rPr>
      </w:pPr>
      <w:r>
        <w:rPr>
          <w:bCs/>
        </w:rPr>
        <w:t>Part 2: The Assignment</w:t>
      </w:r>
      <w:r>
        <w:rPr>
          <w:bCs/>
        </w:rPr>
        <w:tab/>
      </w:r>
      <w:r>
        <w:rPr>
          <w:bCs/>
        </w:rPr>
        <w:tab/>
      </w:r>
      <w:r>
        <w:rPr>
          <w:bCs/>
        </w:rPr>
        <w:tab/>
      </w:r>
      <w:r>
        <w:rPr>
          <w:bCs/>
        </w:rPr>
        <w:tab/>
      </w:r>
      <w:r>
        <w:rPr>
          <w:bCs/>
        </w:rPr>
        <w:tab/>
      </w:r>
      <w:r>
        <w:rPr>
          <w:bCs/>
        </w:rPr>
        <w:tab/>
      </w:r>
      <w:r>
        <w:rPr>
          <w:bCs/>
        </w:rPr>
        <w:tab/>
      </w:r>
      <w:r>
        <w:rPr>
          <w:bCs/>
        </w:rPr>
        <w:tab/>
        <w:t>12</w:t>
      </w:r>
    </w:p>
    <w:p w14:paraId="53AB2A26" w14:textId="4E5ADE85" w:rsidR="009E1050" w:rsidRDefault="009E1050" w:rsidP="009E1050">
      <w:pPr>
        <w:spacing w:after="240" w:line="360" w:lineRule="auto"/>
        <w:rPr>
          <w:bCs/>
        </w:rPr>
      </w:pPr>
      <w:r>
        <w:rPr>
          <w:bCs/>
        </w:rPr>
        <w:t>References</w:t>
      </w:r>
      <w:r>
        <w:rPr>
          <w:bCs/>
        </w:rPr>
        <w:tab/>
      </w:r>
      <w:r>
        <w:rPr>
          <w:bCs/>
        </w:rPr>
        <w:tab/>
      </w:r>
      <w:r>
        <w:rPr>
          <w:bCs/>
        </w:rPr>
        <w:tab/>
      </w:r>
      <w:r>
        <w:rPr>
          <w:bCs/>
        </w:rPr>
        <w:tab/>
      </w:r>
      <w:r>
        <w:rPr>
          <w:bCs/>
        </w:rPr>
        <w:tab/>
      </w:r>
      <w:r>
        <w:rPr>
          <w:bCs/>
        </w:rPr>
        <w:tab/>
      </w:r>
      <w:r>
        <w:rPr>
          <w:bCs/>
        </w:rPr>
        <w:tab/>
      </w:r>
      <w:r>
        <w:rPr>
          <w:bCs/>
        </w:rPr>
        <w:tab/>
      </w:r>
      <w:r>
        <w:rPr>
          <w:bCs/>
        </w:rPr>
        <w:tab/>
      </w:r>
      <w:r>
        <w:rPr>
          <w:bCs/>
        </w:rPr>
        <w:tab/>
        <w:t>23</w:t>
      </w:r>
    </w:p>
    <w:p w14:paraId="0CF69BC7" w14:textId="77777777" w:rsidR="009E1050" w:rsidRDefault="009E1050">
      <w:pPr>
        <w:rPr>
          <w:bCs/>
        </w:rPr>
      </w:pPr>
    </w:p>
    <w:p w14:paraId="714C9B81" w14:textId="77777777" w:rsidR="009E1050" w:rsidRDefault="009E1050">
      <w:pPr>
        <w:rPr>
          <w:bCs/>
        </w:rPr>
      </w:pPr>
    </w:p>
    <w:p w14:paraId="67F43038" w14:textId="3AC9F86F" w:rsidR="00A17067" w:rsidRDefault="00A17067">
      <w:pPr>
        <w:rPr>
          <w:b/>
        </w:rPr>
      </w:pPr>
      <w:r>
        <w:rPr>
          <w:b/>
        </w:rPr>
        <w:br w:type="page"/>
      </w:r>
    </w:p>
    <w:p w14:paraId="2394EDFD" w14:textId="0E8FEC1A" w:rsidR="009E1050" w:rsidRPr="009E1050" w:rsidRDefault="009E1050" w:rsidP="009E1050">
      <w:pPr>
        <w:spacing w:after="200" w:line="360" w:lineRule="auto"/>
        <w:jc w:val="center"/>
        <w:rPr>
          <w:b/>
          <w:bCs/>
          <w:iCs/>
          <w:u w:val="single"/>
        </w:rPr>
      </w:pPr>
      <w:r w:rsidRPr="009E1050">
        <w:rPr>
          <w:b/>
          <w:bCs/>
          <w:iCs/>
          <w:u w:val="single"/>
        </w:rPr>
        <w:lastRenderedPageBreak/>
        <w:t>How can group singing impact the social and emotional wellbeing of LGBTQIA+ individuals singing in a community choir?</w:t>
      </w:r>
    </w:p>
    <w:p w14:paraId="3E550A86" w14:textId="7A081830" w:rsidR="00A42CE2" w:rsidRDefault="00000000">
      <w:pPr>
        <w:spacing w:after="200" w:line="360" w:lineRule="auto"/>
        <w:jc w:val="center"/>
        <w:rPr>
          <w:b/>
        </w:rPr>
      </w:pPr>
      <w:r>
        <w:rPr>
          <w:b/>
        </w:rPr>
        <w:t>Part 1: The Portfolio</w:t>
      </w:r>
    </w:p>
    <w:p w14:paraId="5F818F51" w14:textId="77777777" w:rsidR="00A42CE2" w:rsidRDefault="00000000">
      <w:pPr>
        <w:spacing w:after="200" w:line="360" w:lineRule="auto"/>
        <w:rPr>
          <w:b/>
          <w:u w:val="single"/>
        </w:rPr>
      </w:pPr>
      <w:r>
        <w:rPr>
          <w:b/>
          <w:u w:val="single"/>
        </w:rPr>
        <w:t>Introduction and Rationale</w:t>
      </w:r>
    </w:p>
    <w:p w14:paraId="08641210" w14:textId="77777777" w:rsidR="00A42CE2" w:rsidRDefault="00000000">
      <w:pPr>
        <w:spacing w:after="200" w:line="360" w:lineRule="auto"/>
      </w:pPr>
      <w:r>
        <w:t>In this study, I will examine the potential benefits of group singing on the wellbeing of LGBTQIA+ people participating in community choirs. Mental and social/emotional wellbeing will be highlighted, focusing on the impact of group singing on anxiety, self-esteem, loneliness and belonging. This study will involve relevant research findings in singing for health research and LGBTQIA+ studies.</w:t>
      </w:r>
    </w:p>
    <w:p w14:paraId="0215980E" w14:textId="77777777" w:rsidR="00A42CE2" w:rsidRDefault="00000000">
      <w:pPr>
        <w:spacing w:after="200" w:line="360" w:lineRule="auto"/>
      </w:pPr>
      <w:r>
        <w:t xml:space="preserve">I am a choral director, working with both children and adults. I am currently a church music director and middle school choir teacher, but I am constantly seeking out ways to build my musical connections in my community. Prior to the COVID-19 pandemic, I led a community choir in an LGBTQIA+ community center. Leading community singing is an activity which I feel very passionate </w:t>
      </w:r>
      <w:proofErr w:type="gramStart"/>
      <w:r>
        <w:t>about</w:t>
      </w:r>
      <w:proofErr w:type="gramEnd"/>
      <w:r>
        <w:t xml:space="preserve"> and I have had a desire to start another community choir for a while. This research is relevant to my practice as it will inform ways in which I may strategize the development of a new community choir in the future. </w:t>
      </w:r>
    </w:p>
    <w:p w14:paraId="1176F2F5" w14:textId="77777777" w:rsidR="00A42CE2" w:rsidRDefault="00000000">
      <w:pPr>
        <w:spacing w:after="200" w:line="360" w:lineRule="auto"/>
      </w:pPr>
      <w:r>
        <w:t xml:space="preserve">I currently live in Atlanta, Georgia, United States, and there are three LGBTQIA+ choirs that already exist locally. One choir is made up exclusively of male-identifying singers, another of exclusive female-identifying singers, while the third allows singers of any identity to be members. It is worth noting that they are all audition-based, making them exclusionary by nature rather than fully inclusive to people of all abilities and levels of experience. This suggests that a more inclusive community singing group may meet the needs of a specific population in my area. Studies in the singing for health field suggest that group singing may have a positive impact on the social and emotional wellbeing of participants (Bailey and Davidson, 2002, 2003, 2005; </w:t>
      </w:r>
      <w:proofErr w:type="spellStart"/>
      <w:r>
        <w:t>Skingley</w:t>
      </w:r>
      <w:proofErr w:type="spellEnd"/>
      <w:r>
        <w:t xml:space="preserve">, Martin and Clift, 2005; Livesey, Morrison, Clift and </w:t>
      </w:r>
      <w:proofErr w:type="spellStart"/>
      <w:r>
        <w:t>Camic</w:t>
      </w:r>
      <w:proofErr w:type="spellEnd"/>
      <w:r>
        <w:t xml:space="preserve">, 2012; Allison et al, 2020), with some studies highlighting the specific benefits to marginalized and disadvantaged communities (Bailey and Davidson, 2002, 2003, 2005, </w:t>
      </w:r>
      <w:proofErr w:type="spellStart"/>
      <w:r>
        <w:rPr>
          <w:color w:val="1F1F1F"/>
          <w:highlight w:val="white"/>
        </w:rPr>
        <w:t>Lagace</w:t>
      </w:r>
      <w:proofErr w:type="spellEnd"/>
      <w:r>
        <w:rPr>
          <w:color w:val="1F1F1F"/>
          <w:highlight w:val="white"/>
        </w:rPr>
        <w:t xml:space="preserve"> et al, 2015; Dingle et al, 2019; Young, 2020</w:t>
      </w:r>
      <w:r>
        <w:t xml:space="preserve">) In this research study, I will aim to draw on existing research to theorize how group singing may impact the social and emotional </w:t>
      </w:r>
      <w:proofErr w:type="spellStart"/>
      <w:r>
        <w:t>well being</w:t>
      </w:r>
      <w:proofErr w:type="spellEnd"/>
      <w:r>
        <w:t xml:space="preserve"> of LGBTQIA+ people singing in a community choir.</w:t>
      </w:r>
    </w:p>
    <w:p w14:paraId="1B535861" w14:textId="77777777" w:rsidR="00A42CE2" w:rsidRDefault="00000000">
      <w:pPr>
        <w:spacing w:after="200" w:line="360" w:lineRule="auto"/>
      </w:pPr>
      <w:r>
        <w:lastRenderedPageBreak/>
        <w:t xml:space="preserve">An initial exploration of the literature reveals studies examining the possible connection between group singing and wellbeing (Clift and </w:t>
      </w:r>
      <w:proofErr w:type="spellStart"/>
      <w:r>
        <w:t>Hancox</w:t>
      </w:r>
      <w:proofErr w:type="spellEnd"/>
      <w:r>
        <w:t xml:space="preserve">, 2001; Bailey and Davidson, 2002, 2003, 2005). Since this project will involve studies in the field of singing for health, a new area of learning for me, the information may prove to be overwhelming and will require a systematic and organized process for organizing research findings. </w:t>
      </w:r>
    </w:p>
    <w:p w14:paraId="677254A2" w14:textId="77777777" w:rsidR="00A42CE2" w:rsidRDefault="00000000">
      <w:pPr>
        <w:spacing w:after="200" w:line="360" w:lineRule="auto"/>
      </w:pPr>
      <w:r>
        <w:t>Through this independent learning project, I will aim to gain a deeper understanding of the research in the field of group singing for health relating to social and emotional wellbeing. While I am undertaking this project with the goal of applying my learning through developing a community choir in the future, this research is also relevant to my current practice. This learning will help guide my practices in leading my adult volunteer church choir, perhaps even providing knowledge that could help cultivate a welcoming environment that encourages more volunteers to participate. This learning will inform my teaching practices and curriculum design by broadening my understanding of the ways in which group choral singing can foster a sense of belonging and build community. As a middle school teacher working with students during the challenging years of puberty, building community and promoting a safe space where students feel a strong sense of belonging are also crucial in choirs serving this age group.</w:t>
      </w:r>
    </w:p>
    <w:p w14:paraId="2825AB10" w14:textId="77777777" w:rsidR="00A42CE2" w:rsidRDefault="00000000">
      <w:pPr>
        <w:spacing w:after="200" w:line="360" w:lineRule="auto"/>
        <w:rPr>
          <w:b/>
          <w:u w:val="single"/>
        </w:rPr>
      </w:pPr>
      <w:r>
        <w:rPr>
          <w:b/>
          <w:u w:val="single"/>
        </w:rPr>
        <w:t>Aims and Objectives</w:t>
      </w:r>
    </w:p>
    <w:p w14:paraId="482040FB" w14:textId="77777777" w:rsidR="00A42CE2" w:rsidRDefault="00000000">
      <w:pPr>
        <w:spacing w:after="200" w:line="360" w:lineRule="auto"/>
      </w:pPr>
      <w:r>
        <w:t xml:space="preserve">Aims: </w:t>
      </w:r>
    </w:p>
    <w:p w14:paraId="1869B18E" w14:textId="77777777" w:rsidR="00A42CE2" w:rsidRDefault="00000000">
      <w:pPr>
        <w:spacing w:after="200" w:line="360" w:lineRule="auto"/>
      </w:pPr>
      <w:r>
        <w:t>This research will aim to explore the impact of group singing on the mental and emotional wellbeing of LGBTQIA+ individuals participating in a community choir. Specifically, the research will aim to:</w:t>
      </w:r>
    </w:p>
    <w:p w14:paraId="29CD5C4B" w14:textId="2D96F2F9" w:rsidR="00A42CE2" w:rsidRDefault="00000000">
      <w:pPr>
        <w:numPr>
          <w:ilvl w:val="0"/>
          <w:numId w:val="3"/>
        </w:numPr>
        <w:spacing w:after="200" w:line="360" w:lineRule="auto"/>
      </w:pPr>
      <w:r>
        <w:t>examine the potential impact of group singing on mental and social wellbeing.</w:t>
      </w:r>
    </w:p>
    <w:p w14:paraId="465A7C91" w14:textId="77777777" w:rsidR="00A42CE2" w:rsidRDefault="00000000">
      <w:pPr>
        <w:numPr>
          <w:ilvl w:val="0"/>
          <w:numId w:val="3"/>
        </w:numPr>
        <w:spacing w:after="200" w:line="360" w:lineRule="auto"/>
      </w:pPr>
      <w:r>
        <w:t>identify potential barriers to participation.</w:t>
      </w:r>
    </w:p>
    <w:p w14:paraId="18699FEB" w14:textId="77777777" w:rsidR="00A42CE2" w:rsidRDefault="00000000">
      <w:pPr>
        <w:numPr>
          <w:ilvl w:val="0"/>
          <w:numId w:val="3"/>
        </w:numPr>
        <w:spacing w:after="200" w:line="360" w:lineRule="auto"/>
      </w:pPr>
      <w:r>
        <w:t xml:space="preserve">analyze group singing for health literature to investigate relevant connections that can be drawn to LGBTQIA+ specific choirs. </w:t>
      </w:r>
    </w:p>
    <w:p w14:paraId="2728BAA9" w14:textId="77777777" w:rsidR="00A42CE2" w:rsidRDefault="00000000">
      <w:pPr>
        <w:spacing w:after="200" w:line="360" w:lineRule="auto"/>
      </w:pPr>
      <w:r>
        <w:t>Objectives for the research process and learning journey are to:</w:t>
      </w:r>
    </w:p>
    <w:p w14:paraId="608DB963" w14:textId="77777777" w:rsidR="00A42CE2" w:rsidRDefault="00000000">
      <w:pPr>
        <w:numPr>
          <w:ilvl w:val="0"/>
          <w:numId w:val="3"/>
        </w:numPr>
        <w:spacing w:after="200" w:line="360" w:lineRule="auto"/>
      </w:pPr>
      <w:r>
        <w:t>identify current leading contributors in the field of group singing for social and emotional wellbeing.</w:t>
      </w:r>
    </w:p>
    <w:p w14:paraId="380DFC8F" w14:textId="77777777" w:rsidR="00A42CE2" w:rsidRDefault="00000000">
      <w:pPr>
        <w:numPr>
          <w:ilvl w:val="0"/>
          <w:numId w:val="3"/>
        </w:numPr>
        <w:spacing w:after="200" w:line="360" w:lineRule="auto"/>
      </w:pPr>
      <w:r>
        <w:lastRenderedPageBreak/>
        <w:t xml:space="preserve">develop a systematic approach for searching for research, note taking, and organizing findings. </w:t>
      </w:r>
    </w:p>
    <w:p w14:paraId="0B9EBB84" w14:textId="77777777" w:rsidR="00A42CE2" w:rsidRDefault="00000000">
      <w:pPr>
        <w:numPr>
          <w:ilvl w:val="0"/>
          <w:numId w:val="3"/>
        </w:numPr>
        <w:spacing w:after="200" w:line="360" w:lineRule="auto"/>
      </w:pPr>
      <w:r>
        <w:t>consider the ways in which relevant research can impact my practice.</w:t>
      </w:r>
    </w:p>
    <w:p w14:paraId="638C67F4" w14:textId="77777777" w:rsidR="00A42CE2" w:rsidRDefault="00000000">
      <w:pPr>
        <w:spacing w:after="200" w:line="360" w:lineRule="auto"/>
      </w:pPr>
      <w:r>
        <w:t>Research aims will be achieved and measured by:</w:t>
      </w:r>
    </w:p>
    <w:p w14:paraId="1C7CF3E7" w14:textId="77777777" w:rsidR="00A42CE2" w:rsidRDefault="00000000">
      <w:pPr>
        <w:numPr>
          <w:ilvl w:val="0"/>
          <w:numId w:val="3"/>
        </w:numPr>
        <w:spacing w:after="200" w:line="360" w:lineRule="auto"/>
      </w:pPr>
      <w:r>
        <w:t>examining the potential role of singing in enhancing self-esteem, self-confidence, and overall emotional well-being.</w:t>
      </w:r>
    </w:p>
    <w:p w14:paraId="00A5ACDA" w14:textId="77777777" w:rsidR="00A42CE2" w:rsidRDefault="00000000">
      <w:pPr>
        <w:numPr>
          <w:ilvl w:val="0"/>
          <w:numId w:val="5"/>
        </w:numPr>
        <w:spacing w:after="200" w:line="360" w:lineRule="auto"/>
      </w:pPr>
      <w:r>
        <w:t>investigating how group singing fosters a sense of belonging, social cohesion, and community support among marginalized and disadvantaged populations.</w:t>
      </w:r>
    </w:p>
    <w:p w14:paraId="6EE4E90E" w14:textId="77777777" w:rsidR="00A42CE2" w:rsidRDefault="00000000">
      <w:pPr>
        <w:numPr>
          <w:ilvl w:val="0"/>
          <w:numId w:val="5"/>
        </w:numPr>
        <w:spacing w:after="200" w:line="360" w:lineRule="auto"/>
      </w:pPr>
      <w:r>
        <w:t>exploring how singing can be used to facilitate social integration, reducing feelings of isolation, and promoting social interaction.</w:t>
      </w:r>
    </w:p>
    <w:p w14:paraId="5ECDB153" w14:textId="77777777" w:rsidR="00A42CE2" w:rsidRDefault="00000000">
      <w:pPr>
        <w:numPr>
          <w:ilvl w:val="0"/>
          <w:numId w:val="7"/>
        </w:numPr>
        <w:spacing w:after="200" w:line="360" w:lineRule="auto"/>
      </w:pPr>
      <w:r>
        <w:t>identifying the structural, financial, and cultural challenges that may affect the feasibility and sustainability of singing programs.</w:t>
      </w:r>
    </w:p>
    <w:p w14:paraId="1418B078" w14:textId="77777777" w:rsidR="00A42CE2" w:rsidRDefault="00000000">
      <w:pPr>
        <w:numPr>
          <w:ilvl w:val="0"/>
          <w:numId w:val="7"/>
        </w:numPr>
        <w:spacing w:after="200" w:line="360" w:lineRule="auto"/>
      </w:pPr>
      <w:r>
        <w:t>highlighting successful strategies and best practices for overcoming barriers and promoting inclusivity.</w:t>
      </w:r>
    </w:p>
    <w:p w14:paraId="1236B3FA" w14:textId="77777777" w:rsidR="00A42CE2" w:rsidRDefault="00000000">
      <w:pPr>
        <w:spacing w:after="200" w:line="360" w:lineRule="auto"/>
      </w:pPr>
      <w:r>
        <w:t>The following outlines my planned timeline for my research with deadlines:</w:t>
      </w:r>
    </w:p>
    <w:tbl>
      <w:tblPr>
        <w:tblStyle w:val="a"/>
        <w:tblW w:w="937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745"/>
        <w:gridCol w:w="1630"/>
      </w:tblGrid>
      <w:tr w:rsidR="00A42CE2" w14:paraId="6985CF85" w14:textId="77777777" w:rsidTr="009E1050">
        <w:tc>
          <w:tcPr>
            <w:tcW w:w="7745" w:type="dxa"/>
            <w:shd w:val="clear" w:color="auto" w:fill="auto"/>
            <w:tcMar>
              <w:top w:w="100" w:type="dxa"/>
              <w:left w:w="100" w:type="dxa"/>
              <w:bottom w:w="100" w:type="dxa"/>
              <w:right w:w="100" w:type="dxa"/>
            </w:tcMar>
          </w:tcPr>
          <w:p w14:paraId="57A34321" w14:textId="77777777" w:rsidR="00A42CE2" w:rsidRDefault="00000000">
            <w:pPr>
              <w:widowControl w:val="0"/>
              <w:pBdr>
                <w:top w:val="nil"/>
                <w:left w:val="nil"/>
                <w:bottom w:val="nil"/>
                <w:right w:val="nil"/>
                <w:between w:val="nil"/>
              </w:pBdr>
              <w:spacing w:line="240" w:lineRule="auto"/>
              <w:jc w:val="center"/>
              <w:rPr>
                <w:b/>
              </w:rPr>
            </w:pPr>
            <w:r>
              <w:rPr>
                <w:b/>
              </w:rPr>
              <w:t>Task</w:t>
            </w:r>
          </w:p>
        </w:tc>
        <w:tc>
          <w:tcPr>
            <w:tcW w:w="1630" w:type="dxa"/>
            <w:shd w:val="clear" w:color="auto" w:fill="auto"/>
            <w:tcMar>
              <w:top w:w="100" w:type="dxa"/>
              <w:left w:w="100" w:type="dxa"/>
              <w:bottom w:w="100" w:type="dxa"/>
              <w:right w:w="100" w:type="dxa"/>
            </w:tcMar>
          </w:tcPr>
          <w:p w14:paraId="2D532381" w14:textId="77777777" w:rsidR="00A42CE2" w:rsidRDefault="00000000">
            <w:pPr>
              <w:widowControl w:val="0"/>
              <w:pBdr>
                <w:top w:val="nil"/>
                <w:left w:val="nil"/>
                <w:bottom w:val="nil"/>
                <w:right w:val="nil"/>
                <w:between w:val="nil"/>
              </w:pBdr>
              <w:spacing w:line="240" w:lineRule="auto"/>
              <w:jc w:val="center"/>
              <w:rPr>
                <w:b/>
              </w:rPr>
            </w:pPr>
            <w:r>
              <w:rPr>
                <w:b/>
              </w:rPr>
              <w:t>Deadline</w:t>
            </w:r>
          </w:p>
        </w:tc>
      </w:tr>
      <w:tr w:rsidR="00A42CE2" w14:paraId="745E9C18" w14:textId="77777777" w:rsidTr="009E1050">
        <w:tc>
          <w:tcPr>
            <w:tcW w:w="7745"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14:paraId="4D772258" w14:textId="77777777" w:rsidR="00A42CE2" w:rsidRDefault="00000000">
            <w:pPr>
              <w:widowControl w:val="0"/>
              <w:jc w:val="center"/>
              <w:rPr>
                <w:sz w:val="20"/>
                <w:szCs w:val="20"/>
              </w:rPr>
            </w:pPr>
            <w:r>
              <w:t>Make decisions about the research topic and meet with tutor to finalize.</w:t>
            </w:r>
          </w:p>
        </w:tc>
        <w:tc>
          <w:tcPr>
            <w:tcW w:w="1630" w:type="dxa"/>
            <w:shd w:val="clear" w:color="auto" w:fill="auto"/>
            <w:tcMar>
              <w:top w:w="100" w:type="dxa"/>
              <w:left w:w="100" w:type="dxa"/>
              <w:bottom w:w="100" w:type="dxa"/>
              <w:right w:w="100" w:type="dxa"/>
            </w:tcMar>
          </w:tcPr>
          <w:p w14:paraId="6E6D5B90" w14:textId="77777777" w:rsidR="00A42CE2" w:rsidRDefault="00000000">
            <w:pPr>
              <w:widowControl w:val="0"/>
              <w:pBdr>
                <w:top w:val="nil"/>
                <w:left w:val="nil"/>
                <w:bottom w:val="nil"/>
                <w:right w:val="nil"/>
                <w:between w:val="nil"/>
              </w:pBdr>
              <w:spacing w:line="240" w:lineRule="auto"/>
              <w:jc w:val="center"/>
            </w:pPr>
            <w:r>
              <w:t>July 1, 2023</w:t>
            </w:r>
          </w:p>
        </w:tc>
      </w:tr>
      <w:tr w:rsidR="00A42CE2" w14:paraId="3B11690D" w14:textId="77777777" w:rsidTr="009E1050">
        <w:tc>
          <w:tcPr>
            <w:tcW w:w="77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C973D6D" w14:textId="77777777" w:rsidR="00A42CE2" w:rsidRDefault="00000000">
            <w:pPr>
              <w:widowControl w:val="0"/>
              <w:jc w:val="center"/>
              <w:rPr>
                <w:sz w:val="20"/>
                <w:szCs w:val="20"/>
              </w:rPr>
            </w:pPr>
            <w:r>
              <w:t xml:space="preserve">Outline and write aims, </w:t>
            </w:r>
            <w:proofErr w:type="gramStart"/>
            <w:r>
              <w:t>objectives</w:t>
            </w:r>
            <w:proofErr w:type="gramEnd"/>
            <w:r>
              <w:t xml:space="preserve"> and project rationale.</w:t>
            </w:r>
          </w:p>
        </w:tc>
        <w:tc>
          <w:tcPr>
            <w:tcW w:w="1630" w:type="dxa"/>
            <w:shd w:val="clear" w:color="auto" w:fill="auto"/>
            <w:tcMar>
              <w:top w:w="100" w:type="dxa"/>
              <w:left w:w="100" w:type="dxa"/>
              <w:bottom w:w="100" w:type="dxa"/>
              <w:right w:w="100" w:type="dxa"/>
            </w:tcMar>
          </w:tcPr>
          <w:p w14:paraId="011C706B" w14:textId="77777777" w:rsidR="00A42CE2" w:rsidRDefault="00000000">
            <w:pPr>
              <w:widowControl w:val="0"/>
              <w:pBdr>
                <w:top w:val="nil"/>
                <w:left w:val="nil"/>
                <w:bottom w:val="nil"/>
                <w:right w:val="nil"/>
                <w:between w:val="nil"/>
              </w:pBdr>
              <w:spacing w:line="240" w:lineRule="auto"/>
              <w:jc w:val="center"/>
            </w:pPr>
            <w:r>
              <w:t>July 7, 2023</w:t>
            </w:r>
          </w:p>
        </w:tc>
      </w:tr>
      <w:tr w:rsidR="00A42CE2" w14:paraId="041EE4A2" w14:textId="77777777" w:rsidTr="009E1050">
        <w:tc>
          <w:tcPr>
            <w:tcW w:w="77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25F7E9B3" w14:textId="77777777" w:rsidR="00A42CE2" w:rsidRDefault="00000000">
            <w:pPr>
              <w:widowControl w:val="0"/>
              <w:jc w:val="center"/>
              <w:rPr>
                <w:sz w:val="20"/>
                <w:szCs w:val="20"/>
              </w:rPr>
            </w:pPr>
            <w:r>
              <w:t>Read systematic reviews of the topic, identifying key researchers and themes in the literature.</w:t>
            </w:r>
          </w:p>
        </w:tc>
        <w:tc>
          <w:tcPr>
            <w:tcW w:w="1630" w:type="dxa"/>
            <w:shd w:val="clear" w:color="auto" w:fill="auto"/>
            <w:tcMar>
              <w:top w:w="100" w:type="dxa"/>
              <w:left w:w="100" w:type="dxa"/>
              <w:bottom w:w="100" w:type="dxa"/>
              <w:right w:w="100" w:type="dxa"/>
            </w:tcMar>
          </w:tcPr>
          <w:p w14:paraId="32CD2C07" w14:textId="77777777" w:rsidR="00A42CE2" w:rsidRDefault="00000000">
            <w:pPr>
              <w:widowControl w:val="0"/>
              <w:pBdr>
                <w:top w:val="nil"/>
                <w:left w:val="nil"/>
                <w:bottom w:val="nil"/>
                <w:right w:val="nil"/>
                <w:between w:val="nil"/>
              </w:pBdr>
              <w:spacing w:line="240" w:lineRule="auto"/>
              <w:jc w:val="center"/>
            </w:pPr>
            <w:r>
              <w:t>July 15, 2023</w:t>
            </w:r>
          </w:p>
        </w:tc>
      </w:tr>
      <w:tr w:rsidR="00A42CE2" w14:paraId="1D5B9D9A" w14:textId="77777777" w:rsidTr="009E1050">
        <w:tc>
          <w:tcPr>
            <w:tcW w:w="77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035D765" w14:textId="77777777" w:rsidR="00A42CE2" w:rsidRDefault="00000000">
            <w:pPr>
              <w:widowControl w:val="0"/>
              <w:jc w:val="center"/>
              <w:rPr>
                <w:sz w:val="20"/>
                <w:szCs w:val="20"/>
              </w:rPr>
            </w:pPr>
            <w:r>
              <w:t>Begin collecting research on the topic, organizing all notes.</w:t>
            </w:r>
          </w:p>
        </w:tc>
        <w:tc>
          <w:tcPr>
            <w:tcW w:w="1630" w:type="dxa"/>
            <w:shd w:val="clear" w:color="auto" w:fill="auto"/>
            <w:tcMar>
              <w:top w:w="100" w:type="dxa"/>
              <w:left w:w="100" w:type="dxa"/>
              <w:bottom w:w="100" w:type="dxa"/>
              <w:right w:w="100" w:type="dxa"/>
            </w:tcMar>
          </w:tcPr>
          <w:p w14:paraId="1C950E8B" w14:textId="77777777" w:rsidR="00A42CE2" w:rsidRDefault="00000000">
            <w:pPr>
              <w:widowControl w:val="0"/>
              <w:pBdr>
                <w:top w:val="nil"/>
                <w:left w:val="nil"/>
                <w:bottom w:val="nil"/>
                <w:right w:val="nil"/>
                <w:between w:val="nil"/>
              </w:pBdr>
              <w:spacing w:line="240" w:lineRule="auto"/>
              <w:jc w:val="center"/>
            </w:pPr>
            <w:r>
              <w:t>August 1, 2023</w:t>
            </w:r>
          </w:p>
        </w:tc>
      </w:tr>
      <w:tr w:rsidR="00A42CE2" w14:paraId="4C1F4873" w14:textId="77777777" w:rsidTr="009E1050">
        <w:tc>
          <w:tcPr>
            <w:tcW w:w="77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5EB9CBC6" w14:textId="77777777" w:rsidR="00A42CE2" w:rsidRDefault="00000000">
            <w:pPr>
              <w:widowControl w:val="0"/>
              <w:jc w:val="center"/>
              <w:rPr>
                <w:sz w:val="20"/>
                <w:szCs w:val="20"/>
              </w:rPr>
            </w:pPr>
            <w:r>
              <w:t>Outline research findings and identify themes.</w:t>
            </w:r>
          </w:p>
        </w:tc>
        <w:tc>
          <w:tcPr>
            <w:tcW w:w="1630" w:type="dxa"/>
            <w:shd w:val="clear" w:color="auto" w:fill="auto"/>
            <w:tcMar>
              <w:top w:w="100" w:type="dxa"/>
              <w:left w:w="100" w:type="dxa"/>
              <w:bottom w:w="100" w:type="dxa"/>
              <w:right w:w="100" w:type="dxa"/>
            </w:tcMar>
          </w:tcPr>
          <w:p w14:paraId="18CB58ED" w14:textId="77777777" w:rsidR="00A42CE2" w:rsidRDefault="00000000">
            <w:pPr>
              <w:widowControl w:val="0"/>
              <w:pBdr>
                <w:top w:val="nil"/>
                <w:left w:val="nil"/>
                <w:bottom w:val="nil"/>
                <w:right w:val="nil"/>
                <w:between w:val="nil"/>
              </w:pBdr>
              <w:spacing w:line="240" w:lineRule="auto"/>
              <w:jc w:val="center"/>
            </w:pPr>
            <w:r>
              <w:t>October 1, 2023</w:t>
            </w:r>
          </w:p>
        </w:tc>
      </w:tr>
      <w:tr w:rsidR="00A42CE2" w14:paraId="111504CB" w14:textId="77777777" w:rsidTr="009E1050">
        <w:tc>
          <w:tcPr>
            <w:tcW w:w="77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72B4123" w14:textId="77777777" w:rsidR="00A42CE2" w:rsidRDefault="00000000">
            <w:pPr>
              <w:widowControl w:val="0"/>
              <w:jc w:val="center"/>
              <w:rPr>
                <w:sz w:val="20"/>
                <w:szCs w:val="20"/>
              </w:rPr>
            </w:pPr>
            <w:r>
              <w:t>Write first draft of Assignment 2 and submit to tutor for feedback</w:t>
            </w:r>
          </w:p>
        </w:tc>
        <w:tc>
          <w:tcPr>
            <w:tcW w:w="1630" w:type="dxa"/>
            <w:shd w:val="clear" w:color="auto" w:fill="auto"/>
            <w:tcMar>
              <w:top w:w="100" w:type="dxa"/>
              <w:left w:w="100" w:type="dxa"/>
              <w:bottom w:w="100" w:type="dxa"/>
              <w:right w:w="100" w:type="dxa"/>
            </w:tcMar>
          </w:tcPr>
          <w:p w14:paraId="016EC1FF" w14:textId="77777777" w:rsidR="00A42CE2" w:rsidRDefault="00000000">
            <w:pPr>
              <w:widowControl w:val="0"/>
              <w:pBdr>
                <w:top w:val="nil"/>
                <w:left w:val="nil"/>
                <w:bottom w:val="nil"/>
                <w:right w:val="nil"/>
                <w:between w:val="nil"/>
              </w:pBdr>
              <w:spacing w:line="240" w:lineRule="auto"/>
              <w:jc w:val="center"/>
            </w:pPr>
            <w:r>
              <w:t>October 18, 2023</w:t>
            </w:r>
          </w:p>
        </w:tc>
      </w:tr>
      <w:tr w:rsidR="00A42CE2" w14:paraId="6D878D10" w14:textId="77777777" w:rsidTr="009E1050">
        <w:tc>
          <w:tcPr>
            <w:tcW w:w="77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6E659937" w14:textId="77777777" w:rsidR="00A42CE2" w:rsidRDefault="00000000">
            <w:pPr>
              <w:widowControl w:val="0"/>
              <w:jc w:val="center"/>
              <w:rPr>
                <w:sz w:val="20"/>
                <w:szCs w:val="20"/>
              </w:rPr>
            </w:pPr>
            <w:r>
              <w:t>Reflect on the research journey and write critical reflection for Assignment 1.</w:t>
            </w:r>
          </w:p>
        </w:tc>
        <w:tc>
          <w:tcPr>
            <w:tcW w:w="1630" w:type="dxa"/>
            <w:shd w:val="clear" w:color="auto" w:fill="auto"/>
            <w:tcMar>
              <w:top w:w="100" w:type="dxa"/>
              <w:left w:w="100" w:type="dxa"/>
              <w:bottom w:w="100" w:type="dxa"/>
              <w:right w:w="100" w:type="dxa"/>
            </w:tcMar>
          </w:tcPr>
          <w:p w14:paraId="4AB3C489" w14:textId="77777777" w:rsidR="00A42CE2" w:rsidRDefault="00000000">
            <w:pPr>
              <w:widowControl w:val="0"/>
              <w:pBdr>
                <w:top w:val="nil"/>
                <w:left w:val="nil"/>
                <w:bottom w:val="nil"/>
                <w:right w:val="nil"/>
                <w:between w:val="nil"/>
              </w:pBdr>
              <w:spacing w:line="240" w:lineRule="auto"/>
              <w:jc w:val="center"/>
            </w:pPr>
            <w:r>
              <w:t>November 1, 2023</w:t>
            </w:r>
          </w:p>
        </w:tc>
      </w:tr>
      <w:tr w:rsidR="00A42CE2" w14:paraId="0E4D5089" w14:textId="77777777" w:rsidTr="009E1050">
        <w:tc>
          <w:tcPr>
            <w:tcW w:w="7745"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043BA217" w14:textId="77777777" w:rsidR="00A42CE2" w:rsidRDefault="00000000">
            <w:pPr>
              <w:widowControl w:val="0"/>
              <w:jc w:val="center"/>
              <w:rPr>
                <w:sz w:val="20"/>
                <w:szCs w:val="20"/>
              </w:rPr>
            </w:pPr>
            <w:r>
              <w:lastRenderedPageBreak/>
              <w:t>Edit drafts and prepare for final submission, ensuring proper referencing, checking for spelling.</w:t>
            </w:r>
          </w:p>
        </w:tc>
        <w:tc>
          <w:tcPr>
            <w:tcW w:w="1630" w:type="dxa"/>
            <w:shd w:val="clear" w:color="auto" w:fill="auto"/>
            <w:tcMar>
              <w:top w:w="100" w:type="dxa"/>
              <w:left w:w="100" w:type="dxa"/>
              <w:bottom w:w="100" w:type="dxa"/>
              <w:right w:w="100" w:type="dxa"/>
            </w:tcMar>
          </w:tcPr>
          <w:p w14:paraId="7EC608D2" w14:textId="77777777" w:rsidR="00A42CE2" w:rsidRDefault="00000000">
            <w:pPr>
              <w:widowControl w:val="0"/>
              <w:pBdr>
                <w:top w:val="nil"/>
                <w:left w:val="nil"/>
                <w:bottom w:val="nil"/>
                <w:right w:val="nil"/>
                <w:between w:val="nil"/>
              </w:pBdr>
              <w:spacing w:line="240" w:lineRule="auto"/>
              <w:jc w:val="center"/>
            </w:pPr>
            <w:r>
              <w:t>November 7, 2023</w:t>
            </w:r>
          </w:p>
        </w:tc>
      </w:tr>
      <w:tr w:rsidR="00A42CE2" w14:paraId="1EFAA6A8" w14:textId="77777777" w:rsidTr="009E1050">
        <w:tc>
          <w:tcPr>
            <w:tcW w:w="7745" w:type="dxa"/>
            <w:shd w:val="clear" w:color="auto" w:fill="auto"/>
            <w:tcMar>
              <w:top w:w="100" w:type="dxa"/>
              <w:left w:w="100" w:type="dxa"/>
              <w:bottom w:w="100" w:type="dxa"/>
              <w:right w:w="100" w:type="dxa"/>
            </w:tcMar>
          </w:tcPr>
          <w:p w14:paraId="47174F24" w14:textId="77777777" w:rsidR="00A42CE2" w:rsidRDefault="00000000">
            <w:pPr>
              <w:widowControl w:val="0"/>
              <w:jc w:val="center"/>
            </w:pPr>
            <w:r>
              <w:t>Submit final project.</w:t>
            </w:r>
          </w:p>
        </w:tc>
        <w:tc>
          <w:tcPr>
            <w:tcW w:w="1630" w:type="dxa"/>
            <w:shd w:val="clear" w:color="auto" w:fill="auto"/>
            <w:tcMar>
              <w:top w:w="100" w:type="dxa"/>
              <w:left w:w="100" w:type="dxa"/>
              <w:bottom w:w="100" w:type="dxa"/>
              <w:right w:w="100" w:type="dxa"/>
            </w:tcMar>
          </w:tcPr>
          <w:p w14:paraId="6443FAD5" w14:textId="77777777" w:rsidR="00A42CE2" w:rsidRDefault="00000000">
            <w:pPr>
              <w:widowControl w:val="0"/>
              <w:pBdr>
                <w:top w:val="nil"/>
                <w:left w:val="nil"/>
                <w:bottom w:val="nil"/>
                <w:right w:val="nil"/>
                <w:between w:val="nil"/>
              </w:pBdr>
              <w:spacing w:line="240" w:lineRule="auto"/>
              <w:jc w:val="center"/>
            </w:pPr>
            <w:r>
              <w:t>November 7, 2023</w:t>
            </w:r>
          </w:p>
        </w:tc>
      </w:tr>
    </w:tbl>
    <w:p w14:paraId="52B57D72" w14:textId="77777777" w:rsidR="00C575A3" w:rsidRDefault="00C575A3">
      <w:pPr>
        <w:spacing w:after="200" w:line="360" w:lineRule="auto"/>
        <w:rPr>
          <w:b/>
          <w:u w:val="single"/>
        </w:rPr>
      </w:pPr>
    </w:p>
    <w:p w14:paraId="51AAD552" w14:textId="73F680BB" w:rsidR="00A42CE2" w:rsidRDefault="00000000">
      <w:pPr>
        <w:spacing w:after="200" w:line="360" w:lineRule="auto"/>
        <w:rPr>
          <w:b/>
          <w:u w:val="single"/>
        </w:rPr>
      </w:pPr>
      <w:r>
        <w:rPr>
          <w:b/>
          <w:u w:val="single"/>
        </w:rPr>
        <w:t>Literature Review Process</w:t>
      </w:r>
    </w:p>
    <w:p w14:paraId="21C67977" w14:textId="77777777" w:rsidR="00A42CE2" w:rsidRDefault="00000000">
      <w:pPr>
        <w:spacing w:after="200" w:line="360" w:lineRule="auto"/>
      </w:pPr>
      <w:r>
        <w:t xml:space="preserve">The literature review process is a crucial step of the research </w:t>
      </w:r>
      <w:proofErr w:type="gramStart"/>
      <w:r>
        <w:t>process</w:t>
      </w:r>
      <w:proofErr w:type="gramEnd"/>
      <w:r>
        <w:t xml:space="preserve"> and it can help to shape the research path as the researcher examines “how others have already thought about and researched the topic” (Berg, 2001, p. 19). Following Cooper’s (1988) Taxonomy of Literature Reviews, my review will focus on research outcomes. This will involve a critical analysis of findings in the research literature in the fields of singing for health and LGBTQIA+ choirs. Primary studies will be qualitative in nature, but due to the nature of my study I will be exploring research findings from quantitative research studies as well (</w:t>
      </w:r>
      <w:proofErr w:type="spellStart"/>
      <w:r>
        <w:t>Sanelowski</w:t>
      </w:r>
      <w:proofErr w:type="spellEnd"/>
      <w:r>
        <w:t xml:space="preserve"> and Barroso, 2007). Each method is not without its limitations (Bell and Waters, 2018). For example, qualitative research has been criticized because findings cannot be used to generalize the experience of entire populations due to limits of sample size (</w:t>
      </w:r>
      <w:proofErr w:type="spellStart"/>
      <w:r>
        <w:t>Sandelowski</w:t>
      </w:r>
      <w:proofErr w:type="spellEnd"/>
      <w:r>
        <w:t xml:space="preserve"> and Barroso, 2007). Quantitative research does not account for human feelings or </w:t>
      </w:r>
      <w:proofErr w:type="gramStart"/>
      <w:r>
        <w:t>emotions, but</w:t>
      </w:r>
      <w:proofErr w:type="gramEnd"/>
      <w:r>
        <w:t xml:space="preserve"> has the strength of being more objective (Bell and Waters, 2018). By using both qualitative and quantitative findings, the researcher </w:t>
      </w:r>
      <w:proofErr w:type="gramStart"/>
      <w:r>
        <w:t>is able to</w:t>
      </w:r>
      <w:proofErr w:type="gramEnd"/>
      <w:r>
        <w:t xml:space="preserve"> mitigate the weaknesses of each research method by drawing on the strengths of both types of research. </w:t>
      </w:r>
    </w:p>
    <w:p w14:paraId="562E996E" w14:textId="77777777" w:rsidR="00A42CE2" w:rsidRDefault="00000000">
      <w:pPr>
        <w:spacing w:after="200" w:line="360" w:lineRule="auto"/>
      </w:pPr>
      <w:r>
        <w:t xml:space="preserve">This study began with a very broad focus of singing for mental health. Since this was an area with which I had limited existing knowledge, systematic literature reviews were examined to identify key themes, leading researchers, and pioneering studies (Randolph, 2009). These systematic reviews were identified through initial database searches using the phrases: </w:t>
      </w:r>
      <w:r>
        <w:rPr>
          <w:i/>
        </w:rPr>
        <w:t>singing for health</w:t>
      </w:r>
      <w:r>
        <w:t xml:space="preserve"> and </w:t>
      </w:r>
      <w:r>
        <w:rPr>
          <w:i/>
        </w:rPr>
        <w:t>singing for mental health</w:t>
      </w:r>
      <w:r>
        <w:t xml:space="preserve"> (Bell and Water, 2018). Identifying key researchers and important studies proved helpful in guiding my search for specific studies to examine, while also aiding in narrowing my focus from </w:t>
      </w:r>
      <w:r>
        <w:rPr>
          <w:i/>
        </w:rPr>
        <w:t xml:space="preserve">singing for mental health </w:t>
      </w:r>
      <w:r>
        <w:t xml:space="preserve">to a more specific focus on </w:t>
      </w:r>
      <w:r>
        <w:rPr>
          <w:b/>
          <w:i/>
        </w:rPr>
        <w:t>group</w:t>
      </w:r>
      <w:r>
        <w:rPr>
          <w:i/>
        </w:rPr>
        <w:t xml:space="preserve"> singing for mental health</w:t>
      </w:r>
      <w:r>
        <w:t xml:space="preserve">. </w:t>
      </w:r>
    </w:p>
    <w:p w14:paraId="54C0EA93" w14:textId="77777777" w:rsidR="00A42CE2" w:rsidRDefault="00000000">
      <w:pPr>
        <w:spacing w:after="200" w:line="360" w:lineRule="auto"/>
      </w:pPr>
      <w:r>
        <w:t xml:space="preserve">A study by Bailey and Davidson (2002) frequently appeared in the systematic literature reviews that were initially perused, highlighting its importance as a foundational study in the field. After reading follow-up papers by Bailey and Davidson (2003, 2005), I began conducting author searches for Stephen Clift, who also emerged as a prominent researcher in the field (Bates, </w:t>
      </w:r>
      <w:r>
        <w:lastRenderedPageBreak/>
        <w:t>1989). I was able to identify relevant papers by Clift by first examining paper titles and abstracts to determine their relevance to my research (</w:t>
      </w:r>
      <w:proofErr w:type="spellStart"/>
      <w:r>
        <w:t>Sandelowski</w:t>
      </w:r>
      <w:proofErr w:type="spellEnd"/>
      <w:r>
        <w:t xml:space="preserve"> and Barroso, 2007).</w:t>
      </w:r>
    </w:p>
    <w:p w14:paraId="07F3EC89" w14:textId="77777777" w:rsidR="00A42CE2" w:rsidRDefault="00000000">
      <w:pPr>
        <w:spacing w:after="200" w:line="360" w:lineRule="auto"/>
      </w:pPr>
      <w:r>
        <w:t xml:space="preserve">After reading papers by Clift, I then identified other relevant studies through “footnote chasing” (Bates, 1989, p. 1), the process of examining the references of relevant papers to search for additional related literature. This process resulted in identifying what initially felt like an overwhelming number of related articles. I began collecting articles, reading </w:t>
      </w:r>
      <w:proofErr w:type="gramStart"/>
      <w:r>
        <w:t>abstracts</w:t>
      </w:r>
      <w:proofErr w:type="gramEnd"/>
      <w:r>
        <w:t xml:space="preserve"> and organizing them for future reading.</w:t>
      </w:r>
    </w:p>
    <w:p w14:paraId="33C60329" w14:textId="77777777" w:rsidR="00A42CE2" w:rsidRDefault="00000000">
      <w:pPr>
        <w:spacing w:after="200" w:line="360" w:lineRule="auto"/>
      </w:pPr>
      <w:r>
        <w:t xml:space="preserve">Through the early process of reading, a few key findings emerged in many papers relating to perceived benefits of group singing for health: </w:t>
      </w:r>
    </w:p>
    <w:p w14:paraId="4E7408FF" w14:textId="77777777" w:rsidR="00A42CE2" w:rsidRDefault="00000000">
      <w:pPr>
        <w:numPr>
          <w:ilvl w:val="0"/>
          <w:numId w:val="8"/>
        </w:numPr>
        <w:spacing w:after="200" w:line="360" w:lineRule="auto"/>
      </w:pPr>
      <w:r>
        <w:t>benefits related to physical wellbeing (</w:t>
      </w:r>
      <w:proofErr w:type="spellStart"/>
      <w:r>
        <w:t>Pavlakou</w:t>
      </w:r>
      <w:proofErr w:type="spellEnd"/>
      <w:r>
        <w:t xml:space="preserve">, 2009; Livesey, Morrison, Clift and </w:t>
      </w:r>
      <w:proofErr w:type="spellStart"/>
      <w:r>
        <w:t>Camic</w:t>
      </w:r>
      <w:proofErr w:type="spellEnd"/>
      <w:r>
        <w:t xml:space="preserve">, 2012; </w:t>
      </w:r>
      <w:proofErr w:type="spellStart"/>
      <w:r>
        <w:t>Lagace</w:t>
      </w:r>
      <w:proofErr w:type="spellEnd"/>
      <w:r>
        <w:t xml:space="preserve"> et al, 2015; </w:t>
      </w:r>
      <w:proofErr w:type="spellStart"/>
      <w:r>
        <w:t>Skingley</w:t>
      </w:r>
      <w:proofErr w:type="spellEnd"/>
      <w:r>
        <w:t>, Martin and Clift, 2016</w:t>
      </w:r>
      <w:proofErr w:type="gramStart"/>
      <w:r>
        <w:t>);</w:t>
      </w:r>
      <w:proofErr w:type="gramEnd"/>
    </w:p>
    <w:p w14:paraId="5489F4F4" w14:textId="77777777" w:rsidR="00A42CE2" w:rsidRDefault="00000000">
      <w:pPr>
        <w:numPr>
          <w:ilvl w:val="0"/>
          <w:numId w:val="8"/>
        </w:numPr>
        <w:spacing w:after="200" w:line="360" w:lineRule="auto"/>
      </w:pPr>
      <w:r>
        <w:t>benefits related to emotional wellbeing (</w:t>
      </w:r>
      <w:proofErr w:type="spellStart"/>
      <w:r>
        <w:t>Pavlakou</w:t>
      </w:r>
      <w:proofErr w:type="spellEnd"/>
      <w:r>
        <w:t xml:space="preserve">, 2009; Allison et al, 2020; </w:t>
      </w:r>
      <w:proofErr w:type="spellStart"/>
      <w:r>
        <w:t>Helitzer</w:t>
      </w:r>
      <w:proofErr w:type="spellEnd"/>
      <w:r>
        <w:t>, Moss, and O'Donoghue, 2022</w:t>
      </w:r>
      <w:proofErr w:type="gramStart"/>
      <w:r>
        <w:t>);</w:t>
      </w:r>
      <w:proofErr w:type="gramEnd"/>
    </w:p>
    <w:p w14:paraId="4B871812" w14:textId="77777777" w:rsidR="00A42CE2" w:rsidRDefault="00000000">
      <w:pPr>
        <w:numPr>
          <w:ilvl w:val="0"/>
          <w:numId w:val="8"/>
        </w:numPr>
        <w:spacing w:after="200" w:line="360" w:lineRule="auto"/>
      </w:pPr>
      <w:r>
        <w:t xml:space="preserve">benefits related to social wellbeing (Dingle, Brander, </w:t>
      </w:r>
      <w:proofErr w:type="gramStart"/>
      <w:r>
        <w:t>Ballantyne</w:t>
      </w:r>
      <w:proofErr w:type="gramEnd"/>
      <w:r>
        <w:t xml:space="preserve"> and Baker, 2012; Pearce, Laundry, and Dunbar, 2015; Young, 2020; Batt-</w:t>
      </w:r>
      <w:proofErr w:type="spellStart"/>
      <w:r>
        <w:t>Rawden</w:t>
      </w:r>
      <w:proofErr w:type="spellEnd"/>
      <w:r>
        <w:t xml:space="preserve"> and Anderson, 2020).</w:t>
      </w:r>
    </w:p>
    <w:p w14:paraId="18B345CE" w14:textId="77777777" w:rsidR="00A42CE2" w:rsidRDefault="00000000">
      <w:pPr>
        <w:spacing w:after="200" w:line="360" w:lineRule="auto"/>
      </w:pPr>
      <w:r>
        <w:t xml:space="preserve">I found myself more intrigued by benefits relating to social and emotional wellbeing, rather than physical wellbeing. Although the research on physical </w:t>
      </w:r>
      <w:proofErr w:type="spellStart"/>
      <w:r>
        <w:t>well being</w:t>
      </w:r>
      <w:proofErr w:type="spellEnd"/>
      <w:r>
        <w:t xml:space="preserve"> was compelling, the social and emotional benefits appeared to have more relevance to my practice. Of particular interest was the research suggesting that group singing may contribute positively to feelings of belonging and social connectedness (Bailey and Davidson, 2005; Livesey, Morrison, Clift and </w:t>
      </w:r>
      <w:proofErr w:type="spellStart"/>
      <w:r>
        <w:t>Camic</w:t>
      </w:r>
      <w:proofErr w:type="spellEnd"/>
      <w:r>
        <w:t>, 2012; Judd and Pooley, 2015). Narrowing my focus further made the process of searching for additional related literature more manageable. I continued the process of “footnote chasing” (Bates, 1989, p. 1), database searches and author searches (Randolph, 2009; Bell and Waters, 2018) until I had reached “a point of saturation” (Randolph, 2009, p. 7).</w:t>
      </w:r>
    </w:p>
    <w:p w14:paraId="3089AC74" w14:textId="77777777" w:rsidR="00A42CE2" w:rsidRDefault="00000000">
      <w:pPr>
        <w:spacing w:after="200" w:line="360" w:lineRule="auto"/>
      </w:pPr>
      <w:r>
        <w:t>In recognizing the need for a system to organize notes and findings (Bell and Waters, 2018), I created a spreadsheet modeled after Bungay and Vella-Burrows (2013). I maintained this document in Google Sheets, as it is cloud-based and allowed for easy access in any scenario where I might find myself able to work on my research project (Bell and Waters, 2018). For each study, I organized the research into the following categories:</w:t>
      </w:r>
    </w:p>
    <w:p w14:paraId="2CA9B5F5" w14:textId="77777777" w:rsidR="00A42CE2" w:rsidRDefault="00000000">
      <w:pPr>
        <w:numPr>
          <w:ilvl w:val="0"/>
          <w:numId w:val="4"/>
        </w:numPr>
        <w:spacing w:after="200" w:line="360" w:lineRule="auto"/>
      </w:pPr>
      <w:r>
        <w:t>Study Design</w:t>
      </w:r>
    </w:p>
    <w:p w14:paraId="05B64D5A" w14:textId="77777777" w:rsidR="00A42CE2" w:rsidRDefault="00000000">
      <w:pPr>
        <w:numPr>
          <w:ilvl w:val="0"/>
          <w:numId w:val="4"/>
        </w:numPr>
        <w:spacing w:after="200" w:line="360" w:lineRule="auto"/>
      </w:pPr>
      <w:r>
        <w:lastRenderedPageBreak/>
        <w:t>Sample Size, Range and Location</w:t>
      </w:r>
    </w:p>
    <w:p w14:paraId="3DC224E7" w14:textId="77777777" w:rsidR="00A42CE2" w:rsidRDefault="00000000">
      <w:pPr>
        <w:numPr>
          <w:ilvl w:val="0"/>
          <w:numId w:val="4"/>
        </w:numPr>
        <w:spacing w:after="200" w:line="360" w:lineRule="auto"/>
      </w:pPr>
      <w:r>
        <w:t>Results</w:t>
      </w:r>
    </w:p>
    <w:p w14:paraId="5C0E7607" w14:textId="77777777" w:rsidR="00A42CE2" w:rsidRDefault="00000000">
      <w:pPr>
        <w:numPr>
          <w:ilvl w:val="0"/>
          <w:numId w:val="4"/>
        </w:numPr>
        <w:spacing w:after="200" w:line="360" w:lineRule="auto"/>
      </w:pPr>
      <w:r>
        <w:t>Limitations</w:t>
      </w:r>
    </w:p>
    <w:p w14:paraId="31D2C8A7" w14:textId="77777777" w:rsidR="00A42CE2" w:rsidRDefault="00000000">
      <w:pPr>
        <w:spacing w:after="200" w:line="360" w:lineRule="auto"/>
      </w:pPr>
      <w:r>
        <w:t>Adding this step to my research project aided in keeping my research organized, specifically making the process of comparing findings, samples, and limitations across multiple studies more manageable. This made the process of synthesizing research feel less daunting as it was less challenging to make note of connections in the literature in a spreadsheet than it was in previous modules when I organized my notes in a word document.</w:t>
      </w:r>
    </w:p>
    <w:p w14:paraId="7E688DE6" w14:textId="77777777" w:rsidR="00A42CE2" w:rsidRDefault="00000000">
      <w:pPr>
        <w:spacing w:after="200" w:line="360" w:lineRule="auto"/>
      </w:pPr>
      <w:r>
        <w:t xml:space="preserve">Although I read a good amount of literature and had my research well organized, when I started writing I had trouble organizing the information in my paper. I realized that although I had a clear topic guiding my research, I was not able to clearly articulate my research question. Since research questions give direction to research (Berg, 2001), the development of a clear research question is a crucial step in research. Not taking the time to identify this from the start resulted in extra work at the end of the process as I made attempts to put my research together into my paper. Pausing my writing to reflect on this and develop a definitive research question gave my research more focus and guided my remaining writing. </w:t>
      </w:r>
    </w:p>
    <w:p w14:paraId="0C18AB97" w14:textId="77777777" w:rsidR="00A42CE2" w:rsidRDefault="00000000">
      <w:pPr>
        <w:spacing w:after="200" w:line="360" w:lineRule="auto"/>
      </w:pPr>
      <w:r>
        <w:t xml:space="preserve">In reflecting on what I had already learned and where I want this learning to lead for the final module of this MA, I was able to develop my research question: </w:t>
      </w:r>
      <w:r>
        <w:rPr>
          <w:i/>
        </w:rPr>
        <w:t xml:space="preserve">How can group singing impact the social and emotional wellbeing of LGBTQIA+ individuals singing in a community choir? </w:t>
      </w:r>
      <w:r>
        <w:t xml:space="preserve">This brought together my interests in LGBTQIA+ community choirs and the learning I had already undertaken for this module regarding the potential impact of group singing on social and emotional wellbeing. In addition to </w:t>
      </w:r>
      <w:proofErr w:type="gramStart"/>
      <w:r>
        <w:t>making</w:t>
      </w:r>
      <w:proofErr w:type="gramEnd"/>
      <w:r>
        <w:t xml:space="preserve"> it easier to organize my research findings, identifying a specific focus gave this research a more tangible relevance to my practice. By narrowing my research focus, some of the studies I had already read were no longer relevant. Alternatively, there were other relevant studies that would need to be explored. </w:t>
      </w:r>
    </w:p>
    <w:p w14:paraId="297B7D39" w14:textId="77777777" w:rsidR="00A42CE2" w:rsidRDefault="00000000">
      <w:pPr>
        <w:spacing w:after="200" w:line="360" w:lineRule="auto"/>
      </w:pPr>
      <w:r>
        <w:t xml:space="preserve">Following similar processes used in my earlier research, database searches for studies specifically involving LGBTQIA+ choirs yielded limited results (Bell and Water, 2018). Further examination revealed that this is an area warranting more studies and research focus. Much of the writing found on the subject was grey literature as it was not published in peer reviewed publications (Sharma et al, 2017). Although academic research requires the use of primarily </w:t>
      </w:r>
      <w:r>
        <w:lastRenderedPageBreak/>
        <w:t xml:space="preserve">white literature, or literature found in peer reviewed journals or publications (Lawrence et al, 2014), the use of grey literature may be necessary when white literature is limited. </w:t>
      </w:r>
    </w:p>
    <w:p w14:paraId="017FC47C" w14:textId="0D384965" w:rsidR="00A42CE2" w:rsidRDefault="009E1050">
      <w:pPr>
        <w:spacing w:after="200" w:line="360" w:lineRule="auto"/>
        <w:rPr>
          <w:b/>
          <w:u w:val="single"/>
        </w:rPr>
      </w:pPr>
      <w:r>
        <w:rPr>
          <w:b/>
          <w:u w:val="single"/>
        </w:rPr>
        <w:t xml:space="preserve">Critical </w:t>
      </w:r>
      <w:r w:rsidR="00000000">
        <w:rPr>
          <w:b/>
          <w:u w:val="single"/>
        </w:rPr>
        <w:t xml:space="preserve">Reflection of the Learning Journey </w:t>
      </w:r>
    </w:p>
    <w:p w14:paraId="1DA1752F" w14:textId="77777777" w:rsidR="00A42CE2" w:rsidRDefault="00000000">
      <w:pPr>
        <w:spacing w:after="200" w:line="360" w:lineRule="auto"/>
      </w:pPr>
      <w:r>
        <w:t>The use of reflection is a key part of the learning process which must be approached systematically (</w:t>
      </w:r>
      <w:proofErr w:type="spellStart"/>
      <w:r>
        <w:t>Ghaye</w:t>
      </w:r>
      <w:proofErr w:type="spellEnd"/>
      <w:r>
        <w:t xml:space="preserve">, 2011). My reflective process is </w:t>
      </w:r>
      <w:r>
        <w:rPr>
          <w:i/>
        </w:rPr>
        <w:t>reflection-on-action</w:t>
      </w:r>
      <w:r>
        <w:t>, (Schön, 1983) as it is occurring at the end of my learning process with a primary goal to “improve future action” (</w:t>
      </w:r>
      <w:proofErr w:type="spellStart"/>
      <w:r>
        <w:t>Ghaye</w:t>
      </w:r>
      <w:proofErr w:type="spellEnd"/>
      <w:r>
        <w:t xml:space="preserve">, 2011, p. 25). This process was very time intensive and there were successful improvements from my previous research projects, but there are also areas which I will need to improve </w:t>
      </w:r>
      <w:proofErr w:type="gramStart"/>
      <w:r>
        <w:t>in order to</w:t>
      </w:r>
      <w:proofErr w:type="gramEnd"/>
      <w:r>
        <w:t xml:space="preserve"> be more successful with the final module of my MA pathway. </w:t>
      </w:r>
    </w:p>
    <w:p w14:paraId="56193F07" w14:textId="77777777" w:rsidR="00A42CE2" w:rsidRDefault="00000000">
      <w:pPr>
        <w:spacing w:after="200" w:line="360" w:lineRule="auto"/>
      </w:pPr>
      <w:r>
        <w:t xml:space="preserve">I identified </w:t>
      </w:r>
      <w:proofErr w:type="spellStart"/>
      <w:r>
        <w:t>Bortons</w:t>
      </w:r>
      <w:proofErr w:type="spellEnd"/>
      <w:r>
        <w:t xml:space="preserve">’ (1970) model for reflection as a useful framework for my own reflective process. </w:t>
      </w:r>
      <w:proofErr w:type="spellStart"/>
      <w:r>
        <w:t>Bortons</w:t>
      </w:r>
      <w:proofErr w:type="spellEnd"/>
      <w:r>
        <w:t xml:space="preserve">’ model follows the process: </w:t>
      </w:r>
    </w:p>
    <w:p w14:paraId="2193C24E" w14:textId="77777777" w:rsidR="00A42CE2" w:rsidRDefault="00000000">
      <w:pPr>
        <w:numPr>
          <w:ilvl w:val="0"/>
          <w:numId w:val="9"/>
        </w:numPr>
        <w:spacing w:after="200" w:line="360" w:lineRule="auto"/>
      </w:pPr>
      <w:r>
        <w:t>What?</w:t>
      </w:r>
    </w:p>
    <w:p w14:paraId="3C91E288" w14:textId="77777777" w:rsidR="00A42CE2" w:rsidRDefault="00000000">
      <w:pPr>
        <w:numPr>
          <w:ilvl w:val="0"/>
          <w:numId w:val="9"/>
        </w:numPr>
        <w:spacing w:after="200" w:line="360" w:lineRule="auto"/>
      </w:pPr>
      <w:r>
        <w:t>So what?</w:t>
      </w:r>
    </w:p>
    <w:p w14:paraId="43AC5E16" w14:textId="77777777" w:rsidR="00A42CE2" w:rsidRDefault="00000000">
      <w:pPr>
        <w:numPr>
          <w:ilvl w:val="0"/>
          <w:numId w:val="9"/>
        </w:numPr>
        <w:spacing w:after="200" w:line="360" w:lineRule="auto"/>
      </w:pPr>
      <w:r>
        <w:t>Now what?</w:t>
      </w:r>
    </w:p>
    <w:p w14:paraId="46A2544C" w14:textId="77777777" w:rsidR="00A42CE2" w:rsidRDefault="00000000">
      <w:pPr>
        <w:spacing w:after="200" w:line="360" w:lineRule="auto"/>
        <w:rPr>
          <w:b/>
        </w:rPr>
      </w:pPr>
      <w:r>
        <w:t>This model is appealing because it allows for examining what happened, what it means, and how the learning can continue moving forward.</w:t>
      </w:r>
    </w:p>
    <w:p w14:paraId="5C88CD6F" w14:textId="77777777" w:rsidR="00A42CE2" w:rsidRDefault="00000000">
      <w:pPr>
        <w:spacing w:after="200" w:line="360" w:lineRule="auto"/>
        <w:rPr>
          <w:b/>
        </w:rPr>
      </w:pPr>
      <w:r>
        <w:rPr>
          <w:b/>
        </w:rPr>
        <w:t>What?</w:t>
      </w:r>
    </w:p>
    <w:p w14:paraId="073E15C3" w14:textId="77777777" w:rsidR="00A42CE2" w:rsidRDefault="00000000">
      <w:pPr>
        <w:spacing w:after="200" w:line="360" w:lineRule="auto"/>
      </w:pPr>
      <w:r>
        <w:t>I first began this research module with a very broad topic, which has proven to be an issue for me in previous modules as well. Because this has been an area in need of growth in the past, I made a very conscious and intentional effort to narrow the focus of my research. This process of identifying a more specific focus led me through the following series of explorations:</w:t>
      </w:r>
    </w:p>
    <w:p w14:paraId="73D585AC" w14:textId="77777777" w:rsidR="00A42CE2" w:rsidRDefault="00000000">
      <w:pPr>
        <w:numPr>
          <w:ilvl w:val="0"/>
          <w:numId w:val="1"/>
        </w:numPr>
        <w:spacing w:after="200" w:line="360" w:lineRule="auto"/>
      </w:pPr>
      <w:r>
        <w:t>group singing for health,</w:t>
      </w:r>
    </w:p>
    <w:p w14:paraId="6175FB4A" w14:textId="77777777" w:rsidR="00A42CE2" w:rsidRDefault="00000000">
      <w:pPr>
        <w:numPr>
          <w:ilvl w:val="0"/>
          <w:numId w:val="1"/>
        </w:numPr>
        <w:spacing w:after="200" w:line="360" w:lineRule="auto"/>
      </w:pPr>
      <w:r>
        <w:t>group singing for social and emotional health,</w:t>
      </w:r>
    </w:p>
    <w:p w14:paraId="06361DA1" w14:textId="77777777" w:rsidR="00A42CE2" w:rsidRDefault="00000000">
      <w:pPr>
        <w:numPr>
          <w:ilvl w:val="0"/>
          <w:numId w:val="1"/>
        </w:numPr>
        <w:spacing w:after="200" w:line="360" w:lineRule="auto"/>
      </w:pPr>
      <w:r>
        <w:t>impacts of group singing on social and emotional wellbeing and feelings of belonging,</w:t>
      </w:r>
    </w:p>
    <w:p w14:paraId="651B5180" w14:textId="77777777" w:rsidR="00A42CE2" w:rsidRDefault="00000000">
      <w:pPr>
        <w:numPr>
          <w:ilvl w:val="0"/>
          <w:numId w:val="1"/>
        </w:numPr>
        <w:spacing w:after="200" w:line="360" w:lineRule="auto"/>
      </w:pPr>
      <w:r>
        <w:t>impacts of group singing on the LGBTQIA+ community, with regards to social and emotional wellbeing and feelings of belonging.</w:t>
      </w:r>
    </w:p>
    <w:p w14:paraId="64127530" w14:textId="77777777" w:rsidR="00A42CE2" w:rsidRDefault="00000000">
      <w:pPr>
        <w:spacing w:after="200" w:line="360" w:lineRule="auto"/>
      </w:pPr>
      <w:r>
        <w:lastRenderedPageBreak/>
        <w:t xml:space="preserve">Although my research focus began with a broad topic, it began with more specificity than previous research projects. In my last module, I examined factors impacting male participation in choirs. While </w:t>
      </w:r>
      <w:proofErr w:type="gramStart"/>
      <w:r>
        <w:t>all of</w:t>
      </w:r>
      <w:proofErr w:type="gramEnd"/>
      <w:r>
        <w:t xml:space="preserve"> the learning was directly relevant to my practice, it was challenging to write a paper with enough specificity and depth due to the overwhelming amount of research explored on the topic. Although the process of narrowing the topic took longer than would have been ideal, this project began with a more clearly defined focus than other projects.</w:t>
      </w:r>
    </w:p>
    <w:p w14:paraId="33269C89" w14:textId="77777777" w:rsidR="00A42CE2" w:rsidRDefault="00000000">
      <w:pPr>
        <w:spacing w:after="200" w:line="360" w:lineRule="auto"/>
      </w:pPr>
      <w:r>
        <w:t xml:space="preserve">The process of identifying a research focus proved to be a challenging endeavor for me. After a conversation with my tutor, I realized that I still did not have a clear enough research question to guide my research. I recognized that this led to aimless reading as I tried to figure out what I was </w:t>
      </w:r>
      <w:proofErr w:type="gramStart"/>
      <w:r>
        <w:t>actually looking</w:t>
      </w:r>
      <w:proofErr w:type="gramEnd"/>
      <w:r>
        <w:t xml:space="preserve"> for in the literature. While I did initially learn a great deal about group singing for health, this did not all serve me in ultimately complete this project. Once my research question was </w:t>
      </w:r>
      <w:proofErr w:type="gramStart"/>
      <w:r>
        <w:t>more clear</w:t>
      </w:r>
      <w:proofErr w:type="gramEnd"/>
      <w:r>
        <w:t>, I was able to take notes and outline my work in a more manageable way.</w:t>
      </w:r>
    </w:p>
    <w:p w14:paraId="6B501566" w14:textId="77777777" w:rsidR="00A42CE2" w:rsidRDefault="00000000">
      <w:pPr>
        <w:spacing w:after="200" w:line="360" w:lineRule="auto"/>
      </w:pPr>
      <w:r>
        <w:t xml:space="preserve">In reflecting on my journey towards narrowing my research focus, I recognize that I was hesitant to make my research too narrow out of a fear of not having enough literature to review and not being able to meet the word count requirement for the assignment. The opposite proved to be true as I ultimately found it more manageable to organize my research for this module than for previous assignments which had a much broader focus. This learning will be beneficial in planning and beginning the final module of the MA. </w:t>
      </w:r>
    </w:p>
    <w:p w14:paraId="7A51DDE4" w14:textId="77777777" w:rsidR="00A42CE2" w:rsidRDefault="00000000">
      <w:pPr>
        <w:spacing w:after="200" w:line="360" w:lineRule="auto"/>
      </w:pPr>
      <w:r>
        <w:t xml:space="preserve">Based on my action plan in my previous research module, I approached this project with the goal of developing a clear system for organizing findings. In the past, I have not taken a clear, systematic approach to note taking, which created challenges when trying to write previous papers. Modeled after Bungay and Vella-Burrows (2013), I utilized an organized system for note taking that categorized findings based on: study design; sample size, </w:t>
      </w:r>
      <w:proofErr w:type="gramStart"/>
      <w:r>
        <w:t>range</w:t>
      </w:r>
      <w:proofErr w:type="gramEnd"/>
      <w:r>
        <w:t xml:space="preserve"> and location; results; and limitations. This proved to be immensely useful when I began outlining and writing the initial draft of my paper. This was the most organized any of my research projects have been to date.</w:t>
      </w:r>
    </w:p>
    <w:p w14:paraId="31BA6D23" w14:textId="77777777" w:rsidR="00A42CE2" w:rsidRDefault="00000000">
      <w:pPr>
        <w:spacing w:after="200" w:line="360" w:lineRule="auto"/>
      </w:pPr>
      <w:r>
        <w:t xml:space="preserve">Although I developed a system for organizing research notes and felt much more organized than in previous modules, I struggled to balance this research with my job and family responsibilities. The fact that I was exploring an area of research that was completely new to me contributed to the challenges. Although singing for health is an emerging field, there was a wealth of literature to examine focusing on the impact of group singing on mental and social </w:t>
      </w:r>
      <w:proofErr w:type="spellStart"/>
      <w:r>
        <w:t xml:space="preserve">well </w:t>
      </w:r>
      <w:r>
        <w:lastRenderedPageBreak/>
        <w:t>being</w:t>
      </w:r>
      <w:proofErr w:type="spellEnd"/>
      <w:r>
        <w:t xml:space="preserve">. It was particularly interesting to explore the impacts as perceived by participants in choirs, particularly studies conducted with marginalized and disadvantaged populations (Bailey and Davidson, 2002, 2003, 2005, </w:t>
      </w:r>
      <w:proofErr w:type="spellStart"/>
      <w:r>
        <w:rPr>
          <w:color w:val="1F1F1F"/>
          <w:highlight w:val="white"/>
        </w:rPr>
        <w:t>Lagace</w:t>
      </w:r>
      <w:proofErr w:type="spellEnd"/>
      <w:r>
        <w:rPr>
          <w:color w:val="1F1F1F"/>
          <w:highlight w:val="white"/>
        </w:rPr>
        <w:t xml:space="preserve"> et al, 2015; Dingle et al, 2019; Young, 2020</w:t>
      </w:r>
      <w:r>
        <w:t xml:space="preserve">). </w:t>
      </w:r>
    </w:p>
    <w:p w14:paraId="57F9B48D" w14:textId="77777777" w:rsidR="00A42CE2" w:rsidRDefault="00000000">
      <w:pPr>
        <w:spacing w:after="200" w:line="360" w:lineRule="auto"/>
        <w:rPr>
          <w:b/>
        </w:rPr>
      </w:pPr>
      <w:r>
        <w:rPr>
          <w:b/>
        </w:rPr>
        <w:t>So what?</w:t>
      </w:r>
    </w:p>
    <w:p w14:paraId="21906116" w14:textId="77777777" w:rsidR="00A42CE2" w:rsidRDefault="00000000">
      <w:pPr>
        <w:spacing w:after="200" w:line="360" w:lineRule="auto"/>
      </w:pPr>
      <w:r>
        <w:t xml:space="preserve">Examining the ways in which participants perceived impacts on their sense of belonging and social connectedness after singing in a group led to a reflection on my own experiences leading and participating in community choirs. I reflected specifically on my experiences leading an LGBTQIA+ choir through a community center from 2017-2019. This was my first experience with a choir that was focused solely on community rather than being primarily concerned with quality of performance. I began making connections with my own experience and the studies I had been examining and realized I felt more strongly connected to this research topic than I realized. The learning process became more exciting and felt more relevant to both my current practice and future goals. </w:t>
      </w:r>
    </w:p>
    <w:p w14:paraId="3AE956FE" w14:textId="77777777" w:rsidR="00A42CE2" w:rsidRDefault="00000000">
      <w:pPr>
        <w:spacing w:after="200" w:line="360" w:lineRule="auto"/>
      </w:pPr>
      <w:r>
        <w:t xml:space="preserve">Through this reflection I found clarity and realized that much of the reading I had done on the topic of group singing for social and emotional wellbeing was immensely aligned with my philosophies of creating musical ensembles that are truly inclusive, </w:t>
      </w:r>
      <w:proofErr w:type="gramStart"/>
      <w:r>
        <w:t>welcoming</w:t>
      </w:r>
      <w:proofErr w:type="gramEnd"/>
      <w:r>
        <w:t xml:space="preserve"> and accessible. Many of the articles I had been reading were directly relevant and I was able to begin making connections to my own practice, specifically with studies conducted with marginalized and disadvantaged communities (Bailey and Davidson, 2002, 2003, 2005, </w:t>
      </w:r>
      <w:proofErr w:type="spellStart"/>
      <w:r>
        <w:rPr>
          <w:color w:val="1F1F1F"/>
          <w:highlight w:val="white"/>
        </w:rPr>
        <w:t>Lagace</w:t>
      </w:r>
      <w:proofErr w:type="spellEnd"/>
      <w:r>
        <w:rPr>
          <w:color w:val="1F1F1F"/>
          <w:highlight w:val="white"/>
        </w:rPr>
        <w:t xml:space="preserve"> et al, 2015; Dingle et al, 2019; Young, 2020</w:t>
      </w:r>
      <w:r>
        <w:t xml:space="preserve">). </w:t>
      </w:r>
    </w:p>
    <w:p w14:paraId="24BB2B7C" w14:textId="77777777" w:rsidR="00A42CE2" w:rsidRDefault="00000000">
      <w:pPr>
        <w:spacing w:after="200" w:line="360" w:lineRule="auto"/>
      </w:pPr>
      <w:r>
        <w:t>Reading completed early in my research proved to be relevant, including Bailey and Davidson’s (2002, 2003, 2005) research with homeless men singing in a choir. Feelings of belonging, acceptance and community took precedence over performance quality with these singers. Singers reported a sense of camaraderie through singing with other men who shared a common life experience. Research conducted with choirs exclusively made up of female identifying participants (</w:t>
      </w:r>
      <w:proofErr w:type="spellStart"/>
      <w:r>
        <w:t>Helitzer</w:t>
      </w:r>
      <w:proofErr w:type="spellEnd"/>
      <w:r>
        <w:t>, Moss, and O'Donoghue, 2022) also proved to be interesting and relevant. Research findings that the women participating in the choir felt a sense of safety that they may not have otherwise experienced if men were present. These studies suggest that there may be value in affinity choirs and that this research may be relevant to LGBTQIA+ choirs, or other choirs made up of people with a shared identity or experience (Pour-Khorshid, 2018).</w:t>
      </w:r>
    </w:p>
    <w:p w14:paraId="3B800C63" w14:textId="77777777" w:rsidR="00A42CE2" w:rsidRDefault="00000000">
      <w:pPr>
        <w:spacing w:after="200" w:line="360" w:lineRule="auto"/>
      </w:pPr>
      <w:r>
        <w:lastRenderedPageBreak/>
        <w:t>As I began exploring research specifically related to LGBTQIA+ choirs, I was surprised to find that there was not much relevant research in peer-reviewed journals. A few key researchers have been focusing on this topic in the past few years (</w:t>
      </w:r>
      <w:proofErr w:type="spellStart"/>
      <w:r>
        <w:t>Pallki</w:t>
      </w:r>
      <w:proofErr w:type="spellEnd"/>
      <w:r>
        <w:t xml:space="preserve"> and Caldwell, 2018; Southerland, 2020; 2023). This suggests that there may be a need for further research in this area.</w:t>
      </w:r>
    </w:p>
    <w:p w14:paraId="3A6811B9" w14:textId="77777777" w:rsidR="00A42CE2" w:rsidRDefault="00000000">
      <w:pPr>
        <w:spacing w:after="200" w:line="360" w:lineRule="auto"/>
      </w:pPr>
      <w:r>
        <w:t xml:space="preserve">Additionally, some of the reports from existing research were both surprising and troubling. Findings that many LGBTQIA+ choirs have policies that may unintentionally prohibit people from participating suggest that choirs claiming to be inclusive may not be truly inclusive and accessible to all singers (Cates, 2020; Reddy-Best, et al 2021). For examples, trans and non-binary singers may feel discouraged from participating in gay men’s choirs (Cates, 2020) and queer singers </w:t>
      </w:r>
      <w:proofErr w:type="spellStart"/>
      <w:r>
        <w:t>singers</w:t>
      </w:r>
      <w:proofErr w:type="spellEnd"/>
      <w:r>
        <w:t xml:space="preserve"> identifying as “Black, Indigenous or People of Color (BIPOC)” (Southerland, 2022) may not feel safe and welcome in spaces that are predominantly white.  </w:t>
      </w:r>
    </w:p>
    <w:p w14:paraId="457CC54B" w14:textId="77777777" w:rsidR="00A42CE2" w:rsidRDefault="00000000">
      <w:pPr>
        <w:spacing w:after="200" w:line="360" w:lineRule="auto"/>
        <w:rPr>
          <w:b/>
        </w:rPr>
      </w:pPr>
      <w:r>
        <w:rPr>
          <w:b/>
        </w:rPr>
        <w:t>Now what?</w:t>
      </w:r>
    </w:p>
    <w:p w14:paraId="5EA994FA" w14:textId="77777777" w:rsidR="00A42CE2" w:rsidRDefault="00000000">
      <w:pPr>
        <w:spacing w:after="200" w:line="360" w:lineRule="auto"/>
      </w:pPr>
      <w:r>
        <w:t xml:space="preserve"> Through reflection of my learning journey, I have been able to clearly identify areas which may improve my organization and research process in my final work-based learning project. The final research project will take place over a long period of time, requiring a systematic and detailed plan </w:t>
      </w:r>
      <w:proofErr w:type="gramStart"/>
      <w:r>
        <w:t>in order to</w:t>
      </w:r>
      <w:proofErr w:type="gramEnd"/>
      <w:r>
        <w:t xml:space="preserve"> achieve successful completion. Based on my experience and challenges with this project, I must begin my next project with:</w:t>
      </w:r>
    </w:p>
    <w:p w14:paraId="2AC526A5" w14:textId="77777777" w:rsidR="00A42CE2" w:rsidRDefault="00000000">
      <w:pPr>
        <w:numPr>
          <w:ilvl w:val="0"/>
          <w:numId w:val="2"/>
        </w:numPr>
        <w:spacing w:after="200" w:line="360" w:lineRule="auto"/>
      </w:pPr>
      <w:r>
        <w:t>a specific research question,</w:t>
      </w:r>
    </w:p>
    <w:p w14:paraId="68684A07" w14:textId="77777777" w:rsidR="00A42CE2" w:rsidRDefault="00000000">
      <w:pPr>
        <w:numPr>
          <w:ilvl w:val="0"/>
          <w:numId w:val="2"/>
        </w:numPr>
        <w:spacing w:after="200" w:line="360" w:lineRule="auto"/>
      </w:pPr>
      <w:r>
        <w:t>clearly defined aims and objectives to guide the research,</w:t>
      </w:r>
    </w:p>
    <w:p w14:paraId="03ECD054" w14:textId="77777777" w:rsidR="00A42CE2" w:rsidRDefault="00000000">
      <w:pPr>
        <w:numPr>
          <w:ilvl w:val="0"/>
          <w:numId w:val="2"/>
        </w:numPr>
        <w:spacing w:after="200" w:line="360" w:lineRule="auto"/>
      </w:pPr>
      <w:r>
        <w:t>a detailed and realistic plan for completing all tasks (including dates to check in with my tutor),</w:t>
      </w:r>
    </w:p>
    <w:p w14:paraId="2F00DB91" w14:textId="77777777" w:rsidR="00A42CE2" w:rsidRDefault="00000000">
      <w:pPr>
        <w:numPr>
          <w:ilvl w:val="0"/>
          <w:numId w:val="2"/>
        </w:numPr>
        <w:spacing w:after="200" w:line="360" w:lineRule="auto"/>
      </w:pPr>
      <w:r>
        <w:t xml:space="preserve">a plan to allow for enough time for thorough proofreading. </w:t>
      </w:r>
    </w:p>
    <w:p w14:paraId="4EF4143B" w14:textId="77777777" w:rsidR="00A42CE2" w:rsidRDefault="00000000">
      <w:pPr>
        <w:spacing w:after="200" w:line="360" w:lineRule="auto"/>
      </w:pPr>
      <w:r>
        <w:t xml:space="preserve">As I begin my next project, the primary goal will be to identify a specific research question early in the process. I did not realize until late in my process that I did not have a research question that I could clearly articulate, which proved to be the largest obstacle in the way of completing this project. </w:t>
      </w:r>
      <w:proofErr w:type="spellStart"/>
      <w:r>
        <w:t>WIth</w:t>
      </w:r>
      <w:proofErr w:type="spellEnd"/>
      <w:r>
        <w:t xml:space="preserve"> the final project, it will be beneficial to avoid meandering around a topic without explicitly specific aims and questions.</w:t>
      </w:r>
    </w:p>
    <w:p w14:paraId="04B8EB03" w14:textId="77777777" w:rsidR="00A42CE2" w:rsidRDefault="00000000">
      <w:pPr>
        <w:spacing w:after="200" w:line="360" w:lineRule="auto"/>
      </w:pPr>
      <w:r>
        <w:t xml:space="preserve">Additionally, time management will need to be further improved moving forward. I will continue utilizing the organizational systems I found effective for organizing finding for this project while </w:t>
      </w:r>
      <w:r>
        <w:lastRenderedPageBreak/>
        <w:t xml:space="preserve">also aiming to follow a detailed and specific timeline as closely as possible. This will help to mitigate some of the stressful nature of the research project by dividing the work into manageable and realistic categories. It will be crucial to my process to include checkpoints with my tutor at predetermined intervals. Tutorials have proven to be an invaluable part of this learning process, and I plan to utilize this resource more deliberately to support my final project. </w:t>
      </w:r>
    </w:p>
    <w:p w14:paraId="451C81D2" w14:textId="77777777" w:rsidR="00A42CE2" w:rsidRDefault="00000000">
      <w:pPr>
        <w:spacing w:after="200" w:line="360" w:lineRule="auto"/>
      </w:pPr>
      <w:r>
        <w:t xml:space="preserve">This learning has also had a direct impact on my professional practice as a choir leader. In reflecting on my learning, I more deeply recognize the importance of community building within a choir. In my volunteer church choir, members have expressed that the community and fellowship they feel with other members is their primary reason for participating. This is consistent with findings by Bailey and Davidson (2002, 2003, 2005), Dingle, Brander, </w:t>
      </w:r>
      <w:proofErr w:type="gramStart"/>
      <w:r>
        <w:t>Ballantyne</w:t>
      </w:r>
      <w:proofErr w:type="gramEnd"/>
      <w:r>
        <w:t xml:space="preserve"> and Baker (2012), Allison et al (2020), Batt-</w:t>
      </w:r>
      <w:proofErr w:type="spellStart"/>
      <w:r>
        <w:t>Rawden</w:t>
      </w:r>
      <w:proofErr w:type="spellEnd"/>
      <w:r>
        <w:t xml:space="preserve"> and Anderson (2020), </w:t>
      </w:r>
      <w:proofErr w:type="spellStart"/>
      <w:r>
        <w:t>Helitzer</w:t>
      </w:r>
      <w:proofErr w:type="spellEnd"/>
      <w:r>
        <w:t>, Moss, and O'Donoghue (2022), and others. Based on this knowledge, I have integrated opportunities for conversations and community building within our choral rehearsals. We have planned extended rehearsal blocks, ending with an opportunity for choir members to share a meal with one another and enjoy being in community with one another. I have observed that these social moments have not only strengthened the social bond of choir members, but it also strengthened my connectedness to individual singers in the choir. This is now a highlight for choir members that they share with others in the congregation, encouraging them to join our choir community.</w:t>
      </w:r>
    </w:p>
    <w:p w14:paraId="71AD23D0" w14:textId="77777777" w:rsidR="00A42CE2" w:rsidRDefault="00000000">
      <w:pPr>
        <w:spacing w:after="200" w:line="360" w:lineRule="auto"/>
      </w:pPr>
      <w:r>
        <w:t xml:space="preserve">Based on my research in this module, I have a path to explore for the final module of my MA. I will aim to further explore the topic of this paper by conducting interviews with singers in LGBTQIA+ community choirs to inquire about the impact of singing on their social and emotional wellbeing and feelings of belonging. The limited amount of research in this area suggests a need for further study, providing a justification to further examine this topic. </w:t>
      </w:r>
    </w:p>
    <w:p w14:paraId="1A43CA31" w14:textId="77777777" w:rsidR="00A42CE2" w:rsidRDefault="00A42CE2">
      <w:pPr>
        <w:spacing w:line="360" w:lineRule="auto"/>
        <w:jc w:val="center"/>
        <w:rPr>
          <w:b/>
        </w:rPr>
      </w:pPr>
    </w:p>
    <w:p w14:paraId="35B0755F" w14:textId="77777777" w:rsidR="00A42CE2" w:rsidRDefault="00A42CE2">
      <w:pPr>
        <w:spacing w:line="360" w:lineRule="auto"/>
        <w:jc w:val="center"/>
        <w:rPr>
          <w:b/>
        </w:rPr>
      </w:pPr>
    </w:p>
    <w:p w14:paraId="4D93807F" w14:textId="77777777" w:rsidR="00A42CE2" w:rsidRDefault="00A42CE2">
      <w:pPr>
        <w:spacing w:line="360" w:lineRule="auto"/>
        <w:jc w:val="center"/>
        <w:rPr>
          <w:b/>
        </w:rPr>
      </w:pPr>
    </w:p>
    <w:p w14:paraId="2EB570D0" w14:textId="77777777" w:rsidR="00A42CE2" w:rsidRDefault="00A42CE2">
      <w:pPr>
        <w:spacing w:line="360" w:lineRule="auto"/>
        <w:jc w:val="center"/>
        <w:rPr>
          <w:b/>
        </w:rPr>
      </w:pPr>
    </w:p>
    <w:p w14:paraId="01B5ABE4" w14:textId="77777777" w:rsidR="00A42CE2" w:rsidRDefault="00A42CE2">
      <w:pPr>
        <w:spacing w:line="360" w:lineRule="auto"/>
        <w:jc w:val="center"/>
        <w:rPr>
          <w:b/>
        </w:rPr>
      </w:pPr>
    </w:p>
    <w:p w14:paraId="318FF284" w14:textId="77777777" w:rsidR="00A42CE2" w:rsidRDefault="00A42CE2">
      <w:pPr>
        <w:spacing w:line="360" w:lineRule="auto"/>
        <w:jc w:val="center"/>
        <w:rPr>
          <w:b/>
        </w:rPr>
      </w:pPr>
    </w:p>
    <w:p w14:paraId="7A577DA1" w14:textId="77777777" w:rsidR="00A42CE2" w:rsidRDefault="00A42CE2">
      <w:pPr>
        <w:spacing w:line="360" w:lineRule="auto"/>
        <w:jc w:val="center"/>
        <w:rPr>
          <w:b/>
        </w:rPr>
      </w:pPr>
    </w:p>
    <w:p w14:paraId="097B8BDE" w14:textId="77777777" w:rsidR="00A42CE2" w:rsidRDefault="00A42CE2">
      <w:pPr>
        <w:spacing w:line="360" w:lineRule="auto"/>
        <w:jc w:val="center"/>
        <w:rPr>
          <w:b/>
        </w:rPr>
      </w:pPr>
    </w:p>
    <w:p w14:paraId="7AAE81F0" w14:textId="77777777" w:rsidR="009E1050" w:rsidRDefault="009E1050" w:rsidP="009E1050">
      <w:pPr>
        <w:spacing w:after="200" w:line="360" w:lineRule="auto"/>
        <w:rPr>
          <w:b/>
        </w:rPr>
      </w:pPr>
    </w:p>
    <w:p w14:paraId="1F3F26EC" w14:textId="4364521A" w:rsidR="00A42CE2" w:rsidRDefault="00000000" w:rsidP="009E1050">
      <w:pPr>
        <w:spacing w:after="200" w:line="360" w:lineRule="auto"/>
        <w:jc w:val="center"/>
        <w:rPr>
          <w:b/>
        </w:rPr>
      </w:pPr>
      <w:r>
        <w:rPr>
          <w:b/>
        </w:rPr>
        <w:lastRenderedPageBreak/>
        <w:t>Part 2: The Assignment</w:t>
      </w:r>
    </w:p>
    <w:p w14:paraId="54C4E1E8" w14:textId="77777777" w:rsidR="00A42CE2" w:rsidRDefault="00000000">
      <w:pPr>
        <w:spacing w:after="200" w:line="360" w:lineRule="auto"/>
        <w:rPr>
          <w:b/>
          <w:u w:val="single"/>
        </w:rPr>
      </w:pPr>
      <w:r>
        <w:rPr>
          <w:b/>
          <w:u w:val="single"/>
        </w:rPr>
        <w:t>Introduction</w:t>
      </w:r>
    </w:p>
    <w:p w14:paraId="201B67A3" w14:textId="77777777" w:rsidR="00A42CE2" w:rsidRDefault="00000000">
      <w:pPr>
        <w:spacing w:after="200" w:line="360" w:lineRule="auto"/>
      </w:pPr>
      <w:r>
        <w:t xml:space="preserve">Studies have documented a possible connection between group singing and wellbeing (Clift and </w:t>
      </w:r>
      <w:proofErr w:type="spellStart"/>
      <w:r>
        <w:t>Hancox</w:t>
      </w:r>
      <w:proofErr w:type="spellEnd"/>
      <w:r>
        <w:t xml:space="preserve">, 2001; Bailey and Davidson, 2002, 2003, 2005; Clift and Morrison, 2011; Livesey, Morrison, Clift and </w:t>
      </w:r>
      <w:proofErr w:type="spellStart"/>
      <w:r>
        <w:t>Camic</w:t>
      </w:r>
      <w:proofErr w:type="spellEnd"/>
      <w:r>
        <w:t xml:space="preserve">, 2012; Clift, Manship and Stephens, 2017; among others). The impact of group singing on specific populations has been studied, including homeless male adults (Bailey and Davidson, 2002, 2003, 2005); adults with various levels of mental health conditions (Clift, 2011; Dingle, Brander, </w:t>
      </w:r>
      <w:proofErr w:type="gramStart"/>
      <w:r>
        <w:t>Ballantyne</w:t>
      </w:r>
      <w:proofErr w:type="gramEnd"/>
      <w:r>
        <w:t xml:space="preserve"> and Baker, 2012; Clift, Manship and Stephens, 2017; Williams, Dingle, </w:t>
      </w:r>
      <w:proofErr w:type="spellStart"/>
      <w:r>
        <w:t>Jetten</w:t>
      </w:r>
      <w:proofErr w:type="spellEnd"/>
      <w:r>
        <w:t xml:space="preserve"> and Rowan; 2019) and female adults (</w:t>
      </w:r>
      <w:proofErr w:type="spellStart"/>
      <w:r>
        <w:t>Helitzer</w:t>
      </w:r>
      <w:proofErr w:type="spellEnd"/>
      <w:r>
        <w:t xml:space="preserve">, Moss, and O'Donoghue, 2022). This paper will highlight findings relating to social and emotional wellbeing. </w:t>
      </w:r>
    </w:p>
    <w:p w14:paraId="56639056" w14:textId="77777777" w:rsidR="00A42CE2" w:rsidRDefault="00000000">
      <w:pPr>
        <w:spacing w:after="200" w:line="360" w:lineRule="auto"/>
      </w:pPr>
      <w:r>
        <w:t xml:space="preserve">Key themes from studies suggest that group singing may be an effective intervention for people struggling with poor mental health, including anxiety, depression and loneliness (Clift, 2011; Dingle, Brander, Ballantyne and Baker, 2012; </w:t>
      </w:r>
      <w:proofErr w:type="spellStart"/>
      <w:r>
        <w:t>Coulton</w:t>
      </w:r>
      <w:proofErr w:type="spellEnd"/>
      <w:r>
        <w:t xml:space="preserve"> et al, 2015; Clift, Manship and Stephens, 2016; </w:t>
      </w:r>
      <w:proofErr w:type="spellStart"/>
      <w:r>
        <w:t>Corvo</w:t>
      </w:r>
      <w:proofErr w:type="spellEnd"/>
      <w:r>
        <w:t xml:space="preserve">, </w:t>
      </w:r>
      <w:proofErr w:type="spellStart"/>
      <w:r>
        <w:t>Skingley</w:t>
      </w:r>
      <w:proofErr w:type="spellEnd"/>
      <w:r>
        <w:t xml:space="preserve"> and Clift, 2020) Poor mental health is common in LGBTQIA+ community, specifically among teens and young adults, but also continuing into adulthood (Levy et al. 2016; Pol-Harney and McAloon, 2018; </w:t>
      </w:r>
      <w:proofErr w:type="spellStart"/>
      <w:r>
        <w:t>Palkki</w:t>
      </w:r>
      <w:proofErr w:type="spellEnd"/>
      <w:r>
        <w:t xml:space="preserve"> and Caldwell, 2018). This paper will detail an investigation of the possible benefits of group singing as an intervention for members of the LGBTQIA+ community experiencing poor mental health and loneliness.</w:t>
      </w:r>
    </w:p>
    <w:p w14:paraId="44A50EF4" w14:textId="77777777" w:rsidR="00A42CE2" w:rsidRDefault="00000000">
      <w:pPr>
        <w:spacing w:after="200" w:line="360" w:lineRule="auto"/>
        <w:rPr>
          <w:b/>
          <w:u w:val="single"/>
        </w:rPr>
      </w:pPr>
      <w:r>
        <w:rPr>
          <w:b/>
          <w:u w:val="single"/>
        </w:rPr>
        <w:t>Brief History of LGBTQIA+ Choir in the United States</w:t>
      </w:r>
    </w:p>
    <w:p w14:paraId="0B3B8D12" w14:textId="77777777" w:rsidR="00A42CE2" w:rsidRDefault="00000000">
      <w:pPr>
        <w:spacing w:after="200" w:line="360" w:lineRule="auto"/>
      </w:pPr>
      <w:r>
        <w:t>LGBTQIA+ community choirs began to emerge in the United States in the 1970s, in response to the growing “gay liberation” movement that was taking place in major US cities (</w:t>
      </w:r>
      <w:proofErr w:type="spellStart"/>
      <w:r>
        <w:t>Gurlly</w:t>
      </w:r>
      <w:proofErr w:type="spellEnd"/>
      <w:r>
        <w:t xml:space="preserve">, 2014, pg. 83). As LGBTQIA+ communities began combating negative stereotypes and discrimination, a need developed for safe spaces for queer people to gather (Hilliard, 2008). Established in 1975, the ANNA </w:t>
      </w:r>
      <w:proofErr w:type="spellStart"/>
      <w:r>
        <w:t>Crusis</w:t>
      </w:r>
      <w:proofErr w:type="spellEnd"/>
      <w:r>
        <w:t xml:space="preserve"> Women’s choir of Philadelphia is cited as the first known choir for members of the Lesbian, Gay, Bisexual, Transgender, Queer, Intersex, Asexual (LGBTQIA+) community in the United States (ANNA </w:t>
      </w:r>
      <w:proofErr w:type="spellStart"/>
      <w:r>
        <w:t>Crusis</w:t>
      </w:r>
      <w:proofErr w:type="spellEnd"/>
      <w:r>
        <w:t xml:space="preserve">, 2020, Reddy-Best et al, 2021). The Gotham Male Chorus was founded in New York City in 1977 (Reddy-Best et al, 2021), subsequently changing its name to the Stonewall Chorus after expanding membership to include both men and women (GALA, 2023). In 1978, the San Francisco Gay Men’s Chorus was formed, notably becoming the first known choir in the United States to use the word </w:t>
      </w:r>
      <w:r>
        <w:rPr>
          <w:i/>
        </w:rPr>
        <w:t xml:space="preserve">gay </w:t>
      </w:r>
      <w:r>
        <w:t xml:space="preserve">in its name (Hilliard, 2008). The San Francisco Gay Men’s Chorus toured the United States in 1981, serving as a </w:t>
      </w:r>
      <w:r>
        <w:lastRenderedPageBreak/>
        <w:t>catalyst for other LGBTQIA+ community choirs to emerge in other regions of the United States (Gordon, 1990, Hilliard, 2008). The Gay and Lesbian Association (GALA) of Performing Arts was first established in 1981, with the goal of creating an organization of gay and lesbian choruses and bands at the national level (GALA, 2023). Since membership was made up exclusively of choral organizations, the name was officially changed to GALA Choruses in 1983 (GALA, 2023). There are currently over 200 GALA Choruses worldwide (GALA, 2023).</w:t>
      </w:r>
    </w:p>
    <w:p w14:paraId="069FAAA2" w14:textId="77777777" w:rsidR="00A42CE2" w:rsidRDefault="00000000">
      <w:pPr>
        <w:spacing w:after="200" w:line="360" w:lineRule="auto"/>
      </w:pPr>
      <w:r>
        <w:t xml:space="preserve">As the LGBTQIA+ choir movement emerged, choruses were founded in gay and lesbian communities to “create spaces for political activism, meet other gay and lesbian people, come out and embrace their sexual identity, and celebrate through song” (Hilliard, 2008, </w:t>
      </w:r>
      <w:proofErr w:type="spellStart"/>
      <w:r>
        <w:t>pg</w:t>
      </w:r>
      <w:proofErr w:type="spellEnd"/>
      <w:r>
        <w:t xml:space="preserve"> 354). Prior to the emergence of gay choirs, community spaces for LGBTQIA+ people existed predominantly within bars and nightclubs (Hilliard, 2008, Southerland, 2020). Though they were founded primarily for reasons of liberation and activism, the HIV/AIDS crisis led to large reductions in gay choir membership due to the death of members (Hilliard, 2008). Hilliard (2008) states that during the 1980s, the membership of the San Francisco Gay Men’s Chorus “decreased from over 200 members to a mere 60” (p. 357). This “collective tragedy” in the LGBTQIA+ community led to gay choruses emerging as crucial spaces for community and social connections </w:t>
      </w:r>
      <w:proofErr w:type="gramStart"/>
      <w:r>
        <w:t>in the midst of</w:t>
      </w:r>
      <w:proofErr w:type="gramEnd"/>
      <w:r>
        <w:t xml:space="preserve"> challenging circumstances (Reddy-Best, et al 2021, p. 1012). </w:t>
      </w:r>
    </w:p>
    <w:p w14:paraId="3661BA15" w14:textId="77777777" w:rsidR="00A42CE2" w:rsidRDefault="00000000">
      <w:pPr>
        <w:spacing w:after="200" w:line="360" w:lineRule="auto"/>
        <w:rPr>
          <w:b/>
        </w:rPr>
      </w:pPr>
      <w:r>
        <w:rPr>
          <w:b/>
        </w:rPr>
        <w:t>Mental Health Concerns in LGBTQIA+ Community</w:t>
      </w:r>
    </w:p>
    <w:p w14:paraId="5E2C7811" w14:textId="77777777" w:rsidR="00A42CE2" w:rsidRDefault="00000000">
      <w:pPr>
        <w:spacing w:after="200" w:line="360" w:lineRule="auto"/>
      </w:pPr>
      <w:r>
        <w:t xml:space="preserve">The United States Supreme Court has passed legislation legalizing same-sex marriage (Southerland, 2022) and medical advances have made HIV/AIDS more manageable and preventable (Cates, 2020), both improving circumstances for the LGBTQIA+ community. Although these changes and improvements have occurred, members of the LGBTQIA+ community continue to experience challenging circumstances, including poor mental health, </w:t>
      </w:r>
      <w:proofErr w:type="gramStart"/>
      <w:r>
        <w:t>depression</w:t>
      </w:r>
      <w:proofErr w:type="gramEnd"/>
      <w:r>
        <w:t xml:space="preserve"> and feelings of isolation (Pol-Harney and McAloon, 2018; Cates, 2020). </w:t>
      </w:r>
    </w:p>
    <w:p w14:paraId="6B07061B" w14:textId="77777777" w:rsidR="00A42CE2" w:rsidRDefault="00000000">
      <w:pPr>
        <w:spacing w:after="200" w:line="360" w:lineRule="auto"/>
      </w:pPr>
      <w:r>
        <w:t>LGBTQIA+ youth show “higher levels of depression, substance abuse and eating disorders” (Pol-Harney and McAloon, 2018, pg. 152), likely due to “negative environmental responses such as discrimination, victimization, and rejection lead to social isolation, anxiety, low self-esteem, depression, hopelessness, and helplessness” (Levy et al. 2016, p. 191).</w:t>
      </w:r>
    </w:p>
    <w:p w14:paraId="07822329" w14:textId="77777777" w:rsidR="00A42CE2" w:rsidRDefault="00000000">
      <w:pPr>
        <w:spacing w:after="200" w:line="360" w:lineRule="auto"/>
      </w:pPr>
      <w:r>
        <w:t xml:space="preserve">Recent data on LGBTQIA+ adolescents and teens indicate that suicide and depression rates are high amongst queer youth, with 28% of LGBTQIA+ youth have thoughts of suicide each year (Pol-Harney and McAloon, 2018; Levy et al. 2016). When specifically focusing on </w:t>
      </w:r>
      <w:r>
        <w:lastRenderedPageBreak/>
        <w:t xml:space="preserve">transgender youth, more than 50% have thoughts of suicide (Pol-Harney and McAloon, 2018), with one-third attempting suicide annually (Olson et al, 2015). Studies suggest that LGBTQIA+ POC (people of color) are perhaps at a higher risk of concerns relating to psychological and mental health, known as Minority Stress Theory (Dominguez, 2017, citing, Balsam, Molina, </w:t>
      </w:r>
      <w:proofErr w:type="spellStart"/>
      <w:r>
        <w:t>Beadnell</w:t>
      </w:r>
      <w:proofErr w:type="spellEnd"/>
      <w:r>
        <w:t>, Simoni, and Walters, 2011; Meyer, 2006).</w:t>
      </w:r>
    </w:p>
    <w:p w14:paraId="268B9E5C" w14:textId="77777777" w:rsidR="00A42CE2" w:rsidRDefault="00000000">
      <w:pPr>
        <w:spacing w:after="200" w:line="360" w:lineRule="auto"/>
      </w:pPr>
      <w:r>
        <w:t xml:space="preserve">Poor mental health can continue into adulthood (Pol-Harney and McAloon, 2018; Smith et al. 2003), suggesting a need for interventions for both LGBTQIA+ youth and adults dealing with mental health crises. A study by </w:t>
      </w:r>
      <w:proofErr w:type="spellStart"/>
      <w:r>
        <w:t>Palkki</w:t>
      </w:r>
      <w:proofErr w:type="spellEnd"/>
      <w:r>
        <w:t xml:space="preserve"> and Caldwell (2018) suggests that choir class is a place where trans and queer students feel safe. Participants indicated that something as simple as language in repertoire could make an enormous difference in their feelings of belonging in the choir. For example, songs with religious text may be triggering for some singers who have had challenging religious experiences due to their gender or sexual identity.    </w:t>
      </w:r>
    </w:p>
    <w:p w14:paraId="5546E751" w14:textId="77777777" w:rsidR="00A42CE2" w:rsidRDefault="00000000">
      <w:pPr>
        <w:spacing w:after="200" w:line="360" w:lineRule="auto"/>
        <w:rPr>
          <w:b/>
          <w:u w:val="single"/>
        </w:rPr>
      </w:pPr>
      <w:r>
        <w:rPr>
          <w:b/>
          <w:u w:val="single"/>
        </w:rPr>
        <w:t>Choirs as Spaces for Community and Belonging</w:t>
      </w:r>
    </w:p>
    <w:p w14:paraId="1C24FB99" w14:textId="77777777" w:rsidR="00A42CE2" w:rsidRDefault="00000000">
      <w:pPr>
        <w:spacing w:after="200" w:line="360" w:lineRule="auto"/>
        <w:rPr>
          <w:color w:val="181818"/>
          <w:highlight w:val="white"/>
        </w:rPr>
      </w:pPr>
      <w:r>
        <w:t xml:space="preserve">Though specific research on LGBTQIA+ choirs is limited, there are relevant studies in the singing for health field which may prove to be relevant. Various studies have examined the impact of group singing on specific communities including homeless adults (Bailey and Davidson, 2002, 2003, 2005), autistic adults (Young, 2020) and individuals suffering from mental illness (Dingle et al, 2012; </w:t>
      </w:r>
      <w:proofErr w:type="spellStart"/>
      <w:r>
        <w:t>Lagace</w:t>
      </w:r>
      <w:proofErr w:type="spellEnd"/>
      <w:r>
        <w:t xml:space="preserve"> et al, 2015). Additional research with all-female choirs (</w:t>
      </w:r>
      <w:proofErr w:type="spellStart"/>
      <w:r>
        <w:t>Pavlakou</w:t>
      </w:r>
      <w:proofErr w:type="spellEnd"/>
      <w:r>
        <w:t xml:space="preserve">, 2009; </w:t>
      </w:r>
      <w:proofErr w:type="spellStart"/>
      <w:r>
        <w:t>Helitzer</w:t>
      </w:r>
      <w:proofErr w:type="spellEnd"/>
      <w:r>
        <w:t>, Moss, and O'Donoghue, 2022) and older adults (</w:t>
      </w:r>
      <w:proofErr w:type="spellStart"/>
      <w:r>
        <w:t>Coulton</w:t>
      </w:r>
      <w:proofErr w:type="spellEnd"/>
      <w:r>
        <w:t xml:space="preserve"> et al, 2015; </w:t>
      </w:r>
      <w:proofErr w:type="spellStart"/>
      <w:r>
        <w:t>Skingley</w:t>
      </w:r>
      <w:proofErr w:type="spellEnd"/>
      <w:r>
        <w:t xml:space="preserve">, Martin and Clift, 2016; </w:t>
      </w:r>
      <w:proofErr w:type="spellStart"/>
      <w:r>
        <w:t>Corvo</w:t>
      </w:r>
      <w:proofErr w:type="spellEnd"/>
      <w:r>
        <w:t xml:space="preserve">, </w:t>
      </w:r>
      <w:proofErr w:type="spellStart"/>
      <w:r>
        <w:t>Skingley</w:t>
      </w:r>
      <w:proofErr w:type="spellEnd"/>
      <w:r>
        <w:t xml:space="preserve"> and Clift, 2020) provide further evidence of the potential impact of group singing on social and emotional wellbeing.</w:t>
      </w:r>
    </w:p>
    <w:p w14:paraId="51D4E902" w14:textId="77777777" w:rsidR="00A42CE2" w:rsidRDefault="00000000">
      <w:pPr>
        <w:spacing w:after="200" w:line="360" w:lineRule="auto"/>
      </w:pPr>
      <w:r>
        <w:rPr>
          <w:color w:val="181818"/>
          <w:highlight w:val="white"/>
        </w:rPr>
        <w:t xml:space="preserve">Early studies of group singing for health highlighted the potential social impacts of group singing (Clift and </w:t>
      </w:r>
      <w:proofErr w:type="spellStart"/>
      <w:r>
        <w:rPr>
          <w:color w:val="181818"/>
          <w:highlight w:val="white"/>
        </w:rPr>
        <w:t>Hancox</w:t>
      </w:r>
      <w:proofErr w:type="spellEnd"/>
      <w:r>
        <w:rPr>
          <w:color w:val="181818"/>
          <w:highlight w:val="white"/>
        </w:rPr>
        <w:t xml:space="preserve">, 2001; Bailey and Davidson, 2003, 2005). In a study of participants in a university choral society, 87% of participants cited social connections as a perceived benefit of group singing (Clift and </w:t>
      </w:r>
      <w:proofErr w:type="spellStart"/>
      <w:r>
        <w:rPr>
          <w:color w:val="181818"/>
          <w:highlight w:val="white"/>
        </w:rPr>
        <w:t>Hancox</w:t>
      </w:r>
      <w:proofErr w:type="spellEnd"/>
      <w:r>
        <w:rPr>
          <w:color w:val="181818"/>
          <w:highlight w:val="white"/>
        </w:rPr>
        <w:t xml:space="preserve">, 2001). Bailey and Davidson (2003) found that social interaction and reconnection were key to the positive experiences of men participating in a homeless choir. </w:t>
      </w:r>
    </w:p>
    <w:p w14:paraId="6FFBD60E" w14:textId="77777777" w:rsidR="00A42CE2" w:rsidRDefault="00000000">
      <w:pPr>
        <w:spacing w:after="200" w:line="360" w:lineRule="auto"/>
        <w:rPr>
          <w:color w:val="1F1F1F"/>
          <w:highlight w:val="white"/>
        </w:rPr>
      </w:pPr>
      <w:r>
        <w:t>Bailey and Davidson (2002) conducted a pioneering study in the field of singing for health, which aimed to “explore the</w:t>
      </w:r>
      <w:r>
        <w:rPr>
          <w:color w:val="1F1F1F"/>
          <w:highlight w:val="white"/>
        </w:rPr>
        <w:t xml:space="preserve"> lived experiences” (p. 231) of participants in a choir for homeless men in Montreal, Canada. This choir was already established prior to the study and had a membership of 17 men. Bailey and Davidson (2002) felt it was an important opportunity to study group singing from “a sample of participants who were removed from elitist environs” (p. 229). </w:t>
      </w:r>
      <w:r>
        <w:rPr>
          <w:color w:val="1F1F1F"/>
          <w:highlight w:val="white"/>
        </w:rPr>
        <w:lastRenderedPageBreak/>
        <w:t xml:space="preserve">They found that participants perceived benefits to the social and emotional wellbeing </w:t>
      </w:r>
      <w:proofErr w:type="gramStart"/>
      <w:r>
        <w:rPr>
          <w:color w:val="1F1F1F"/>
          <w:highlight w:val="white"/>
        </w:rPr>
        <w:t>as a result of</w:t>
      </w:r>
      <w:proofErr w:type="gramEnd"/>
      <w:r>
        <w:rPr>
          <w:color w:val="1F1F1F"/>
          <w:highlight w:val="white"/>
        </w:rPr>
        <w:t xml:space="preserve"> their participation in the choir.</w:t>
      </w:r>
    </w:p>
    <w:p w14:paraId="2B4FB93E" w14:textId="77777777" w:rsidR="00A42CE2" w:rsidRDefault="00000000">
      <w:pPr>
        <w:spacing w:after="200" w:line="360" w:lineRule="auto"/>
        <w:rPr>
          <w:color w:val="1F1F1F"/>
          <w:highlight w:val="white"/>
        </w:rPr>
      </w:pPr>
      <w:r>
        <w:rPr>
          <w:color w:val="1F1F1F"/>
          <w:highlight w:val="white"/>
        </w:rPr>
        <w:t xml:space="preserve">In a later paper, </w:t>
      </w:r>
      <w:proofErr w:type="gramStart"/>
      <w:r>
        <w:rPr>
          <w:color w:val="1F1F1F"/>
          <w:highlight w:val="white"/>
        </w:rPr>
        <w:t>Bailey</w:t>
      </w:r>
      <w:proofErr w:type="gramEnd"/>
      <w:r>
        <w:rPr>
          <w:color w:val="1F1F1F"/>
          <w:highlight w:val="white"/>
        </w:rPr>
        <w:t xml:space="preserve"> and Davidson (2003) reexamined the findings from their (2002) study, focusing on comments from the men that the music was “therapeutic” (2003, p. 25). About 50% of the statements in interviews pointed to positive feelings about singing. They found that the joy of the experience came from the act of singing together, rather than the quality of the performance. In fact, participants who did not feel that they were good singers but were able to gain positive benefits from the experience. </w:t>
      </w:r>
    </w:p>
    <w:p w14:paraId="2C825791" w14:textId="77777777" w:rsidR="00A42CE2" w:rsidRDefault="00000000">
      <w:pPr>
        <w:spacing w:after="200" w:line="360" w:lineRule="auto"/>
        <w:rPr>
          <w:color w:val="1F1F1F"/>
          <w:highlight w:val="white"/>
        </w:rPr>
      </w:pPr>
      <w:r>
        <w:rPr>
          <w:color w:val="1F1F1F"/>
          <w:highlight w:val="white"/>
        </w:rPr>
        <w:t xml:space="preserve">Similar findings emerged from a second study in which Bailey and Davidson (2005) aimed to compare the group singing experience of </w:t>
      </w:r>
      <w:proofErr w:type="gramStart"/>
      <w:r>
        <w:rPr>
          <w:color w:val="1F1F1F"/>
          <w:highlight w:val="white"/>
        </w:rPr>
        <w:t>economically disadvantaged</w:t>
      </w:r>
      <w:proofErr w:type="gramEnd"/>
      <w:r>
        <w:rPr>
          <w:color w:val="1F1F1F"/>
          <w:highlight w:val="white"/>
        </w:rPr>
        <w:t xml:space="preserve"> individuals and middle-class singers. Participants from two existing choirs were included in the study: a choir of people living in impoverished circumstances and a community choir of </w:t>
      </w:r>
      <w:proofErr w:type="gramStart"/>
      <w:r>
        <w:rPr>
          <w:color w:val="1F1F1F"/>
          <w:highlight w:val="white"/>
        </w:rPr>
        <w:t>middle class</w:t>
      </w:r>
      <w:proofErr w:type="gramEnd"/>
      <w:r>
        <w:rPr>
          <w:color w:val="1F1F1F"/>
          <w:highlight w:val="white"/>
        </w:rPr>
        <w:t xml:space="preserve"> singers. The same questions from their previous study (2002) were used for semi-structured interviews with both choirs. Findings were similar for both groups, specifically in terms of the enjoyment they found in singing. One area where there were significant differences involved the value and importance associated with being a member of the choral group. While members of both choirs enjoyed the camaraderie of singing in a group, members of the marginalized choir placed a much higher value on the sense of belonging they felt from being a part of a choir (Bailey and Davidson, 2005).</w:t>
      </w:r>
    </w:p>
    <w:p w14:paraId="1F661990" w14:textId="77777777" w:rsidR="00A42CE2" w:rsidRDefault="00000000">
      <w:pPr>
        <w:spacing w:after="200" w:line="360" w:lineRule="auto"/>
        <w:rPr>
          <w:color w:val="1F1F1F"/>
          <w:highlight w:val="white"/>
        </w:rPr>
      </w:pPr>
      <w:r>
        <w:rPr>
          <w:color w:val="1F1F1F"/>
          <w:highlight w:val="white"/>
        </w:rPr>
        <w:t>Themes of belonging also emerged in later studies with disadvantaged populations (</w:t>
      </w:r>
      <w:proofErr w:type="spellStart"/>
      <w:r>
        <w:rPr>
          <w:color w:val="1F1F1F"/>
          <w:highlight w:val="white"/>
        </w:rPr>
        <w:t>Lagace</w:t>
      </w:r>
      <w:proofErr w:type="spellEnd"/>
      <w:r>
        <w:rPr>
          <w:color w:val="1F1F1F"/>
          <w:highlight w:val="white"/>
        </w:rPr>
        <w:t xml:space="preserve"> et al, 2015; Dingle et al, 2019; Young, 2020). In Young’s (2020) study of group singing with autistic adults, feelings of belonging contributed greatly to the positive impact of participating in a choir. Studies of adults with various mental illnesses had similar findings, with choral singing having positive effects on participants' feelings of social connectedness by giving them an opportunity to have meaningful social interactions (</w:t>
      </w:r>
      <w:proofErr w:type="spellStart"/>
      <w:r>
        <w:rPr>
          <w:color w:val="1F1F1F"/>
          <w:highlight w:val="white"/>
        </w:rPr>
        <w:t>Lagace</w:t>
      </w:r>
      <w:proofErr w:type="spellEnd"/>
      <w:r>
        <w:rPr>
          <w:color w:val="1F1F1F"/>
          <w:highlight w:val="white"/>
        </w:rPr>
        <w:t xml:space="preserve"> et al, 2015; Dingle et al, 2019). Some participants even expressed that participating in choir gave them “a reason to take care of themselves and take back their lives” (</w:t>
      </w:r>
      <w:proofErr w:type="spellStart"/>
      <w:r>
        <w:rPr>
          <w:color w:val="1F1F1F"/>
          <w:highlight w:val="white"/>
        </w:rPr>
        <w:t>Lagace</w:t>
      </w:r>
      <w:proofErr w:type="spellEnd"/>
      <w:r>
        <w:rPr>
          <w:color w:val="1F1F1F"/>
          <w:highlight w:val="white"/>
        </w:rPr>
        <w:t xml:space="preserve"> et al, 2015, p. 182). </w:t>
      </w:r>
    </w:p>
    <w:p w14:paraId="2AEF7285" w14:textId="77777777" w:rsidR="00A42CE2" w:rsidRDefault="00000000">
      <w:pPr>
        <w:spacing w:after="200" w:line="360" w:lineRule="auto"/>
        <w:rPr>
          <w:color w:val="1F1F1F"/>
          <w:highlight w:val="white"/>
        </w:rPr>
      </w:pPr>
      <w:r>
        <w:rPr>
          <w:color w:val="1F1F1F"/>
          <w:highlight w:val="white"/>
        </w:rPr>
        <w:t xml:space="preserve">While these studies all provide encouraging data concerning the impact of group singing on people with autism and people with mental illness, they each had limitations and therefore must be considered carefully. Each study had a small sample size and therefore cannot be considered representative for their respective populations. In Young’s (2020) study, the </w:t>
      </w:r>
      <w:r>
        <w:rPr>
          <w:color w:val="1F1F1F"/>
          <w:highlight w:val="white"/>
        </w:rPr>
        <w:lastRenderedPageBreak/>
        <w:t xml:space="preserve">participants had to have high functioning autism </w:t>
      </w:r>
      <w:proofErr w:type="gramStart"/>
      <w:r>
        <w:rPr>
          <w:color w:val="1F1F1F"/>
          <w:highlight w:val="white"/>
        </w:rPr>
        <w:t>in order to</w:t>
      </w:r>
      <w:proofErr w:type="gramEnd"/>
      <w:r>
        <w:rPr>
          <w:color w:val="1F1F1F"/>
          <w:highlight w:val="white"/>
        </w:rPr>
        <w:t xml:space="preserve"> participate, so findings cannot be generalized for the broader autism community.</w:t>
      </w:r>
    </w:p>
    <w:p w14:paraId="3F091D8D" w14:textId="77777777" w:rsidR="00A42CE2" w:rsidRDefault="00000000">
      <w:pPr>
        <w:spacing w:after="200" w:line="360" w:lineRule="auto"/>
        <w:rPr>
          <w:color w:val="1F1F1F"/>
          <w:highlight w:val="white"/>
        </w:rPr>
      </w:pPr>
      <w:r>
        <w:rPr>
          <w:color w:val="1F1F1F"/>
          <w:highlight w:val="white"/>
        </w:rPr>
        <w:t>Studies have found that people participating in group singing may feel an increase in social connectedness and a decrease in feelings of loneliness (</w:t>
      </w:r>
      <w:proofErr w:type="spellStart"/>
      <w:r>
        <w:rPr>
          <w:color w:val="1F1F1F"/>
          <w:highlight w:val="white"/>
        </w:rPr>
        <w:t>Coulton</w:t>
      </w:r>
      <w:proofErr w:type="spellEnd"/>
      <w:r>
        <w:rPr>
          <w:color w:val="1F1F1F"/>
          <w:highlight w:val="white"/>
        </w:rPr>
        <w:t xml:space="preserve"> et al, 2015; </w:t>
      </w:r>
      <w:proofErr w:type="spellStart"/>
      <w:r>
        <w:rPr>
          <w:color w:val="1F1F1F"/>
          <w:highlight w:val="white"/>
        </w:rPr>
        <w:t>Skingley</w:t>
      </w:r>
      <w:proofErr w:type="spellEnd"/>
      <w:r>
        <w:rPr>
          <w:color w:val="1F1F1F"/>
          <w:highlight w:val="white"/>
        </w:rPr>
        <w:t xml:space="preserve">, Martin and Clift, 2016; </w:t>
      </w:r>
      <w:proofErr w:type="spellStart"/>
      <w:r>
        <w:rPr>
          <w:color w:val="1F1F1F"/>
          <w:highlight w:val="white"/>
        </w:rPr>
        <w:t>Corvo</w:t>
      </w:r>
      <w:proofErr w:type="spellEnd"/>
      <w:r>
        <w:rPr>
          <w:color w:val="1F1F1F"/>
          <w:highlight w:val="white"/>
        </w:rPr>
        <w:t xml:space="preserve">, </w:t>
      </w:r>
      <w:proofErr w:type="spellStart"/>
      <w:r>
        <w:rPr>
          <w:color w:val="1F1F1F"/>
          <w:highlight w:val="white"/>
        </w:rPr>
        <w:t>Skingley</w:t>
      </w:r>
      <w:proofErr w:type="spellEnd"/>
      <w:r>
        <w:rPr>
          <w:color w:val="1F1F1F"/>
          <w:highlight w:val="white"/>
        </w:rPr>
        <w:t xml:space="preserve"> and Clift, 2020; Allison et al, 2020). A study by </w:t>
      </w:r>
      <w:proofErr w:type="spellStart"/>
      <w:r>
        <w:rPr>
          <w:color w:val="1F1F1F"/>
          <w:highlight w:val="white"/>
        </w:rPr>
        <w:t>Coulton</w:t>
      </w:r>
      <w:proofErr w:type="spellEnd"/>
      <w:r>
        <w:rPr>
          <w:color w:val="1F1F1F"/>
          <w:highlight w:val="white"/>
        </w:rPr>
        <w:t xml:space="preserve"> et al (2015) found that singing not only had a positive impact on </w:t>
      </w:r>
      <w:proofErr w:type="gramStart"/>
      <w:r>
        <w:rPr>
          <w:color w:val="1F1F1F"/>
          <w:highlight w:val="white"/>
        </w:rPr>
        <w:t>participants, but</w:t>
      </w:r>
      <w:proofErr w:type="gramEnd"/>
      <w:r>
        <w:rPr>
          <w:color w:val="1F1F1F"/>
          <w:highlight w:val="white"/>
        </w:rPr>
        <w:t xml:space="preserve"> suggested that it may be a cost-effective intervention for supporting the health and wellbeing of older adults. Although the choirs in their study were established for the purposes of research and subsequently disbanded at the conclusion of the study, participants in 4 out of 5 choirs decided to continue meeting on their own once the study was completed. This supports claims that the social bonds made in group singing are meaningful.</w:t>
      </w:r>
    </w:p>
    <w:p w14:paraId="5BBF7DC4" w14:textId="77777777" w:rsidR="00A42CE2" w:rsidRDefault="00000000">
      <w:pPr>
        <w:spacing w:after="200" w:line="360" w:lineRule="auto"/>
        <w:rPr>
          <w:color w:val="1F1F1F"/>
          <w:highlight w:val="white"/>
        </w:rPr>
      </w:pPr>
      <w:r>
        <w:rPr>
          <w:color w:val="1F1F1F"/>
          <w:highlight w:val="white"/>
        </w:rPr>
        <w:t xml:space="preserve">A UK-based study by </w:t>
      </w:r>
      <w:proofErr w:type="spellStart"/>
      <w:r>
        <w:rPr>
          <w:color w:val="1F1F1F"/>
          <w:highlight w:val="white"/>
        </w:rPr>
        <w:t>Skingley</w:t>
      </w:r>
      <w:proofErr w:type="spellEnd"/>
      <w:r>
        <w:rPr>
          <w:color w:val="1F1F1F"/>
          <w:highlight w:val="white"/>
        </w:rPr>
        <w:t xml:space="preserve">, Martin and Clift (2016) found that participants perceived psychological, </w:t>
      </w:r>
      <w:proofErr w:type="gramStart"/>
      <w:r>
        <w:rPr>
          <w:color w:val="1F1F1F"/>
          <w:highlight w:val="white"/>
        </w:rPr>
        <w:t>social</w:t>
      </w:r>
      <w:proofErr w:type="gramEnd"/>
      <w:r>
        <w:rPr>
          <w:color w:val="1F1F1F"/>
          <w:highlight w:val="white"/>
        </w:rPr>
        <w:t xml:space="preserve"> and physical benefits associated with group singing. A sample of 131 adults aged 58-91 were randomly separated into 5 singing groups. The researchers indicate that randomization is a tool seldom used in arts research, so this may be “problematic” (p. 1306) to research outcomes. Participants identified enjoyment of singing, boosts in self-confidence and social connectedness as key areas of benefit to participation in choral singing. While these results were encouraging, the researchers acknowledged a high risk of bias as the participants who volunteered to be a part of the study already had an interest in singing which may have skewed the data. Additionally, </w:t>
      </w:r>
      <w:proofErr w:type="spellStart"/>
      <w:r>
        <w:rPr>
          <w:color w:val="1F1F1F"/>
          <w:highlight w:val="white"/>
        </w:rPr>
        <w:t>Skingley</w:t>
      </w:r>
      <w:proofErr w:type="spellEnd"/>
      <w:r>
        <w:rPr>
          <w:color w:val="1F1F1F"/>
          <w:highlight w:val="white"/>
        </w:rPr>
        <w:t xml:space="preserve">, Martin and Clift’s (2016) study included a very limited demographic sample of predominantly white females. </w:t>
      </w:r>
    </w:p>
    <w:p w14:paraId="5C48B659" w14:textId="2919429C" w:rsidR="00A42CE2" w:rsidRDefault="00000000">
      <w:pPr>
        <w:spacing w:after="200" w:line="360" w:lineRule="auto"/>
        <w:rPr>
          <w:color w:val="1F1F1F"/>
          <w:highlight w:val="white"/>
        </w:rPr>
      </w:pPr>
      <w:r>
        <w:rPr>
          <w:color w:val="1F1F1F"/>
          <w:highlight w:val="white"/>
        </w:rPr>
        <w:t xml:space="preserve">In a follow-up study, </w:t>
      </w:r>
      <w:proofErr w:type="spellStart"/>
      <w:r>
        <w:rPr>
          <w:color w:val="1F1F1F"/>
          <w:highlight w:val="white"/>
        </w:rPr>
        <w:t>Corvo</w:t>
      </w:r>
      <w:proofErr w:type="spellEnd"/>
      <w:r>
        <w:rPr>
          <w:color w:val="1F1F1F"/>
          <w:highlight w:val="white"/>
        </w:rPr>
        <w:t xml:space="preserve">, </w:t>
      </w:r>
      <w:proofErr w:type="spellStart"/>
      <w:r>
        <w:rPr>
          <w:color w:val="1F1F1F"/>
          <w:highlight w:val="white"/>
        </w:rPr>
        <w:t>Skingley</w:t>
      </w:r>
      <w:proofErr w:type="spellEnd"/>
      <w:r>
        <w:rPr>
          <w:color w:val="1F1F1F"/>
          <w:highlight w:val="white"/>
        </w:rPr>
        <w:t xml:space="preserve"> and Clift (2020) aimed to test the “transferability and reliability” (</w:t>
      </w:r>
      <w:r w:rsidR="001223F7">
        <w:rPr>
          <w:color w:val="1F1F1F"/>
          <w:highlight w:val="white"/>
        </w:rPr>
        <w:t>p. 264</w:t>
      </w:r>
      <w:r>
        <w:rPr>
          <w:color w:val="1F1F1F"/>
          <w:highlight w:val="white"/>
        </w:rPr>
        <w:t xml:space="preserve">) of the UK study by conducting a similar investigation in Rome. This study had a smaller sample size of 45 participants randomly separated into 3 singing groups. Participants were all older than 60, with good mental health and poor physical health. Findings were </w:t>
      </w:r>
      <w:proofErr w:type="gramStart"/>
      <w:r>
        <w:rPr>
          <w:color w:val="1F1F1F"/>
          <w:highlight w:val="white"/>
        </w:rPr>
        <w:t>similar to</w:t>
      </w:r>
      <w:proofErr w:type="gramEnd"/>
      <w:r>
        <w:rPr>
          <w:color w:val="1F1F1F"/>
          <w:highlight w:val="white"/>
        </w:rPr>
        <w:t xml:space="preserve"> the UK study, suggesting that participation in choral singing can have a positive impact on the health and wellbeing of older adults. Although undertaken in a different geographic area than the study by </w:t>
      </w:r>
      <w:proofErr w:type="spellStart"/>
      <w:r>
        <w:rPr>
          <w:color w:val="1F1F1F"/>
          <w:highlight w:val="white"/>
        </w:rPr>
        <w:t>Skingley</w:t>
      </w:r>
      <w:proofErr w:type="spellEnd"/>
      <w:r>
        <w:rPr>
          <w:color w:val="1F1F1F"/>
          <w:highlight w:val="white"/>
        </w:rPr>
        <w:t xml:space="preserve">, Martin and Clift’s (2016), </w:t>
      </w:r>
      <w:proofErr w:type="spellStart"/>
      <w:r>
        <w:rPr>
          <w:color w:val="1F1F1F"/>
          <w:highlight w:val="white"/>
        </w:rPr>
        <w:t>Corvo</w:t>
      </w:r>
      <w:proofErr w:type="spellEnd"/>
      <w:r>
        <w:rPr>
          <w:color w:val="1F1F1F"/>
          <w:highlight w:val="white"/>
        </w:rPr>
        <w:t xml:space="preserve">, </w:t>
      </w:r>
      <w:proofErr w:type="spellStart"/>
      <w:r>
        <w:rPr>
          <w:color w:val="1F1F1F"/>
          <w:highlight w:val="white"/>
        </w:rPr>
        <w:t>Skingley</w:t>
      </w:r>
      <w:proofErr w:type="spellEnd"/>
      <w:r>
        <w:rPr>
          <w:color w:val="1F1F1F"/>
          <w:highlight w:val="white"/>
        </w:rPr>
        <w:t xml:space="preserve"> and Clift’s (2020) study similarly include a predominantly female sample.</w:t>
      </w:r>
    </w:p>
    <w:p w14:paraId="6C884E9E" w14:textId="77777777" w:rsidR="00A42CE2" w:rsidRDefault="00A42CE2">
      <w:pPr>
        <w:spacing w:after="200" w:line="360" w:lineRule="auto"/>
        <w:rPr>
          <w:color w:val="1F1F1F"/>
          <w:highlight w:val="white"/>
        </w:rPr>
      </w:pPr>
    </w:p>
    <w:p w14:paraId="443CFEE1" w14:textId="7BF0CB3F" w:rsidR="00A42CE2" w:rsidRDefault="00000000">
      <w:pPr>
        <w:spacing w:after="200" w:line="360" w:lineRule="auto"/>
        <w:rPr>
          <w:color w:val="181818"/>
          <w:highlight w:val="white"/>
        </w:rPr>
      </w:pPr>
      <w:r>
        <w:rPr>
          <w:color w:val="1F1F1F"/>
          <w:highlight w:val="white"/>
        </w:rPr>
        <w:lastRenderedPageBreak/>
        <w:t>As earlier studies included samples of predominantly white females (</w:t>
      </w:r>
      <w:proofErr w:type="spellStart"/>
      <w:r>
        <w:rPr>
          <w:color w:val="1F1F1F"/>
          <w:highlight w:val="white"/>
        </w:rPr>
        <w:t>Coulton</w:t>
      </w:r>
      <w:proofErr w:type="spellEnd"/>
      <w:r>
        <w:rPr>
          <w:color w:val="1F1F1F"/>
          <w:highlight w:val="white"/>
        </w:rPr>
        <w:t xml:space="preserve"> et al, 2015; </w:t>
      </w:r>
      <w:proofErr w:type="spellStart"/>
      <w:r>
        <w:rPr>
          <w:color w:val="1F1F1F"/>
          <w:highlight w:val="white"/>
        </w:rPr>
        <w:t>Skingley</w:t>
      </w:r>
      <w:proofErr w:type="spellEnd"/>
      <w:r>
        <w:rPr>
          <w:color w:val="1F1F1F"/>
          <w:highlight w:val="white"/>
        </w:rPr>
        <w:t xml:space="preserve">, Martin and Clift, 2016; </w:t>
      </w:r>
      <w:proofErr w:type="spellStart"/>
      <w:r>
        <w:rPr>
          <w:color w:val="1F1F1F"/>
          <w:highlight w:val="white"/>
        </w:rPr>
        <w:t>Corvo</w:t>
      </w:r>
      <w:proofErr w:type="spellEnd"/>
      <w:r>
        <w:rPr>
          <w:color w:val="1F1F1F"/>
          <w:highlight w:val="white"/>
        </w:rPr>
        <w:t xml:space="preserve">, </w:t>
      </w:r>
      <w:proofErr w:type="spellStart"/>
      <w:r>
        <w:rPr>
          <w:color w:val="1F1F1F"/>
          <w:highlight w:val="white"/>
        </w:rPr>
        <w:t>Skingley</w:t>
      </w:r>
      <w:proofErr w:type="spellEnd"/>
      <w:r>
        <w:rPr>
          <w:color w:val="1F1F1F"/>
          <w:highlight w:val="white"/>
        </w:rPr>
        <w:t xml:space="preserve"> and Clift; 2020) a study by Allison et al</w:t>
      </w:r>
      <w:r w:rsidR="001223F7">
        <w:rPr>
          <w:color w:val="1F1F1F"/>
          <w:highlight w:val="white"/>
        </w:rPr>
        <w:t>.</w:t>
      </w:r>
      <w:r>
        <w:rPr>
          <w:color w:val="1F1F1F"/>
          <w:highlight w:val="white"/>
        </w:rPr>
        <w:t xml:space="preserve"> (2020) sought to add to the existing literature by examining the impact of singing on a more diverse sample. Allison et al</w:t>
      </w:r>
      <w:r w:rsidR="001223F7">
        <w:rPr>
          <w:color w:val="1F1F1F"/>
          <w:highlight w:val="white"/>
        </w:rPr>
        <w:t>.</w:t>
      </w:r>
      <w:r>
        <w:rPr>
          <w:color w:val="1F1F1F"/>
          <w:highlight w:val="white"/>
        </w:rPr>
        <w:t xml:space="preserve"> (2020) conducted focus groups and interviews with 31 participants in 5 choirs. Participants included both English and Spanish speakers in one US city. Findings were consistent with earlier studies, with participants highlighting that choral singing aided in improved emotional wellbeing.</w:t>
      </w:r>
    </w:p>
    <w:p w14:paraId="730AE4C3" w14:textId="77777777" w:rsidR="00A42CE2" w:rsidRDefault="00000000">
      <w:pPr>
        <w:shd w:val="clear" w:color="auto" w:fill="FFFFFF"/>
        <w:spacing w:after="200" w:line="360" w:lineRule="auto"/>
        <w:rPr>
          <w:color w:val="1F1F1F"/>
          <w:highlight w:val="white"/>
        </w:rPr>
      </w:pPr>
      <w:r>
        <w:rPr>
          <w:b/>
          <w:color w:val="181818"/>
          <w:highlight w:val="white"/>
        </w:rPr>
        <w:t xml:space="preserve">Social Bonding in Choirs: The Ice-Breaker Effect </w:t>
      </w:r>
    </w:p>
    <w:p w14:paraId="03F703AE" w14:textId="0665F511" w:rsidR="00A42CE2" w:rsidRDefault="00000000">
      <w:pPr>
        <w:spacing w:after="200" w:line="360" w:lineRule="auto"/>
        <w:rPr>
          <w:color w:val="181818"/>
          <w:highlight w:val="white"/>
        </w:rPr>
      </w:pPr>
      <w:r>
        <w:rPr>
          <w:color w:val="1F1F1F"/>
          <w:highlight w:val="white"/>
        </w:rPr>
        <w:t xml:space="preserve">It is relevant to examine studies claiming perceived impact of group singing on health and wellbeing. Though the potential and perceived impact is well documented in the literature, it is unclear whether the impact came from singing as a group, or simply gathering as a group (Bailey and Davidson, 2002; Pearce, </w:t>
      </w:r>
      <w:proofErr w:type="gramStart"/>
      <w:r>
        <w:rPr>
          <w:color w:val="1F1F1F"/>
          <w:highlight w:val="white"/>
        </w:rPr>
        <w:t>Laundry</w:t>
      </w:r>
      <w:proofErr w:type="gramEnd"/>
      <w:r>
        <w:rPr>
          <w:color w:val="1F1F1F"/>
          <w:highlight w:val="white"/>
        </w:rPr>
        <w:t xml:space="preserve"> and Dunbar, 2015). </w:t>
      </w:r>
      <w:r>
        <w:rPr>
          <w:color w:val="181818"/>
          <w:highlight w:val="white"/>
        </w:rPr>
        <w:t xml:space="preserve">Pearce, Laundry, and Dunbar (2015) conducted a study to compare the impacts of group singing to other group activities. They observed 6 groups in an adult education program: 4 singing groups, 2 craft groups and 1 creative writing group. The most significant outcome from their research was that the singing groups experienced sharp increases in “closeness” (pg. </w:t>
      </w:r>
      <w:r w:rsidR="001223F7">
        <w:rPr>
          <w:color w:val="181818"/>
          <w:highlight w:val="white"/>
        </w:rPr>
        <w:t>498</w:t>
      </w:r>
      <w:r>
        <w:rPr>
          <w:color w:val="181818"/>
          <w:highlight w:val="white"/>
        </w:rPr>
        <w:t>) after their first meeting. Although all groups achieved similar levels of “closeness” by the end of the study, the sharp increase for singers after the first meeting indicates that a shared musical experience may help groups bond faster. This is evidence suggesting that group singing may be an effective way to facilitate faster “social bonding” (Pearce, Laundry, and Dunbar, 2015,</w:t>
      </w:r>
      <w:r w:rsidR="001223F7">
        <w:rPr>
          <w:color w:val="181818"/>
          <w:highlight w:val="white"/>
        </w:rPr>
        <w:t xml:space="preserve"> p. 496</w:t>
      </w:r>
      <w:r>
        <w:rPr>
          <w:color w:val="181818"/>
          <w:highlight w:val="white"/>
        </w:rPr>
        <w:t xml:space="preserve">), also referred to by the researchers as the “ice-breaker effect” </w:t>
      </w:r>
      <w:r w:rsidR="001223F7">
        <w:rPr>
          <w:color w:val="181818"/>
          <w:highlight w:val="white"/>
        </w:rPr>
        <w:t>(p. 508)</w:t>
      </w:r>
      <w:r>
        <w:rPr>
          <w:color w:val="181818"/>
          <w:highlight w:val="white"/>
        </w:rPr>
        <w:t>. It is worth noting, however, that while the other groups had more opportunities to socialize, they completed independent projects rather than engaging in a collaborative effort like the singing groups. This is a limitation in comparing outcomes in this research study.</w:t>
      </w:r>
    </w:p>
    <w:p w14:paraId="3654E0FC" w14:textId="52E8A8B9" w:rsidR="00A42CE2" w:rsidRDefault="00000000">
      <w:pPr>
        <w:shd w:val="clear" w:color="auto" w:fill="FFFFFF"/>
        <w:spacing w:after="200" w:line="360" w:lineRule="auto"/>
        <w:rPr>
          <w:b/>
          <w:color w:val="1F1F1F"/>
          <w:highlight w:val="white"/>
        </w:rPr>
      </w:pPr>
      <w:r>
        <w:rPr>
          <w:color w:val="181818"/>
          <w:highlight w:val="white"/>
        </w:rPr>
        <w:t xml:space="preserve">Similar findings emerged from a study by </w:t>
      </w:r>
      <w:r>
        <w:rPr>
          <w:color w:val="1F1F1F"/>
          <w:highlight w:val="white"/>
        </w:rPr>
        <w:t>Weinstein et al</w:t>
      </w:r>
      <w:r w:rsidR="001223F7">
        <w:rPr>
          <w:color w:val="1F1F1F"/>
          <w:highlight w:val="white"/>
        </w:rPr>
        <w:t>.</w:t>
      </w:r>
      <w:r>
        <w:rPr>
          <w:color w:val="1F1F1F"/>
          <w:highlight w:val="white"/>
        </w:rPr>
        <w:t xml:space="preserve"> (2016) comparing outcomes of large-group versus small-group singing participation in amateur community choirs. Weinstein et al</w:t>
      </w:r>
      <w:r w:rsidR="001223F7">
        <w:rPr>
          <w:color w:val="1F1F1F"/>
          <w:highlight w:val="white"/>
        </w:rPr>
        <w:t>.</w:t>
      </w:r>
      <w:r>
        <w:rPr>
          <w:color w:val="1F1F1F"/>
          <w:highlight w:val="white"/>
        </w:rPr>
        <w:t xml:space="preserve"> (2016) found that social bonding was greater in the large group setting (80 participants in a single choir) compared to the smaller group setting (113 participants divided into 6 choirs), suggesting that singing may be an effective means of connecting large groups of strangers.</w:t>
      </w:r>
    </w:p>
    <w:p w14:paraId="3B8434D0" w14:textId="77777777" w:rsidR="00C575A3" w:rsidRDefault="00C575A3">
      <w:pPr>
        <w:shd w:val="clear" w:color="auto" w:fill="FFFFFF"/>
        <w:spacing w:after="200" w:line="360" w:lineRule="auto"/>
        <w:rPr>
          <w:b/>
          <w:color w:val="1F1F1F"/>
          <w:highlight w:val="white"/>
        </w:rPr>
      </w:pPr>
    </w:p>
    <w:p w14:paraId="21C9FFF5" w14:textId="77777777" w:rsidR="00C575A3" w:rsidRDefault="00C575A3">
      <w:pPr>
        <w:shd w:val="clear" w:color="auto" w:fill="FFFFFF"/>
        <w:spacing w:after="200" w:line="360" w:lineRule="auto"/>
        <w:rPr>
          <w:b/>
          <w:color w:val="1F1F1F"/>
          <w:highlight w:val="white"/>
        </w:rPr>
      </w:pPr>
    </w:p>
    <w:p w14:paraId="7147F4EB" w14:textId="59EADA6A" w:rsidR="00A42CE2" w:rsidRDefault="00000000">
      <w:pPr>
        <w:shd w:val="clear" w:color="auto" w:fill="FFFFFF"/>
        <w:spacing w:after="200" w:line="360" w:lineRule="auto"/>
        <w:rPr>
          <w:b/>
          <w:color w:val="1F1F1F"/>
          <w:highlight w:val="white"/>
        </w:rPr>
      </w:pPr>
      <w:r>
        <w:rPr>
          <w:b/>
          <w:color w:val="1F1F1F"/>
          <w:highlight w:val="white"/>
        </w:rPr>
        <w:lastRenderedPageBreak/>
        <w:t>Audience Reciprocity Promoting Social Wellbeing</w:t>
      </w:r>
    </w:p>
    <w:p w14:paraId="708BBF3F" w14:textId="731D2B26" w:rsidR="00A42CE2" w:rsidRDefault="00000000">
      <w:pPr>
        <w:shd w:val="clear" w:color="auto" w:fill="FFFFFF"/>
        <w:spacing w:after="200" w:line="360" w:lineRule="auto"/>
        <w:rPr>
          <w:color w:val="1F1F1F"/>
          <w:highlight w:val="white"/>
        </w:rPr>
      </w:pPr>
      <w:r>
        <w:rPr>
          <w:color w:val="1F1F1F"/>
          <w:highlight w:val="white"/>
        </w:rPr>
        <w:t>The act of performing for an audience may contribute to the perceived social and emotional benefits of group singing. Findings in a study by Bailey and Davidson (2002) found that “reciprocity between the choir and the public” (p. 239) were key to the perceived social benefits of participation. The choir was made up of men experiencing homelessness, a situation that can often be accompanied by feelings of social isolation and general loneliness. Participants expressed feeling empowered by the opportunity to perform for an audience and be seen rather than ignored. This supports findings by Cates (2020) suggesting that connecting with audiences and spreading positive messages of inclusion and acceptance may be a motivating factor to LGBTQIA+ people to participate in community choirs. Both the homeless men in Bailey and Davidson’s (2002) study and the queer men in Cates’ (2020) study are members of communities who can at times feel like outcasts in society. The act of performing in a choir and being visible to the public may be an empowering tool to further develop self-esteem and a sense of confidence. The connection of “audience reciprocity” (Bailey and Davidson, 2003, p. 239) to boosts in self-confidence are further supported by findings from a study by Dingle et al</w:t>
      </w:r>
      <w:r w:rsidR="001223F7">
        <w:rPr>
          <w:color w:val="1F1F1F"/>
          <w:highlight w:val="white"/>
        </w:rPr>
        <w:t>.</w:t>
      </w:r>
      <w:r>
        <w:rPr>
          <w:color w:val="1F1F1F"/>
          <w:highlight w:val="white"/>
        </w:rPr>
        <w:t xml:space="preserve"> (2012). Singers experiencing “chronic mental illness” (p. 409) reported that a positive response from the audience had a positive impact on their “mood and self-perception” (p. 417).</w:t>
      </w:r>
    </w:p>
    <w:p w14:paraId="3C34D909" w14:textId="77777777" w:rsidR="00A42CE2" w:rsidRDefault="00000000">
      <w:pPr>
        <w:shd w:val="clear" w:color="auto" w:fill="FFFFFF"/>
        <w:spacing w:after="200" w:line="360" w:lineRule="auto"/>
        <w:rPr>
          <w:color w:val="1F1F1F"/>
          <w:highlight w:val="white"/>
        </w:rPr>
      </w:pPr>
      <w:r>
        <w:rPr>
          <w:b/>
          <w:color w:val="1F1F1F"/>
          <w:highlight w:val="white"/>
        </w:rPr>
        <w:t>Self-Confidence and Self-Esteem</w:t>
      </w:r>
    </w:p>
    <w:p w14:paraId="5276FF91" w14:textId="410D356F" w:rsidR="00A42CE2" w:rsidRDefault="00000000">
      <w:pPr>
        <w:shd w:val="clear" w:color="auto" w:fill="FFFFFF"/>
        <w:spacing w:after="200" w:line="360" w:lineRule="auto"/>
        <w:rPr>
          <w:color w:val="1F1F1F"/>
          <w:highlight w:val="white"/>
        </w:rPr>
      </w:pPr>
      <w:r>
        <w:rPr>
          <w:color w:val="1F1F1F"/>
          <w:highlight w:val="white"/>
        </w:rPr>
        <w:t>Boosts in self-confidence and self-esteem are well documented in the literature as potential benefits of group singing (</w:t>
      </w:r>
      <w:proofErr w:type="spellStart"/>
      <w:r>
        <w:rPr>
          <w:color w:val="1F1F1F"/>
          <w:highlight w:val="white"/>
        </w:rPr>
        <w:t>Lagace</w:t>
      </w:r>
      <w:proofErr w:type="spellEnd"/>
      <w:r>
        <w:rPr>
          <w:color w:val="1F1F1F"/>
          <w:highlight w:val="white"/>
        </w:rPr>
        <w:t xml:space="preserve"> et al, 2015; </w:t>
      </w:r>
      <w:proofErr w:type="spellStart"/>
      <w:r>
        <w:rPr>
          <w:color w:val="1F1F1F"/>
          <w:highlight w:val="white"/>
        </w:rPr>
        <w:t>Skingley</w:t>
      </w:r>
      <w:proofErr w:type="spellEnd"/>
      <w:r>
        <w:rPr>
          <w:color w:val="1F1F1F"/>
          <w:highlight w:val="white"/>
        </w:rPr>
        <w:t xml:space="preserve">, Martin and Clift, 2016; Allison et al, 2020; </w:t>
      </w:r>
      <w:proofErr w:type="spellStart"/>
      <w:r>
        <w:rPr>
          <w:color w:val="1F1F1F"/>
          <w:highlight w:val="white"/>
        </w:rPr>
        <w:t>Helitzer</w:t>
      </w:r>
      <w:proofErr w:type="spellEnd"/>
      <w:r>
        <w:rPr>
          <w:color w:val="1F1F1F"/>
          <w:highlight w:val="white"/>
        </w:rPr>
        <w:t xml:space="preserve">, Moss and O’Donoghue, 2022). Focus groups </w:t>
      </w:r>
      <w:proofErr w:type="gramStart"/>
      <w:r>
        <w:rPr>
          <w:color w:val="1F1F1F"/>
          <w:highlight w:val="white"/>
        </w:rPr>
        <w:t>in</w:t>
      </w:r>
      <w:proofErr w:type="gramEnd"/>
      <w:r>
        <w:rPr>
          <w:color w:val="1F1F1F"/>
          <w:highlight w:val="white"/>
        </w:rPr>
        <w:t xml:space="preserve"> a study by Allison et al</w:t>
      </w:r>
      <w:r w:rsidR="001223F7">
        <w:rPr>
          <w:color w:val="1F1F1F"/>
          <w:highlight w:val="white"/>
        </w:rPr>
        <w:t>.</w:t>
      </w:r>
      <w:r>
        <w:rPr>
          <w:color w:val="1F1F1F"/>
          <w:highlight w:val="white"/>
        </w:rPr>
        <w:t xml:space="preserve"> (2020) revealed that choir had a positive impact on the self-confidence of older adult singers. This was attributed to the decreased feelings of loneliness, but also on the cognitive benefits associated with learning and memorizing new music. The highest area of group singing impact uncovered in a study by </w:t>
      </w:r>
      <w:proofErr w:type="spellStart"/>
      <w:r>
        <w:rPr>
          <w:color w:val="1F1F1F"/>
          <w:highlight w:val="white"/>
        </w:rPr>
        <w:t>Skingley</w:t>
      </w:r>
      <w:proofErr w:type="spellEnd"/>
      <w:r>
        <w:rPr>
          <w:color w:val="1F1F1F"/>
          <w:highlight w:val="white"/>
        </w:rPr>
        <w:t xml:space="preserve">, Martin and Clift (2016) were psychological benefits, including improved confidence. Boosts in self-confidence and self-esteem may be linked to improvements in overall health and wellbeing (Bailey and Davidson, 2002, 2003; </w:t>
      </w:r>
      <w:proofErr w:type="spellStart"/>
      <w:r>
        <w:rPr>
          <w:color w:val="1F1F1F"/>
          <w:highlight w:val="white"/>
        </w:rPr>
        <w:t>Lagace</w:t>
      </w:r>
      <w:proofErr w:type="spellEnd"/>
      <w:r>
        <w:rPr>
          <w:color w:val="1F1F1F"/>
          <w:highlight w:val="white"/>
        </w:rPr>
        <w:t xml:space="preserve"> et al, 2015; Judd and Pooley, 2013). </w:t>
      </w:r>
    </w:p>
    <w:p w14:paraId="3A373A96" w14:textId="77777777" w:rsidR="00A42CE2" w:rsidRDefault="00000000">
      <w:pPr>
        <w:shd w:val="clear" w:color="auto" w:fill="FFFFFF"/>
        <w:spacing w:after="200" w:line="360" w:lineRule="auto"/>
        <w:rPr>
          <w:color w:val="1F1F1F"/>
          <w:highlight w:val="white"/>
        </w:rPr>
      </w:pPr>
      <w:r>
        <w:rPr>
          <w:b/>
          <w:color w:val="1F1F1F"/>
          <w:highlight w:val="white"/>
        </w:rPr>
        <w:t>Choirs and Gender Identity</w:t>
      </w:r>
    </w:p>
    <w:p w14:paraId="73CF6F52" w14:textId="32C7BB11" w:rsidR="00A42CE2" w:rsidRDefault="00000000">
      <w:pPr>
        <w:shd w:val="clear" w:color="auto" w:fill="FFFFFF"/>
        <w:spacing w:after="200" w:line="360" w:lineRule="auto"/>
      </w:pPr>
      <w:r>
        <w:rPr>
          <w:color w:val="1F1F1F"/>
          <w:highlight w:val="white"/>
        </w:rPr>
        <w:t>Much of the research in singing for health has been made up of predominantly white female samples (</w:t>
      </w:r>
      <w:proofErr w:type="spellStart"/>
      <w:r>
        <w:rPr>
          <w:color w:val="1F1F1F"/>
          <w:highlight w:val="white"/>
        </w:rPr>
        <w:t>Skingley</w:t>
      </w:r>
      <w:proofErr w:type="spellEnd"/>
      <w:r>
        <w:rPr>
          <w:color w:val="1F1F1F"/>
          <w:highlight w:val="white"/>
        </w:rPr>
        <w:t xml:space="preserve">, Martin and Clift, 2016). Samples may skew more female due to a generally </w:t>
      </w:r>
      <w:r>
        <w:rPr>
          <w:color w:val="1F1F1F"/>
          <w:highlight w:val="white"/>
        </w:rPr>
        <w:lastRenderedPageBreak/>
        <w:t xml:space="preserve">higher percentage of female participants in choirs (Terry, 1989; </w:t>
      </w:r>
      <w:proofErr w:type="spellStart"/>
      <w:r>
        <w:t>Zemeck</w:t>
      </w:r>
      <w:proofErr w:type="spellEnd"/>
      <w:r>
        <w:t xml:space="preserve">, 2010; </w:t>
      </w:r>
      <w:proofErr w:type="spellStart"/>
      <w:r>
        <w:t>Elpus</w:t>
      </w:r>
      <w:proofErr w:type="spellEnd"/>
      <w:r>
        <w:t>, 2015</w:t>
      </w:r>
      <w:r>
        <w:rPr>
          <w:color w:val="1F1F1F"/>
          <w:highlight w:val="white"/>
        </w:rPr>
        <w:t>). A study by Allison et al</w:t>
      </w:r>
      <w:r w:rsidR="001223F7">
        <w:rPr>
          <w:color w:val="1F1F1F"/>
          <w:highlight w:val="white"/>
        </w:rPr>
        <w:t>.</w:t>
      </w:r>
      <w:r>
        <w:rPr>
          <w:color w:val="1F1F1F"/>
          <w:highlight w:val="white"/>
        </w:rPr>
        <w:t xml:space="preserve"> (2020) sought to add to literature by intentionally diversifying the demographic of their study. Their findings were consistent with earlier studies, although the study was conducted in only one geographic location. Some studies intentionally studied male only choirs (Bailey and Davidson, 2002, 2003, 2005) while others examined female only choirs (</w:t>
      </w:r>
      <w:proofErr w:type="spellStart"/>
      <w:r>
        <w:rPr>
          <w:color w:val="1F1F1F"/>
          <w:highlight w:val="white"/>
        </w:rPr>
        <w:t>Helitzer</w:t>
      </w:r>
      <w:proofErr w:type="spellEnd"/>
      <w:r>
        <w:rPr>
          <w:color w:val="1F1F1F"/>
          <w:highlight w:val="white"/>
        </w:rPr>
        <w:t>, Moss, and O'Donoghue, 2022).</w:t>
      </w:r>
    </w:p>
    <w:p w14:paraId="77EE8D07" w14:textId="77777777" w:rsidR="00A42CE2" w:rsidRDefault="00000000">
      <w:pPr>
        <w:spacing w:after="200" w:line="360" w:lineRule="auto"/>
      </w:pPr>
      <w:r>
        <w:t>Though many choir leaders are shifting away from gendered choirs (men’s choir and women’s choir) in favor of more inclusive and “gender-expansive” options, gendered choral ensembles do still exist (Cates, 2020, p. 94). A study by Graf (2016) found that male identifying singers may be drawn to men’s choirs for social reasons, including bonding with singers with similar life experiences. Findings in a study of a choral group for mothers and grandmothers suggest that women may feel a greater sense of safety participating in an all-women’s choir as opposed to a mixed-voice choir (</w:t>
      </w:r>
      <w:proofErr w:type="spellStart"/>
      <w:r>
        <w:t>Helitzer</w:t>
      </w:r>
      <w:proofErr w:type="spellEnd"/>
      <w:r>
        <w:t xml:space="preserve">, Moss and </w:t>
      </w:r>
      <w:proofErr w:type="spellStart"/>
      <w:r>
        <w:t>O’Donogue</w:t>
      </w:r>
      <w:proofErr w:type="spellEnd"/>
      <w:r>
        <w:t xml:space="preserve">, 2022). Participants felt a strong sense of family and community and expressed concerns that this level of connection may not be possible in the presence of men.  These studies suggest that there may be value in affinity choirs, or choirs “linked by a common purpose, ideology, or interest” (University of Pittsburgh, p. 1, Pour-Khorshid, 2018). </w:t>
      </w:r>
    </w:p>
    <w:p w14:paraId="15A549A5" w14:textId="77777777" w:rsidR="00A42CE2" w:rsidRDefault="00000000">
      <w:pPr>
        <w:spacing w:after="200" w:line="360" w:lineRule="auto"/>
      </w:pPr>
      <w:r>
        <w:t>In examining ways in which gender identity impacts eligibility participation in LGBTQIA+ choirs in the United States, surprising findings emerged. The choir demographics of participants in gay men’s choruses in three US cities present potentially troubling implications for trans-gender and non-binary participants (Cates, 2020). Out of 201 participants in the study, only 1 identified as non-binary. This could imply that transgender and non-binary singers may not feel welcome in choirs for gay men, either due to group dynamics or participation policies set forth by choir leadership.</w:t>
      </w:r>
    </w:p>
    <w:p w14:paraId="0106FB6A" w14:textId="77777777" w:rsidR="00A42CE2" w:rsidRDefault="00000000">
      <w:pPr>
        <w:spacing w:after="200" w:line="360" w:lineRule="auto"/>
      </w:pPr>
      <w:r>
        <w:t>For example, the San Diego Gay Men’s Chorus does not have explicit rules that participants must identify as gay, but members feel strongly about their identity as a “gay men’s chorus, not as a gay-friendly chorus or a gay-and-allies chorus” (</w:t>
      </w:r>
      <w:proofErr w:type="spellStart"/>
      <w:r>
        <w:t>Gurlly</w:t>
      </w:r>
      <w:proofErr w:type="spellEnd"/>
      <w:r>
        <w:t xml:space="preserve">, 2014, p. 54). At the time of </w:t>
      </w:r>
      <w:proofErr w:type="spellStart"/>
      <w:r>
        <w:t>Gurlly’s</w:t>
      </w:r>
      <w:proofErr w:type="spellEnd"/>
      <w:r>
        <w:t xml:space="preserve"> research, the chorus did not allow singers who did not identify as male. While the artistic director stated that this had never presented any issues, </w:t>
      </w:r>
      <w:proofErr w:type="spellStart"/>
      <w:r>
        <w:t>Gurlly</w:t>
      </w:r>
      <w:proofErr w:type="spellEnd"/>
      <w:r>
        <w:t xml:space="preserve"> questioned </w:t>
      </w:r>
      <w:proofErr w:type="gramStart"/>
      <w:r>
        <w:t>whether or not</w:t>
      </w:r>
      <w:proofErr w:type="gramEnd"/>
      <w:r>
        <w:t xml:space="preserve"> this alienated the transgender community, citing that “gay and lesbian support for transgender persons and causes has not been consistent” (p. 54). Other choirs aim to be more inclusive. For instance, membership in the Des Moines Gay Men's Chorus is open to anyone who can sing in </w:t>
      </w:r>
      <w:r>
        <w:lastRenderedPageBreak/>
        <w:t xml:space="preserve">a “tenor or bass register” (Reddy-Best, et al 2021, p. 1017), regardless of musical ability, sexual </w:t>
      </w:r>
      <w:proofErr w:type="gramStart"/>
      <w:r>
        <w:t>orientation</w:t>
      </w:r>
      <w:proofErr w:type="gramEnd"/>
      <w:r>
        <w:t xml:space="preserve"> or gender identity.</w:t>
      </w:r>
    </w:p>
    <w:p w14:paraId="6B1884C4" w14:textId="77777777" w:rsidR="00A42CE2" w:rsidRDefault="00000000">
      <w:pPr>
        <w:spacing w:after="200" w:line="360" w:lineRule="auto"/>
        <w:rPr>
          <w:color w:val="1F1F1F"/>
          <w:highlight w:val="white"/>
        </w:rPr>
      </w:pPr>
      <w:r>
        <w:t xml:space="preserve">Research by Southerland (2020) found non-white and trans members of a US-based LGBTQIA+ choir did not feel safe, perhaps prohibiting people from joining in the first place or from staying in the choir long term. </w:t>
      </w:r>
    </w:p>
    <w:p w14:paraId="26AA3385" w14:textId="77777777" w:rsidR="00A42CE2" w:rsidRDefault="00000000">
      <w:pPr>
        <w:shd w:val="clear" w:color="auto" w:fill="FFFFFF"/>
        <w:spacing w:after="200" w:line="360" w:lineRule="auto"/>
      </w:pPr>
      <w:r>
        <w:rPr>
          <w:b/>
          <w:color w:val="1F1F1F"/>
          <w:highlight w:val="white"/>
        </w:rPr>
        <w:t>Lack of Racial Diversity in LGBTQIA+ Choirs</w:t>
      </w:r>
    </w:p>
    <w:p w14:paraId="6A874783" w14:textId="77777777" w:rsidR="00A42CE2" w:rsidRDefault="00000000">
      <w:pPr>
        <w:spacing w:after="200" w:line="360" w:lineRule="auto"/>
      </w:pPr>
      <w:r>
        <w:t xml:space="preserve">In the interest of exploring whether LGBTQIA+ choirs are truly inclusive </w:t>
      </w:r>
      <w:proofErr w:type="gramStart"/>
      <w:r>
        <w:t>organizations,</w:t>
      </w:r>
      <w:proofErr w:type="gramEnd"/>
      <w:r>
        <w:t xml:space="preserve"> it is also important to examine racial diversity within existing LGBTQIA+ choirs. The literature reveals a lack of racial diversity in many LGBTQIA+ community choirs in the United States (Reddy-Best et al, 2021; Sutherland, 2023). For example, members of the Des Moines Gay Men’s chorus are predominantly white, cisgender men (Reddy-Best, et al 2021). Members of the choir acknowledge the lack of racial diversity in the </w:t>
      </w:r>
      <w:proofErr w:type="gramStart"/>
      <w:r>
        <w:t>choir, but</w:t>
      </w:r>
      <w:proofErr w:type="gramEnd"/>
      <w:r>
        <w:t xml:space="preserve"> did not recognize that some of their policies may impact diversity, whether intentional or unintentional. For example, Reddy-Best, et al (2021) cited examples of cultural appropriation in costumes for performance, suggesting that these images posted on their website and social media may contribute to discouraging participation of queer people of color. Additionally, Reddy-Best et al. (2021) challenge that the tuxedos and other formal dress used for other performances may appeal more a cis-white gay man’s style, thereby alienating “queer people of color who may not view this space like these white appearing gay men do” (p. 1018)</w:t>
      </w:r>
    </w:p>
    <w:p w14:paraId="62CF5064" w14:textId="77777777" w:rsidR="00A42CE2" w:rsidRDefault="00000000">
      <w:pPr>
        <w:spacing w:after="200" w:line="360" w:lineRule="auto"/>
      </w:pPr>
      <w:r>
        <w:t xml:space="preserve">Southerland (2023) found that singers identifying as “Black, Indigenous or People of Color (BIPOC)” as well as singers identifying as “women, transgender, or gender expansive (TGE)” (p. 65) expressed that they did not feel safe in the “queer-identifying ensembles'' (p. 65) in which they participated. Southerland found that this was a recognized issue in many ensembles, and discovered GALA Choruses was making efforts to address “policies rooted in racism, sexism, classism, ableism and transphobia” (p. 65) in LGBTQIA+ choral organizations under their umbrella. Gala Choruses (2019) put together workbooks by committee to address issues of inequality with GALA choruses. </w:t>
      </w:r>
    </w:p>
    <w:p w14:paraId="464C0A6F" w14:textId="77777777" w:rsidR="00A42CE2" w:rsidRDefault="00000000">
      <w:pPr>
        <w:spacing w:after="200" w:line="360" w:lineRule="auto"/>
      </w:pPr>
      <w:r>
        <w:t xml:space="preserve">A second volume (2023) claims that many choruses used the workbook to initiate deep conversations about the structure and organization of their choruses. It was indicated that many conversations started in sub-groups of choral organizations rather than being initiated by leadership and it was discovered that some choruses had issues implementing these </w:t>
      </w:r>
      <w:r>
        <w:lastRenderedPageBreak/>
        <w:t>discussions for a variety of reasons. Some leaders had trouble achieving group participation, while some leaders were hesitant to give up what they viewed as valuable rehearsal time for these conversations. This suggests that biases of choir leaders may prohibit them from recognizing that their policies and practices may not be as inclusive as they claim. Ultimately, Gala (2023) found that many choirs viewed themselves as welcoming and inclusive, but failed to recognize that repertoire choices, use of language and other systematic practices may be discouraging outsiders from feeling as though they can find a place to belong in the organization.</w:t>
      </w:r>
    </w:p>
    <w:p w14:paraId="6E3912B2" w14:textId="77777777" w:rsidR="00A42CE2" w:rsidRDefault="00000000">
      <w:pPr>
        <w:shd w:val="clear" w:color="auto" w:fill="FFFFFF"/>
        <w:spacing w:after="200" w:line="360" w:lineRule="auto"/>
      </w:pPr>
      <w:r>
        <w:rPr>
          <w:b/>
        </w:rPr>
        <w:t>Ethical Considerations and Limitations of Studies</w:t>
      </w:r>
    </w:p>
    <w:p w14:paraId="1E8F36B8" w14:textId="77777777" w:rsidR="00A42CE2" w:rsidRDefault="00000000">
      <w:pPr>
        <w:shd w:val="clear" w:color="auto" w:fill="FFFFFF"/>
        <w:spacing w:after="200" w:line="360" w:lineRule="auto"/>
      </w:pPr>
      <w:r>
        <w:t>When examining studies surrounding mental and physical health, there are ethical concerns to consider. From an ethical perspective, it is crucial to closely examine claims that group singing can impact health and navigate research findings with care. There was no evidence found in the literature suggesting or claiming that group singing is a cure for mental health conditions, but there is some evidence that it may be a useful and cost-effective intervention (</w:t>
      </w:r>
      <w:proofErr w:type="spellStart"/>
      <w:r>
        <w:t>Coulton</w:t>
      </w:r>
      <w:proofErr w:type="spellEnd"/>
      <w:r>
        <w:t xml:space="preserve"> et al, 2015, </w:t>
      </w:r>
      <w:proofErr w:type="spellStart"/>
      <w:r>
        <w:t>Lagace</w:t>
      </w:r>
      <w:proofErr w:type="spellEnd"/>
      <w:r>
        <w:t xml:space="preserve"> et al, 2015; Hendry, 2023). As choir leaders are not healthcare professionals, a cautious approach must be taken to making claims regarding singing for health and wellbeing.</w:t>
      </w:r>
    </w:p>
    <w:p w14:paraId="7732F4A7" w14:textId="77777777" w:rsidR="00A42CE2" w:rsidRDefault="00000000">
      <w:pPr>
        <w:shd w:val="clear" w:color="auto" w:fill="FFFFFF"/>
        <w:spacing w:after="200" w:line="360" w:lineRule="auto"/>
        <w:rPr>
          <w:color w:val="1F1F1F"/>
          <w:highlight w:val="white"/>
        </w:rPr>
      </w:pPr>
      <w:r>
        <w:t xml:space="preserve">As a choir leader conducting research pertaining to my practice, this study could be considered insider research to an extent (Costley et al., 2010). </w:t>
      </w:r>
      <w:proofErr w:type="gramStart"/>
      <w:r>
        <w:t>Therefore</w:t>
      </w:r>
      <w:proofErr w:type="gramEnd"/>
      <w:r>
        <w:t xml:space="preserve"> the potential for bias must be recognized and considered. Although insider research positions the researcher for professional learning and growth (</w:t>
      </w:r>
      <w:proofErr w:type="spellStart"/>
      <w:r>
        <w:t>Saidin</w:t>
      </w:r>
      <w:proofErr w:type="spellEnd"/>
      <w:r>
        <w:t xml:space="preserve"> and Yaacob, 2016), it may result in bias when critically analyzing research findings.  </w:t>
      </w:r>
    </w:p>
    <w:p w14:paraId="78E09344" w14:textId="77777777" w:rsidR="00A42CE2" w:rsidRDefault="00000000">
      <w:pPr>
        <w:shd w:val="clear" w:color="auto" w:fill="FFFFFF"/>
        <w:spacing w:after="200" w:line="360" w:lineRule="auto"/>
        <w:rPr>
          <w:color w:val="1F1F1F"/>
          <w:highlight w:val="white"/>
        </w:rPr>
      </w:pPr>
      <w:r>
        <w:rPr>
          <w:color w:val="1F1F1F"/>
          <w:highlight w:val="white"/>
        </w:rPr>
        <w:t xml:space="preserve">All research studies have limitations and many of the studies examined for this research investigation presented similar limitations. Many researchers recognized that small sample sizes presented limitations to generalizing results (Bailey and Davidson, 2002; </w:t>
      </w:r>
      <w:proofErr w:type="spellStart"/>
      <w:r>
        <w:rPr>
          <w:color w:val="1F1F1F"/>
          <w:highlight w:val="white"/>
        </w:rPr>
        <w:t>Lagace</w:t>
      </w:r>
      <w:proofErr w:type="spellEnd"/>
      <w:r>
        <w:rPr>
          <w:color w:val="1F1F1F"/>
          <w:highlight w:val="white"/>
        </w:rPr>
        <w:t xml:space="preserve"> et al, 2015; Batt-</w:t>
      </w:r>
      <w:proofErr w:type="spellStart"/>
      <w:r>
        <w:rPr>
          <w:color w:val="1F1F1F"/>
          <w:highlight w:val="white"/>
        </w:rPr>
        <w:t>Rawden</w:t>
      </w:r>
      <w:proofErr w:type="spellEnd"/>
      <w:r>
        <w:rPr>
          <w:color w:val="1F1F1F"/>
          <w:highlight w:val="white"/>
        </w:rPr>
        <w:t xml:space="preserve"> and Anderson, 2020; </w:t>
      </w:r>
      <w:proofErr w:type="spellStart"/>
      <w:r>
        <w:rPr>
          <w:color w:val="1F1F1F"/>
          <w:highlight w:val="white"/>
        </w:rPr>
        <w:t>Corvo</w:t>
      </w:r>
      <w:proofErr w:type="spellEnd"/>
      <w:r>
        <w:rPr>
          <w:color w:val="1F1F1F"/>
          <w:highlight w:val="white"/>
        </w:rPr>
        <w:t xml:space="preserve">, </w:t>
      </w:r>
      <w:proofErr w:type="spellStart"/>
      <w:r>
        <w:rPr>
          <w:color w:val="1F1F1F"/>
          <w:highlight w:val="white"/>
        </w:rPr>
        <w:t>Skingley</w:t>
      </w:r>
      <w:proofErr w:type="spellEnd"/>
      <w:r>
        <w:rPr>
          <w:color w:val="1F1F1F"/>
          <w:highlight w:val="white"/>
        </w:rPr>
        <w:t xml:space="preserve"> and Clift, 2020; Allison et al, 2020). Other researchers acknowledge biases impacting participant responses and perceptions. For example, closeness to the researcher may impact participant responses as they may want to please the researcher (</w:t>
      </w:r>
      <w:proofErr w:type="spellStart"/>
      <w:r>
        <w:rPr>
          <w:color w:val="1F1F1F"/>
          <w:highlight w:val="white"/>
        </w:rPr>
        <w:t>Helitzer</w:t>
      </w:r>
      <w:proofErr w:type="spellEnd"/>
      <w:r>
        <w:rPr>
          <w:color w:val="1F1F1F"/>
          <w:highlight w:val="white"/>
        </w:rPr>
        <w:t>, Moss, and O'Donoghue, 2022). Additionally, participants volunteering to participate in group singing interventions may already hold positive views of singing which may impact results (</w:t>
      </w:r>
      <w:proofErr w:type="spellStart"/>
      <w:r>
        <w:rPr>
          <w:color w:val="1F1F1F"/>
          <w:highlight w:val="white"/>
        </w:rPr>
        <w:t>Skingley</w:t>
      </w:r>
      <w:proofErr w:type="spellEnd"/>
      <w:r>
        <w:rPr>
          <w:color w:val="1F1F1F"/>
          <w:highlight w:val="white"/>
        </w:rPr>
        <w:t xml:space="preserve">, Martin and Clift, 2016). Finally, many researchers suggest further efforts to compare singing to other interventions (Livesey, Morrison, Clift and </w:t>
      </w:r>
      <w:proofErr w:type="spellStart"/>
      <w:r>
        <w:rPr>
          <w:color w:val="1F1F1F"/>
          <w:highlight w:val="white"/>
        </w:rPr>
        <w:t>Camic</w:t>
      </w:r>
      <w:proofErr w:type="spellEnd"/>
      <w:r>
        <w:rPr>
          <w:color w:val="1F1F1F"/>
          <w:highlight w:val="white"/>
        </w:rPr>
        <w:t xml:space="preserve">, 2012; </w:t>
      </w:r>
      <w:proofErr w:type="spellStart"/>
      <w:r>
        <w:rPr>
          <w:color w:val="1F1F1F"/>
          <w:highlight w:val="white"/>
        </w:rPr>
        <w:t>Coulton</w:t>
      </w:r>
      <w:proofErr w:type="spellEnd"/>
      <w:r>
        <w:rPr>
          <w:color w:val="1F1F1F"/>
          <w:highlight w:val="white"/>
        </w:rPr>
        <w:t xml:space="preserve"> et al, 2015. It is challenging to draw analysis from current studies to </w:t>
      </w:r>
      <w:r>
        <w:rPr>
          <w:color w:val="1F1F1F"/>
          <w:highlight w:val="white"/>
        </w:rPr>
        <w:lastRenderedPageBreak/>
        <w:t xml:space="preserve">determine whether singing positively impacts social and emotional health or if the benefits come from the act of gathering in a group (Clift and </w:t>
      </w:r>
      <w:proofErr w:type="spellStart"/>
      <w:r>
        <w:rPr>
          <w:color w:val="1F1F1F"/>
          <w:highlight w:val="white"/>
        </w:rPr>
        <w:t>Hancox</w:t>
      </w:r>
      <w:proofErr w:type="spellEnd"/>
      <w:r>
        <w:rPr>
          <w:color w:val="1F1F1F"/>
          <w:highlight w:val="white"/>
        </w:rPr>
        <w:t>, 2001).</w:t>
      </w:r>
    </w:p>
    <w:p w14:paraId="5A7E876C" w14:textId="77777777" w:rsidR="00A42CE2" w:rsidRDefault="00000000">
      <w:pPr>
        <w:shd w:val="clear" w:color="auto" w:fill="FFFFFF"/>
        <w:spacing w:after="200" w:line="360" w:lineRule="auto"/>
        <w:rPr>
          <w:color w:val="1F1F1F"/>
          <w:highlight w:val="white"/>
        </w:rPr>
      </w:pPr>
      <w:r>
        <w:rPr>
          <w:b/>
          <w:color w:val="1F1F1F"/>
          <w:highlight w:val="white"/>
        </w:rPr>
        <w:t>Conclusion</w:t>
      </w:r>
    </w:p>
    <w:p w14:paraId="431E0D7B" w14:textId="77777777" w:rsidR="00A42CE2" w:rsidRDefault="00000000">
      <w:pPr>
        <w:shd w:val="clear" w:color="auto" w:fill="FFFFFF"/>
        <w:spacing w:after="200" w:line="360" w:lineRule="auto"/>
        <w:rPr>
          <w:color w:val="1F1F1F"/>
          <w:highlight w:val="white"/>
        </w:rPr>
      </w:pPr>
      <w:r>
        <w:rPr>
          <w:color w:val="1F1F1F"/>
          <w:highlight w:val="white"/>
        </w:rPr>
        <w:t>In examining the literature on the current state of several LGBTQIA+ existing in the United States, there are concerns relating to how welcoming they may be to transgender and BIPOC individuals (Reddy-Best, 2021; Southerland, 2023). The research reveals that the following may make these ensembles more inclusive and accessible:</w:t>
      </w:r>
    </w:p>
    <w:p w14:paraId="72F7F9F4" w14:textId="77777777" w:rsidR="00A42CE2" w:rsidRDefault="00000000">
      <w:pPr>
        <w:numPr>
          <w:ilvl w:val="0"/>
          <w:numId w:val="6"/>
        </w:numPr>
        <w:shd w:val="clear" w:color="auto" w:fill="FFFFFF"/>
        <w:spacing w:line="360" w:lineRule="auto"/>
        <w:rPr>
          <w:color w:val="1F1F1F"/>
          <w:highlight w:val="white"/>
        </w:rPr>
      </w:pPr>
      <w:r>
        <w:rPr>
          <w:color w:val="1F1F1F"/>
          <w:highlight w:val="white"/>
        </w:rPr>
        <w:t>Singers of any gender identity should be allowed to sing the voice part that is the best fit for them (Cates, 2020; Southerland, 2020).</w:t>
      </w:r>
    </w:p>
    <w:p w14:paraId="2E3CF06A" w14:textId="77777777" w:rsidR="00A42CE2" w:rsidRDefault="00000000">
      <w:pPr>
        <w:numPr>
          <w:ilvl w:val="0"/>
          <w:numId w:val="6"/>
        </w:numPr>
        <w:shd w:val="clear" w:color="auto" w:fill="FFFFFF"/>
        <w:spacing w:line="360" w:lineRule="auto"/>
        <w:rPr>
          <w:color w:val="1F1F1F"/>
          <w:highlight w:val="white"/>
        </w:rPr>
      </w:pPr>
      <w:r>
        <w:rPr>
          <w:color w:val="1F1F1F"/>
          <w:highlight w:val="white"/>
        </w:rPr>
        <w:t xml:space="preserve"> Policies and procedures should be examined to ensure transgender and BIPOC individuals are not being alienated. This includes repertoire selection and choir uniform (GALA, 2023; Southerland, 2023).</w:t>
      </w:r>
    </w:p>
    <w:p w14:paraId="72DFE633" w14:textId="77777777" w:rsidR="00A42CE2" w:rsidRDefault="00000000">
      <w:pPr>
        <w:numPr>
          <w:ilvl w:val="0"/>
          <w:numId w:val="6"/>
        </w:numPr>
        <w:shd w:val="clear" w:color="auto" w:fill="FFFFFF"/>
        <w:spacing w:after="200" w:line="360" w:lineRule="auto"/>
        <w:rPr>
          <w:color w:val="1F1F1F"/>
          <w:highlight w:val="white"/>
        </w:rPr>
      </w:pPr>
      <w:r>
        <w:rPr>
          <w:color w:val="1F1F1F"/>
          <w:highlight w:val="white"/>
        </w:rPr>
        <w:t>If precedence is given to community building rather than performance quality, singers may experience increased improvements in social and emotional wellbeing (Bailey and Davidson, 2002, 2003, 2005).</w:t>
      </w:r>
    </w:p>
    <w:p w14:paraId="128F2E9D" w14:textId="77777777" w:rsidR="00A42CE2" w:rsidRDefault="00000000">
      <w:pPr>
        <w:shd w:val="clear" w:color="auto" w:fill="FFFFFF"/>
        <w:spacing w:after="200" w:line="360" w:lineRule="auto"/>
        <w:rPr>
          <w:color w:val="1F1F1F"/>
          <w:highlight w:val="white"/>
        </w:rPr>
      </w:pPr>
      <w:r>
        <w:rPr>
          <w:color w:val="1F1F1F"/>
          <w:highlight w:val="white"/>
        </w:rPr>
        <w:t xml:space="preserve">Although research with LGBTQIA+ choirs is limited, there are many relevant studies revealing the perceived impact of group singing on social and emotional wellbeing (Livesey, Morrison, Clift and </w:t>
      </w:r>
      <w:proofErr w:type="spellStart"/>
      <w:r>
        <w:rPr>
          <w:color w:val="1F1F1F"/>
          <w:highlight w:val="white"/>
        </w:rPr>
        <w:t>Camic</w:t>
      </w:r>
      <w:proofErr w:type="spellEnd"/>
      <w:r>
        <w:rPr>
          <w:color w:val="1F1F1F"/>
          <w:highlight w:val="white"/>
        </w:rPr>
        <w:t>, 2012; Clift, Manship and Stephens, 2017; Batt-</w:t>
      </w:r>
      <w:proofErr w:type="spellStart"/>
      <w:r>
        <w:rPr>
          <w:color w:val="1F1F1F"/>
          <w:highlight w:val="white"/>
        </w:rPr>
        <w:t>Rawden</w:t>
      </w:r>
      <w:proofErr w:type="spellEnd"/>
      <w:r>
        <w:rPr>
          <w:color w:val="1F1F1F"/>
          <w:highlight w:val="white"/>
        </w:rPr>
        <w:t xml:space="preserve"> and Anderson, 2020; </w:t>
      </w:r>
      <w:proofErr w:type="spellStart"/>
      <w:r>
        <w:rPr>
          <w:color w:val="1F1F1F"/>
          <w:highlight w:val="white"/>
        </w:rPr>
        <w:t>Helitzer</w:t>
      </w:r>
      <w:proofErr w:type="spellEnd"/>
      <w:r>
        <w:rPr>
          <w:color w:val="1F1F1F"/>
          <w:highlight w:val="white"/>
        </w:rPr>
        <w:t xml:space="preserve">, Moss, and O'Donoghue, 2022). Further specific research with LGBTQIA+ choirs is warranted to identify best practices for developing choirs that best serve that community. </w:t>
      </w:r>
    </w:p>
    <w:p w14:paraId="19FBE8B9" w14:textId="77777777" w:rsidR="00A42CE2" w:rsidRDefault="00000000">
      <w:pPr>
        <w:spacing w:after="200" w:line="360" w:lineRule="auto"/>
      </w:pPr>
      <w:r>
        <w:rPr>
          <w:b/>
        </w:rPr>
        <w:t>References</w:t>
      </w:r>
    </w:p>
    <w:p w14:paraId="701BB0B5" w14:textId="280D19DE" w:rsidR="00A42CE2" w:rsidRDefault="00000000">
      <w:pPr>
        <w:spacing w:after="200" w:line="360" w:lineRule="auto"/>
        <w:rPr>
          <w:highlight w:val="white"/>
        </w:rPr>
      </w:pPr>
      <w:r>
        <w:rPr>
          <w:highlight w:val="white"/>
        </w:rPr>
        <w:t xml:space="preserve">Allison, T. A., </w:t>
      </w:r>
      <w:proofErr w:type="spellStart"/>
      <w:r>
        <w:rPr>
          <w:highlight w:val="white"/>
        </w:rPr>
        <w:t>Nápoles</w:t>
      </w:r>
      <w:proofErr w:type="spellEnd"/>
      <w:r>
        <w:rPr>
          <w:highlight w:val="white"/>
        </w:rPr>
        <w:t xml:space="preserve">, A. M., Johnson, J. K., Stewart, A. L., Rodriguez-Salazar, M., </w:t>
      </w:r>
      <w:proofErr w:type="spellStart"/>
      <w:r>
        <w:rPr>
          <w:highlight w:val="white"/>
        </w:rPr>
        <w:t>Peringer</w:t>
      </w:r>
      <w:proofErr w:type="spellEnd"/>
      <w:r>
        <w:rPr>
          <w:highlight w:val="white"/>
        </w:rPr>
        <w:t xml:space="preserve">, J., Sherman, S., Ortez-Alfaro, J., </w:t>
      </w:r>
      <w:proofErr w:type="spellStart"/>
      <w:r>
        <w:rPr>
          <w:highlight w:val="white"/>
        </w:rPr>
        <w:t>Villero</w:t>
      </w:r>
      <w:proofErr w:type="spellEnd"/>
      <w:r>
        <w:rPr>
          <w:highlight w:val="white"/>
        </w:rPr>
        <w:t xml:space="preserve">, O., &amp; </w:t>
      </w:r>
      <w:proofErr w:type="spellStart"/>
      <w:r>
        <w:rPr>
          <w:highlight w:val="white"/>
        </w:rPr>
        <w:t>Portacolone</w:t>
      </w:r>
      <w:proofErr w:type="spellEnd"/>
      <w:r>
        <w:rPr>
          <w:highlight w:val="white"/>
        </w:rPr>
        <w:t xml:space="preserve">, E. (2020) </w:t>
      </w:r>
      <w:r w:rsidR="006522F8">
        <w:rPr>
          <w:highlight w:val="white"/>
        </w:rPr>
        <w:t>‘</w:t>
      </w:r>
      <w:proofErr w:type="gramStart"/>
      <w:r>
        <w:rPr>
          <w:highlight w:val="white"/>
        </w:rPr>
        <w:t>Multi-cultural</w:t>
      </w:r>
      <w:proofErr w:type="gramEnd"/>
      <w:r>
        <w:rPr>
          <w:highlight w:val="white"/>
        </w:rPr>
        <w:t xml:space="preserve"> perspectives on group singing among diverse older adults</w:t>
      </w:r>
      <w:r w:rsidR="006522F8">
        <w:rPr>
          <w:highlight w:val="white"/>
        </w:rPr>
        <w:t>’,</w:t>
      </w:r>
      <w:r>
        <w:rPr>
          <w:highlight w:val="white"/>
        </w:rPr>
        <w:t xml:space="preserve"> </w:t>
      </w:r>
      <w:r>
        <w:rPr>
          <w:i/>
          <w:highlight w:val="white"/>
        </w:rPr>
        <w:t>Geriatric Nursing (New York)</w:t>
      </w:r>
      <w:r>
        <w:rPr>
          <w:highlight w:val="white"/>
        </w:rPr>
        <w:t xml:space="preserve">, </w:t>
      </w:r>
      <w:r>
        <w:rPr>
          <w:i/>
          <w:highlight w:val="white"/>
        </w:rPr>
        <w:t>41</w:t>
      </w:r>
      <w:r>
        <w:rPr>
          <w:highlight w:val="white"/>
        </w:rPr>
        <w:t xml:space="preserve">(6), </w:t>
      </w:r>
      <w:r w:rsidR="006522F8">
        <w:rPr>
          <w:highlight w:val="white"/>
        </w:rPr>
        <w:t xml:space="preserve">pp. </w:t>
      </w:r>
      <w:r>
        <w:rPr>
          <w:highlight w:val="white"/>
        </w:rPr>
        <w:t xml:space="preserve">1006–1012. </w:t>
      </w:r>
      <w:hyperlink r:id="rId8">
        <w:r>
          <w:rPr>
            <w:highlight w:val="white"/>
            <w:u w:val="single"/>
          </w:rPr>
          <w:t>https://doi.org/10.1016/j.gerinurse.2020.07.011</w:t>
        </w:r>
      </w:hyperlink>
    </w:p>
    <w:p w14:paraId="71571619" w14:textId="7F7D3B3D" w:rsidR="00A42CE2" w:rsidRDefault="00000000">
      <w:pPr>
        <w:spacing w:after="200" w:line="360" w:lineRule="auto"/>
        <w:rPr>
          <w:highlight w:val="white"/>
        </w:rPr>
      </w:pPr>
      <w:r>
        <w:rPr>
          <w:highlight w:val="white"/>
        </w:rPr>
        <w:t xml:space="preserve">Anna </w:t>
      </w:r>
      <w:proofErr w:type="spellStart"/>
      <w:r>
        <w:rPr>
          <w:highlight w:val="white"/>
        </w:rPr>
        <w:t>Crusis</w:t>
      </w:r>
      <w:proofErr w:type="spellEnd"/>
      <w:r>
        <w:rPr>
          <w:highlight w:val="white"/>
        </w:rPr>
        <w:t xml:space="preserve"> (2020)</w:t>
      </w:r>
      <w:r w:rsidR="00A17067">
        <w:rPr>
          <w:highlight w:val="white"/>
        </w:rPr>
        <w:t xml:space="preserve"> ‘Anna’s Evolution’,</w:t>
      </w:r>
      <w:r>
        <w:rPr>
          <w:highlight w:val="white"/>
        </w:rPr>
        <w:t xml:space="preserve"> </w:t>
      </w:r>
      <w:hyperlink r:id="rId9" w:history="1">
        <w:r w:rsidR="00A17067" w:rsidRPr="00392E2C">
          <w:rPr>
            <w:rStyle w:val="Hyperlink"/>
          </w:rPr>
          <w:t>https://annacrusis.org/annas-evolution/</w:t>
        </w:r>
      </w:hyperlink>
      <w:r w:rsidR="00A17067">
        <w:t xml:space="preserve"> [accessed October 20, 2023].</w:t>
      </w:r>
    </w:p>
    <w:p w14:paraId="34F7B126" w14:textId="244C87DD" w:rsidR="00A42CE2" w:rsidRDefault="00000000">
      <w:pPr>
        <w:spacing w:after="200" w:line="360" w:lineRule="auto"/>
        <w:rPr>
          <w:highlight w:val="white"/>
        </w:rPr>
      </w:pPr>
      <w:r>
        <w:rPr>
          <w:highlight w:val="white"/>
        </w:rPr>
        <w:t xml:space="preserve">Bailey, B. A., &amp; Davidson, J. W. (2002) </w:t>
      </w:r>
      <w:r w:rsidR="006522F8">
        <w:rPr>
          <w:highlight w:val="white"/>
        </w:rPr>
        <w:t>‘</w:t>
      </w:r>
      <w:r>
        <w:rPr>
          <w:highlight w:val="white"/>
        </w:rPr>
        <w:t>Adaptive Characteristics of Group Singing: Perceptions from Members of a Choir For</w:t>
      </w:r>
      <w:r w:rsidR="006522F8">
        <w:rPr>
          <w:highlight w:val="white"/>
        </w:rPr>
        <w:t xml:space="preserve"> </w:t>
      </w:r>
      <w:r>
        <w:rPr>
          <w:highlight w:val="white"/>
        </w:rPr>
        <w:t>homeless Men</w:t>
      </w:r>
      <w:r w:rsidR="006522F8">
        <w:rPr>
          <w:highlight w:val="white"/>
        </w:rPr>
        <w:t>’,</w:t>
      </w:r>
      <w:r>
        <w:rPr>
          <w:highlight w:val="white"/>
        </w:rPr>
        <w:t xml:space="preserve"> </w:t>
      </w:r>
      <w:r>
        <w:rPr>
          <w:i/>
          <w:highlight w:val="white"/>
        </w:rPr>
        <w:t>Musicae Scientiae</w:t>
      </w:r>
      <w:r>
        <w:rPr>
          <w:highlight w:val="white"/>
        </w:rPr>
        <w:t xml:space="preserve">, </w:t>
      </w:r>
      <w:r>
        <w:rPr>
          <w:i/>
          <w:highlight w:val="white"/>
        </w:rPr>
        <w:t>6</w:t>
      </w:r>
      <w:r>
        <w:rPr>
          <w:highlight w:val="white"/>
        </w:rPr>
        <w:t xml:space="preserve">(2), </w:t>
      </w:r>
      <w:r w:rsidR="006522F8">
        <w:rPr>
          <w:highlight w:val="white"/>
        </w:rPr>
        <w:t xml:space="preserve">pp. </w:t>
      </w:r>
      <w:r>
        <w:rPr>
          <w:highlight w:val="white"/>
        </w:rPr>
        <w:t xml:space="preserve">221–256. </w:t>
      </w:r>
      <w:hyperlink r:id="rId10">
        <w:r>
          <w:rPr>
            <w:highlight w:val="white"/>
            <w:u w:val="single"/>
          </w:rPr>
          <w:t>https://doi.org/10.1177/102986490200600206</w:t>
        </w:r>
      </w:hyperlink>
    </w:p>
    <w:p w14:paraId="1D53C038" w14:textId="72437DF3" w:rsidR="00A42CE2" w:rsidRDefault="00000000">
      <w:pPr>
        <w:spacing w:after="200" w:line="360" w:lineRule="auto"/>
        <w:rPr>
          <w:highlight w:val="white"/>
        </w:rPr>
      </w:pPr>
      <w:r>
        <w:rPr>
          <w:highlight w:val="white"/>
        </w:rPr>
        <w:lastRenderedPageBreak/>
        <w:t>Bailey, B. A., &amp; Davidson, J. W. (2003)</w:t>
      </w:r>
      <w:r w:rsidR="006522F8">
        <w:rPr>
          <w:highlight w:val="white"/>
        </w:rPr>
        <w:t xml:space="preserve"> ‘</w:t>
      </w:r>
      <w:r>
        <w:rPr>
          <w:highlight w:val="white"/>
        </w:rPr>
        <w:t>Amateur Group Singing as a Therapeutic Instrument</w:t>
      </w:r>
      <w:r w:rsidR="006522F8">
        <w:rPr>
          <w:highlight w:val="white"/>
        </w:rPr>
        <w:t>’,</w:t>
      </w:r>
      <w:r>
        <w:rPr>
          <w:highlight w:val="white"/>
        </w:rPr>
        <w:t xml:space="preserve"> </w:t>
      </w:r>
      <w:r>
        <w:rPr>
          <w:i/>
          <w:highlight w:val="white"/>
        </w:rPr>
        <w:t>Nordic Journal of Music Therapy</w:t>
      </w:r>
      <w:r>
        <w:rPr>
          <w:highlight w:val="white"/>
        </w:rPr>
        <w:t xml:space="preserve">, </w:t>
      </w:r>
      <w:r>
        <w:rPr>
          <w:i/>
          <w:highlight w:val="white"/>
        </w:rPr>
        <w:t>12</w:t>
      </w:r>
      <w:r>
        <w:rPr>
          <w:highlight w:val="white"/>
        </w:rPr>
        <w:t xml:space="preserve">(1), </w:t>
      </w:r>
      <w:r w:rsidR="006522F8">
        <w:rPr>
          <w:highlight w:val="white"/>
        </w:rPr>
        <w:t xml:space="preserve">pp. </w:t>
      </w:r>
      <w:r>
        <w:rPr>
          <w:highlight w:val="white"/>
        </w:rPr>
        <w:t xml:space="preserve">18–32. </w:t>
      </w:r>
      <w:hyperlink r:id="rId11">
        <w:r>
          <w:rPr>
            <w:highlight w:val="white"/>
            <w:u w:val="single"/>
          </w:rPr>
          <w:t>https://doi.org/10.1080/08098130309478070</w:t>
        </w:r>
      </w:hyperlink>
    </w:p>
    <w:p w14:paraId="3101EDC6" w14:textId="3F9D9998" w:rsidR="00A42CE2" w:rsidRDefault="00000000">
      <w:pPr>
        <w:spacing w:after="200" w:line="360" w:lineRule="auto"/>
        <w:rPr>
          <w:highlight w:val="white"/>
        </w:rPr>
      </w:pPr>
      <w:r>
        <w:rPr>
          <w:highlight w:val="white"/>
        </w:rPr>
        <w:t xml:space="preserve">Bailey, B. A., &amp; Davidson, J. W. (2005) </w:t>
      </w:r>
      <w:r w:rsidR="006522F8">
        <w:rPr>
          <w:highlight w:val="white"/>
        </w:rPr>
        <w:t>‘</w:t>
      </w:r>
      <w:r>
        <w:rPr>
          <w:highlight w:val="white"/>
        </w:rPr>
        <w:t>Effects of group singing and performance for marginalized and middle-class singers</w:t>
      </w:r>
      <w:r w:rsidR="006522F8">
        <w:rPr>
          <w:highlight w:val="white"/>
        </w:rPr>
        <w:t>’,</w:t>
      </w:r>
      <w:r>
        <w:rPr>
          <w:highlight w:val="white"/>
        </w:rPr>
        <w:t xml:space="preserve"> </w:t>
      </w:r>
      <w:r>
        <w:rPr>
          <w:i/>
          <w:highlight w:val="white"/>
        </w:rPr>
        <w:t>Psychology of Music</w:t>
      </w:r>
      <w:r>
        <w:rPr>
          <w:highlight w:val="white"/>
        </w:rPr>
        <w:t xml:space="preserve">, </w:t>
      </w:r>
      <w:r>
        <w:rPr>
          <w:i/>
          <w:highlight w:val="white"/>
        </w:rPr>
        <w:t>33</w:t>
      </w:r>
      <w:r>
        <w:rPr>
          <w:highlight w:val="white"/>
        </w:rPr>
        <w:t xml:space="preserve">(3), </w:t>
      </w:r>
      <w:r w:rsidR="006522F8">
        <w:rPr>
          <w:highlight w:val="white"/>
        </w:rPr>
        <w:t xml:space="preserve">pp. </w:t>
      </w:r>
      <w:r>
        <w:rPr>
          <w:highlight w:val="white"/>
        </w:rPr>
        <w:t xml:space="preserve">269–303. </w:t>
      </w:r>
      <w:hyperlink r:id="rId12">
        <w:r>
          <w:rPr>
            <w:highlight w:val="white"/>
            <w:u w:val="single"/>
          </w:rPr>
          <w:t>https://doi.org/10.1177/0305735605053734</w:t>
        </w:r>
      </w:hyperlink>
    </w:p>
    <w:p w14:paraId="320B9F12" w14:textId="77777777" w:rsidR="00A42CE2" w:rsidRDefault="00000000">
      <w:pPr>
        <w:spacing w:before="200" w:after="200" w:line="360" w:lineRule="auto"/>
      </w:pPr>
      <w:r>
        <w:t xml:space="preserve">Bates, M. J. (1989) ‘The Design of Browsing and </w:t>
      </w:r>
      <w:proofErr w:type="spellStart"/>
      <w:r>
        <w:t>Berrypicking</w:t>
      </w:r>
      <w:proofErr w:type="spellEnd"/>
      <w:r>
        <w:t xml:space="preserve"> Techniques for the Online Search Interface’,</w:t>
      </w:r>
      <w:hyperlink r:id="rId13">
        <w:r>
          <w:t xml:space="preserve"> https://pages.gseis.ucla.edu/faculty/bates/berrypicking.html</w:t>
        </w:r>
      </w:hyperlink>
      <w:r>
        <w:t xml:space="preserve"> (Accessed, October 17, 2023).</w:t>
      </w:r>
    </w:p>
    <w:p w14:paraId="02E23CBA" w14:textId="39BEAA79" w:rsidR="00A42CE2" w:rsidRDefault="00000000">
      <w:pPr>
        <w:spacing w:before="200" w:after="200" w:line="360" w:lineRule="auto"/>
        <w:rPr>
          <w:highlight w:val="white"/>
        </w:rPr>
      </w:pPr>
      <w:r>
        <w:rPr>
          <w:highlight w:val="white"/>
        </w:rPr>
        <w:t>Batt-</w:t>
      </w:r>
      <w:proofErr w:type="spellStart"/>
      <w:r>
        <w:rPr>
          <w:highlight w:val="white"/>
        </w:rPr>
        <w:t>Rawden</w:t>
      </w:r>
      <w:proofErr w:type="spellEnd"/>
      <w:r>
        <w:rPr>
          <w:highlight w:val="white"/>
        </w:rPr>
        <w:t>, K., &amp; Andersen, S. (2020)</w:t>
      </w:r>
      <w:r w:rsidR="006522F8">
        <w:rPr>
          <w:highlight w:val="white"/>
        </w:rPr>
        <w:t xml:space="preserve"> </w:t>
      </w:r>
      <w:r>
        <w:rPr>
          <w:highlight w:val="white"/>
        </w:rPr>
        <w:t>‘Singing has empowered, enchanted and enthralled me’-choirs for wellbeing?</w:t>
      </w:r>
      <w:r w:rsidR="006522F8">
        <w:rPr>
          <w:highlight w:val="white"/>
        </w:rPr>
        <w:t>’,</w:t>
      </w:r>
      <w:r>
        <w:rPr>
          <w:highlight w:val="white"/>
        </w:rPr>
        <w:t xml:space="preserve"> </w:t>
      </w:r>
      <w:r>
        <w:rPr>
          <w:i/>
          <w:highlight w:val="white"/>
        </w:rPr>
        <w:t>Health Promotion International</w:t>
      </w:r>
      <w:r>
        <w:rPr>
          <w:highlight w:val="white"/>
        </w:rPr>
        <w:t xml:space="preserve">, </w:t>
      </w:r>
      <w:r>
        <w:rPr>
          <w:i/>
          <w:highlight w:val="white"/>
        </w:rPr>
        <w:t>35</w:t>
      </w:r>
      <w:r>
        <w:rPr>
          <w:highlight w:val="white"/>
        </w:rPr>
        <w:t xml:space="preserve">(1), </w:t>
      </w:r>
      <w:r w:rsidR="006522F8">
        <w:rPr>
          <w:highlight w:val="white"/>
        </w:rPr>
        <w:t xml:space="preserve">pp. </w:t>
      </w:r>
      <w:r>
        <w:rPr>
          <w:highlight w:val="white"/>
        </w:rPr>
        <w:t xml:space="preserve">140–150. </w:t>
      </w:r>
      <w:hyperlink r:id="rId14">
        <w:r>
          <w:rPr>
            <w:highlight w:val="white"/>
            <w:u w:val="single"/>
          </w:rPr>
          <w:t>https://doi.org/10.1093/heapro/day122</w:t>
        </w:r>
      </w:hyperlink>
    </w:p>
    <w:p w14:paraId="3C404E1D" w14:textId="4909F3E3" w:rsidR="00A42CE2" w:rsidRDefault="00000000">
      <w:pPr>
        <w:spacing w:before="200" w:after="200" w:line="360" w:lineRule="auto"/>
        <w:rPr>
          <w:highlight w:val="white"/>
        </w:rPr>
      </w:pPr>
      <w:r>
        <w:rPr>
          <w:highlight w:val="white"/>
        </w:rPr>
        <w:t xml:space="preserve">Bell, J., and Waters, S. (2018) </w:t>
      </w:r>
      <w:r>
        <w:rPr>
          <w:i/>
          <w:highlight w:val="white"/>
        </w:rPr>
        <w:t>Doing Your Research Projec</w:t>
      </w:r>
      <w:r w:rsidR="006522F8">
        <w:rPr>
          <w:i/>
          <w:highlight w:val="white"/>
        </w:rPr>
        <w:t>t</w:t>
      </w:r>
      <w:r>
        <w:rPr>
          <w:i/>
          <w:highlight w:val="white"/>
        </w:rPr>
        <w:t xml:space="preserve">: </w:t>
      </w:r>
      <w:proofErr w:type="gramStart"/>
      <w:r>
        <w:rPr>
          <w:i/>
          <w:highlight w:val="white"/>
        </w:rPr>
        <w:t>a</w:t>
      </w:r>
      <w:proofErr w:type="gramEnd"/>
      <w:r>
        <w:rPr>
          <w:i/>
          <w:highlight w:val="white"/>
        </w:rPr>
        <w:t xml:space="preserve"> Guide for First-Time Researchers</w:t>
      </w:r>
      <w:r>
        <w:rPr>
          <w:highlight w:val="white"/>
        </w:rPr>
        <w:t>. 7th ed. London: Open University Press, McGraw-Hill Education.</w:t>
      </w:r>
    </w:p>
    <w:p w14:paraId="0A017E44" w14:textId="20EFB9F3" w:rsidR="00A42CE2" w:rsidRPr="00204524" w:rsidRDefault="00000000">
      <w:pPr>
        <w:spacing w:before="200" w:after="200" w:line="360" w:lineRule="auto"/>
        <w:rPr>
          <w:highlight w:val="white"/>
        </w:rPr>
      </w:pPr>
      <w:r>
        <w:rPr>
          <w:highlight w:val="white"/>
        </w:rPr>
        <w:t>Berg</w:t>
      </w:r>
      <w:r w:rsidR="00204524">
        <w:rPr>
          <w:highlight w:val="white"/>
        </w:rPr>
        <w:t>, B.L.</w:t>
      </w:r>
      <w:r>
        <w:rPr>
          <w:highlight w:val="white"/>
        </w:rPr>
        <w:t xml:space="preserve"> (2001)</w:t>
      </w:r>
      <w:r w:rsidR="00204524">
        <w:rPr>
          <w:highlight w:val="white"/>
        </w:rPr>
        <w:t xml:space="preserve"> </w:t>
      </w:r>
      <w:r w:rsidR="00204524">
        <w:rPr>
          <w:i/>
          <w:iCs/>
          <w:highlight w:val="white"/>
        </w:rPr>
        <w:t>Qualitative Research Methods for the Social Sciences</w:t>
      </w:r>
      <w:r w:rsidR="00204524">
        <w:rPr>
          <w:highlight w:val="white"/>
        </w:rPr>
        <w:t>. Needham Heights: Allyn and Bacon.</w:t>
      </w:r>
    </w:p>
    <w:p w14:paraId="7655A501" w14:textId="42883C9C" w:rsidR="00A42CE2" w:rsidRPr="00204524" w:rsidRDefault="00000000">
      <w:pPr>
        <w:spacing w:before="200" w:after="200" w:line="360" w:lineRule="auto"/>
        <w:rPr>
          <w:highlight w:val="white"/>
        </w:rPr>
      </w:pPr>
      <w:proofErr w:type="spellStart"/>
      <w:r>
        <w:rPr>
          <w:highlight w:val="white"/>
        </w:rPr>
        <w:t>Borton</w:t>
      </w:r>
      <w:proofErr w:type="spellEnd"/>
      <w:r w:rsidR="00204524">
        <w:rPr>
          <w:highlight w:val="white"/>
        </w:rPr>
        <w:t>, T.</w:t>
      </w:r>
      <w:r>
        <w:rPr>
          <w:highlight w:val="white"/>
        </w:rPr>
        <w:t xml:space="preserve"> (1970)</w:t>
      </w:r>
      <w:r w:rsidR="00204524">
        <w:rPr>
          <w:highlight w:val="white"/>
        </w:rPr>
        <w:t xml:space="preserve"> </w:t>
      </w:r>
      <w:r w:rsidR="00204524">
        <w:rPr>
          <w:i/>
          <w:iCs/>
          <w:highlight w:val="white"/>
        </w:rPr>
        <w:t>Reach, Teach and Touch</w:t>
      </w:r>
      <w:r w:rsidR="00204524">
        <w:rPr>
          <w:highlight w:val="white"/>
        </w:rPr>
        <w:t>. London: McGraw-Hill.</w:t>
      </w:r>
    </w:p>
    <w:p w14:paraId="4EA8214E" w14:textId="1C466B01" w:rsidR="00A42CE2" w:rsidRDefault="00000000">
      <w:pPr>
        <w:spacing w:after="200" w:line="360" w:lineRule="auto"/>
        <w:rPr>
          <w:highlight w:val="white"/>
        </w:rPr>
      </w:pPr>
      <w:r>
        <w:rPr>
          <w:highlight w:val="white"/>
        </w:rPr>
        <w:t>Bungay, H., &amp; Vella-Burrows, T. (2013)</w:t>
      </w:r>
      <w:r w:rsidR="006522F8">
        <w:rPr>
          <w:highlight w:val="white"/>
        </w:rPr>
        <w:t xml:space="preserve"> ‘</w:t>
      </w:r>
      <w:r>
        <w:rPr>
          <w:highlight w:val="white"/>
        </w:rPr>
        <w:t>The effects of participating in creative activities on the health and well-being of children and young people: a rapid review of the literature</w:t>
      </w:r>
      <w:r w:rsidR="006522F8">
        <w:rPr>
          <w:highlight w:val="white"/>
        </w:rPr>
        <w:t>’,</w:t>
      </w:r>
      <w:r>
        <w:rPr>
          <w:highlight w:val="white"/>
        </w:rPr>
        <w:t xml:space="preserve"> </w:t>
      </w:r>
      <w:r>
        <w:rPr>
          <w:i/>
          <w:highlight w:val="white"/>
        </w:rPr>
        <w:t>Perspectives in Public Health</w:t>
      </w:r>
      <w:r>
        <w:rPr>
          <w:highlight w:val="white"/>
        </w:rPr>
        <w:t xml:space="preserve">, </w:t>
      </w:r>
      <w:r>
        <w:rPr>
          <w:i/>
          <w:highlight w:val="white"/>
        </w:rPr>
        <w:t>133</w:t>
      </w:r>
      <w:r>
        <w:rPr>
          <w:highlight w:val="white"/>
        </w:rPr>
        <w:t xml:space="preserve">(1), </w:t>
      </w:r>
      <w:r w:rsidR="006522F8">
        <w:rPr>
          <w:highlight w:val="white"/>
        </w:rPr>
        <w:t xml:space="preserve">pp. </w:t>
      </w:r>
      <w:r>
        <w:rPr>
          <w:highlight w:val="white"/>
        </w:rPr>
        <w:t xml:space="preserve">44–52. </w:t>
      </w:r>
      <w:hyperlink r:id="rId15">
        <w:r>
          <w:rPr>
            <w:highlight w:val="white"/>
            <w:u w:val="single"/>
          </w:rPr>
          <w:t>https://doi.org/10.1177/1757913912466946</w:t>
        </w:r>
      </w:hyperlink>
    </w:p>
    <w:p w14:paraId="2312969D" w14:textId="20B3D32C" w:rsidR="00A42CE2" w:rsidRDefault="00000000">
      <w:pPr>
        <w:spacing w:after="200" w:line="360" w:lineRule="auto"/>
        <w:rPr>
          <w:highlight w:val="white"/>
        </w:rPr>
      </w:pPr>
      <w:r>
        <w:rPr>
          <w:highlight w:val="white"/>
        </w:rPr>
        <w:t>Cates, D. (2020)</w:t>
      </w:r>
      <w:r w:rsidR="006522F8">
        <w:rPr>
          <w:highlight w:val="white"/>
        </w:rPr>
        <w:t xml:space="preserve"> ‘</w:t>
      </w:r>
      <w:r>
        <w:rPr>
          <w:highlight w:val="white"/>
        </w:rPr>
        <w:t>Music, Community, and Justice for All: Factors Influencing Participation in Gay Men’s Choruses</w:t>
      </w:r>
      <w:r w:rsidR="006522F8">
        <w:rPr>
          <w:highlight w:val="white"/>
        </w:rPr>
        <w:t>’,</w:t>
      </w:r>
      <w:r>
        <w:rPr>
          <w:i/>
          <w:highlight w:val="white"/>
        </w:rPr>
        <w:t xml:space="preserve"> International Journal of Research in Choral Singing</w:t>
      </w:r>
      <w:r w:rsidR="006522F8">
        <w:rPr>
          <w:i/>
          <w:highlight w:val="white"/>
        </w:rPr>
        <w:t>,</w:t>
      </w:r>
      <w:r>
        <w:rPr>
          <w:i/>
          <w:highlight w:val="white"/>
        </w:rPr>
        <w:t xml:space="preserve"> </w:t>
      </w:r>
      <w:r>
        <w:rPr>
          <w:highlight w:val="white"/>
        </w:rPr>
        <w:t>8</w:t>
      </w:r>
      <w:r w:rsidR="006522F8">
        <w:rPr>
          <w:highlight w:val="white"/>
        </w:rPr>
        <w:t>,</w:t>
      </w:r>
      <w:r>
        <w:rPr>
          <w:highlight w:val="white"/>
        </w:rPr>
        <w:t xml:space="preserve"> pp. 92-109. </w:t>
      </w:r>
    </w:p>
    <w:p w14:paraId="1B28C062" w14:textId="48BAD213" w:rsidR="00A42CE2" w:rsidRDefault="00000000">
      <w:pPr>
        <w:spacing w:after="200" w:line="360" w:lineRule="auto"/>
        <w:rPr>
          <w:highlight w:val="white"/>
        </w:rPr>
      </w:pPr>
      <w:r>
        <w:rPr>
          <w:highlight w:val="white"/>
        </w:rPr>
        <w:t xml:space="preserve">Clift, S. M., &amp; </w:t>
      </w:r>
      <w:proofErr w:type="spellStart"/>
      <w:r>
        <w:rPr>
          <w:highlight w:val="white"/>
        </w:rPr>
        <w:t>Hancox</w:t>
      </w:r>
      <w:proofErr w:type="spellEnd"/>
      <w:r>
        <w:rPr>
          <w:highlight w:val="white"/>
        </w:rPr>
        <w:t>, G. (2001)</w:t>
      </w:r>
      <w:r w:rsidR="006522F8">
        <w:rPr>
          <w:highlight w:val="white"/>
        </w:rPr>
        <w:t>,</w:t>
      </w:r>
      <w:r>
        <w:rPr>
          <w:highlight w:val="white"/>
        </w:rPr>
        <w:t xml:space="preserve"> </w:t>
      </w:r>
      <w:r w:rsidR="006522F8">
        <w:rPr>
          <w:highlight w:val="white"/>
        </w:rPr>
        <w:t>‘</w:t>
      </w:r>
      <w:r>
        <w:rPr>
          <w:highlight w:val="white"/>
        </w:rPr>
        <w:t>The perceived benefits of singing: findings from preliminary surveys of a university college choral society</w:t>
      </w:r>
      <w:r w:rsidR="006522F8">
        <w:rPr>
          <w:highlight w:val="white"/>
        </w:rPr>
        <w:t xml:space="preserve">’, </w:t>
      </w:r>
      <w:r>
        <w:rPr>
          <w:i/>
          <w:highlight w:val="white"/>
        </w:rPr>
        <w:t>The Journal of the Royal Society for the Promotion of Health</w:t>
      </w:r>
      <w:r>
        <w:rPr>
          <w:highlight w:val="white"/>
        </w:rPr>
        <w:t xml:space="preserve">, </w:t>
      </w:r>
      <w:r>
        <w:rPr>
          <w:i/>
          <w:highlight w:val="white"/>
        </w:rPr>
        <w:t>121</w:t>
      </w:r>
      <w:r>
        <w:rPr>
          <w:highlight w:val="white"/>
        </w:rPr>
        <w:t xml:space="preserve">(4), </w:t>
      </w:r>
      <w:r w:rsidR="006522F8">
        <w:rPr>
          <w:highlight w:val="white"/>
        </w:rPr>
        <w:t xml:space="preserve">pp. </w:t>
      </w:r>
      <w:r>
        <w:rPr>
          <w:highlight w:val="white"/>
        </w:rPr>
        <w:t xml:space="preserve">248–256. </w:t>
      </w:r>
      <w:hyperlink r:id="rId16">
        <w:r>
          <w:rPr>
            <w:highlight w:val="white"/>
            <w:u w:val="single"/>
          </w:rPr>
          <w:t>https://doi.org/10.1177/146642400112100409</w:t>
        </w:r>
      </w:hyperlink>
    </w:p>
    <w:p w14:paraId="05691DB0" w14:textId="77777777" w:rsidR="00A42CE2" w:rsidRDefault="00000000">
      <w:pPr>
        <w:spacing w:after="200" w:line="360" w:lineRule="auto"/>
        <w:rPr>
          <w:highlight w:val="white"/>
        </w:rPr>
      </w:pPr>
      <w:r>
        <w:rPr>
          <w:highlight w:val="white"/>
        </w:rPr>
        <w:t xml:space="preserve">Clift, S., Manship, S. and Stephens, L. (2017) ‘Further evidence that singing fosters mental health and wellbeing: the West Kent and Medway project’, </w:t>
      </w:r>
      <w:r>
        <w:rPr>
          <w:i/>
          <w:highlight w:val="white"/>
        </w:rPr>
        <w:t>Mental health and social inclusion</w:t>
      </w:r>
      <w:r>
        <w:rPr>
          <w:highlight w:val="white"/>
        </w:rPr>
        <w:t xml:space="preserve">, 21(1), pp. 53–62. Available at: </w:t>
      </w:r>
      <w:hyperlink r:id="rId17">
        <w:r>
          <w:rPr>
            <w:highlight w:val="white"/>
            <w:u w:val="single"/>
          </w:rPr>
          <w:t>https://doi.org/10.1108/MHSI-11-2016-0034</w:t>
        </w:r>
      </w:hyperlink>
      <w:r>
        <w:rPr>
          <w:highlight w:val="white"/>
        </w:rPr>
        <w:t>.</w:t>
      </w:r>
    </w:p>
    <w:p w14:paraId="2CA49140" w14:textId="76A92481" w:rsidR="00A42CE2" w:rsidRDefault="00000000">
      <w:pPr>
        <w:spacing w:after="200" w:line="360" w:lineRule="auto"/>
        <w:rPr>
          <w:highlight w:val="white"/>
        </w:rPr>
      </w:pPr>
      <w:r>
        <w:rPr>
          <w:highlight w:val="white"/>
        </w:rPr>
        <w:lastRenderedPageBreak/>
        <w:t>Clift, S., &amp; Morrison, I. (2011)</w:t>
      </w:r>
      <w:r w:rsidR="006522F8">
        <w:rPr>
          <w:highlight w:val="white"/>
        </w:rPr>
        <w:t xml:space="preserve"> ‘</w:t>
      </w:r>
      <w:r>
        <w:rPr>
          <w:highlight w:val="white"/>
        </w:rPr>
        <w:t>Group singing fosters mental health and wellbeing: findings from the East Kent “singing for health” network project</w:t>
      </w:r>
      <w:r w:rsidR="006522F8">
        <w:rPr>
          <w:highlight w:val="white"/>
        </w:rPr>
        <w:t>’,</w:t>
      </w:r>
      <w:r>
        <w:rPr>
          <w:highlight w:val="white"/>
        </w:rPr>
        <w:t xml:space="preserve"> </w:t>
      </w:r>
      <w:r>
        <w:rPr>
          <w:i/>
          <w:highlight w:val="white"/>
        </w:rPr>
        <w:t>Mental Health and Social Inclusion</w:t>
      </w:r>
      <w:r>
        <w:rPr>
          <w:highlight w:val="white"/>
        </w:rPr>
        <w:t xml:space="preserve">, </w:t>
      </w:r>
      <w:r>
        <w:rPr>
          <w:i/>
          <w:highlight w:val="white"/>
        </w:rPr>
        <w:t>15</w:t>
      </w:r>
      <w:r>
        <w:rPr>
          <w:highlight w:val="white"/>
        </w:rPr>
        <w:t xml:space="preserve">(2), </w:t>
      </w:r>
      <w:r w:rsidR="006522F8">
        <w:rPr>
          <w:highlight w:val="white"/>
        </w:rPr>
        <w:t xml:space="preserve">pp. </w:t>
      </w:r>
      <w:r>
        <w:rPr>
          <w:highlight w:val="white"/>
        </w:rPr>
        <w:t xml:space="preserve">88–97. </w:t>
      </w:r>
      <w:hyperlink r:id="rId18">
        <w:r>
          <w:rPr>
            <w:highlight w:val="white"/>
            <w:u w:val="single"/>
          </w:rPr>
          <w:t>https://doi.org/10.1108/20428301111140930</w:t>
        </w:r>
      </w:hyperlink>
    </w:p>
    <w:p w14:paraId="40651373" w14:textId="71DB3D09" w:rsidR="00A42CE2" w:rsidRPr="006522F8" w:rsidRDefault="00000000">
      <w:pPr>
        <w:spacing w:after="200" w:line="360" w:lineRule="auto"/>
        <w:rPr>
          <w:highlight w:val="white"/>
        </w:rPr>
      </w:pPr>
      <w:r>
        <w:rPr>
          <w:highlight w:val="white"/>
        </w:rPr>
        <w:t>Cooper</w:t>
      </w:r>
      <w:r w:rsidR="00204524">
        <w:rPr>
          <w:highlight w:val="white"/>
        </w:rPr>
        <w:t>, H.M.</w:t>
      </w:r>
      <w:r>
        <w:rPr>
          <w:highlight w:val="white"/>
        </w:rPr>
        <w:t xml:space="preserve"> (1988)</w:t>
      </w:r>
      <w:r w:rsidR="00204524">
        <w:rPr>
          <w:highlight w:val="white"/>
        </w:rPr>
        <w:t xml:space="preserve"> ‘Organizing Knowledge Syntheses: A Taxonomy of Literature Reviews</w:t>
      </w:r>
      <w:r w:rsidR="006522F8">
        <w:rPr>
          <w:highlight w:val="white"/>
        </w:rPr>
        <w:t xml:space="preserve">’, </w:t>
      </w:r>
      <w:r w:rsidR="006522F8">
        <w:rPr>
          <w:i/>
          <w:iCs/>
          <w:highlight w:val="white"/>
        </w:rPr>
        <w:t xml:space="preserve">Knowledge in Society, </w:t>
      </w:r>
      <w:r w:rsidR="006522F8">
        <w:rPr>
          <w:highlight w:val="white"/>
        </w:rPr>
        <w:t>1(104), pp. 104-126.</w:t>
      </w:r>
    </w:p>
    <w:p w14:paraId="00A7FC65" w14:textId="12BD52B9" w:rsidR="00A42CE2" w:rsidRDefault="00000000">
      <w:pPr>
        <w:spacing w:after="200" w:line="360" w:lineRule="auto"/>
        <w:rPr>
          <w:highlight w:val="white"/>
        </w:rPr>
      </w:pPr>
      <w:proofErr w:type="spellStart"/>
      <w:r>
        <w:rPr>
          <w:highlight w:val="white"/>
        </w:rPr>
        <w:t>Corvo</w:t>
      </w:r>
      <w:proofErr w:type="spellEnd"/>
      <w:r>
        <w:rPr>
          <w:highlight w:val="white"/>
        </w:rPr>
        <w:t xml:space="preserve">, E., </w:t>
      </w:r>
      <w:proofErr w:type="spellStart"/>
      <w:r>
        <w:rPr>
          <w:highlight w:val="white"/>
        </w:rPr>
        <w:t>Skingley</w:t>
      </w:r>
      <w:proofErr w:type="spellEnd"/>
      <w:r>
        <w:rPr>
          <w:highlight w:val="white"/>
        </w:rPr>
        <w:t xml:space="preserve">, A., &amp; Clift, S. (2020) </w:t>
      </w:r>
      <w:r w:rsidR="006522F8">
        <w:rPr>
          <w:highlight w:val="white"/>
        </w:rPr>
        <w:t>‘</w:t>
      </w:r>
      <w:r>
        <w:rPr>
          <w:highlight w:val="white"/>
        </w:rPr>
        <w:t>Community singing, wellbeing and older people: implementing and evaluating an English singing for health intervention in Rome</w:t>
      </w:r>
      <w:r w:rsidR="006522F8">
        <w:rPr>
          <w:highlight w:val="white"/>
        </w:rPr>
        <w:t>’,</w:t>
      </w:r>
      <w:r>
        <w:rPr>
          <w:highlight w:val="white"/>
        </w:rPr>
        <w:t xml:space="preserve"> </w:t>
      </w:r>
      <w:r>
        <w:rPr>
          <w:i/>
          <w:highlight w:val="white"/>
        </w:rPr>
        <w:t>Perspectives in Public Health</w:t>
      </w:r>
      <w:r>
        <w:rPr>
          <w:highlight w:val="white"/>
        </w:rPr>
        <w:t xml:space="preserve">, </w:t>
      </w:r>
      <w:r>
        <w:rPr>
          <w:i/>
          <w:highlight w:val="white"/>
        </w:rPr>
        <w:t>140</w:t>
      </w:r>
      <w:r>
        <w:rPr>
          <w:highlight w:val="white"/>
        </w:rPr>
        <w:t xml:space="preserve">(5), </w:t>
      </w:r>
      <w:r w:rsidR="006522F8">
        <w:rPr>
          <w:highlight w:val="white"/>
        </w:rPr>
        <w:t xml:space="preserve">pp. </w:t>
      </w:r>
      <w:r>
        <w:rPr>
          <w:highlight w:val="white"/>
        </w:rPr>
        <w:t xml:space="preserve">263–269. </w:t>
      </w:r>
      <w:hyperlink r:id="rId19">
        <w:r>
          <w:rPr>
            <w:highlight w:val="white"/>
            <w:u w:val="single"/>
          </w:rPr>
          <w:t>https://doi.org/10.1177/1757913920925834</w:t>
        </w:r>
      </w:hyperlink>
    </w:p>
    <w:p w14:paraId="478A6B75" w14:textId="77777777" w:rsidR="00A42CE2" w:rsidRDefault="00000000">
      <w:pPr>
        <w:spacing w:after="200" w:line="360" w:lineRule="auto"/>
        <w:rPr>
          <w:highlight w:val="white"/>
        </w:rPr>
      </w:pPr>
      <w:r>
        <w:rPr>
          <w:highlight w:val="white"/>
        </w:rPr>
        <w:t xml:space="preserve">Costley, C., Elliot, G., and Gibbs, P. (2010) </w:t>
      </w:r>
      <w:r>
        <w:rPr>
          <w:i/>
          <w:highlight w:val="white"/>
        </w:rPr>
        <w:t xml:space="preserve">Doing </w:t>
      </w:r>
      <w:proofErr w:type="gramStart"/>
      <w:r>
        <w:rPr>
          <w:i/>
          <w:highlight w:val="white"/>
        </w:rPr>
        <w:t>work based</w:t>
      </w:r>
      <w:proofErr w:type="gramEnd"/>
      <w:r>
        <w:rPr>
          <w:i/>
          <w:highlight w:val="white"/>
        </w:rPr>
        <w:t xml:space="preserve"> research approaches to enquiry for insider-researchers</w:t>
      </w:r>
      <w:r>
        <w:rPr>
          <w:highlight w:val="white"/>
        </w:rPr>
        <w:t>. Los Angeles: Sage.</w:t>
      </w:r>
    </w:p>
    <w:p w14:paraId="24494D42" w14:textId="4702184B" w:rsidR="00A42CE2" w:rsidRDefault="00000000">
      <w:pPr>
        <w:spacing w:after="200" w:line="360" w:lineRule="auto"/>
        <w:rPr>
          <w:highlight w:val="white"/>
        </w:rPr>
      </w:pPr>
      <w:proofErr w:type="spellStart"/>
      <w:r>
        <w:rPr>
          <w:highlight w:val="white"/>
        </w:rPr>
        <w:t>Coulton</w:t>
      </w:r>
      <w:proofErr w:type="spellEnd"/>
      <w:r>
        <w:rPr>
          <w:highlight w:val="white"/>
        </w:rPr>
        <w:t xml:space="preserve">, S., Clift, S., </w:t>
      </w:r>
      <w:proofErr w:type="spellStart"/>
      <w:r>
        <w:rPr>
          <w:highlight w:val="white"/>
        </w:rPr>
        <w:t>Skingley</w:t>
      </w:r>
      <w:proofErr w:type="spellEnd"/>
      <w:r>
        <w:rPr>
          <w:highlight w:val="white"/>
        </w:rPr>
        <w:t>, A., &amp; Rodriguez, J. (2015)</w:t>
      </w:r>
      <w:r w:rsidR="006522F8">
        <w:rPr>
          <w:highlight w:val="white"/>
        </w:rPr>
        <w:t xml:space="preserve"> ‘</w:t>
      </w:r>
      <w:r>
        <w:rPr>
          <w:highlight w:val="white"/>
        </w:rPr>
        <w:t xml:space="preserve">Effectiveness and cost-effectiveness of community singing on mental health-related quality of life of older people: </w:t>
      </w:r>
      <w:proofErr w:type="spellStart"/>
      <w:r>
        <w:rPr>
          <w:highlight w:val="white"/>
        </w:rPr>
        <w:t>Randomised</w:t>
      </w:r>
      <w:proofErr w:type="spellEnd"/>
      <w:r>
        <w:rPr>
          <w:highlight w:val="white"/>
        </w:rPr>
        <w:t xml:space="preserve"> controlled trial</w:t>
      </w:r>
      <w:r w:rsidR="006522F8">
        <w:rPr>
          <w:highlight w:val="white"/>
        </w:rPr>
        <w:t xml:space="preserve">’, </w:t>
      </w:r>
      <w:r>
        <w:rPr>
          <w:i/>
          <w:highlight w:val="white"/>
        </w:rPr>
        <w:t>British Journal of Psychiatry</w:t>
      </w:r>
      <w:r>
        <w:rPr>
          <w:highlight w:val="white"/>
        </w:rPr>
        <w:t xml:space="preserve">, </w:t>
      </w:r>
      <w:r>
        <w:rPr>
          <w:i/>
          <w:highlight w:val="white"/>
        </w:rPr>
        <w:t>207</w:t>
      </w:r>
      <w:r>
        <w:rPr>
          <w:highlight w:val="white"/>
        </w:rPr>
        <w:t xml:space="preserve">(3), </w:t>
      </w:r>
      <w:r w:rsidR="006522F8">
        <w:rPr>
          <w:highlight w:val="white"/>
        </w:rPr>
        <w:t xml:space="preserve">pp. </w:t>
      </w:r>
      <w:r>
        <w:rPr>
          <w:highlight w:val="white"/>
        </w:rPr>
        <w:t xml:space="preserve">250–255. </w:t>
      </w:r>
      <w:hyperlink r:id="rId20">
        <w:r>
          <w:rPr>
            <w:highlight w:val="white"/>
            <w:u w:val="single"/>
          </w:rPr>
          <w:t>https://doi.org/10.1192/bjp.bp.113.129908</w:t>
        </w:r>
      </w:hyperlink>
    </w:p>
    <w:p w14:paraId="2B25B58B" w14:textId="6B540363" w:rsidR="00A42CE2" w:rsidRDefault="00000000">
      <w:pPr>
        <w:spacing w:after="200" w:line="360" w:lineRule="auto"/>
        <w:rPr>
          <w:highlight w:val="white"/>
        </w:rPr>
      </w:pPr>
      <w:r>
        <w:rPr>
          <w:highlight w:val="white"/>
        </w:rPr>
        <w:t>Dingle, G. A., Brander, C., Ballantyne, J., &amp; Baker, F. A. (2013). ‘To be heard’: The social and mental health benefits of choir singing for disadvantaged adults</w:t>
      </w:r>
      <w:r w:rsidR="006522F8">
        <w:rPr>
          <w:highlight w:val="white"/>
        </w:rPr>
        <w:t>’,</w:t>
      </w:r>
      <w:r>
        <w:rPr>
          <w:highlight w:val="white"/>
        </w:rPr>
        <w:t xml:space="preserve"> </w:t>
      </w:r>
      <w:r>
        <w:rPr>
          <w:i/>
          <w:highlight w:val="white"/>
        </w:rPr>
        <w:t>Psychology of Music</w:t>
      </w:r>
      <w:r>
        <w:rPr>
          <w:highlight w:val="white"/>
        </w:rPr>
        <w:t xml:space="preserve">, </w:t>
      </w:r>
      <w:r>
        <w:rPr>
          <w:i/>
          <w:highlight w:val="white"/>
        </w:rPr>
        <w:t>41</w:t>
      </w:r>
      <w:r>
        <w:rPr>
          <w:highlight w:val="white"/>
        </w:rPr>
        <w:t xml:space="preserve">(4), </w:t>
      </w:r>
      <w:r w:rsidR="006522F8">
        <w:rPr>
          <w:highlight w:val="white"/>
        </w:rPr>
        <w:t xml:space="preserve">pp. </w:t>
      </w:r>
      <w:r>
        <w:rPr>
          <w:highlight w:val="white"/>
        </w:rPr>
        <w:t xml:space="preserve">405–421. </w:t>
      </w:r>
      <w:hyperlink r:id="rId21">
        <w:r>
          <w:rPr>
            <w:highlight w:val="white"/>
            <w:u w:val="single"/>
          </w:rPr>
          <w:t>https://doi.org/10.1177/0305735611430081</w:t>
        </w:r>
      </w:hyperlink>
    </w:p>
    <w:p w14:paraId="60B263CB" w14:textId="77777777" w:rsidR="00A42CE2" w:rsidRDefault="00000000">
      <w:pPr>
        <w:spacing w:after="200" w:line="360" w:lineRule="auto"/>
        <w:rPr>
          <w:highlight w:val="white"/>
        </w:rPr>
      </w:pPr>
      <w:r>
        <w:rPr>
          <w:highlight w:val="white"/>
        </w:rPr>
        <w:t xml:space="preserve">Dominguez, M.L. (2017) ‘LGBTQIA people of color: Utilizing the cultural psychology model as a guide for the mental health assessment and treatment of patients with diverse identities’, </w:t>
      </w:r>
      <w:r>
        <w:rPr>
          <w:i/>
          <w:highlight w:val="white"/>
        </w:rPr>
        <w:t>Journal of gay &amp; lesbian mental health</w:t>
      </w:r>
      <w:r>
        <w:rPr>
          <w:highlight w:val="white"/>
        </w:rPr>
        <w:t xml:space="preserve">, 21(3), pp. 203–220. Available at: </w:t>
      </w:r>
      <w:hyperlink r:id="rId22">
        <w:r>
          <w:rPr>
            <w:highlight w:val="white"/>
            <w:u w:val="single"/>
          </w:rPr>
          <w:t>https://doi.org/10.1080/19359705.2017.1320755</w:t>
        </w:r>
      </w:hyperlink>
      <w:r>
        <w:rPr>
          <w:highlight w:val="white"/>
        </w:rPr>
        <w:t>.</w:t>
      </w:r>
    </w:p>
    <w:p w14:paraId="36AB5BD5" w14:textId="77777777" w:rsidR="00A42CE2" w:rsidRDefault="00000000">
      <w:pPr>
        <w:spacing w:before="200" w:after="200" w:line="360" w:lineRule="auto"/>
        <w:rPr>
          <w:highlight w:val="white"/>
        </w:rPr>
      </w:pPr>
      <w:proofErr w:type="spellStart"/>
      <w:r>
        <w:t>Elpus</w:t>
      </w:r>
      <w:proofErr w:type="spellEnd"/>
      <w:r>
        <w:t xml:space="preserve">, K. (2015) ‘National estimates of male and female enrolment in American high school choirs, bands and orchestras’, </w:t>
      </w:r>
      <w:r>
        <w:rPr>
          <w:i/>
        </w:rPr>
        <w:t>Music Education Research</w:t>
      </w:r>
      <w:r>
        <w:t xml:space="preserve">, 17(1), pp. 88-102. </w:t>
      </w:r>
    </w:p>
    <w:p w14:paraId="66EEC23C" w14:textId="77777777" w:rsidR="00A42CE2" w:rsidRDefault="00000000">
      <w:pPr>
        <w:spacing w:before="200" w:after="200" w:line="360" w:lineRule="auto"/>
      </w:pPr>
      <w:r>
        <w:t xml:space="preserve">Gates, T. (1989) ‘A Historical Comparison of Public Singing by American Men and Women’, </w:t>
      </w:r>
      <w:r>
        <w:rPr>
          <w:i/>
        </w:rPr>
        <w:t>Journal of Research in Music Education</w:t>
      </w:r>
      <w:r>
        <w:t>, 37(1), pp. 32-47.</w:t>
      </w:r>
    </w:p>
    <w:p w14:paraId="709E590D" w14:textId="77777777" w:rsidR="00A42CE2" w:rsidRDefault="00000000">
      <w:pPr>
        <w:spacing w:before="240" w:after="200" w:line="360" w:lineRule="auto"/>
      </w:pPr>
      <w:r>
        <w:t xml:space="preserve">GALA Choruses (2019) </w:t>
      </w:r>
      <w:r>
        <w:rPr>
          <w:i/>
        </w:rPr>
        <w:t>A new harmony: Equity, access and belonging, a workbook for GALA choruses</w:t>
      </w:r>
      <w:r>
        <w:t>. Ed. Southerland, W.</w:t>
      </w:r>
    </w:p>
    <w:p w14:paraId="05CB3F16" w14:textId="77777777" w:rsidR="00A42CE2" w:rsidRDefault="00000000">
      <w:pPr>
        <w:spacing w:before="240" w:after="200" w:line="360" w:lineRule="auto"/>
      </w:pPr>
      <w:r>
        <w:t xml:space="preserve">GALA Choruses (2023) </w:t>
      </w:r>
      <w:r>
        <w:rPr>
          <w:i/>
        </w:rPr>
        <w:t xml:space="preserve">A new harmony: Equity, access and belonging. </w:t>
      </w:r>
      <w:r>
        <w:t xml:space="preserve">Vol. 2. Ed. Southerland, W. </w:t>
      </w:r>
      <w:r>
        <w:tab/>
      </w:r>
      <w:r>
        <w:tab/>
      </w:r>
    </w:p>
    <w:p w14:paraId="613FF01A" w14:textId="0E40F278" w:rsidR="00A42CE2" w:rsidRDefault="00000000">
      <w:pPr>
        <w:spacing w:before="240" w:after="200" w:line="360" w:lineRule="auto"/>
        <w:rPr>
          <w:sz w:val="26"/>
          <w:szCs w:val="26"/>
        </w:rPr>
      </w:pPr>
      <w:r>
        <w:lastRenderedPageBreak/>
        <w:t>Graf, G. G. (2016)</w:t>
      </w:r>
      <w:r w:rsidR="006522F8">
        <w:t xml:space="preserve"> ‘</w:t>
      </w:r>
      <w:r>
        <w:t>Shared insights: A survey of postsecondary and adult men's chorus directors</w:t>
      </w:r>
      <w:r w:rsidR="006522F8">
        <w:t>’</w:t>
      </w:r>
      <w:r>
        <w:t xml:space="preserve"> [Doctoral dissertation, University of Maryland]. Digital Repository at the University of Maryland. https://doi.org/10.13016/M2W21S</w:t>
      </w:r>
    </w:p>
    <w:p w14:paraId="6CEB0FBA" w14:textId="508C97BF" w:rsidR="00A42CE2" w:rsidRDefault="00000000">
      <w:pPr>
        <w:spacing w:before="200" w:after="200" w:line="360" w:lineRule="auto"/>
      </w:pPr>
      <w:r>
        <w:t>Gordon, Eric A. 1990</w:t>
      </w:r>
      <w:r w:rsidR="006522F8">
        <w:t xml:space="preserve"> ‘</w:t>
      </w:r>
      <w:r>
        <w:t>GALA: The lesbian and gay community of song</w:t>
      </w:r>
      <w:r w:rsidR="006522F8">
        <w:t>’.</w:t>
      </w:r>
      <w:r>
        <w:t xml:space="preserve"> </w:t>
      </w:r>
      <w:r>
        <w:rPr>
          <w:i/>
        </w:rPr>
        <w:t>The Choral Journal</w:t>
      </w:r>
      <w:r w:rsidR="006522F8">
        <w:rPr>
          <w:i/>
        </w:rPr>
        <w:t>,</w:t>
      </w:r>
      <w:r>
        <w:rPr>
          <w:i/>
        </w:rPr>
        <w:t xml:space="preserve"> </w:t>
      </w:r>
      <w:r>
        <w:t>30 (9)</w:t>
      </w:r>
      <w:r w:rsidR="006522F8">
        <w:t xml:space="preserve">, pp. </w:t>
      </w:r>
      <w:r>
        <w:t xml:space="preserve">25–32. </w:t>
      </w:r>
    </w:p>
    <w:p w14:paraId="10C73D32" w14:textId="77777777" w:rsidR="00A42CE2" w:rsidRDefault="00000000">
      <w:pPr>
        <w:spacing w:before="200" w:after="200" w:line="360" w:lineRule="auto"/>
      </w:pPr>
      <w:proofErr w:type="spellStart"/>
      <w:r>
        <w:t>Ghaye</w:t>
      </w:r>
      <w:proofErr w:type="spellEnd"/>
      <w:r>
        <w:t xml:space="preserve">, T (2011) </w:t>
      </w:r>
      <w:r>
        <w:rPr>
          <w:i/>
        </w:rPr>
        <w:t>Teaching and Learning through Professional Practice: A Practical Guide for Positive Action</w:t>
      </w:r>
      <w:r>
        <w:t xml:space="preserve">, 2nd Ed. Oxford: David Fulton Publishers. </w:t>
      </w:r>
    </w:p>
    <w:p w14:paraId="46836CEC" w14:textId="77777777" w:rsidR="00A42CE2" w:rsidRDefault="00000000">
      <w:pPr>
        <w:spacing w:before="200" w:after="200" w:line="360" w:lineRule="auto"/>
      </w:pPr>
      <w:proofErr w:type="spellStart"/>
      <w:r>
        <w:rPr>
          <w:highlight w:val="white"/>
        </w:rPr>
        <w:t>Gurlly</w:t>
      </w:r>
      <w:proofErr w:type="spellEnd"/>
      <w:r>
        <w:rPr>
          <w:highlight w:val="white"/>
        </w:rPr>
        <w:t xml:space="preserve">, A.W. (2014) </w:t>
      </w:r>
      <w:r>
        <w:rPr>
          <w:i/>
          <w:highlight w:val="white"/>
        </w:rPr>
        <w:t>Affect in the San Diego Gay Men’s Chorus</w:t>
      </w:r>
      <w:r>
        <w:rPr>
          <w:highlight w:val="white"/>
        </w:rPr>
        <w:t xml:space="preserve">. </w:t>
      </w:r>
      <w:proofErr w:type="spellStart"/>
      <w:r>
        <w:rPr>
          <w:highlight w:val="white"/>
        </w:rPr>
        <w:t>eScholarship</w:t>
      </w:r>
      <w:proofErr w:type="spellEnd"/>
      <w:r>
        <w:rPr>
          <w:highlight w:val="white"/>
        </w:rPr>
        <w:t>, University of California.</w:t>
      </w:r>
    </w:p>
    <w:p w14:paraId="3AF677B2" w14:textId="6D03248A" w:rsidR="00A42CE2" w:rsidRDefault="00000000">
      <w:pPr>
        <w:spacing w:before="200" w:after="200" w:line="360" w:lineRule="auto"/>
        <w:rPr>
          <w:highlight w:val="white"/>
        </w:rPr>
      </w:pPr>
      <w:proofErr w:type="spellStart"/>
      <w:r>
        <w:rPr>
          <w:highlight w:val="white"/>
        </w:rPr>
        <w:t>Helitzer</w:t>
      </w:r>
      <w:proofErr w:type="spellEnd"/>
      <w:r>
        <w:rPr>
          <w:highlight w:val="white"/>
        </w:rPr>
        <w:t xml:space="preserve">, E., Moss, H., &amp; O’Donoghue, J. (2022) </w:t>
      </w:r>
      <w:r w:rsidR="006522F8">
        <w:rPr>
          <w:highlight w:val="white"/>
        </w:rPr>
        <w:t>‘</w:t>
      </w:r>
      <w:r>
        <w:rPr>
          <w:highlight w:val="white"/>
        </w:rPr>
        <w:t>Lifting spirits and building community: the social, emotional and practical benefits of all-female group singing</w:t>
      </w:r>
      <w:r w:rsidR="006522F8">
        <w:rPr>
          <w:highlight w:val="white"/>
        </w:rPr>
        <w:t>’,</w:t>
      </w:r>
      <w:r>
        <w:rPr>
          <w:highlight w:val="white"/>
        </w:rPr>
        <w:t xml:space="preserve"> </w:t>
      </w:r>
      <w:r>
        <w:rPr>
          <w:i/>
          <w:highlight w:val="white"/>
        </w:rPr>
        <w:t>Health Promotion International</w:t>
      </w:r>
      <w:r>
        <w:rPr>
          <w:highlight w:val="white"/>
        </w:rPr>
        <w:t xml:space="preserve">, </w:t>
      </w:r>
      <w:r>
        <w:rPr>
          <w:i/>
          <w:highlight w:val="white"/>
        </w:rPr>
        <w:t>37</w:t>
      </w:r>
      <w:r>
        <w:rPr>
          <w:highlight w:val="white"/>
        </w:rPr>
        <w:t>(6)</w:t>
      </w:r>
      <w:r w:rsidR="006522F8">
        <w:rPr>
          <w:highlight w:val="white"/>
        </w:rPr>
        <w:t xml:space="preserve"> pp. 1-11</w:t>
      </w:r>
      <w:r>
        <w:rPr>
          <w:highlight w:val="white"/>
        </w:rPr>
        <w:t xml:space="preserve">. </w:t>
      </w:r>
      <w:hyperlink r:id="rId23">
        <w:r>
          <w:rPr>
            <w:highlight w:val="white"/>
            <w:u w:val="single"/>
          </w:rPr>
          <w:t>https://doi.org/10.1093/heapro/daac112</w:t>
        </w:r>
      </w:hyperlink>
    </w:p>
    <w:p w14:paraId="1C5AB8F7" w14:textId="77777777" w:rsidR="00A42CE2" w:rsidRDefault="00000000">
      <w:pPr>
        <w:spacing w:before="200" w:after="200" w:line="360" w:lineRule="auto"/>
        <w:rPr>
          <w:highlight w:val="white"/>
        </w:rPr>
      </w:pPr>
      <w:r>
        <w:rPr>
          <w:highlight w:val="white"/>
        </w:rPr>
        <w:t xml:space="preserve">Hilliard, R.E. (2002) ‘The San Francisco Gay Men’s Chorus: A Historical Perspective on the Role of a Chorus as a Social Service’, </w:t>
      </w:r>
      <w:r>
        <w:rPr>
          <w:i/>
          <w:highlight w:val="white"/>
        </w:rPr>
        <w:t>Journal of gay &amp; lesbian social services</w:t>
      </w:r>
      <w:r>
        <w:rPr>
          <w:highlight w:val="white"/>
        </w:rPr>
        <w:t xml:space="preserve">, 14(3), pp. 79–94. Available at: </w:t>
      </w:r>
      <w:hyperlink r:id="rId24">
        <w:r>
          <w:rPr>
            <w:highlight w:val="white"/>
            <w:u w:val="single"/>
          </w:rPr>
          <w:t>https://doi.org/10.1300/J041v14n03_04</w:t>
        </w:r>
      </w:hyperlink>
      <w:r>
        <w:rPr>
          <w:highlight w:val="white"/>
        </w:rPr>
        <w:t>.</w:t>
      </w:r>
    </w:p>
    <w:p w14:paraId="5F769247" w14:textId="77777777" w:rsidR="00A42CE2" w:rsidRDefault="00000000">
      <w:pPr>
        <w:spacing w:before="200" w:after="200" w:line="360" w:lineRule="auto"/>
        <w:rPr>
          <w:highlight w:val="white"/>
        </w:rPr>
      </w:pPr>
      <w:r>
        <w:rPr>
          <w:highlight w:val="white"/>
        </w:rPr>
        <w:t xml:space="preserve">Hilliard, R.E. (2008) ‘A Social and Historical Perspective of the San Francisco Gay Men’s Chorus’, </w:t>
      </w:r>
      <w:r>
        <w:rPr>
          <w:i/>
          <w:highlight w:val="white"/>
        </w:rPr>
        <w:t>Journal of homosexuality</w:t>
      </w:r>
      <w:r>
        <w:rPr>
          <w:highlight w:val="white"/>
        </w:rPr>
        <w:t xml:space="preserve">, 54(4), pp. 345–361. Available at: </w:t>
      </w:r>
      <w:hyperlink r:id="rId25">
        <w:r>
          <w:rPr>
            <w:highlight w:val="white"/>
            <w:u w:val="single"/>
          </w:rPr>
          <w:t>https://doi.org/10.1080/00918360801991208</w:t>
        </w:r>
      </w:hyperlink>
      <w:r>
        <w:rPr>
          <w:highlight w:val="white"/>
        </w:rPr>
        <w:t>.</w:t>
      </w:r>
    </w:p>
    <w:p w14:paraId="62D6909F" w14:textId="77777777" w:rsidR="00A42CE2" w:rsidRDefault="00000000">
      <w:pPr>
        <w:spacing w:before="200" w:after="200" w:line="360" w:lineRule="auto"/>
        <w:rPr>
          <w:highlight w:val="white"/>
        </w:rPr>
      </w:pPr>
      <w:r>
        <w:rPr>
          <w:highlight w:val="white"/>
        </w:rPr>
        <w:t xml:space="preserve">Judd, M. and Pooley, J.A. (2014) ‘The psychological benefits of participating in group singing for members of the general public’, </w:t>
      </w:r>
      <w:r>
        <w:rPr>
          <w:i/>
          <w:highlight w:val="white"/>
        </w:rPr>
        <w:t>Psychology of music</w:t>
      </w:r>
      <w:r>
        <w:rPr>
          <w:highlight w:val="white"/>
        </w:rPr>
        <w:t>, 42(2), pp. 269–283. Available at: https://doi.org/10.1177/0305735612471237.</w:t>
      </w:r>
    </w:p>
    <w:p w14:paraId="5C771401" w14:textId="3158D2FA" w:rsidR="00A42CE2" w:rsidRDefault="00000000">
      <w:pPr>
        <w:spacing w:after="200" w:line="360" w:lineRule="auto"/>
        <w:rPr>
          <w:highlight w:val="white"/>
        </w:rPr>
      </w:pPr>
      <w:proofErr w:type="spellStart"/>
      <w:r>
        <w:rPr>
          <w:highlight w:val="white"/>
        </w:rPr>
        <w:t>Lagacé</w:t>
      </w:r>
      <w:proofErr w:type="spellEnd"/>
      <w:r>
        <w:rPr>
          <w:highlight w:val="white"/>
        </w:rPr>
        <w:t xml:space="preserve">, M., Briand, C., Desrosiers, J., &amp; </w:t>
      </w:r>
      <w:proofErr w:type="spellStart"/>
      <w:r>
        <w:rPr>
          <w:highlight w:val="white"/>
        </w:rPr>
        <w:t>Larivière</w:t>
      </w:r>
      <w:proofErr w:type="spellEnd"/>
      <w:r>
        <w:rPr>
          <w:highlight w:val="white"/>
        </w:rPr>
        <w:t xml:space="preserve">, N. (2016) </w:t>
      </w:r>
      <w:r w:rsidR="006522F8">
        <w:rPr>
          <w:highlight w:val="white"/>
        </w:rPr>
        <w:t>‘</w:t>
      </w:r>
      <w:r>
        <w:rPr>
          <w:highlight w:val="white"/>
        </w:rPr>
        <w:t>A qualitative exploration of a community-based singing activity on the recovery process of people living with mental illness</w:t>
      </w:r>
      <w:r w:rsidR="006522F8">
        <w:rPr>
          <w:highlight w:val="white"/>
        </w:rPr>
        <w:t xml:space="preserve">’, </w:t>
      </w:r>
      <w:r>
        <w:rPr>
          <w:i/>
          <w:highlight w:val="white"/>
        </w:rPr>
        <w:t>The British Journal of Occupational Therapy</w:t>
      </w:r>
      <w:r>
        <w:rPr>
          <w:highlight w:val="white"/>
        </w:rPr>
        <w:t xml:space="preserve">, </w:t>
      </w:r>
      <w:r>
        <w:rPr>
          <w:i/>
          <w:highlight w:val="white"/>
        </w:rPr>
        <w:t>79</w:t>
      </w:r>
      <w:r>
        <w:rPr>
          <w:highlight w:val="white"/>
        </w:rPr>
        <w:t xml:space="preserve">(3), </w:t>
      </w:r>
      <w:r w:rsidR="006522F8">
        <w:rPr>
          <w:highlight w:val="white"/>
        </w:rPr>
        <w:t xml:space="preserve">pp. </w:t>
      </w:r>
      <w:r>
        <w:rPr>
          <w:highlight w:val="white"/>
        </w:rPr>
        <w:t xml:space="preserve">178–187. </w:t>
      </w:r>
      <w:hyperlink r:id="rId26">
        <w:r>
          <w:rPr>
            <w:highlight w:val="white"/>
            <w:u w:val="single"/>
          </w:rPr>
          <w:t>https://doi.org/10.1177/0308022615599171</w:t>
        </w:r>
      </w:hyperlink>
    </w:p>
    <w:p w14:paraId="27FC2D74" w14:textId="77777777" w:rsidR="00A17067" w:rsidRPr="00A17067" w:rsidRDefault="00A17067">
      <w:pPr>
        <w:spacing w:after="200" w:line="360" w:lineRule="auto"/>
        <w:rPr>
          <w:color w:val="222222"/>
          <w:shd w:val="clear" w:color="auto" w:fill="FFFFFF"/>
        </w:rPr>
      </w:pPr>
      <w:r w:rsidRPr="00A17067">
        <w:rPr>
          <w:color w:val="222222"/>
          <w:shd w:val="clear" w:color="auto" w:fill="FFFFFF"/>
        </w:rPr>
        <w:t>Lawrence, A., Houghton, J., Thomas, J. and Weldon, P.</w:t>
      </w:r>
      <w:r w:rsidRPr="00A17067">
        <w:rPr>
          <w:color w:val="222222"/>
          <w:shd w:val="clear" w:color="auto" w:fill="FFFFFF"/>
        </w:rPr>
        <w:t xml:space="preserve"> (</w:t>
      </w:r>
      <w:r w:rsidRPr="00A17067">
        <w:rPr>
          <w:color w:val="222222"/>
          <w:shd w:val="clear" w:color="auto" w:fill="FFFFFF"/>
        </w:rPr>
        <w:t>2014</w:t>
      </w:r>
      <w:r w:rsidRPr="00A17067">
        <w:rPr>
          <w:color w:val="222222"/>
          <w:shd w:val="clear" w:color="auto" w:fill="FFFFFF"/>
        </w:rPr>
        <w:t>)</w:t>
      </w:r>
      <w:r w:rsidRPr="00A17067">
        <w:rPr>
          <w:color w:val="222222"/>
          <w:shd w:val="clear" w:color="auto" w:fill="FFFFFF"/>
        </w:rPr>
        <w:t xml:space="preserve"> </w:t>
      </w:r>
      <w:r w:rsidRPr="00A17067">
        <w:rPr>
          <w:color w:val="222222"/>
          <w:shd w:val="clear" w:color="auto" w:fill="FFFFFF"/>
        </w:rPr>
        <w:t>‘</w:t>
      </w:r>
      <w:r w:rsidRPr="00A17067">
        <w:rPr>
          <w:color w:val="222222"/>
          <w:shd w:val="clear" w:color="auto" w:fill="FFFFFF"/>
        </w:rPr>
        <w:t xml:space="preserve">Where Is the Evidence? </w:t>
      </w:r>
      <w:proofErr w:type="spellStart"/>
      <w:r w:rsidRPr="00A17067">
        <w:rPr>
          <w:color w:val="222222"/>
          <w:shd w:val="clear" w:color="auto" w:fill="FFFFFF"/>
        </w:rPr>
        <w:t>Realising</w:t>
      </w:r>
      <w:proofErr w:type="spellEnd"/>
      <w:r w:rsidRPr="00A17067">
        <w:rPr>
          <w:color w:val="222222"/>
          <w:shd w:val="clear" w:color="auto" w:fill="FFFFFF"/>
        </w:rPr>
        <w:t xml:space="preserve"> the Value of Grey Literature for Public Policy &amp; Practice, A Discussion Paper.</w:t>
      </w:r>
    </w:p>
    <w:p w14:paraId="4CA00A19" w14:textId="5F0A44BF" w:rsidR="00A42CE2" w:rsidRDefault="00000000">
      <w:pPr>
        <w:spacing w:after="200" w:line="360" w:lineRule="auto"/>
        <w:rPr>
          <w:highlight w:val="white"/>
        </w:rPr>
      </w:pPr>
      <w:r>
        <w:rPr>
          <w:highlight w:val="white"/>
        </w:rPr>
        <w:lastRenderedPageBreak/>
        <w:t xml:space="preserve">Levy, S.A., </w:t>
      </w:r>
      <w:proofErr w:type="spellStart"/>
      <w:r>
        <w:rPr>
          <w:highlight w:val="white"/>
        </w:rPr>
        <w:t>Russon</w:t>
      </w:r>
      <w:proofErr w:type="spellEnd"/>
      <w:r>
        <w:rPr>
          <w:highlight w:val="white"/>
        </w:rPr>
        <w:t xml:space="preserve">, J. and Diamond, G.M. (2016) ‘Attachment-Based Family Therapy for Suicidal Lesbian, Gay, and Bisexual Adolescents: A Case Study’, </w:t>
      </w:r>
      <w:r>
        <w:rPr>
          <w:i/>
          <w:highlight w:val="white"/>
        </w:rPr>
        <w:t>Australian and New Zealand journal of family therapy</w:t>
      </w:r>
      <w:r>
        <w:rPr>
          <w:highlight w:val="white"/>
        </w:rPr>
        <w:t xml:space="preserve">, 37(2), pp. 190–206. Available at: </w:t>
      </w:r>
      <w:hyperlink r:id="rId27">
        <w:r>
          <w:rPr>
            <w:highlight w:val="white"/>
            <w:u w:val="single"/>
          </w:rPr>
          <w:t>https://doi.org/10.1002/anzf.1151</w:t>
        </w:r>
      </w:hyperlink>
      <w:r>
        <w:rPr>
          <w:highlight w:val="white"/>
        </w:rPr>
        <w:t>.</w:t>
      </w:r>
    </w:p>
    <w:p w14:paraId="32B02C3C" w14:textId="6B444BAB" w:rsidR="00A42CE2" w:rsidRDefault="00000000">
      <w:pPr>
        <w:spacing w:after="200" w:line="360" w:lineRule="auto"/>
        <w:rPr>
          <w:highlight w:val="white"/>
        </w:rPr>
      </w:pPr>
      <w:r>
        <w:rPr>
          <w:highlight w:val="white"/>
        </w:rPr>
        <w:t xml:space="preserve">Livesey, L., Morrison, I., Clift, S., &amp; </w:t>
      </w:r>
      <w:proofErr w:type="spellStart"/>
      <w:r>
        <w:rPr>
          <w:highlight w:val="white"/>
        </w:rPr>
        <w:t>Camic</w:t>
      </w:r>
      <w:proofErr w:type="spellEnd"/>
      <w:r>
        <w:rPr>
          <w:highlight w:val="white"/>
        </w:rPr>
        <w:t>, P. (2012)</w:t>
      </w:r>
      <w:r w:rsidR="00A17067">
        <w:rPr>
          <w:highlight w:val="white"/>
        </w:rPr>
        <w:t xml:space="preserve"> ‘</w:t>
      </w:r>
      <w:r>
        <w:rPr>
          <w:highlight w:val="white"/>
        </w:rPr>
        <w:t>Benefits of choral singing for social and mental wellbeing: qualitative findings from a cross-national survey of choir member</w:t>
      </w:r>
      <w:r w:rsidR="00A17067">
        <w:rPr>
          <w:highlight w:val="white"/>
        </w:rPr>
        <w:t>s’,</w:t>
      </w:r>
      <w:r>
        <w:rPr>
          <w:highlight w:val="white"/>
        </w:rPr>
        <w:t xml:space="preserve"> </w:t>
      </w:r>
      <w:r>
        <w:rPr>
          <w:i/>
          <w:highlight w:val="white"/>
        </w:rPr>
        <w:t>Journal of Public Mental Health</w:t>
      </w:r>
      <w:r>
        <w:rPr>
          <w:highlight w:val="white"/>
        </w:rPr>
        <w:t xml:space="preserve">, </w:t>
      </w:r>
      <w:r>
        <w:rPr>
          <w:i/>
          <w:highlight w:val="white"/>
        </w:rPr>
        <w:t>11</w:t>
      </w:r>
      <w:r>
        <w:rPr>
          <w:highlight w:val="white"/>
        </w:rPr>
        <w:t xml:space="preserve">(1), </w:t>
      </w:r>
      <w:r w:rsidR="00A17067">
        <w:rPr>
          <w:highlight w:val="white"/>
        </w:rPr>
        <w:t xml:space="preserve">pp. </w:t>
      </w:r>
      <w:r>
        <w:rPr>
          <w:highlight w:val="white"/>
        </w:rPr>
        <w:t xml:space="preserve">10–26. </w:t>
      </w:r>
      <w:hyperlink r:id="rId28">
        <w:r>
          <w:rPr>
            <w:highlight w:val="white"/>
            <w:u w:val="single"/>
          </w:rPr>
          <w:t>https://doi.org/10.1108/17465721211207275</w:t>
        </w:r>
      </w:hyperlink>
    </w:p>
    <w:p w14:paraId="2B9DDAC1" w14:textId="77777777" w:rsidR="00A42CE2" w:rsidRDefault="00000000">
      <w:pPr>
        <w:spacing w:after="200" w:line="360" w:lineRule="auto"/>
        <w:rPr>
          <w:highlight w:val="white"/>
        </w:rPr>
      </w:pPr>
      <w:r>
        <w:rPr>
          <w:highlight w:val="white"/>
        </w:rPr>
        <w:t xml:space="preserve">Olson, J. </w:t>
      </w:r>
      <w:r>
        <w:rPr>
          <w:i/>
          <w:highlight w:val="white"/>
        </w:rPr>
        <w:t>et al.</w:t>
      </w:r>
      <w:r>
        <w:rPr>
          <w:highlight w:val="white"/>
        </w:rPr>
        <w:t xml:space="preserve"> (2015) ‘Baseline Physiologic and Psychosocial Characteristics of Transgender Youth Seeking Care for Gender Dysphoria’, </w:t>
      </w:r>
      <w:r>
        <w:rPr>
          <w:i/>
          <w:highlight w:val="white"/>
        </w:rPr>
        <w:t>Journal of adolescent health</w:t>
      </w:r>
      <w:r>
        <w:rPr>
          <w:highlight w:val="white"/>
        </w:rPr>
        <w:t xml:space="preserve">, 57(4), pp. 374–380. Available at: </w:t>
      </w:r>
      <w:hyperlink r:id="rId29">
        <w:r>
          <w:rPr>
            <w:highlight w:val="white"/>
            <w:u w:val="single"/>
          </w:rPr>
          <w:t>https://doi.org/10.1016/j.jadohealth.2015.04.027</w:t>
        </w:r>
      </w:hyperlink>
      <w:r>
        <w:rPr>
          <w:highlight w:val="white"/>
        </w:rPr>
        <w:t>.</w:t>
      </w:r>
    </w:p>
    <w:p w14:paraId="61DDF999" w14:textId="2782D237" w:rsidR="00A42CE2" w:rsidRDefault="00000000">
      <w:pPr>
        <w:spacing w:after="200" w:line="360" w:lineRule="auto"/>
        <w:rPr>
          <w:highlight w:val="white"/>
        </w:rPr>
      </w:pPr>
      <w:r>
        <w:rPr>
          <w:color w:val="3A3A3A"/>
          <w:highlight w:val="white"/>
        </w:rPr>
        <w:t xml:space="preserve">Pearce, E., Launay, J., </w:t>
      </w:r>
      <w:proofErr w:type="spellStart"/>
      <w:r>
        <w:rPr>
          <w:color w:val="3A3A3A"/>
          <w:highlight w:val="white"/>
        </w:rPr>
        <w:t>Maccarron</w:t>
      </w:r>
      <w:proofErr w:type="spellEnd"/>
      <w:r>
        <w:rPr>
          <w:color w:val="3A3A3A"/>
          <w:highlight w:val="white"/>
        </w:rPr>
        <w:t>, P., &amp; Dunbar, R. (2017) ‘Tuning in to others: Exploring relational and collective bonding in singing and non-singing groups over time’</w:t>
      </w:r>
      <w:r w:rsidR="00A17067">
        <w:rPr>
          <w:color w:val="3A3A3A"/>
          <w:highlight w:val="white"/>
        </w:rPr>
        <w:t xml:space="preserve">, </w:t>
      </w:r>
      <w:r>
        <w:rPr>
          <w:i/>
          <w:color w:val="3A3A3A"/>
          <w:highlight w:val="white"/>
        </w:rPr>
        <w:t>Psychology of Music</w:t>
      </w:r>
      <w:r w:rsidR="00A17067">
        <w:rPr>
          <w:color w:val="3A3A3A"/>
          <w:highlight w:val="white"/>
        </w:rPr>
        <w:t xml:space="preserve">, </w:t>
      </w:r>
      <w:r>
        <w:rPr>
          <w:color w:val="3A3A3A"/>
          <w:highlight w:val="white"/>
        </w:rPr>
        <w:t xml:space="preserve">45 (4) pp. 496-512. </w:t>
      </w:r>
      <w:hyperlink r:id="rId30">
        <w:r>
          <w:rPr>
            <w:color w:val="003399"/>
            <w:highlight w:val="white"/>
            <w:u w:val="single"/>
          </w:rPr>
          <w:t>10.1177/0305735616667543</w:t>
        </w:r>
      </w:hyperlink>
      <w:r>
        <w:rPr>
          <w:color w:val="3A3A3A"/>
          <w:highlight w:val="white"/>
        </w:rPr>
        <w:t>.</w:t>
      </w:r>
    </w:p>
    <w:p w14:paraId="1BBD5A78" w14:textId="4020EEBF" w:rsidR="00A42CE2" w:rsidRDefault="00000000">
      <w:pPr>
        <w:spacing w:after="200" w:line="360" w:lineRule="auto"/>
        <w:rPr>
          <w:highlight w:val="white"/>
        </w:rPr>
      </w:pPr>
      <w:r>
        <w:rPr>
          <w:highlight w:val="white"/>
        </w:rPr>
        <w:t xml:space="preserve">Pour-Khorshid, F. (2018) </w:t>
      </w:r>
      <w:r w:rsidR="00A17067">
        <w:rPr>
          <w:highlight w:val="white"/>
        </w:rPr>
        <w:t>‘</w:t>
      </w:r>
      <w:r>
        <w:rPr>
          <w:highlight w:val="white"/>
        </w:rPr>
        <w:t>Cultivating sacred spaces: a racial affinity group approach to support critical educators of color</w:t>
      </w:r>
      <w:r w:rsidR="00A17067">
        <w:rPr>
          <w:highlight w:val="white"/>
        </w:rPr>
        <w:t xml:space="preserve">’, </w:t>
      </w:r>
      <w:r>
        <w:rPr>
          <w:i/>
          <w:highlight w:val="white"/>
        </w:rPr>
        <w:t>Teaching Education</w:t>
      </w:r>
      <w:r w:rsidR="00A17067">
        <w:rPr>
          <w:i/>
          <w:highlight w:val="white"/>
        </w:rPr>
        <w:t xml:space="preserve">, </w:t>
      </w:r>
      <w:r w:rsidRPr="00A17067">
        <w:rPr>
          <w:iCs/>
          <w:highlight w:val="white"/>
        </w:rPr>
        <w:t>29(4),</w:t>
      </w:r>
      <w:r>
        <w:rPr>
          <w:highlight w:val="white"/>
        </w:rPr>
        <w:t xml:space="preserve"> </w:t>
      </w:r>
      <w:r w:rsidR="00A17067">
        <w:rPr>
          <w:highlight w:val="white"/>
        </w:rPr>
        <w:t xml:space="preserve">pp. </w:t>
      </w:r>
      <w:r>
        <w:rPr>
          <w:highlight w:val="white"/>
        </w:rPr>
        <w:t xml:space="preserve">318–329. </w:t>
      </w:r>
      <w:hyperlink r:id="rId31">
        <w:r>
          <w:rPr>
            <w:highlight w:val="white"/>
            <w:u w:val="single"/>
          </w:rPr>
          <w:t>https://doi.org/10.1080/10476210.2018.1512092</w:t>
        </w:r>
      </w:hyperlink>
    </w:p>
    <w:p w14:paraId="4A44790C" w14:textId="29552807" w:rsidR="00A42CE2" w:rsidRDefault="00000000">
      <w:pPr>
        <w:spacing w:after="200" w:line="360" w:lineRule="auto"/>
        <w:rPr>
          <w:highlight w:val="white"/>
        </w:rPr>
      </w:pPr>
      <w:proofErr w:type="spellStart"/>
      <w:r>
        <w:rPr>
          <w:highlight w:val="white"/>
        </w:rPr>
        <w:t>Pavlakou</w:t>
      </w:r>
      <w:proofErr w:type="spellEnd"/>
      <w:r>
        <w:rPr>
          <w:highlight w:val="white"/>
        </w:rPr>
        <w:t xml:space="preserve">, </w:t>
      </w:r>
      <w:proofErr w:type="gramStart"/>
      <w:r>
        <w:rPr>
          <w:highlight w:val="white"/>
        </w:rPr>
        <w:t>M..</w:t>
      </w:r>
      <w:proofErr w:type="gramEnd"/>
      <w:r>
        <w:rPr>
          <w:highlight w:val="white"/>
        </w:rPr>
        <w:t xml:space="preserve"> (2009)</w:t>
      </w:r>
      <w:r w:rsidR="00A17067">
        <w:rPr>
          <w:highlight w:val="white"/>
        </w:rPr>
        <w:t xml:space="preserve"> ‘</w:t>
      </w:r>
      <w:r>
        <w:rPr>
          <w:highlight w:val="white"/>
        </w:rPr>
        <w:t>Benefits of Group Singing for People with Eating Disorders: Preliminary Findings from a Non-Clinical Study</w:t>
      </w:r>
      <w:r w:rsidR="00A17067">
        <w:rPr>
          <w:highlight w:val="white"/>
        </w:rPr>
        <w:t>’,</w:t>
      </w:r>
      <w:r>
        <w:rPr>
          <w:highlight w:val="white"/>
        </w:rPr>
        <w:t xml:space="preserve"> </w:t>
      </w:r>
      <w:r>
        <w:rPr>
          <w:i/>
          <w:highlight w:val="white"/>
        </w:rPr>
        <w:t>Approaches: Music Therapy &amp; Special Music Education</w:t>
      </w:r>
      <w:r>
        <w:rPr>
          <w:highlight w:val="white"/>
        </w:rPr>
        <w:t xml:space="preserve">, </w:t>
      </w:r>
      <w:r>
        <w:rPr>
          <w:i/>
          <w:highlight w:val="white"/>
        </w:rPr>
        <w:t>1</w:t>
      </w:r>
      <w:r>
        <w:rPr>
          <w:highlight w:val="white"/>
        </w:rPr>
        <w:t xml:space="preserve">(1), </w:t>
      </w:r>
      <w:r w:rsidR="00A17067">
        <w:rPr>
          <w:highlight w:val="white"/>
        </w:rPr>
        <w:t xml:space="preserve">pp. </w:t>
      </w:r>
      <w:r>
        <w:rPr>
          <w:highlight w:val="white"/>
        </w:rPr>
        <w:t>30–48.</w:t>
      </w:r>
    </w:p>
    <w:p w14:paraId="3FE497D4" w14:textId="32A12AAD" w:rsidR="00A42CE2" w:rsidRDefault="00000000">
      <w:pPr>
        <w:spacing w:after="200" w:line="360" w:lineRule="auto"/>
        <w:rPr>
          <w:highlight w:val="white"/>
        </w:rPr>
      </w:pPr>
      <w:r>
        <w:rPr>
          <w:highlight w:val="white"/>
        </w:rPr>
        <w:t>Pour-Khorshid, F. (2018)</w:t>
      </w:r>
      <w:r w:rsidR="00A17067">
        <w:rPr>
          <w:highlight w:val="white"/>
        </w:rPr>
        <w:t xml:space="preserve"> ‘</w:t>
      </w:r>
      <w:r>
        <w:rPr>
          <w:highlight w:val="white"/>
        </w:rPr>
        <w:t>Cultivating sacred spaces: a racial affinity group approach to support critical educators of color</w:t>
      </w:r>
      <w:r w:rsidR="00A17067">
        <w:rPr>
          <w:highlight w:val="white"/>
        </w:rPr>
        <w:t xml:space="preserve">’, </w:t>
      </w:r>
      <w:r>
        <w:rPr>
          <w:i/>
          <w:highlight w:val="white"/>
        </w:rPr>
        <w:t>Teaching Education</w:t>
      </w:r>
      <w:r w:rsidR="00A17067">
        <w:rPr>
          <w:i/>
          <w:highlight w:val="white"/>
        </w:rPr>
        <w:t xml:space="preserve">, </w:t>
      </w:r>
      <w:r w:rsidRPr="00A17067">
        <w:rPr>
          <w:iCs/>
          <w:highlight w:val="white"/>
        </w:rPr>
        <w:t>29(4),</w:t>
      </w:r>
      <w:r>
        <w:rPr>
          <w:highlight w:val="white"/>
        </w:rPr>
        <w:t xml:space="preserve"> 318–329. https://doi.org/10.1080/10476210.2018.1512092</w:t>
      </w:r>
    </w:p>
    <w:p w14:paraId="3FA16B05" w14:textId="77777777" w:rsidR="00A42CE2" w:rsidRDefault="00000000">
      <w:pPr>
        <w:spacing w:before="200" w:after="200" w:line="360" w:lineRule="auto"/>
      </w:pPr>
      <w:r>
        <w:t xml:space="preserve">Randolph, J. J. (2009) ‘A Guide to Writing the Dissertation Literature Review’, </w:t>
      </w:r>
      <w:r>
        <w:rPr>
          <w:i/>
        </w:rPr>
        <w:t>Practical Assessment, Research &amp; Evaluation</w:t>
      </w:r>
      <w:r>
        <w:t>, 14(13), pp. 1-13.</w:t>
      </w:r>
    </w:p>
    <w:p w14:paraId="2E9371D7" w14:textId="6BEF00E4" w:rsidR="00A42CE2" w:rsidRDefault="00000000">
      <w:pPr>
        <w:spacing w:before="200" w:after="200" w:line="360" w:lineRule="auto"/>
      </w:pPr>
      <w:r>
        <w:rPr>
          <w:highlight w:val="white"/>
        </w:rPr>
        <w:t xml:space="preserve">Reddy-Best, K.L (2022) ‘Des Moines Gay Men’s Chorus, Queer Spaces, Collectives Styles, and Activist Dress, 1984 to the Present’, </w:t>
      </w:r>
      <w:r>
        <w:rPr>
          <w:i/>
          <w:highlight w:val="white"/>
        </w:rPr>
        <w:t>Fashion theory</w:t>
      </w:r>
      <w:r>
        <w:rPr>
          <w:highlight w:val="white"/>
        </w:rPr>
        <w:t>, 26(7), pp. 1009–1033. Available at: https://doi.org/10.1080/1362704X.2021.1964269.</w:t>
      </w:r>
    </w:p>
    <w:p w14:paraId="69830278" w14:textId="77777777" w:rsidR="00A42CE2" w:rsidRDefault="00000000">
      <w:pPr>
        <w:spacing w:before="200" w:line="360" w:lineRule="auto"/>
      </w:pPr>
      <w:proofErr w:type="spellStart"/>
      <w:r>
        <w:t>Sandelowski</w:t>
      </w:r>
      <w:proofErr w:type="spellEnd"/>
      <w:r>
        <w:t xml:space="preserve">, M. and Barroso, J. (2007) </w:t>
      </w:r>
      <w:r>
        <w:rPr>
          <w:i/>
        </w:rPr>
        <w:t>Handbook for Synthesizing Qualitative Research</w:t>
      </w:r>
      <w:r>
        <w:t>, New York, NY: Springer Publishing Company, Inc.</w:t>
      </w:r>
    </w:p>
    <w:p w14:paraId="6202ACBA" w14:textId="77777777" w:rsidR="00A42CE2" w:rsidRDefault="00000000">
      <w:pPr>
        <w:spacing w:before="200" w:line="360" w:lineRule="auto"/>
      </w:pPr>
      <w:r>
        <w:lastRenderedPageBreak/>
        <w:t xml:space="preserve">Schön, DA (1983) </w:t>
      </w:r>
      <w:r>
        <w:rPr>
          <w:i/>
        </w:rPr>
        <w:t>The Reflective Practitioner: How Professionals Think in Action</w:t>
      </w:r>
      <w:r>
        <w:t>, USA: Basic Books, Inc.</w:t>
      </w:r>
    </w:p>
    <w:p w14:paraId="1BA9546F" w14:textId="77777777" w:rsidR="00A42CE2" w:rsidRDefault="00A42CE2">
      <w:pPr>
        <w:spacing w:line="360" w:lineRule="auto"/>
        <w:rPr>
          <w:highlight w:val="white"/>
        </w:rPr>
      </w:pPr>
    </w:p>
    <w:p w14:paraId="4A18D946" w14:textId="46BE3EB2" w:rsidR="00A42CE2" w:rsidRDefault="00000000">
      <w:pPr>
        <w:spacing w:after="200" w:line="360" w:lineRule="auto"/>
        <w:rPr>
          <w:highlight w:val="white"/>
        </w:rPr>
      </w:pPr>
      <w:r>
        <w:rPr>
          <w:highlight w:val="white"/>
        </w:rPr>
        <w:t xml:space="preserve">Sharma, A. E., Knox, M., </w:t>
      </w:r>
      <w:proofErr w:type="spellStart"/>
      <w:r>
        <w:rPr>
          <w:highlight w:val="white"/>
        </w:rPr>
        <w:t>Mleczko</w:t>
      </w:r>
      <w:proofErr w:type="spellEnd"/>
      <w:r>
        <w:rPr>
          <w:highlight w:val="white"/>
        </w:rPr>
        <w:t xml:space="preserve">, V. L., &amp; </w:t>
      </w:r>
      <w:proofErr w:type="spellStart"/>
      <w:r>
        <w:rPr>
          <w:highlight w:val="white"/>
        </w:rPr>
        <w:t>Olayiwola</w:t>
      </w:r>
      <w:proofErr w:type="spellEnd"/>
      <w:r>
        <w:rPr>
          <w:highlight w:val="white"/>
        </w:rPr>
        <w:t>, J. N. (2017)</w:t>
      </w:r>
      <w:r w:rsidR="00A17067">
        <w:rPr>
          <w:highlight w:val="white"/>
        </w:rPr>
        <w:t xml:space="preserve"> ‘</w:t>
      </w:r>
      <w:r>
        <w:rPr>
          <w:highlight w:val="white"/>
        </w:rPr>
        <w:t>The impact of patient advisors on healthcare outcomes: a systematic review</w:t>
      </w:r>
      <w:r w:rsidR="00A17067">
        <w:rPr>
          <w:highlight w:val="white"/>
        </w:rPr>
        <w:t>’,</w:t>
      </w:r>
      <w:r>
        <w:rPr>
          <w:highlight w:val="white"/>
        </w:rPr>
        <w:t xml:space="preserve"> </w:t>
      </w:r>
      <w:r>
        <w:rPr>
          <w:i/>
          <w:highlight w:val="white"/>
        </w:rPr>
        <w:t>BMC Health Services Research</w:t>
      </w:r>
      <w:r>
        <w:rPr>
          <w:highlight w:val="white"/>
        </w:rPr>
        <w:t xml:space="preserve">, </w:t>
      </w:r>
      <w:r>
        <w:rPr>
          <w:i/>
          <w:highlight w:val="white"/>
        </w:rPr>
        <w:t>17</w:t>
      </w:r>
      <w:r>
        <w:rPr>
          <w:highlight w:val="white"/>
        </w:rPr>
        <w:t xml:space="preserve">(1), pp. 693–693. </w:t>
      </w:r>
      <w:hyperlink r:id="rId32">
        <w:r>
          <w:rPr>
            <w:color w:val="1155CC"/>
            <w:highlight w:val="white"/>
            <w:u w:val="single"/>
          </w:rPr>
          <w:t>https://doi.org/10.1186/s12913-017-2630-4</w:t>
        </w:r>
      </w:hyperlink>
    </w:p>
    <w:p w14:paraId="3654400D" w14:textId="075E8311" w:rsidR="00A42CE2" w:rsidRDefault="00000000">
      <w:pPr>
        <w:spacing w:after="200" w:line="360" w:lineRule="auto"/>
        <w:rPr>
          <w:highlight w:val="white"/>
        </w:rPr>
      </w:pPr>
      <w:proofErr w:type="spellStart"/>
      <w:r>
        <w:rPr>
          <w:highlight w:val="white"/>
        </w:rPr>
        <w:t>Skingley</w:t>
      </w:r>
      <w:proofErr w:type="spellEnd"/>
      <w:r>
        <w:rPr>
          <w:highlight w:val="white"/>
        </w:rPr>
        <w:t>, A., Martin, A., &amp; Clift, S. (2016)</w:t>
      </w:r>
      <w:r w:rsidR="00A17067">
        <w:rPr>
          <w:highlight w:val="white"/>
        </w:rPr>
        <w:t xml:space="preserve"> ‘</w:t>
      </w:r>
      <w:r>
        <w:rPr>
          <w:highlight w:val="white"/>
        </w:rPr>
        <w:t xml:space="preserve">The Contribution of Community Singing Groups to the Well-Being of Older People: Participant Perspectives </w:t>
      </w:r>
      <w:proofErr w:type="gramStart"/>
      <w:r>
        <w:rPr>
          <w:highlight w:val="white"/>
        </w:rPr>
        <w:t>From</w:t>
      </w:r>
      <w:proofErr w:type="gramEnd"/>
      <w:r>
        <w:rPr>
          <w:highlight w:val="white"/>
        </w:rPr>
        <w:t xml:space="preserve"> the United Kingdom</w:t>
      </w:r>
      <w:r w:rsidR="00A17067">
        <w:rPr>
          <w:highlight w:val="white"/>
        </w:rPr>
        <w:t>’,</w:t>
      </w:r>
      <w:r>
        <w:rPr>
          <w:highlight w:val="white"/>
        </w:rPr>
        <w:t xml:space="preserve"> </w:t>
      </w:r>
      <w:r>
        <w:rPr>
          <w:i/>
          <w:highlight w:val="white"/>
        </w:rPr>
        <w:t>Journal of Applied Gerontology</w:t>
      </w:r>
      <w:r>
        <w:rPr>
          <w:highlight w:val="white"/>
        </w:rPr>
        <w:t xml:space="preserve">, </w:t>
      </w:r>
      <w:r>
        <w:rPr>
          <w:i/>
          <w:highlight w:val="white"/>
        </w:rPr>
        <w:t>35</w:t>
      </w:r>
      <w:r>
        <w:rPr>
          <w:highlight w:val="white"/>
        </w:rPr>
        <w:t xml:space="preserve">(12), </w:t>
      </w:r>
      <w:r w:rsidR="00A17067">
        <w:rPr>
          <w:highlight w:val="white"/>
        </w:rPr>
        <w:t xml:space="preserve">pp. </w:t>
      </w:r>
      <w:r>
        <w:rPr>
          <w:highlight w:val="white"/>
        </w:rPr>
        <w:t xml:space="preserve">1302–1324. </w:t>
      </w:r>
      <w:hyperlink r:id="rId33">
        <w:r>
          <w:rPr>
            <w:highlight w:val="white"/>
            <w:u w:val="single"/>
          </w:rPr>
          <w:t>https://doi.org/10.1177/0733464815577141</w:t>
        </w:r>
      </w:hyperlink>
    </w:p>
    <w:p w14:paraId="592A0298" w14:textId="56689EAA" w:rsidR="00A42CE2" w:rsidRDefault="00000000">
      <w:pPr>
        <w:spacing w:after="200" w:line="360" w:lineRule="auto"/>
        <w:rPr>
          <w:highlight w:val="white"/>
        </w:rPr>
      </w:pPr>
      <w:r>
        <w:rPr>
          <w:highlight w:val="white"/>
        </w:rPr>
        <w:t xml:space="preserve">Smith, A. M. A., </w:t>
      </w:r>
      <w:proofErr w:type="spellStart"/>
      <w:r>
        <w:rPr>
          <w:highlight w:val="white"/>
        </w:rPr>
        <w:t>Rissel</w:t>
      </w:r>
      <w:proofErr w:type="spellEnd"/>
      <w:r>
        <w:rPr>
          <w:highlight w:val="white"/>
        </w:rPr>
        <w:t xml:space="preserve">, C. E., </w:t>
      </w:r>
      <w:proofErr w:type="spellStart"/>
      <w:r>
        <w:rPr>
          <w:highlight w:val="white"/>
        </w:rPr>
        <w:t>Richters</w:t>
      </w:r>
      <w:proofErr w:type="spellEnd"/>
      <w:r>
        <w:rPr>
          <w:highlight w:val="white"/>
        </w:rPr>
        <w:t xml:space="preserve">, J., </w:t>
      </w:r>
      <w:proofErr w:type="spellStart"/>
      <w:r>
        <w:rPr>
          <w:highlight w:val="white"/>
        </w:rPr>
        <w:t>Grulich</w:t>
      </w:r>
      <w:proofErr w:type="spellEnd"/>
      <w:r>
        <w:rPr>
          <w:highlight w:val="white"/>
        </w:rPr>
        <w:t>, A. E., &amp; de Visser, R. O. (2003)</w:t>
      </w:r>
      <w:r w:rsidR="00A17067">
        <w:rPr>
          <w:highlight w:val="white"/>
        </w:rPr>
        <w:t xml:space="preserve"> </w:t>
      </w:r>
      <w:r>
        <w:rPr>
          <w:highlight w:val="white"/>
        </w:rPr>
        <w:t xml:space="preserve">‘Sex in Australia: Sexual identity, sexual </w:t>
      </w:r>
      <w:proofErr w:type="gramStart"/>
      <w:r>
        <w:rPr>
          <w:highlight w:val="white"/>
        </w:rPr>
        <w:t>attraction</w:t>
      </w:r>
      <w:proofErr w:type="gramEnd"/>
      <w:r>
        <w:rPr>
          <w:highlight w:val="white"/>
        </w:rPr>
        <w:t xml:space="preserve"> and sexual experience among a representative sample of adults’, </w:t>
      </w:r>
      <w:r>
        <w:rPr>
          <w:i/>
          <w:highlight w:val="white"/>
        </w:rPr>
        <w:t>Australian and New Zealand journal of public health</w:t>
      </w:r>
      <w:r>
        <w:rPr>
          <w:highlight w:val="white"/>
        </w:rPr>
        <w:t>, 27(2), pp. 138–145. Available at: https://doi.org/10.1111/j.1467-842X.2003.tb00801.x.</w:t>
      </w:r>
    </w:p>
    <w:p w14:paraId="3BB2732F" w14:textId="77777777" w:rsidR="00A42CE2" w:rsidRDefault="00000000">
      <w:pPr>
        <w:spacing w:after="200" w:line="360" w:lineRule="auto"/>
        <w:rPr>
          <w:highlight w:val="white"/>
        </w:rPr>
      </w:pPr>
      <w:r>
        <w:rPr>
          <w:highlight w:val="white"/>
        </w:rPr>
        <w:t xml:space="preserve">Southerland, W. (2018) ‘The Rainbow Connection: How Music Classrooms Create Safe Spaces for Sexual-Minority Young People’, </w:t>
      </w:r>
      <w:r>
        <w:rPr>
          <w:i/>
          <w:highlight w:val="white"/>
        </w:rPr>
        <w:t>Music educators journal</w:t>
      </w:r>
      <w:r>
        <w:rPr>
          <w:highlight w:val="white"/>
        </w:rPr>
        <w:t xml:space="preserve">, 104(3), pp. 40–45. </w:t>
      </w:r>
      <w:hyperlink r:id="rId34">
        <w:r>
          <w:rPr>
            <w:highlight w:val="white"/>
            <w:u w:val="single"/>
          </w:rPr>
          <w:t>https://doi.org/10.1177/0027432117743304</w:t>
        </w:r>
      </w:hyperlink>
      <w:r>
        <w:rPr>
          <w:highlight w:val="white"/>
        </w:rPr>
        <w:t>.</w:t>
      </w:r>
    </w:p>
    <w:p w14:paraId="47F9B67A" w14:textId="77777777" w:rsidR="00A42CE2" w:rsidRDefault="00000000">
      <w:pPr>
        <w:spacing w:after="200" w:line="360" w:lineRule="auto"/>
        <w:rPr>
          <w:highlight w:val="white"/>
        </w:rPr>
      </w:pPr>
      <w:r>
        <w:rPr>
          <w:highlight w:val="white"/>
        </w:rPr>
        <w:t xml:space="preserve">Southerland, W. (2020). Factor of Motivation to Participation in LGBTQ-Affinity Choruses. University of North Carolina at Greensboro. </w:t>
      </w:r>
    </w:p>
    <w:p w14:paraId="51DA4F72" w14:textId="7A6E4515" w:rsidR="00A42CE2" w:rsidRDefault="00000000">
      <w:pPr>
        <w:spacing w:after="200" w:line="360" w:lineRule="auto"/>
        <w:rPr>
          <w:highlight w:val="white"/>
        </w:rPr>
      </w:pPr>
      <w:r>
        <w:rPr>
          <w:highlight w:val="white"/>
        </w:rPr>
        <w:t>Southerland, W. (2023)</w:t>
      </w:r>
      <w:r w:rsidR="00A17067">
        <w:rPr>
          <w:highlight w:val="white"/>
        </w:rPr>
        <w:t xml:space="preserve"> ‘</w:t>
      </w:r>
      <w:r>
        <w:rPr>
          <w:highlight w:val="white"/>
        </w:rPr>
        <w:t>Orange Juice, Milk, and the Rise of the Gay and Lesbian Choral Movement in the United States</w:t>
      </w:r>
      <w:r w:rsidR="00A17067">
        <w:rPr>
          <w:highlight w:val="white"/>
        </w:rPr>
        <w:t xml:space="preserve">’, </w:t>
      </w:r>
      <w:r>
        <w:rPr>
          <w:i/>
          <w:highlight w:val="white"/>
        </w:rPr>
        <w:t>Action, Criticism, and Theory for Music Education</w:t>
      </w:r>
      <w:r w:rsidR="00A17067">
        <w:rPr>
          <w:i/>
          <w:highlight w:val="white"/>
        </w:rPr>
        <w:t>,</w:t>
      </w:r>
      <w:r>
        <w:rPr>
          <w:highlight w:val="white"/>
        </w:rPr>
        <w:t xml:space="preserve"> 22(2)</w:t>
      </w:r>
      <w:r w:rsidR="00A17067">
        <w:rPr>
          <w:highlight w:val="white"/>
        </w:rPr>
        <w:t>. p</w:t>
      </w:r>
      <w:r>
        <w:rPr>
          <w:highlight w:val="white"/>
        </w:rPr>
        <w:t>p. 63-93. doi:10.22176/act22.2.63</w:t>
      </w:r>
    </w:p>
    <w:p w14:paraId="3F269C2F" w14:textId="3B8D895D" w:rsidR="00A42CE2" w:rsidRDefault="00000000">
      <w:pPr>
        <w:spacing w:after="200" w:line="360" w:lineRule="auto"/>
        <w:rPr>
          <w:highlight w:val="white"/>
        </w:rPr>
      </w:pPr>
      <w:r>
        <w:rPr>
          <w:highlight w:val="white"/>
        </w:rPr>
        <w:t>Weinstein, D., Launay, J., Pearce, E., Dunbar, R. I. M., &amp; Stewart, L. (2016)</w:t>
      </w:r>
      <w:r w:rsidR="00A17067">
        <w:rPr>
          <w:highlight w:val="white"/>
        </w:rPr>
        <w:t xml:space="preserve"> ‘</w:t>
      </w:r>
      <w:r>
        <w:rPr>
          <w:highlight w:val="white"/>
        </w:rPr>
        <w:t>Singing and social bonding: changes in connectivity and pain threshold as a function of group size</w:t>
      </w:r>
      <w:r w:rsidR="00A17067">
        <w:rPr>
          <w:highlight w:val="white"/>
        </w:rPr>
        <w:t xml:space="preserve">’, </w:t>
      </w:r>
      <w:r>
        <w:rPr>
          <w:i/>
          <w:highlight w:val="white"/>
        </w:rPr>
        <w:t>Evolution and Human Behavior</w:t>
      </w:r>
      <w:r>
        <w:rPr>
          <w:highlight w:val="white"/>
        </w:rPr>
        <w:t xml:space="preserve">, </w:t>
      </w:r>
      <w:r>
        <w:rPr>
          <w:i/>
          <w:highlight w:val="white"/>
        </w:rPr>
        <w:t>37</w:t>
      </w:r>
      <w:r>
        <w:rPr>
          <w:highlight w:val="white"/>
        </w:rPr>
        <w:t xml:space="preserve">(2), </w:t>
      </w:r>
      <w:r w:rsidR="00A17067">
        <w:rPr>
          <w:highlight w:val="white"/>
        </w:rPr>
        <w:t xml:space="preserve">pp. </w:t>
      </w:r>
      <w:r>
        <w:rPr>
          <w:highlight w:val="white"/>
        </w:rPr>
        <w:t>152–158. https://doi.org/10.1016/j.evolhumbehav.2015.10.002</w:t>
      </w:r>
    </w:p>
    <w:p w14:paraId="474293C3" w14:textId="3BCE1487" w:rsidR="00A42CE2" w:rsidRDefault="00000000">
      <w:pPr>
        <w:spacing w:after="200" w:line="360" w:lineRule="auto"/>
        <w:rPr>
          <w:highlight w:val="white"/>
        </w:rPr>
      </w:pPr>
      <w:r>
        <w:rPr>
          <w:highlight w:val="white"/>
        </w:rPr>
        <w:t>Young, L. (2020)</w:t>
      </w:r>
      <w:r w:rsidR="00A17067">
        <w:rPr>
          <w:highlight w:val="white"/>
        </w:rPr>
        <w:t xml:space="preserve"> ‘F</w:t>
      </w:r>
      <w:r>
        <w:rPr>
          <w:highlight w:val="white"/>
        </w:rPr>
        <w:t>inding Our Voices, Singing Our Truths: Examining How Quality of Life Domains Manifested in a Singing Group for Autistic Adults</w:t>
      </w:r>
      <w:r w:rsidR="00A17067">
        <w:rPr>
          <w:highlight w:val="white"/>
        </w:rPr>
        <w:t xml:space="preserve">’, </w:t>
      </w:r>
      <w:proofErr w:type="gramStart"/>
      <w:r>
        <w:rPr>
          <w:i/>
          <w:highlight w:val="white"/>
        </w:rPr>
        <w:t>Voices :</w:t>
      </w:r>
      <w:proofErr w:type="gramEnd"/>
      <w:r>
        <w:rPr>
          <w:i/>
          <w:highlight w:val="white"/>
        </w:rPr>
        <w:t xml:space="preserve"> A World Forum for Music Therapy</w:t>
      </w:r>
      <w:r>
        <w:rPr>
          <w:highlight w:val="white"/>
        </w:rPr>
        <w:t xml:space="preserve">, </w:t>
      </w:r>
      <w:r>
        <w:rPr>
          <w:i/>
          <w:highlight w:val="white"/>
        </w:rPr>
        <w:t>20</w:t>
      </w:r>
      <w:r>
        <w:rPr>
          <w:highlight w:val="white"/>
        </w:rPr>
        <w:t xml:space="preserve">(2). </w:t>
      </w:r>
      <w:hyperlink r:id="rId35">
        <w:r>
          <w:rPr>
            <w:color w:val="1155CC"/>
            <w:highlight w:val="white"/>
            <w:u w:val="single"/>
          </w:rPr>
          <w:t>https://doi.org/10.15845/voices.v20i2.2554</w:t>
        </w:r>
      </w:hyperlink>
    </w:p>
    <w:p w14:paraId="602B6DC3" w14:textId="77777777" w:rsidR="00A42CE2" w:rsidRDefault="00000000">
      <w:pPr>
        <w:spacing w:before="200" w:after="200" w:line="360" w:lineRule="auto"/>
        <w:rPr>
          <w:b/>
          <w:color w:val="1F1F1F"/>
          <w:highlight w:val="white"/>
        </w:rPr>
      </w:pPr>
      <w:proofErr w:type="spellStart"/>
      <w:r>
        <w:t>Zemek</w:t>
      </w:r>
      <w:proofErr w:type="spellEnd"/>
      <w:r>
        <w:t xml:space="preserve">, M. D. (2010) ‘Where’s the Evidence? Finding Support for Separating Middle and Junior High School Choirs by Gender’, </w:t>
      </w:r>
      <w:r>
        <w:rPr>
          <w:i/>
        </w:rPr>
        <w:t>MENC: The National Association for Music Education</w:t>
      </w:r>
      <w:r>
        <w:t>, 29(1), pp. 15-21.</w:t>
      </w:r>
    </w:p>
    <w:sectPr w:rsidR="00A42CE2">
      <w:footerReference w:type="even" r:id="rId36"/>
      <w:footerReference w:type="default" r:id="rId3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3C834" w14:textId="77777777" w:rsidR="009C1AD8" w:rsidRDefault="009C1AD8" w:rsidP="00A17067">
      <w:pPr>
        <w:spacing w:line="240" w:lineRule="auto"/>
      </w:pPr>
      <w:r>
        <w:separator/>
      </w:r>
    </w:p>
  </w:endnote>
  <w:endnote w:type="continuationSeparator" w:id="0">
    <w:p w14:paraId="325B76B6" w14:textId="77777777" w:rsidR="009C1AD8" w:rsidRDefault="009C1AD8" w:rsidP="00A170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78910224"/>
      <w:docPartObj>
        <w:docPartGallery w:val="Page Numbers (Bottom of Page)"/>
        <w:docPartUnique/>
      </w:docPartObj>
    </w:sdtPr>
    <w:sdtContent>
      <w:p w14:paraId="187FBE1B" w14:textId="3DDF27BD" w:rsidR="00A17067" w:rsidRDefault="00A17067" w:rsidP="00392E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CD1A89" w14:textId="77777777" w:rsidR="00A17067" w:rsidRDefault="00A17067" w:rsidP="00A170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127845"/>
      <w:docPartObj>
        <w:docPartGallery w:val="Page Numbers (Bottom of Page)"/>
        <w:docPartUnique/>
      </w:docPartObj>
    </w:sdtPr>
    <w:sdtContent>
      <w:p w14:paraId="7F689600" w14:textId="0E05EFD9" w:rsidR="00A17067" w:rsidRDefault="00A17067" w:rsidP="00392E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9EA68F" w14:textId="77777777" w:rsidR="00A17067" w:rsidRDefault="00A17067" w:rsidP="00A1706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EF796" w14:textId="77777777" w:rsidR="009C1AD8" w:rsidRDefault="009C1AD8" w:rsidP="00A17067">
      <w:pPr>
        <w:spacing w:line="240" w:lineRule="auto"/>
      </w:pPr>
      <w:r>
        <w:separator/>
      </w:r>
    </w:p>
  </w:footnote>
  <w:footnote w:type="continuationSeparator" w:id="0">
    <w:p w14:paraId="037DDE36" w14:textId="77777777" w:rsidR="009C1AD8" w:rsidRDefault="009C1AD8" w:rsidP="00A170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60A1C"/>
    <w:multiLevelType w:val="multilevel"/>
    <w:tmpl w:val="E6C0D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D35321"/>
    <w:multiLevelType w:val="multilevel"/>
    <w:tmpl w:val="9DD80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9F72E1"/>
    <w:multiLevelType w:val="multilevel"/>
    <w:tmpl w:val="F0D02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FAA23B7"/>
    <w:multiLevelType w:val="multilevel"/>
    <w:tmpl w:val="94285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167A9E"/>
    <w:multiLevelType w:val="multilevel"/>
    <w:tmpl w:val="C7BE3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7E63FC"/>
    <w:multiLevelType w:val="multilevel"/>
    <w:tmpl w:val="3294B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D97120"/>
    <w:multiLevelType w:val="multilevel"/>
    <w:tmpl w:val="464C5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CDF259D"/>
    <w:multiLevelType w:val="multilevel"/>
    <w:tmpl w:val="3E826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A1F37A9"/>
    <w:multiLevelType w:val="multilevel"/>
    <w:tmpl w:val="FCCCE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8089815">
    <w:abstractNumId w:val="3"/>
  </w:num>
  <w:num w:numId="2" w16cid:durableId="1861697820">
    <w:abstractNumId w:val="8"/>
  </w:num>
  <w:num w:numId="3" w16cid:durableId="133721664">
    <w:abstractNumId w:val="5"/>
  </w:num>
  <w:num w:numId="4" w16cid:durableId="219250023">
    <w:abstractNumId w:val="0"/>
  </w:num>
  <w:num w:numId="5" w16cid:durableId="617297100">
    <w:abstractNumId w:val="2"/>
  </w:num>
  <w:num w:numId="6" w16cid:durableId="1361055959">
    <w:abstractNumId w:val="1"/>
  </w:num>
  <w:num w:numId="7" w16cid:durableId="1358240484">
    <w:abstractNumId w:val="4"/>
  </w:num>
  <w:num w:numId="8" w16cid:durableId="95491998">
    <w:abstractNumId w:val="7"/>
  </w:num>
  <w:num w:numId="9" w16cid:durableId="20516120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CE2"/>
    <w:rsid w:val="001223F7"/>
    <w:rsid w:val="00204524"/>
    <w:rsid w:val="003D42E9"/>
    <w:rsid w:val="006522F8"/>
    <w:rsid w:val="009C1AD8"/>
    <w:rsid w:val="009E1050"/>
    <w:rsid w:val="00A17067"/>
    <w:rsid w:val="00A17B08"/>
    <w:rsid w:val="00A42CE2"/>
    <w:rsid w:val="00C575A3"/>
    <w:rsid w:val="00EE5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A9215"/>
  <w15:docId w15:val="{70E89A97-EF36-444C-AAC0-7ACAE1B6D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A17067"/>
    <w:rPr>
      <w:color w:val="0000FF" w:themeColor="hyperlink"/>
      <w:u w:val="single"/>
    </w:rPr>
  </w:style>
  <w:style w:type="character" w:styleId="UnresolvedMention">
    <w:name w:val="Unresolved Mention"/>
    <w:basedOn w:val="DefaultParagraphFont"/>
    <w:uiPriority w:val="99"/>
    <w:semiHidden/>
    <w:unhideWhenUsed/>
    <w:rsid w:val="00A17067"/>
    <w:rPr>
      <w:color w:val="605E5C"/>
      <w:shd w:val="clear" w:color="auto" w:fill="E1DFDD"/>
    </w:rPr>
  </w:style>
  <w:style w:type="paragraph" w:styleId="Footer">
    <w:name w:val="footer"/>
    <w:basedOn w:val="Normal"/>
    <w:link w:val="FooterChar"/>
    <w:uiPriority w:val="99"/>
    <w:unhideWhenUsed/>
    <w:rsid w:val="00A17067"/>
    <w:pPr>
      <w:tabs>
        <w:tab w:val="center" w:pos="4680"/>
        <w:tab w:val="right" w:pos="9360"/>
      </w:tabs>
      <w:spacing w:line="240" w:lineRule="auto"/>
    </w:pPr>
  </w:style>
  <w:style w:type="character" w:customStyle="1" w:styleId="FooterChar">
    <w:name w:val="Footer Char"/>
    <w:basedOn w:val="DefaultParagraphFont"/>
    <w:link w:val="Footer"/>
    <w:uiPriority w:val="99"/>
    <w:rsid w:val="00A17067"/>
  </w:style>
  <w:style w:type="character" w:styleId="PageNumber">
    <w:name w:val="page number"/>
    <w:basedOn w:val="DefaultParagraphFont"/>
    <w:uiPriority w:val="99"/>
    <w:semiHidden/>
    <w:unhideWhenUsed/>
    <w:rsid w:val="00A17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pages.gseis.ucla.edu/faculty/bates/berrypicking.html" TargetMode="External"/><Relationship Id="rId18" Type="http://schemas.openxmlformats.org/officeDocument/2006/relationships/hyperlink" Target="https://doi.org/10.1108/20428301111140930" TargetMode="External"/><Relationship Id="rId26" Type="http://schemas.openxmlformats.org/officeDocument/2006/relationships/hyperlink" Target="https://doi.org/10.1177/0308022615599171" TargetMode="External"/><Relationship Id="rId39" Type="http://schemas.openxmlformats.org/officeDocument/2006/relationships/theme" Target="theme/theme1.xml"/><Relationship Id="rId21" Type="http://schemas.openxmlformats.org/officeDocument/2006/relationships/hyperlink" Target="https://doi.org/10.1177/0305735611430081" TargetMode="External"/><Relationship Id="rId34" Type="http://schemas.openxmlformats.org/officeDocument/2006/relationships/hyperlink" Target="https://doi.org/10.1177/0027432117743304" TargetMode="External"/><Relationship Id="rId7" Type="http://schemas.openxmlformats.org/officeDocument/2006/relationships/endnotes" Target="endnotes.xml"/><Relationship Id="rId12" Type="http://schemas.openxmlformats.org/officeDocument/2006/relationships/hyperlink" Target="https://doi.org/10.1177/0305735605053734" TargetMode="External"/><Relationship Id="rId17" Type="http://schemas.openxmlformats.org/officeDocument/2006/relationships/hyperlink" Target="https://doi.org/10.1108/MHSI-11-2016-0034" TargetMode="External"/><Relationship Id="rId25" Type="http://schemas.openxmlformats.org/officeDocument/2006/relationships/hyperlink" Target="https://doi.org/10.1080/00918360801991208" TargetMode="External"/><Relationship Id="rId33" Type="http://schemas.openxmlformats.org/officeDocument/2006/relationships/hyperlink" Target="https://doi.org/10.1177/073346481557714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146642400112100409" TargetMode="External"/><Relationship Id="rId20" Type="http://schemas.openxmlformats.org/officeDocument/2006/relationships/hyperlink" Target="https://doi.org/10.1192/bjp.bp.113.129908" TargetMode="External"/><Relationship Id="rId29" Type="http://schemas.openxmlformats.org/officeDocument/2006/relationships/hyperlink" Target="https://doi.org/10.1016/j.jadohealth.2015.04.0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8098130309478070" TargetMode="External"/><Relationship Id="rId24" Type="http://schemas.openxmlformats.org/officeDocument/2006/relationships/hyperlink" Target="https://doi.org/10.1300/J041v14n03_04" TargetMode="External"/><Relationship Id="rId32" Type="http://schemas.openxmlformats.org/officeDocument/2006/relationships/hyperlink" Target="https://doi.org/10.1186/s12913-017-2630-4"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77/1757913912466946" TargetMode="External"/><Relationship Id="rId23" Type="http://schemas.openxmlformats.org/officeDocument/2006/relationships/hyperlink" Target="https://doi.org/10.1093/heapro/daac112" TargetMode="External"/><Relationship Id="rId28" Type="http://schemas.openxmlformats.org/officeDocument/2006/relationships/hyperlink" Target="https://doi.org/10.1108/17465721211207275" TargetMode="External"/><Relationship Id="rId36" Type="http://schemas.openxmlformats.org/officeDocument/2006/relationships/footer" Target="footer1.xml"/><Relationship Id="rId10" Type="http://schemas.openxmlformats.org/officeDocument/2006/relationships/hyperlink" Target="https://doi.org/10.1177/102986490200600206" TargetMode="External"/><Relationship Id="rId19" Type="http://schemas.openxmlformats.org/officeDocument/2006/relationships/hyperlink" Target="https://doi.org/10.1177/1757913920925834" TargetMode="External"/><Relationship Id="rId31" Type="http://schemas.openxmlformats.org/officeDocument/2006/relationships/hyperlink" Target="https://doi.org/10.1080/10476210.2018.1512092" TargetMode="External"/><Relationship Id="rId4" Type="http://schemas.openxmlformats.org/officeDocument/2006/relationships/settings" Target="settings.xml"/><Relationship Id="rId9" Type="http://schemas.openxmlformats.org/officeDocument/2006/relationships/hyperlink" Target="https://annacrusis.org/annas-evolution/" TargetMode="External"/><Relationship Id="rId14" Type="http://schemas.openxmlformats.org/officeDocument/2006/relationships/hyperlink" Target="https://doi.org/10.1093/heapro/day122" TargetMode="External"/><Relationship Id="rId22" Type="http://schemas.openxmlformats.org/officeDocument/2006/relationships/hyperlink" Target="https://doi.org/10.1080/19359705.2017.1320755" TargetMode="External"/><Relationship Id="rId27" Type="http://schemas.openxmlformats.org/officeDocument/2006/relationships/hyperlink" Target="https://doi.org/10.1002/anzf.1151" TargetMode="External"/><Relationship Id="rId30" Type="http://schemas.openxmlformats.org/officeDocument/2006/relationships/hyperlink" Target="https://doi.org/10.1177/0305735616667543" TargetMode="External"/><Relationship Id="rId35" Type="http://schemas.openxmlformats.org/officeDocument/2006/relationships/hyperlink" Target="https://doi.org/10.15845/voices.v20i2.2554" TargetMode="External"/><Relationship Id="rId8" Type="http://schemas.openxmlformats.org/officeDocument/2006/relationships/hyperlink" Target="https://doi.org/10.1016/j.gerinurse.2020.07.011"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1F622-ACBB-354D-8AA6-D56DAFAFD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9951</Words>
  <Characters>56721</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Wright, Zachary</cp:lastModifiedBy>
  <cp:revision>3</cp:revision>
  <dcterms:created xsi:type="dcterms:W3CDTF">2023-11-20T13:55:00Z</dcterms:created>
  <dcterms:modified xsi:type="dcterms:W3CDTF">2023-11-20T14:00:00Z</dcterms:modified>
</cp:coreProperties>
</file>