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417F87CA" w14:textId="77777777" w:rsidR="006F40C0" w:rsidRDefault="006F40C0" w:rsidP="006F40C0">
      <w:pPr>
        <w:jc w:val="center"/>
        <w:rPr>
          <w:rFonts w:ascii="Aptos" w:hAnsi="Aptos"/>
          <w:b/>
          <w:bCs/>
          <w:sz w:val="36"/>
          <w:szCs w:val="36"/>
        </w:rPr>
      </w:pPr>
    </w:p>
    <w:p w14:paraId="2D36DD9B" w14:textId="3CF18BF0" w:rsidR="006F40C0" w:rsidRDefault="00276E57" w:rsidP="006F40C0">
      <w:pPr>
        <w:jc w:val="center"/>
        <w:rPr>
          <w:rFonts w:ascii="Aptos" w:hAnsi="Aptos"/>
          <w:b/>
          <w:bCs/>
          <w:sz w:val="36"/>
          <w:szCs w:val="36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490CF4A4" wp14:editId="6EF0FCC0">
            <wp:simplePos x="0" y="0"/>
            <wp:positionH relativeFrom="page">
              <wp:posOffset>1759527</wp:posOffset>
            </wp:positionH>
            <wp:positionV relativeFrom="paragraph">
              <wp:posOffset>250825</wp:posOffset>
            </wp:positionV>
            <wp:extent cx="4152900" cy="1328420"/>
            <wp:effectExtent l="0" t="0" r="0" b="0"/>
            <wp:wrapTight wrapText="bothSides">
              <wp:wrapPolygon edited="0">
                <wp:start x="892" y="3407"/>
                <wp:lineTo x="892" y="8983"/>
                <wp:lineTo x="1288" y="13939"/>
                <wp:lineTo x="2378" y="17346"/>
                <wp:lineTo x="2477" y="17966"/>
                <wp:lineTo x="7332" y="17966"/>
                <wp:lineTo x="12881" y="17346"/>
                <wp:lineTo x="12980" y="13939"/>
                <wp:lineTo x="17141" y="13629"/>
                <wp:lineTo x="17339" y="9602"/>
                <wp:lineTo x="21204" y="8983"/>
                <wp:lineTo x="21402" y="5266"/>
                <wp:lineTo x="19321" y="3407"/>
                <wp:lineTo x="892" y="3407"/>
              </wp:wrapPolygon>
            </wp:wrapTight>
            <wp:docPr id="3" name="Picture 1" descr="SCVO | Sandwell Council of Voluntary Organisation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SCVO | Sandwell Council of Voluntary Organisations."/>
                    <pic:cNvPicPr>
                      <a:picLocks noChangeAspect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3643"/>
                    <a:stretch/>
                  </pic:blipFill>
                  <pic:spPr bwMode="auto">
                    <a:xfrm>
                      <a:off x="0" y="0"/>
                      <a:ext cx="4152900" cy="1328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329C77EE" w14:textId="66B15AB4" w:rsidR="006F40C0" w:rsidRDefault="006F40C0" w:rsidP="006F40C0">
      <w:pPr>
        <w:jc w:val="center"/>
        <w:rPr>
          <w:rFonts w:ascii="Aptos" w:hAnsi="Aptos"/>
          <w:b/>
          <w:bCs/>
          <w:sz w:val="36"/>
          <w:szCs w:val="36"/>
        </w:rPr>
      </w:pPr>
    </w:p>
    <w:p w14:paraId="397D7937" w14:textId="77777777" w:rsidR="006F40C0" w:rsidRDefault="006F40C0" w:rsidP="006F40C0">
      <w:pPr>
        <w:jc w:val="center"/>
        <w:rPr>
          <w:rFonts w:ascii="Aptos" w:hAnsi="Aptos"/>
          <w:b/>
          <w:bCs/>
          <w:sz w:val="36"/>
          <w:szCs w:val="36"/>
        </w:rPr>
      </w:pPr>
    </w:p>
    <w:p w14:paraId="1D16489F" w14:textId="77777777" w:rsidR="006F40C0" w:rsidRDefault="006F40C0" w:rsidP="006F40C0">
      <w:pPr>
        <w:jc w:val="center"/>
        <w:rPr>
          <w:rFonts w:ascii="Aptos" w:hAnsi="Aptos"/>
          <w:b/>
          <w:bCs/>
          <w:sz w:val="36"/>
          <w:szCs w:val="36"/>
        </w:rPr>
      </w:pPr>
    </w:p>
    <w:p w14:paraId="6983955C" w14:textId="77777777" w:rsidR="006F40C0" w:rsidRDefault="006F40C0" w:rsidP="006F40C0">
      <w:pPr>
        <w:jc w:val="center"/>
        <w:rPr>
          <w:rFonts w:ascii="Aptos" w:hAnsi="Aptos"/>
          <w:b/>
          <w:bCs/>
          <w:sz w:val="36"/>
          <w:szCs w:val="36"/>
        </w:rPr>
      </w:pPr>
    </w:p>
    <w:p w14:paraId="11A0007F" w14:textId="77777777" w:rsidR="006F40C0" w:rsidRDefault="006F40C0" w:rsidP="006F40C0">
      <w:pPr>
        <w:jc w:val="center"/>
        <w:rPr>
          <w:rFonts w:ascii="Aptos" w:hAnsi="Aptos"/>
          <w:b/>
          <w:bCs/>
          <w:sz w:val="36"/>
          <w:szCs w:val="36"/>
        </w:rPr>
      </w:pPr>
    </w:p>
    <w:p w14:paraId="229D013E" w14:textId="77777777" w:rsidR="006F40C0" w:rsidRDefault="006F40C0" w:rsidP="006F40C0">
      <w:pPr>
        <w:jc w:val="center"/>
        <w:rPr>
          <w:rFonts w:ascii="Aptos" w:hAnsi="Aptos"/>
          <w:b/>
          <w:bCs/>
          <w:sz w:val="36"/>
          <w:szCs w:val="36"/>
        </w:rPr>
      </w:pPr>
    </w:p>
    <w:p w14:paraId="0F4D37CF" w14:textId="77777777" w:rsidR="006F40C0" w:rsidRDefault="006F40C0" w:rsidP="006F40C0">
      <w:pPr>
        <w:jc w:val="center"/>
        <w:rPr>
          <w:rFonts w:ascii="Aptos" w:hAnsi="Aptos"/>
          <w:b/>
          <w:bCs/>
          <w:sz w:val="36"/>
          <w:szCs w:val="36"/>
        </w:rPr>
      </w:pPr>
    </w:p>
    <w:p w14:paraId="05D302AE" w14:textId="77777777" w:rsidR="006F40C0" w:rsidRDefault="006F40C0" w:rsidP="006F40C0">
      <w:pPr>
        <w:jc w:val="center"/>
        <w:rPr>
          <w:rFonts w:ascii="Aptos" w:hAnsi="Aptos"/>
          <w:b/>
          <w:bCs/>
          <w:sz w:val="36"/>
          <w:szCs w:val="36"/>
        </w:rPr>
      </w:pPr>
    </w:p>
    <w:p w14:paraId="7A87DF6D" w14:textId="2062B553" w:rsidR="006F40C0" w:rsidRDefault="006F40C0" w:rsidP="006F40C0">
      <w:pPr>
        <w:jc w:val="center"/>
        <w:rPr>
          <w:rFonts w:ascii="Aptos" w:hAnsi="Aptos"/>
          <w:b/>
          <w:bCs/>
          <w:sz w:val="36"/>
          <w:szCs w:val="36"/>
        </w:rPr>
      </w:pPr>
      <w:r w:rsidRPr="00C31D85">
        <w:rPr>
          <w:rFonts w:ascii="Aptos" w:hAnsi="Aptos"/>
          <w:b/>
          <w:bCs/>
          <w:sz w:val="36"/>
          <w:szCs w:val="36"/>
        </w:rPr>
        <w:t xml:space="preserve">Methods and Search Strategy Academic Poster </w:t>
      </w:r>
    </w:p>
    <w:p w14:paraId="49934060" w14:textId="77777777" w:rsidR="006F40C0" w:rsidRDefault="006F40C0" w:rsidP="006F40C0">
      <w:pPr>
        <w:jc w:val="center"/>
        <w:rPr>
          <w:rFonts w:ascii="Aptos" w:hAnsi="Aptos"/>
          <w:b/>
          <w:bCs/>
          <w:sz w:val="36"/>
          <w:szCs w:val="36"/>
        </w:rPr>
      </w:pPr>
    </w:p>
    <w:p w14:paraId="31196C62" w14:textId="77777777" w:rsidR="006F40C0" w:rsidRDefault="006F40C0" w:rsidP="006F40C0">
      <w:pPr>
        <w:jc w:val="center"/>
        <w:rPr>
          <w:rFonts w:ascii="Aptos" w:hAnsi="Aptos"/>
          <w:b/>
          <w:bCs/>
          <w:sz w:val="36"/>
          <w:szCs w:val="36"/>
        </w:rPr>
      </w:pPr>
    </w:p>
    <w:p w14:paraId="375FA659" w14:textId="77777777" w:rsidR="006F40C0" w:rsidRDefault="006F40C0" w:rsidP="006F40C0">
      <w:pPr>
        <w:jc w:val="center"/>
        <w:rPr>
          <w:rFonts w:ascii="Aptos" w:hAnsi="Aptos"/>
          <w:b/>
          <w:bCs/>
          <w:sz w:val="36"/>
          <w:szCs w:val="36"/>
        </w:rPr>
      </w:pPr>
    </w:p>
    <w:p w14:paraId="6B7D6764" w14:textId="4025A3B1" w:rsidR="006F40C0" w:rsidRDefault="006F40C0" w:rsidP="006F40C0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36"/>
          <w:szCs w:val="36"/>
          <w:lang w:val="nl-NL"/>
        </w:rPr>
      </w:pPr>
      <w:r w:rsidRPr="0067255D">
        <w:rPr>
          <w:rFonts w:ascii="Aptos" w:hAnsi="Aptos" w:cs="Arial"/>
          <w:b/>
          <w:bCs/>
          <w:sz w:val="36"/>
          <w:szCs w:val="36"/>
          <w:lang w:val="nl-NL"/>
        </w:rPr>
        <w:t>Student name</w:t>
      </w:r>
      <w:r w:rsidRPr="0067255D">
        <w:rPr>
          <w:rFonts w:ascii="Aptos" w:hAnsi="Aptos" w:cs="Arial"/>
          <w:sz w:val="36"/>
          <w:szCs w:val="36"/>
          <w:lang w:val="nl-NL"/>
        </w:rPr>
        <w:t>:</w:t>
      </w:r>
      <w:r w:rsidR="00276E57" w:rsidRPr="0067255D">
        <w:rPr>
          <w:rFonts w:ascii="Aptos" w:hAnsi="Aptos" w:cs="Arial"/>
          <w:sz w:val="36"/>
          <w:szCs w:val="36"/>
          <w:lang w:val="nl-NL"/>
        </w:rPr>
        <w:t xml:space="preserve"> </w:t>
      </w:r>
      <w:proofErr w:type="spellStart"/>
      <w:r w:rsidR="00276E57" w:rsidRPr="0067255D">
        <w:rPr>
          <w:rFonts w:ascii="Aptos" w:hAnsi="Aptos" w:cs="Arial"/>
          <w:sz w:val="36"/>
          <w:szCs w:val="36"/>
          <w:lang w:val="nl-NL"/>
        </w:rPr>
        <w:t>sameena</w:t>
      </w:r>
      <w:proofErr w:type="spellEnd"/>
      <w:r w:rsidR="00276E57" w:rsidRPr="0067255D">
        <w:rPr>
          <w:rFonts w:ascii="Aptos" w:hAnsi="Aptos" w:cs="Arial"/>
          <w:sz w:val="36"/>
          <w:szCs w:val="36"/>
          <w:lang w:val="nl-NL"/>
        </w:rPr>
        <w:t xml:space="preserve"> </w:t>
      </w:r>
      <w:proofErr w:type="spellStart"/>
      <w:r w:rsidR="00276E57" w:rsidRPr="0067255D">
        <w:rPr>
          <w:rFonts w:ascii="Aptos" w:hAnsi="Aptos" w:cs="Arial"/>
          <w:sz w:val="36"/>
          <w:szCs w:val="36"/>
          <w:lang w:val="nl-NL"/>
        </w:rPr>
        <w:t>shahban</w:t>
      </w:r>
      <w:proofErr w:type="spellEnd"/>
      <w:r w:rsidR="00276E57" w:rsidRPr="0067255D">
        <w:rPr>
          <w:rFonts w:ascii="Aptos" w:hAnsi="Aptos" w:cs="Arial"/>
          <w:sz w:val="36"/>
          <w:szCs w:val="36"/>
          <w:lang w:val="nl-NL"/>
        </w:rPr>
        <w:t xml:space="preserve"> </w:t>
      </w:r>
    </w:p>
    <w:p w14:paraId="06C58B78" w14:textId="77777777" w:rsidR="00A44586" w:rsidRPr="0067255D" w:rsidRDefault="00A44586" w:rsidP="006F40C0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36"/>
          <w:szCs w:val="36"/>
          <w:lang w:val="nl-NL"/>
        </w:rPr>
      </w:pPr>
    </w:p>
    <w:p w14:paraId="44F456F9" w14:textId="041EE296" w:rsidR="006F40C0" w:rsidRPr="0067255D" w:rsidRDefault="006F40C0" w:rsidP="006F40C0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36"/>
          <w:szCs w:val="36"/>
          <w:lang w:val="nl-NL"/>
        </w:rPr>
      </w:pPr>
      <w:r w:rsidRPr="0067255D">
        <w:rPr>
          <w:rFonts w:ascii="Aptos" w:hAnsi="Aptos" w:cs="Arial"/>
          <w:b/>
          <w:bCs/>
          <w:sz w:val="36"/>
          <w:szCs w:val="36"/>
          <w:lang w:val="nl-NL"/>
        </w:rPr>
        <w:t>Student ID</w:t>
      </w:r>
      <w:r w:rsidRPr="0067255D">
        <w:rPr>
          <w:rFonts w:ascii="Aptos" w:hAnsi="Aptos" w:cs="Arial"/>
          <w:sz w:val="36"/>
          <w:szCs w:val="36"/>
          <w:lang w:val="nl-NL"/>
        </w:rPr>
        <w:t>:</w:t>
      </w:r>
      <w:r w:rsidR="0067255D">
        <w:rPr>
          <w:rFonts w:ascii="Aptos" w:hAnsi="Aptos" w:cs="Arial"/>
          <w:sz w:val="36"/>
          <w:szCs w:val="36"/>
          <w:lang w:val="nl-NL"/>
        </w:rPr>
        <w:t xml:space="preserve"> </w:t>
      </w:r>
      <w:r w:rsidR="00276E57" w:rsidRPr="0067255D">
        <w:rPr>
          <w:rFonts w:ascii="Aptos" w:hAnsi="Aptos" w:cs="Arial"/>
          <w:sz w:val="36"/>
          <w:szCs w:val="36"/>
          <w:lang w:val="nl-NL"/>
        </w:rPr>
        <w:t>2325941</w:t>
      </w:r>
    </w:p>
    <w:p w14:paraId="6CB95AA8" w14:textId="77777777" w:rsidR="006F40C0" w:rsidRPr="0067255D" w:rsidRDefault="006F40C0" w:rsidP="006F40C0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36"/>
          <w:szCs w:val="36"/>
          <w:lang w:val="nl-NL"/>
        </w:rPr>
      </w:pPr>
    </w:p>
    <w:p w14:paraId="1DD7D4D2" w14:textId="7DD4B02E" w:rsidR="006F40C0" w:rsidRPr="0067255D" w:rsidRDefault="006F40C0" w:rsidP="006F40C0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36"/>
          <w:szCs w:val="36"/>
          <w:lang w:val="nl-NL"/>
        </w:rPr>
      </w:pPr>
      <w:r w:rsidRPr="0067255D">
        <w:rPr>
          <w:rFonts w:ascii="Aptos" w:hAnsi="Aptos" w:cs="Arial"/>
          <w:b/>
          <w:bCs/>
          <w:sz w:val="36"/>
          <w:szCs w:val="36"/>
          <w:lang w:val="nl-NL"/>
        </w:rPr>
        <w:t>Module name</w:t>
      </w:r>
      <w:r w:rsidRPr="0067255D">
        <w:rPr>
          <w:rFonts w:ascii="Aptos" w:hAnsi="Aptos" w:cs="Arial"/>
          <w:sz w:val="36"/>
          <w:szCs w:val="36"/>
          <w:lang w:val="nl-NL"/>
        </w:rPr>
        <w:t xml:space="preserve">: </w:t>
      </w:r>
      <w:r w:rsidR="0067255D">
        <w:rPr>
          <w:rFonts w:ascii="Aptos" w:hAnsi="Aptos" w:cs="Arial"/>
          <w:sz w:val="36"/>
          <w:szCs w:val="36"/>
          <w:lang w:val="nl-NL"/>
        </w:rPr>
        <w:t xml:space="preserve">BSc </w:t>
      </w:r>
      <w:r w:rsidR="00CB39CC">
        <w:rPr>
          <w:rFonts w:ascii="Aptos" w:hAnsi="Aptos" w:cs="Arial"/>
          <w:sz w:val="36"/>
          <w:szCs w:val="36"/>
          <w:lang w:val="nl-NL"/>
        </w:rPr>
        <w:t xml:space="preserve">health </w:t>
      </w:r>
      <w:proofErr w:type="spellStart"/>
      <w:r w:rsidR="00CB39CC">
        <w:rPr>
          <w:rFonts w:ascii="Aptos" w:hAnsi="Aptos" w:cs="Arial"/>
          <w:sz w:val="36"/>
          <w:szCs w:val="36"/>
          <w:lang w:val="nl-NL"/>
        </w:rPr>
        <w:t>and</w:t>
      </w:r>
      <w:proofErr w:type="spellEnd"/>
      <w:r w:rsidR="00CB39CC">
        <w:rPr>
          <w:rFonts w:ascii="Aptos" w:hAnsi="Aptos" w:cs="Arial"/>
          <w:sz w:val="36"/>
          <w:szCs w:val="36"/>
          <w:lang w:val="nl-NL"/>
        </w:rPr>
        <w:t xml:space="preserve"> </w:t>
      </w:r>
      <w:proofErr w:type="spellStart"/>
      <w:r w:rsidR="00CB39CC">
        <w:rPr>
          <w:rFonts w:ascii="Aptos" w:hAnsi="Aptos" w:cs="Arial"/>
          <w:sz w:val="36"/>
          <w:szCs w:val="36"/>
          <w:lang w:val="nl-NL"/>
        </w:rPr>
        <w:t>soci</w:t>
      </w:r>
      <w:r w:rsidR="00A44586">
        <w:rPr>
          <w:rFonts w:ascii="Aptos" w:hAnsi="Aptos" w:cs="Arial"/>
          <w:sz w:val="36"/>
          <w:szCs w:val="36"/>
          <w:lang w:val="nl-NL"/>
        </w:rPr>
        <w:t>a</w:t>
      </w:r>
      <w:r w:rsidR="00CB39CC">
        <w:rPr>
          <w:rFonts w:ascii="Aptos" w:hAnsi="Aptos" w:cs="Arial"/>
          <w:sz w:val="36"/>
          <w:szCs w:val="36"/>
          <w:lang w:val="nl-NL"/>
        </w:rPr>
        <w:t>l</w:t>
      </w:r>
      <w:proofErr w:type="spellEnd"/>
      <w:r w:rsidR="00CB39CC">
        <w:rPr>
          <w:rFonts w:ascii="Aptos" w:hAnsi="Aptos" w:cs="Arial"/>
          <w:sz w:val="36"/>
          <w:szCs w:val="36"/>
          <w:lang w:val="nl-NL"/>
        </w:rPr>
        <w:t xml:space="preserve"> care independent project </w:t>
      </w:r>
    </w:p>
    <w:p w14:paraId="60C4DD3D" w14:textId="77777777" w:rsidR="006F40C0" w:rsidRPr="0067255D" w:rsidRDefault="006F40C0">
      <w:pPr>
        <w:rPr>
          <w:sz w:val="36"/>
          <w:szCs w:val="36"/>
        </w:rPr>
      </w:pPr>
      <w:r w:rsidRPr="0067255D">
        <w:rPr>
          <w:sz w:val="36"/>
          <w:szCs w:val="36"/>
        </w:rPr>
        <w:br w:type="page"/>
      </w:r>
    </w:p>
    <w:tbl>
      <w:tblPr>
        <w:tblW w:w="10466" w:type="dxa"/>
        <w:tblBorders>
          <w:top w:val="none" w:sz="0" w:space="0" w:color="FFFFFF"/>
          <w:left w:val="none" w:sz="0" w:space="0" w:color="FFFFFF"/>
          <w:bottom w:val="none" w:sz="0" w:space="0" w:color="FFFFFF"/>
          <w:right w:val="none" w:sz="0" w:space="0" w:color="FFFFFF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10466"/>
      </w:tblGrid>
      <w:tr w:rsidR="00E254E2" w14:paraId="6D7E0958" w14:textId="77777777">
        <w:trPr>
          <w:cantSplit/>
        </w:trPr>
        <w:tc>
          <w:tcPr>
            <w:tcW w:w="10466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1F3A5F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567BFBF7" w14:textId="0E6F5963" w:rsidR="00E254E2" w:rsidRDefault="00A51FDE">
            <w:pPr>
              <w:spacing w:before="120" w:after="120"/>
              <w:jc w:val="center"/>
            </w:pPr>
            <w:r>
              <w:rPr>
                <w:rFonts w:ascii="Arial" w:eastAsia="Arial" w:hAnsi="Arial" w:cs="Arial"/>
                <w:b/>
                <w:bCs/>
                <w:color w:val="FFFFFF"/>
                <w:sz w:val="40"/>
                <w:szCs w:val="40"/>
              </w:rPr>
              <w:lastRenderedPageBreak/>
              <w:t xml:space="preserve">To what extent does </w:t>
            </w:r>
            <w:proofErr w:type="gramStart"/>
            <w:r>
              <w:rPr>
                <w:rFonts w:ascii="Arial" w:eastAsia="Arial" w:hAnsi="Arial" w:cs="Arial"/>
                <w:b/>
                <w:bCs/>
                <w:color w:val="FFFFFF"/>
                <w:sz w:val="40"/>
                <w:szCs w:val="40"/>
              </w:rPr>
              <w:t>delayed</w:t>
            </w:r>
            <w:proofErr w:type="gramEnd"/>
            <w:r>
              <w:rPr>
                <w:rFonts w:ascii="Arial" w:eastAsia="Arial" w:hAnsi="Arial" w:cs="Arial"/>
                <w:b/>
                <w:bCs/>
                <w:color w:val="FFFFFF"/>
                <w:sz w:val="40"/>
                <w:szCs w:val="40"/>
              </w:rPr>
              <w:t xml:space="preserve"> autism diagnosis affect the wellbeing and development of children and their families in the UK?</w:t>
            </w:r>
          </w:p>
        </w:tc>
      </w:tr>
    </w:tbl>
    <w:p w14:paraId="17397446" w14:textId="77777777" w:rsidR="00E254E2" w:rsidRDefault="00E254E2">
      <w:pPr>
        <w:spacing w:line="120" w:lineRule="auto"/>
      </w:pPr>
    </w:p>
    <w:tbl>
      <w:tblPr>
        <w:tblW w:w="10466" w:type="dxa"/>
        <w:tblBorders>
          <w:top w:val="none" w:sz="0" w:space="0" w:color="FFFFFF"/>
          <w:left w:val="none" w:sz="0" w:space="0" w:color="FFFFFF"/>
          <w:bottom w:val="none" w:sz="0" w:space="0" w:color="FFFFFF"/>
          <w:right w:val="none" w:sz="0" w:space="0" w:color="FFFFFF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5173"/>
        <w:gridCol w:w="120"/>
        <w:gridCol w:w="5173"/>
      </w:tblGrid>
      <w:tr w:rsidR="00E254E2" w14:paraId="43A3E365" w14:textId="77777777">
        <w:trPr>
          <w:cantSplit/>
        </w:trPr>
        <w:tc>
          <w:tcPr>
            <w:tcW w:w="5173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1B7F9E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122E6C49" w14:textId="77777777" w:rsidR="00E254E2" w:rsidRDefault="00A51FDE">
            <w:pPr>
              <w:spacing w:before="40" w:after="40"/>
            </w:pPr>
            <w:proofErr w:type="gramStart"/>
            <w:r>
              <w:rPr>
                <w:rFonts w:ascii="Arial" w:eastAsia="Arial" w:hAnsi="Arial" w:cs="Arial"/>
                <w:b/>
                <w:bCs/>
                <w:color w:val="FFFFFF"/>
                <w:sz w:val="28"/>
                <w:szCs w:val="28"/>
              </w:rPr>
              <w:t>01  Introduction</w:t>
            </w:r>
            <w:proofErr w:type="gramEnd"/>
            <w:r>
              <w:rPr>
                <w:rFonts w:ascii="Arial" w:eastAsia="Arial" w:hAnsi="Arial" w:cs="Arial"/>
                <w:b/>
                <w:bCs/>
                <w:color w:val="FFFFFF"/>
                <w:sz w:val="28"/>
                <w:szCs w:val="28"/>
              </w:rPr>
              <w:t xml:space="preserve"> and Research Aim</w:t>
            </w:r>
          </w:p>
        </w:tc>
        <w:tc>
          <w:tcPr>
            <w:tcW w:w="12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</w:tcPr>
          <w:p w14:paraId="19FCF19B" w14:textId="77777777" w:rsidR="00E254E2" w:rsidRDefault="00E254E2"/>
        </w:tc>
        <w:tc>
          <w:tcPr>
            <w:tcW w:w="5173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E07B24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17CD8CEB" w14:textId="77777777" w:rsidR="00E254E2" w:rsidRDefault="00A51FDE">
            <w:pPr>
              <w:spacing w:before="40" w:after="40"/>
            </w:pPr>
            <w:proofErr w:type="gramStart"/>
            <w:r>
              <w:rPr>
                <w:rFonts w:ascii="Arial" w:eastAsia="Arial" w:hAnsi="Arial" w:cs="Arial"/>
                <w:b/>
                <w:bCs/>
                <w:color w:val="FFFFFF"/>
                <w:sz w:val="28"/>
                <w:szCs w:val="28"/>
              </w:rPr>
              <w:t>02  Search</w:t>
            </w:r>
            <w:proofErr w:type="gramEnd"/>
            <w:r>
              <w:rPr>
                <w:rFonts w:ascii="Arial" w:eastAsia="Arial" w:hAnsi="Arial" w:cs="Arial"/>
                <w:b/>
                <w:bCs/>
                <w:color w:val="FFFFFF"/>
                <w:sz w:val="28"/>
                <w:szCs w:val="28"/>
              </w:rPr>
              <w:t xml:space="preserve"> Strategy</w:t>
            </w:r>
          </w:p>
        </w:tc>
      </w:tr>
      <w:tr w:rsidR="00E254E2" w14:paraId="6814EF93" w14:textId="77777777">
        <w:trPr>
          <w:cantSplit/>
          <w:trHeight w:val="3300"/>
        </w:trPr>
        <w:tc>
          <w:tcPr>
            <w:tcW w:w="5173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DDF0F6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0157733C" w14:textId="77777777" w:rsidR="00E254E2" w:rsidRDefault="00A51FDE">
            <w:pPr>
              <w:spacing w:after="70" w:line="250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>This dissertation uses a literature review to examine evidence on delayed autism diagnosis in the UK. Academic research, clinical guidance and policy sources were searched, evaluated and analysed.</w:t>
            </w:r>
          </w:p>
          <w:p w14:paraId="12EC7A99" w14:textId="77777777" w:rsidR="00E254E2" w:rsidRDefault="00A51FDE">
            <w:pPr>
              <w:spacing w:after="70" w:line="250" w:lineRule="auto"/>
            </w:pP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Aim: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 To investigate the extent to which delayed autism diagnosis affects the wellbeing and development of children and their families in the UK (Aveyard, 2023).</w:t>
            </w:r>
          </w:p>
        </w:tc>
        <w:tc>
          <w:tcPr>
            <w:tcW w:w="12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</w:tcPr>
          <w:p w14:paraId="15280319" w14:textId="77777777" w:rsidR="00E254E2" w:rsidRDefault="00E254E2"/>
        </w:tc>
        <w:tc>
          <w:tcPr>
            <w:tcW w:w="5173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FCE9D6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3B0B87F3" w14:textId="77777777" w:rsidR="00E254E2" w:rsidRDefault="00A51FDE">
            <w:pPr>
              <w:spacing w:after="70" w:line="250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 xml:space="preserve">A structured strategy was developed from the research question. Terms included </w:t>
            </w: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autism diagnosis, delayed autism diagnosis, autism assessment, diagnostic delay, waiting times, wellbeing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 and </w:t>
            </w: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family support</w:t>
            </w:r>
            <w:r>
              <w:rPr>
                <w:rFonts w:ascii="Arial" w:eastAsia="Arial" w:hAnsi="Arial" w:cs="Arial"/>
                <w:sz w:val="24"/>
                <w:szCs w:val="24"/>
              </w:rPr>
              <w:t>.</w:t>
            </w:r>
          </w:p>
          <w:p w14:paraId="446B3767" w14:textId="77777777" w:rsidR="00E254E2" w:rsidRDefault="00A51FDE">
            <w:pPr>
              <w:spacing w:after="30" w:line="250" w:lineRule="auto"/>
            </w:pP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Boolean operators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 combined terms:</w:t>
            </w:r>
          </w:p>
          <w:p w14:paraId="60393C8A" w14:textId="77777777" w:rsidR="00E254E2" w:rsidRDefault="00A51FDE">
            <w:pPr>
              <w:pStyle w:val="ListParagraph"/>
              <w:numPr>
                <w:ilvl w:val="0"/>
                <w:numId w:val="2"/>
              </w:numPr>
              <w:spacing w:after="40" w:line="245" w:lineRule="auto"/>
            </w:pP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AND: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 linked key concepts</w:t>
            </w:r>
          </w:p>
          <w:p w14:paraId="0ED456F9" w14:textId="77777777" w:rsidR="00E254E2" w:rsidRDefault="00A51FDE">
            <w:pPr>
              <w:pStyle w:val="ListParagraph"/>
              <w:numPr>
                <w:ilvl w:val="0"/>
                <w:numId w:val="2"/>
              </w:numPr>
              <w:spacing w:after="40" w:line="245" w:lineRule="auto"/>
            </w:pP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OR: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 combined alternative terms</w:t>
            </w:r>
          </w:p>
          <w:p w14:paraId="031943F6" w14:textId="77777777" w:rsidR="00E254E2" w:rsidRDefault="00A51FDE">
            <w:pPr>
              <w:pStyle w:val="ListParagraph"/>
              <w:numPr>
                <w:ilvl w:val="0"/>
                <w:numId w:val="2"/>
              </w:numPr>
              <w:spacing w:after="40" w:line="245" w:lineRule="auto"/>
            </w:pP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NOT: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 excluded unrelated results</w:t>
            </w:r>
          </w:p>
          <w:p w14:paraId="7B50DC00" w14:textId="77777777" w:rsidR="00E254E2" w:rsidRDefault="00A51FDE">
            <w:pPr>
              <w:spacing w:after="70" w:line="250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 xml:space="preserve">Example: </w:t>
            </w: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autism AND delayed diagnosis AND children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 (Aveyard, 2023; Bramer et al., 2018).</w:t>
            </w:r>
          </w:p>
        </w:tc>
      </w:tr>
    </w:tbl>
    <w:p w14:paraId="0637C9AD" w14:textId="77777777" w:rsidR="00E254E2" w:rsidRDefault="00E254E2">
      <w:pPr>
        <w:spacing w:line="120" w:lineRule="auto"/>
      </w:pPr>
    </w:p>
    <w:tbl>
      <w:tblPr>
        <w:tblW w:w="10466" w:type="dxa"/>
        <w:tblBorders>
          <w:top w:val="none" w:sz="0" w:space="0" w:color="FFFFFF"/>
          <w:left w:val="none" w:sz="0" w:space="0" w:color="FFFFFF"/>
          <w:bottom w:val="none" w:sz="0" w:space="0" w:color="FFFFFF"/>
          <w:right w:val="none" w:sz="0" w:space="0" w:color="FFFFFF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3791"/>
        <w:gridCol w:w="115"/>
        <w:gridCol w:w="6560"/>
      </w:tblGrid>
      <w:tr w:rsidR="00E254E2" w14:paraId="7BC402D8" w14:textId="77777777">
        <w:trPr>
          <w:cantSplit/>
        </w:trPr>
        <w:tc>
          <w:tcPr>
            <w:tcW w:w="390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7B4FA0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25409B36" w14:textId="77777777" w:rsidR="00E254E2" w:rsidRDefault="00A51FDE">
            <w:pPr>
              <w:spacing w:before="40" w:after="40"/>
            </w:pPr>
            <w:proofErr w:type="gramStart"/>
            <w:r>
              <w:rPr>
                <w:rFonts w:ascii="Arial" w:eastAsia="Arial" w:hAnsi="Arial" w:cs="Arial"/>
                <w:b/>
                <w:bCs/>
                <w:color w:val="FFFFFF"/>
                <w:sz w:val="28"/>
                <w:szCs w:val="28"/>
              </w:rPr>
              <w:t>03  Searching</w:t>
            </w:r>
            <w:proofErr w:type="gramEnd"/>
            <w:r>
              <w:rPr>
                <w:rFonts w:ascii="Arial" w:eastAsia="Arial" w:hAnsi="Arial" w:cs="Arial"/>
                <w:b/>
                <w:bCs/>
                <w:color w:val="FFFFFF"/>
                <w:sz w:val="28"/>
                <w:szCs w:val="28"/>
              </w:rPr>
              <w:t xml:space="preserve"> for Information</w:t>
            </w:r>
          </w:p>
        </w:tc>
        <w:tc>
          <w:tcPr>
            <w:tcW w:w="12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</w:tcPr>
          <w:p w14:paraId="3A8F2449" w14:textId="77777777" w:rsidR="00E254E2" w:rsidRDefault="00E254E2"/>
        </w:tc>
        <w:tc>
          <w:tcPr>
            <w:tcW w:w="6446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2E7D5B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206FCACE" w14:textId="77777777" w:rsidR="00E254E2" w:rsidRDefault="00A51FDE">
            <w:pPr>
              <w:spacing w:before="40" w:after="40"/>
            </w:pPr>
            <w:proofErr w:type="gramStart"/>
            <w:r>
              <w:rPr>
                <w:rFonts w:ascii="Arial" w:eastAsia="Arial" w:hAnsi="Arial" w:cs="Arial"/>
                <w:b/>
                <w:bCs/>
                <w:color w:val="FFFFFF"/>
                <w:sz w:val="28"/>
                <w:szCs w:val="28"/>
              </w:rPr>
              <w:t>04  Picture</w:t>
            </w:r>
            <w:proofErr w:type="gramEnd"/>
            <w:r>
              <w:rPr>
                <w:rFonts w:ascii="Arial" w:eastAsia="Arial" w:hAnsi="Arial" w:cs="Arial"/>
                <w:b/>
                <w:bCs/>
                <w:color w:val="FFFFFF"/>
                <w:sz w:val="28"/>
                <w:szCs w:val="28"/>
              </w:rPr>
              <w:t xml:space="preserve"> / Graph / Visual Aid / Statistics</w:t>
            </w:r>
          </w:p>
        </w:tc>
      </w:tr>
      <w:tr w:rsidR="00E254E2" w14:paraId="0124C44E" w14:textId="77777777" w:rsidTr="006F40C0">
        <w:trPr>
          <w:cantSplit/>
          <w:trHeight w:val="7663"/>
        </w:trPr>
        <w:tc>
          <w:tcPr>
            <w:tcW w:w="390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EBE1F5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29AE19A6" w14:textId="77777777" w:rsidR="00E254E2" w:rsidRDefault="00A51FDE">
            <w:pPr>
              <w:spacing w:after="70" w:line="250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 xml:space="preserve">Literature was searched using </w:t>
            </w: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PubMed, CINAHL, Google Scholar and the UWTSD Library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. Professional and policy sources came from </w:t>
            </w: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NICE, the NHS and UK government websites</w:t>
            </w:r>
            <w:r>
              <w:rPr>
                <w:rFonts w:ascii="Arial" w:eastAsia="Arial" w:hAnsi="Arial" w:cs="Arial"/>
                <w:sz w:val="24"/>
                <w:szCs w:val="24"/>
              </w:rPr>
              <w:t>.</w:t>
            </w:r>
          </w:p>
          <w:p w14:paraId="171AAE7A" w14:textId="77777777" w:rsidR="00E254E2" w:rsidRDefault="00A51FDE">
            <w:pPr>
              <w:spacing w:after="30" w:line="250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>Searches were refined by:</w:t>
            </w:r>
          </w:p>
          <w:p w14:paraId="75A4487F" w14:textId="77777777" w:rsidR="00E254E2" w:rsidRDefault="00A51FDE">
            <w:pPr>
              <w:pStyle w:val="ListParagraph"/>
              <w:numPr>
                <w:ilvl w:val="0"/>
                <w:numId w:val="2"/>
              </w:numPr>
              <w:spacing w:after="40" w:line="245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>Publication date</w:t>
            </w:r>
          </w:p>
          <w:p w14:paraId="3A7E2999" w14:textId="77777777" w:rsidR="00E254E2" w:rsidRDefault="00A51FDE">
            <w:pPr>
              <w:pStyle w:val="ListParagraph"/>
              <w:numPr>
                <w:ilvl w:val="0"/>
                <w:numId w:val="2"/>
              </w:numPr>
              <w:spacing w:after="40" w:line="245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>Peer review</w:t>
            </w:r>
          </w:p>
          <w:p w14:paraId="150E96FF" w14:textId="77777777" w:rsidR="00E254E2" w:rsidRDefault="00A51FDE">
            <w:pPr>
              <w:pStyle w:val="ListParagraph"/>
              <w:numPr>
                <w:ilvl w:val="0"/>
                <w:numId w:val="2"/>
              </w:numPr>
              <w:spacing w:after="40" w:line="245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>Children and young people</w:t>
            </w:r>
          </w:p>
          <w:p w14:paraId="6BC361E4" w14:textId="77777777" w:rsidR="00E254E2" w:rsidRDefault="00A51FDE">
            <w:pPr>
              <w:pStyle w:val="ListParagraph"/>
              <w:numPr>
                <w:ilvl w:val="0"/>
                <w:numId w:val="2"/>
              </w:numPr>
              <w:spacing w:after="40" w:line="245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>UK relevance</w:t>
            </w:r>
          </w:p>
          <w:p w14:paraId="418F5CF1" w14:textId="77777777" w:rsidR="00E254E2" w:rsidRDefault="00A51FDE">
            <w:pPr>
              <w:pStyle w:val="ListParagraph"/>
              <w:numPr>
                <w:ilvl w:val="0"/>
                <w:numId w:val="2"/>
              </w:numPr>
              <w:spacing w:after="40" w:line="245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>Autism diagnosis and assessment</w:t>
            </w:r>
          </w:p>
          <w:p w14:paraId="33ED5FCB" w14:textId="77777777" w:rsidR="00E254E2" w:rsidRDefault="00A51FDE">
            <w:pPr>
              <w:pStyle w:val="ListParagraph"/>
              <w:numPr>
                <w:ilvl w:val="0"/>
                <w:numId w:val="2"/>
              </w:numPr>
              <w:spacing w:after="40" w:line="245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>Wellbeing and family experiences</w:t>
            </w:r>
          </w:p>
          <w:p w14:paraId="3480CB35" w14:textId="77777777" w:rsidR="00E254E2" w:rsidRDefault="00A51FDE">
            <w:pPr>
              <w:spacing w:after="70" w:line="250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>(Booth, Sutton and Papaioannou, 2016)</w:t>
            </w:r>
          </w:p>
          <w:p w14:paraId="4C008FA3" w14:textId="77777777" w:rsidR="00E254E2" w:rsidRDefault="00A51FDE">
            <w:pPr>
              <w:spacing w:after="70" w:line="250" w:lineRule="auto"/>
            </w:pP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NICE guidance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 provided a UK benchmark for autism assessment (NICE, 2017).</w:t>
            </w:r>
          </w:p>
        </w:tc>
        <w:tc>
          <w:tcPr>
            <w:tcW w:w="12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</w:tcPr>
          <w:p w14:paraId="4C9342D2" w14:textId="77777777" w:rsidR="00E254E2" w:rsidRDefault="00E254E2"/>
        </w:tc>
        <w:tc>
          <w:tcPr>
            <w:tcW w:w="6446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DAF0E5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48774DA0" w14:textId="77777777" w:rsidR="00E254E2" w:rsidRDefault="00A51FDE">
            <w:pPr>
              <w:spacing w:before="40" w:after="60"/>
            </w:pPr>
            <w:r>
              <w:rPr>
                <w:noProof/>
              </w:rPr>
              <w:drawing>
                <wp:inline distT="0" distB="0" distL="0" distR="0" wp14:anchorId="53672F57" wp14:editId="54528C36">
                  <wp:extent cx="3810000" cy="1108364"/>
                  <wp:effectExtent l="0" t="0" r="0" b="0"/>
                  <wp:docPr id="1" name="fig.png" descr="Screenshot" title="Screenshot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839532" cy="11169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3E9DD13" w14:textId="77777777" w:rsidR="00E254E2" w:rsidRDefault="00A51FDE">
            <w:pPr>
              <w:spacing w:before="40" w:after="160"/>
              <w:rPr>
                <w:rFonts w:ascii="Arial" w:eastAsia="Arial" w:hAnsi="Arial" w:cs="Arial"/>
                <w:i/>
                <w:iCs/>
                <w:sz w:val="19"/>
                <w:szCs w:val="19"/>
              </w:rPr>
            </w:pPr>
            <w:r>
              <w:rPr>
                <w:rFonts w:ascii="Arial" w:eastAsia="Arial" w:hAnsi="Arial" w:cs="Arial"/>
                <w:i/>
                <w:iCs/>
                <w:sz w:val="19"/>
                <w:szCs w:val="19"/>
              </w:rPr>
              <w:t>Figure 1: Autism referral waiting times in England, June 2026 (NHS England, 2026).</w:t>
            </w:r>
          </w:p>
          <w:p w14:paraId="2770BB6F" w14:textId="5AC193FE" w:rsidR="006F40C0" w:rsidRPr="006F40C0" w:rsidRDefault="006F40C0">
            <w:pPr>
              <w:spacing w:before="40" w:after="160"/>
              <w:rPr>
                <w:rFonts w:ascii="Arial" w:eastAsia="Arial" w:hAnsi="Arial" w:cs="Arial"/>
                <w:b/>
                <w:bCs/>
                <w:i/>
                <w:iCs/>
              </w:rPr>
            </w:pPr>
            <w:r w:rsidRPr="006F40C0">
              <w:rPr>
                <w:rStyle w:val="Strong"/>
                <w:rFonts w:ascii="Arial" w:hAnsi="Arial" w:cs="Arial"/>
                <w:color w:val="000000"/>
              </w:rPr>
              <w:t>3.5 YEARS</w:t>
            </w:r>
            <w:r w:rsidRPr="006F40C0">
              <w:rPr>
                <w:rFonts w:ascii="Arial" w:hAnsi="Arial" w:cs="Arial"/>
                <w:color w:val="000000"/>
              </w:rPr>
              <w:br/>
              <w:t>Average delay between parents first approaching a health professional and their child receiving an autism diagnosis.</w:t>
            </w:r>
            <w:r w:rsidRPr="006F40C0">
              <w:rPr>
                <w:rFonts w:ascii="Arial" w:hAnsi="Arial" w:cs="Arial"/>
                <w:color w:val="000000"/>
              </w:rPr>
              <w:br/>
            </w:r>
            <w:r w:rsidRPr="006F40C0">
              <w:rPr>
                <w:rStyle w:val="Strong"/>
                <w:rFonts w:ascii="Arial" w:hAnsi="Arial" w:cs="Arial"/>
                <w:b w:val="0"/>
                <w:bCs w:val="0"/>
                <w:color w:val="000000"/>
              </w:rPr>
              <w:t>(Crane et al., 2016)</w:t>
            </w:r>
          </w:p>
          <w:p w14:paraId="4A252A64" w14:textId="77777777" w:rsidR="006F40C0" w:rsidRDefault="006F40C0">
            <w:pPr>
              <w:spacing w:before="40" w:after="160"/>
            </w:pPr>
          </w:p>
          <w:p w14:paraId="5DD2F599" w14:textId="77777777" w:rsidR="00E254E2" w:rsidRDefault="00A51FDE">
            <w:pPr>
              <w:spacing w:before="40" w:after="60"/>
            </w:pPr>
            <w:r>
              <w:rPr>
                <w:noProof/>
              </w:rPr>
              <w:drawing>
                <wp:inline distT="0" distB="0" distL="0" distR="0" wp14:anchorId="07F96D8D" wp14:editId="4D349FCE">
                  <wp:extent cx="3987249" cy="2202873"/>
                  <wp:effectExtent l="0" t="0" r="635" b="0"/>
                  <wp:docPr id="584399152" name="themes.png" descr="Screenshot" title="Screenshot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124758" cy="227884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7A8B9004" w14:textId="77777777" w:rsidR="00E254E2" w:rsidRDefault="00A51FDE">
      <w:r>
        <w:br w:type="page"/>
      </w:r>
    </w:p>
    <w:tbl>
      <w:tblPr>
        <w:tblW w:w="10466" w:type="dxa"/>
        <w:tblBorders>
          <w:top w:val="none" w:sz="0" w:space="0" w:color="FFFFFF"/>
          <w:left w:val="none" w:sz="0" w:space="0" w:color="FFFFFF"/>
          <w:bottom w:val="none" w:sz="0" w:space="0" w:color="FFFFFF"/>
          <w:right w:val="none" w:sz="0" w:space="0" w:color="FFFFFF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10466"/>
      </w:tblGrid>
      <w:tr w:rsidR="00E254E2" w14:paraId="24185619" w14:textId="77777777">
        <w:trPr>
          <w:cantSplit/>
        </w:trPr>
        <w:tc>
          <w:tcPr>
            <w:tcW w:w="10466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2F6DB5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5720E5AF" w14:textId="77777777" w:rsidR="00E254E2" w:rsidRDefault="00A51FDE">
            <w:pPr>
              <w:spacing w:before="40" w:after="40"/>
            </w:pPr>
            <w:proofErr w:type="gramStart"/>
            <w:r>
              <w:rPr>
                <w:rFonts w:ascii="Arial" w:eastAsia="Arial" w:hAnsi="Arial" w:cs="Arial"/>
                <w:b/>
                <w:bCs/>
                <w:color w:val="FFFFFF"/>
                <w:sz w:val="28"/>
                <w:szCs w:val="28"/>
              </w:rPr>
              <w:lastRenderedPageBreak/>
              <w:t>05  Research</w:t>
            </w:r>
            <w:proofErr w:type="gramEnd"/>
            <w:r>
              <w:rPr>
                <w:rFonts w:ascii="Arial" w:eastAsia="Arial" w:hAnsi="Arial" w:cs="Arial"/>
                <w:b/>
                <w:bCs/>
                <w:color w:val="FFFFFF"/>
                <w:sz w:val="28"/>
                <w:szCs w:val="28"/>
              </w:rPr>
              <w:t xml:space="preserve"> Validation and Analysis</w:t>
            </w:r>
          </w:p>
        </w:tc>
      </w:tr>
      <w:tr w:rsidR="00E254E2" w14:paraId="2A315A52" w14:textId="77777777">
        <w:trPr>
          <w:cantSplit/>
        </w:trPr>
        <w:tc>
          <w:tcPr>
            <w:tcW w:w="10466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DCE8F8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54ABC9A8" w14:textId="77777777" w:rsidR="00E254E2" w:rsidRDefault="00A51FDE">
            <w:pPr>
              <w:spacing w:after="70" w:line="250" w:lineRule="auto"/>
            </w:pP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Research validation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 checks that information is credible, relevant, accurate and suitable. The </w:t>
            </w: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CRAAP Test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 assessed Currency, Relevance, Authority, Accuracy and Purpose (Blakeslee, 2004).</w:t>
            </w:r>
          </w:p>
          <w:p w14:paraId="5D64244C" w14:textId="77777777" w:rsidR="00E254E2" w:rsidRDefault="00A51FDE">
            <w:pPr>
              <w:spacing w:after="70" w:line="250" w:lineRule="auto"/>
            </w:pP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Benefit: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 reduces the use of unreliable information.   </w:t>
            </w:r>
            <w:r>
              <w:rPr>
                <w:rFonts w:ascii="Arial" w:eastAsia="Arial" w:hAnsi="Arial" w:cs="Arial"/>
                <w:b/>
                <w:bCs/>
                <w:sz w:val="24"/>
                <w:szCs w:val="24"/>
              </w:rPr>
              <w:t>Limitation:</w:t>
            </w:r>
            <w:r>
              <w:rPr>
                <w:rFonts w:ascii="Arial" w:eastAsia="Arial" w:hAnsi="Arial" w:cs="Arial"/>
                <w:sz w:val="24"/>
                <w:szCs w:val="24"/>
              </w:rPr>
              <w:t xml:space="preserve"> no tool removes researcher judgement or bias.</w:t>
            </w:r>
          </w:p>
          <w:p w14:paraId="65D15185" w14:textId="77777777" w:rsidR="00E254E2" w:rsidRDefault="00A51FDE">
            <w:pPr>
              <w:spacing w:line="250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>Ten sources were assessed and five selected for detailed analysis. Findings were compared and grouped into three themes for Chapter 4 (Braun and Clarke, 2006).</w:t>
            </w:r>
          </w:p>
        </w:tc>
      </w:tr>
    </w:tbl>
    <w:p w14:paraId="4262D10F" w14:textId="77777777" w:rsidR="00E254E2" w:rsidRDefault="00E254E2">
      <w:pPr>
        <w:spacing w:line="120" w:lineRule="auto"/>
      </w:pPr>
    </w:p>
    <w:tbl>
      <w:tblPr>
        <w:tblW w:w="10466" w:type="dxa"/>
        <w:tblBorders>
          <w:top w:val="none" w:sz="0" w:space="0" w:color="FFFFFF"/>
          <w:left w:val="none" w:sz="0" w:space="0" w:color="FFFFFF"/>
          <w:bottom w:val="none" w:sz="0" w:space="0" w:color="FFFFFF"/>
          <w:right w:val="none" w:sz="0" w:space="0" w:color="FFFFFF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5173"/>
        <w:gridCol w:w="120"/>
        <w:gridCol w:w="5173"/>
      </w:tblGrid>
      <w:tr w:rsidR="00E254E2" w14:paraId="1F452CA2" w14:textId="77777777">
        <w:trPr>
          <w:cantSplit/>
        </w:trPr>
        <w:tc>
          <w:tcPr>
            <w:tcW w:w="5173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2E9E6B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63FAFB0C" w14:textId="77777777" w:rsidR="00E254E2" w:rsidRDefault="00A51FDE">
            <w:pPr>
              <w:spacing w:before="40" w:after="40"/>
            </w:pPr>
            <w:proofErr w:type="gramStart"/>
            <w:r>
              <w:rPr>
                <w:rFonts w:ascii="Arial" w:eastAsia="Arial" w:hAnsi="Arial" w:cs="Arial"/>
                <w:b/>
                <w:bCs/>
                <w:color w:val="FFFFFF"/>
                <w:sz w:val="28"/>
                <w:szCs w:val="28"/>
              </w:rPr>
              <w:t>06  Inclusion</w:t>
            </w:r>
            <w:proofErr w:type="gramEnd"/>
            <w:r>
              <w:rPr>
                <w:rFonts w:ascii="Arial" w:eastAsia="Arial" w:hAnsi="Arial" w:cs="Arial"/>
                <w:b/>
                <w:bCs/>
                <w:color w:val="FFFFFF"/>
                <w:sz w:val="28"/>
                <w:szCs w:val="28"/>
              </w:rPr>
              <w:t xml:space="preserve"> Criteria</w:t>
            </w:r>
          </w:p>
        </w:tc>
        <w:tc>
          <w:tcPr>
            <w:tcW w:w="12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</w:tcPr>
          <w:p w14:paraId="2E7DE9F4" w14:textId="77777777" w:rsidR="00E254E2" w:rsidRDefault="00E254E2"/>
        </w:tc>
        <w:tc>
          <w:tcPr>
            <w:tcW w:w="5173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C2427A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2F851361" w14:textId="77777777" w:rsidR="00E254E2" w:rsidRDefault="00A51FDE">
            <w:pPr>
              <w:spacing w:before="40" w:after="40"/>
            </w:pPr>
            <w:proofErr w:type="gramStart"/>
            <w:r>
              <w:rPr>
                <w:rFonts w:ascii="Arial" w:eastAsia="Arial" w:hAnsi="Arial" w:cs="Arial"/>
                <w:b/>
                <w:bCs/>
                <w:color w:val="FFFFFF"/>
                <w:sz w:val="28"/>
                <w:szCs w:val="28"/>
              </w:rPr>
              <w:t>07  Exclusion</w:t>
            </w:r>
            <w:proofErr w:type="gramEnd"/>
            <w:r>
              <w:rPr>
                <w:rFonts w:ascii="Arial" w:eastAsia="Arial" w:hAnsi="Arial" w:cs="Arial"/>
                <w:b/>
                <w:bCs/>
                <w:color w:val="FFFFFF"/>
                <w:sz w:val="28"/>
                <w:szCs w:val="28"/>
              </w:rPr>
              <w:t xml:space="preserve"> Criteria</w:t>
            </w:r>
          </w:p>
        </w:tc>
      </w:tr>
      <w:tr w:rsidR="00E254E2" w14:paraId="148A8586" w14:textId="77777777">
        <w:trPr>
          <w:cantSplit/>
          <w:trHeight w:val="5600"/>
        </w:trPr>
        <w:tc>
          <w:tcPr>
            <w:tcW w:w="5173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DDF3E8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3BCE05C3" w14:textId="77777777" w:rsidR="00E254E2" w:rsidRDefault="00A51FDE">
            <w:pPr>
              <w:spacing w:after="50" w:line="250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>Sources were included when they met these criteria:</w:t>
            </w:r>
          </w:p>
          <w:p w14:paraId="69BFEB8B" w14:textId="77777777" w:rsidR="00E254E2" w:rsidRDefault="00A51FDE">
            <w:pPr>
              <w:pStyle w:val="ListParagraph"/>
              <w:numPr>
                <w:ilvl w:val="0"/>
                <w:numId w:val="2"/>
              </w:numPr>
              <w:spacing w:after="40" w:line="245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>Peer-reviewed research, mainly from the last 10 years</w:t>
            </w:r>
          </w:p>
          <w:p w14:paraId="02BC2E4F" w14:textId="77777777" w:rsidR="00E254E2" w:rsidRDefault="00A51FDE">
            <w:pPr>
              <w:pStyle w:val="ListParagraph"/>
              <w:numPr>
                <w:ilvl w:val="0"/>
                <w:numId w:val="2"/>
              </w:numPr>
              <w:spacing w:after="40" w:line="245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>Studies involving children and young people</w:t>
            </w:r>
          </w:p>
          <w:p w14:paraId="08493504" w14:textId="77777777" w:rsidR="00E254E2" w:rsidRDefault="00A51FDE">
            <w:pPr>
              <w:pStyle w:val="ListParagraph"/>
              <w:numPr>
                <w:ilvl w:val="0"/>
                <w:numId w:val="2"/>
              </w:numPr>
              <w:spacing w:after="40" w:line="245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>Research on autism diagnosis, assessment or delay</w:t>
            </w:r>
          </w:p>
          <w:p w14:paraId="7B83834A" w14:textId="77777777" w:rsidR="00E254E2" w:rsidRDefault="00A51FDE">
            <w:pPr>
              <w:pStyle w:val="ListParagraph"/>
              <w:numPr>
                <w:ilvl w:val="0"/>
                <w:numId w:val="2"/>
              </w:numPr>
              <w:spacing w:after="40" w:line="245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>Evidence on wellbeing, development or family experiences</w:t>
            </w:r>
          </w:p>
          <w:p w14:paraId="7F509E7D" w14:textId="77777777" w:rsidR="00E254E2" w:rsidRDefault="00A51FDE">
            <w:pPr>
              <w:pStyle w:val="ListParagraph"/>
              <w:numPr>
                <w:ilvl w:val="0"/>
                <w:numId w:val="2"/>
              </w:numPr>
              <w:spacing w:after="40" w:line="245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>UK-based research, plus relevant NICE, government and professional sources</w:t>
            </w:r>
          </w:p>
        </w:tc>
        <w:tc>
          <w:tcPr>
            <w:tcW w:w="12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</w:tcPr>
          <w:p w14:paraId="52DD12A0" w14:textId="77777777" w:rsidR="00E254E2" w:rsidRDefault="00E254E2"/>
        </w:tc>
        <w:tc>
          <w:tcPr>
            <w:tcW w:w="5173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F8DCE8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06206FA7" w14:textId="77777777" w:rsidR="00E254E2" w:rsidRDefault="00A51FDE">
            <w:pPr>
              <w:spacing w:after="50" w:line="250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>Sources were excluded when they met these criteria:</w:t>
            </w:r>
          </w:p>
          <w:p w14:paraId="2567FFE2" w14:textId="77777777" w:rsidR="00E254E2" w:rsidRDefault="00A51FDE">
            <w:pPr>
              <w:pStyle w:val="ListParagraph"/>
              <w:numPr>
                <w:ilvl w:val="0"/>
                <w:numId w:val="2"/>
              </w:numPr>
              <w:spacing w:after="40" w:line="245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>Sources not relevant to the research question</w:t>
            </w:r>
          </w:p>
          <w:p w14:paraId="21D04D02" w14:textId="77777777" w:rsidR="00E254E2" w:rsidRDefault="00A51FDE">
            <w:pPr>
              <w:pStyle w:val="ListParagraph"/>
              <w:numPr>
                <w:ilvl w:val="0"/>
                <w:numId w:val="2"/>
              </w:numPr>
              <w:spacing w:after="40" w:line="245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>Duplicate sources</w:t>
            </w:r>
          </w:p>
          <w:p w14:paraId="4F26F947" w14:textId="77777777" w:rsidR="00E254E2" w:rsidRDefault="00A51FDE">
            <w:pPr>
              <w:pStyle w:val="ListParagraph"/>
              <w:numPr>
                <w:ilvl w:val="0"/>
                <w:numId w:val="2"/>
              </w:numPr>
              <w:spacing w:after="40" w:line="245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>Adult-only studies with no link to children or families</w:t>
            </w:r>
          </w:p>
          <w:p w14:paraId="2535F16F" w14:textId="77777777" w:rsidR="00E254E2" w:rsidRDefault="00A51FDE">
            <w:pPr>
              <w:pStyle w:val="ListParagraph"/>
              <w:numPr>
                <w:ilvl w:val="0"/>
                <w:numId w:val="2"/>
              </w:numPr>
              <w:spacing w:after="40" w:line="245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>Unsupported opinion</w:t>
            </w:r>
          </w:p>
          <w:p w14:paraId="217C0498" w14:textId="77777777" w:rsidR="00E254E2" w:rsidRDefault="00A51FDE">
            <w:pPr>
              <w:pStyle w:val="ListParagraph"/>
              <w:numPr>
                <w:ilvl w:val="0"/>
                <w:numId w:val="2"/>
              </w:numPr>
              <w:spacing w:after="40" w:line="245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>Non-UK research not relevant to the UK context</w:t>
            </w:r>
          </w:p>
          <w:p w14:paraId="2DC909D2" w14:textId="77777777" w:rsidR="00E254E2" w:rsidRDefault="00A51FDE">
            <w:pPr>
              <w:pStyle w:val="ListParagraph"/>
              <w:numPr>
                <w:ilvl w:val="0"/>
                <w:numId w:val="2"/>
              </w:numPr>
              <w:spacing w:after="40" w:line="245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>Older research not needed for methodological or historical context</w:t>
            </w:r>
          </w:p>
        </w:tc>
      </w:tr>
    </w:tbl>
    <w:p w14:paraId="21311D0E" w14:textId="77777777" w:rsidR="00E254E2" w:rsidRDefault="00E254E2">
      <w:pPr>
        <w:spacing w:line="120" w:lineRule="auto"/>
      </w:pPr>
    </w:p>
    <w:tbl>
      <w:tblPr>
        <w:tblW w:w="10466" w:type="dxa"/>
        <w:tblBorders>
          <w:top w:val="none" w:sz="0" w:space="0" w:color="FFFFFF"/>
          <w:left w:val="none" w:sz="0" w:space="0" w:color="FFFFFF"/>
          <w:bottom w:val="none" w:sz="0" w:space="0" w:color="FFFFFF"/>
          <w:right w:val="none" w:sz="0" w:space="0" w:color="FFFFFF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10466"/>
      </w:tblGrid>
      <w:tr w:rsidR="00E254E2" w14:paraId="18195799" w14:textId="77777777">
        <w:trPr>
          <w:cantSplit/>
        </w:trPr>
        <w:tc>
          <w:tcPr>
            <w:tcW w:w="10466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1F3A5F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74345E7A" w14:textId="77777777" w:rsidR="00E254E2" w:rsidRDefault="00A51FDE">
            <w:pPr>
              <w:spacing w:before="40" w:after="40"/>
            </w:pPr>
            <w:proofErr w:type="gramStart"/>
            <w:r>
              <w:rPr>
                <w:rFonts w:ascii="Arial" w:eastAsia="Arial" w:hAnsi="Arial" w:cs="Arial"/>
                <w:b/>
                <w:bCs/>
                <w:color w:val="FFFFFF"/>
                <w:sz w:val="28"/>
                <w:szCs w:val="28"/>
              </w:rPr>
              <w:t>08  Ethical</w:t>
            </w:r>
            <w:proofErr w:type="gramEnd"/>
            <w:r>
              <w:rPr>
                <w:rFonts w:ascii="Arial" w:eastAsia="Arial" w:hAnsi="Arial" w:cs="Arial"/>
                <w:b/>
                <w:bCs/>
                <w:color w:val="FFFFFF"/>
                <w:sz w:val="28"/>
                <w:szCs w:val="28"/>
              </w:rPr>
              <w:t xml:space="preserve"> Considerations</w:t>
            </w:r>
          </w:p>
        </w:tc>
      </w:tr>
      <w:tr w:rsidR="00E254E2" w14:paraId="4C378F69" w14:textId="77777777">
        <w:trPr>
          <w:cantSplit/>
        </w:trPr>
        <w:tc>
          <w:tcPr>
            <w:tcW w:w="10466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E6ECF5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1F424401" w14:textId="77777777" w:rsidR="00E254E2" w:rsidRDefault="00A51FDE">
            <w:pPr>
              <w:spacing w:line="250" w:lineRule="auto"/>
            </w:pPr>
            <w:r>
              <w:rPr>
                <w:rFonts w:ascii="Arial" w:eastAsia="Arial" w:hAnsi="Arial" w:cs="Arial"/>
                <w:sz w:val="24"/>
                <w:szCs w:val="24"/>
              </w:rPr>
              <w:t>Secondary research must use, evaluate and present evidence honestly, responsibly and fairly, respecting original authors (Ruggiano and Perry, 2019).</w:t>
            </w:r>
          </w:p>
        </w:tc>
      </w:tr>
    </w:tbl>
    <w:p w14:paraId="0A85A011" w14:textId="77777777" w:rsidR="00E254E2" w:rsidRDefault="00E254E2">
      <w:pPr>
        <w:spacing w:line="120" w:lineRule="auto"/>
      </w:pPr>
    </w:p>
    <w:tbl>
      <w:tblPr>
        <w:tblW w:w="10466" w:type="dxa"/>
        <w:tblBorders>
          <w:top w:val="none" w:sz="0" w:space="0" w:color="FFFFFF"/>
          <w:left w:val="none" w:sz="0" w:space="0" w:color="FFFFFF"/>
          <w:bottom w:val="none" w:sz="0" w:space="0" w:color="FFFFFF"/>
          <w:right w:val="none" w:sz="0" w:space="0" w:color="FFFFFF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2093"/>
        <w:gridCol w:w="2093"/>
        <w:gridCol w:w="2093"/>
        <w:gridCol w:w="2093"/>
        <w:gridCol w:w="2094"/>
      </w:tblGrid>
      <w:tr w:rsidR="00E254E2" w14:paraId="420D586E" w14:textId="77777777">
        <w:trPr>
          <w:cantSplit/>
        </w:trPr>
        <w:tc>
          <w:tcPr>
            <w:tcW w:w="2093" w:type="dxa"/>
            <w:tcBorders>
              <w:top w:val="none" w:sz="0" w:space="0" w:color="FFFFFF"/>
              <w:left w:val="single" w:sz="24" w:space="0" w:color="FFFFFF"/>
              <w:bottom w:val="none" w:sz="0" w:space="0" w:color="FFFFFF"/>
              <w:right w:val="single" w:sz="24" w:space="0" w:color="FFFFFF"/>
            </w:tcBorders>
            <w:shd w:val="clear" w:color="auto" w:fill="2F6DB5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435A5563" w14:textId="77777777" w:rsidR="00E254E2" w:rsidRDefault="00A51FDE">
            <w:pPr>
              <w:jc w:val="center"/>
            </w:pPr>
            <w:r>
              <w:rPr>
                <w:rFonts w:ascii="Arial" w:eastAsia="Arial" w:hAnsi="Arial" w:cs="Arial"/>
                <w:b/>
                <w:bCs/>
                <w:color w:val="FFFFFF"/>
                <w:sz w:val="23"/>
                <w:szCs w:val="23"/>
              </w:rPr>
              <w:t>Intellectual Property</w:t>
            </w:r>
          </w:p>
        </w:tc>
        <w:tc>
          <w:tcPr>
            <w:tcW w:w="2093" w:type="dxa"/>
            <w:tcBorders>
              <w:top w:val="none" w:sz="0" w:space="0" w:color="FFFFFF"/>
              <w:left w:val="single" w:sz="24" w:space="0" w:color="FFFFFF"/>
              <w:bottom w:val="none" w:sz="0" w:space="0" w:color="FFFFFF"/>
              <w:right w:val="single" w:sz="24" w:space="0" w:color="FFFFFF"/>
            </w:tcBorders>
            <w:shd w:val="clear" w:color="auto" w:fill="7B4FA0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7B8A8D0E" w14:textId="77777777" w:rsidR="00E254E2" w:rsidRDefault="00A51FDE">
            <w:pPr>
              <w:jc w:val="center"/>
            </w:pPr>
            <w:r>
              <w:rPr>
                <w:rFonts w:ascii="Arial" w:eastAsia="Arial" w:hAnsi="Arial" w:cs="Arial"/>
                <w:b/>
                <w:bCs/>
                <w:color w:val="FFFFFF"/>
                <w:sz w:val="23"/>
                <w:szCs w:val="23"/>
              </w:rPr>
              <w:t>Privacy</w:t>
            </w:r>
          </w:p>
        </w:tc>
        <w:tc>
          <w:tcPr>
            <w:tcW w:w="2093" w:type="dxa"/>
            <w:tcBorders>
              <w:top w:val="none" w:sz="0" w:space="0" w:color="FFFFFF"/>
              <w:left w:val="single" w:sz="24" w:space="0" w:color="FFFFFF"/>
              <w:bottom w:val="none" w:sz="0" w:space="0" w:color="FFFFFF"/>
              <w:right w:val="single" w:sz="24" w:space="0" w:color="FFFFFF"/>
            </w:tcBorders>
            <w:shd w:val="clear" w:color="auto" w:fill="2E7D5B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0D5246FA" w14:textId="77777777" w:rsidR="00E254E2" w:rsidRDefault="00A51FDE">
            <w:pPr>
              <w:jc w:val="center"/>
            </w:pPr>
            <w:r>
              <w:rPr>
                <w:rFonts w:ascii="Arial" w:eastAsia="Arial" w:hAnsi="Arial" w:cs="Arial"/>
                <w:b/>
                <w:bCs/>
                <w:color w:val="FFFFFF"/>
                <w:sz w:val="23"/>
                <w:szCs w:val="23"/>
              </w:rPr>
              <w:t>Data Integrity</w:t>
            </w:r>
          </w:p>
        </w:tc>
        <w:tc>
          <w:tcPr>
            <w:tcW w:w="2093" w:type="dxa"/>
            <w:tcBorders>
              <w:top w:val="none" w:sz="0" w:space="0" w:color="FFFFFF"/>
              <w:left w:val="single" w:sz="24" w:space="0" w:color="FFFFFF"/>
              <w:bottom w:val="none" w:sz="0" w:space="0" w:color="FFFFFF"/>
              <w:right w:val="single" w:sz="24" w:space="0" w:color="FFFFFF"/>
            </w:tcBorders>
            <w:shd w:val="clear" w:color="auto" w:fill="E07B24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2879A616" w14:textId="77777777" w:rsidR="00E254E2" w:rsidRDefault="00A51FDE">
            <w:pPr>
              <w:jc w:val="center"/>
            </w:pPr>
            <w:r>
              <w:rPr>
                <w:rFonts w:ascii="Arial" w:eastAsia="Arial" w:hAnsi="Arial" w:cs="Arial"/>
                <w:b/>
                <w:bCs/>
                <w:color w:val="FFFFFF"/>
                <w:sz w:val="23"/>
                <w:szCs w:val="23"/>
              </w:rPr>
              <w:t>Compliance</w:t>
            </w:r>
          </w:p>
        </w:tc>
        <w:tc>
          <w:tcPr>
            <w:tcW w:w="2094" w:type="dxa"/>
            <w:tcBorders>
              <w:top w:val="none" w:sz="0" w:space="0" w:color="FFFFFF"/>
              <w:left w:val="single" w:sz="24" w:space="0" w:color="FFFFFF"/>
              <w:bottom w:val="none" w:sz="0" w:space="0" w:color="FFFFFF"/>
              <w:right w:val="single" w:sz="24" w:space="0" w:color="FFFFFF"/>
            </w:tcBorders>
            <w:shd w:val="clear" w:color="auto" w:fill="C2427A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5DE5557C" w14:textId="77777777" w:rsidR="00E254E2" w:rsidRDefault="00A51FDE">
            <w:pPr>
              <w:jc w:val="center"/>
            </w:pPr>
            <w:r>
              <w:rPr>
                <w:rFonts w:ascii="Arial" w:eastAsia="Arial" w:hAnsi="Arial" w:cs="Arial"/>
                <w:b/>
                <w:bCs/>
                <w:color w:val="FFFFFF"/>
                <w:sz w:val="23"/>
                <w:szCs w:val="23"/>
              </w:rPr>
              <w:t>Informed Consent</w:t>
            </w:r>
          </w:p>
        </w:tc>
      </w:tr>
      <w:tr w:rsidR="00E254E2" w14:paraId="2437B6E5" w14:textId="77777777">
        <w:trPr>
          <w:cantSplit/>
          <w:trHeight w:val="3000"/>
        </w:trPr>
        <w:tc>
          <w:tcPr>
            <w:tcW w:w="2093" w:type="dxa"/>
            <w:tcBorders>
              <w:top w:val="none" w:sz="0" w:space="0" w:color="FFFFFF"/>
              <w:left w:val="single" w:sz="24" w:space="0" w:color="FFFFFF"/>
              <w:bottom w:val="none" w:sz="0" w:space="0" w:color="FFFFFF"/>
              <w:right w:val="single" w:sz="24" w:space="0" w:color="FFFFFF"/>
            </w:tcBorders>
            <w:shd w:val="clear" w:color="auto" w:fill="DCE8F8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15063A65" w14:textId="77777777" w:rsidR="00E254E2" w:rsidRDefault="00A51FDE">
            <w:pPr>
              <w:spacing w:line="250" w:lineRule="auto"/>
            </w:pPr>
            <w:r>
              <w:rPr>
                <w:rFonts w:ascii="Arial" w:eastAsia="Arial" w:hAnsi="Arial" w:cs="Arial"/>
                <w:sz w:val="22"/>
                <w:szCs w:val="22"/>
              </w:rPr>
              <w:t>Cite all sources; avoid plagiarism.</w:t>
            </w:r>
          </w:p>
        </w:tc>
        <w:tc>
          <w:tcPr>
            <w:tcW w:w="2093" w:type="dxa"/>
            <w:tcBorders>
              <w:top w:val="none" w:sz="0" w:space="0" w:color="FFFFFF"/>
              <w:left w:val="single" w:sz="24" w:space="0" w:color="FFFFFF"/>
              <w:bottom w:val="none" w:sz="0" w:space="0" w:color="FFFFFF"/>
              <w:right w:val="single" w:sz="24" w:space="0" w:color="FFFFFF"/>
            </w:tcBorders>
            <w:shd w:val="clear" w:color="auto" w:fill="E9DFF3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2AFB04A4" w14:textId="77777777" w:rsidR="00E254E2" w:rsidRDefault="00A51FDE">
            <w:pPr>
              <w:spacing w:line="250" w:lineRule="auto"/>
            </w:pPr>
            <w:r>
              <w:rPr>
                <w:rFonts w:ascii="Arial" w:eastAsia="Arial" w:hAnsi="Arial" w:cs="Arial"/>
                <w:sz w:val="22"/>
                <w:szCs w:val="22"/>
              </w:rPr>
              <w:t>Only published literature used; no personal data collected.</w:t>
            </w:r>
          </w:p>
        </w:tc>
        <w:tc>
          <w:tcPr>
            <w:tcW w:w="2093" w:type="dxa"/>
            <w:tcBorders>
              <w:top w:val="none" w:sz="0" w:space="0" w:color="FFFFFF"/>
              <w:left w:val="single" w:sz="24" w:space="0" w:color="FFFFFF"/>
              <w:bottom w:val="none" w:sz="0" w:space="0" w:color="FFFFFF"/>
              <w:right w:val="single" w:sz="24" w:space="0" w:color="FFFFFF"/>
            </w:tcBorders>
            <w:shd w:val="clear" w:color="auto" w:fill="DAF0E5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7AEDDA25" w14:textId="77777777" w:rsidR="00E254E2" w:rsidRDefault="00A51FDE">
            <w:pPr>
              <w:spacing w:line="250" w:lineRule="auto"/>
            </w:pPr>
            <w:r>
              <w:rPr>
                <w:rFonts w:ascii="Arial" w:eastAsia="Arial" w:hAnsi="Arial" w:cs="Arial"/>
                <w:sz w:val="22"/>
                <w:szCs w:val="22"/>
              </w:rPr>
              <w:t>Use credible sources; consider limitations.</w:t>
            </w:r>
          </w:p>
        </w:tc>
        <w:tc>
          <w:tcPr>
            <w:tcW w:w="2093" w:type="dxa"/>
            <w:tcBorders>
              <w:top w:val="none" w:sz="0" w:space="0" w:color="FFFFFF"/>
              <w:left w:val="single" w:sz="24" w:space="0" w:color="FFFFFF"/>
              <w:bottom w:val="none" w:sz="0" w:space="0" w:color="FFFFFF"/>
              <w:right w:val="single" w:sz="24" w:space="0" w:color="FFFFFF"/>
            </w:tcBorders>
            <w:shd w:val="clear" w:color="auto" w:fill="FBE5D0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11D6C417" w14:textId="77777777" w:rsidR="00E254E2" w:rsidRDefault="00A51FDE">
            <w:pPr>
              <w:spacing w:line="250" w:lineRule="auto"/>
            </w:pPr>
            <w:r>
              <w:rPr>
                <w:rFonts w:ascii="Arial" w:eastAsia="Arial" w:hAnsi="Arial" w:cs="Arial"/>
                <w:sz w:val="22"/>
                <w:szCs w:val="22"/>
              </w:rPr>
              <w:t>Follow university, copyright and data protection rules.</w:t>
            </w:r>
          </w:p>
        </w:tc>
        <w:tc>
          <w:tcPr>
            <w:tcW w:w="2094" w:type="dxa"/>
            <w:tcBorders>
              <w:top w:val="none" w:sz="0" w:space="0" w:color="FFFFFF"/>
              <w:left w:val="single" w:sz="24" w:space="0" w:color="FFFFFF"/>
              <w:bottom w:val="none" w:sz="0" w:space="0" w:color="FFFFFF"/>
              <w:right w:val="single" w:sz="24" w:space="0" w:color="FFFFFF"/>
            </w:tcBorders>
            <w:shd w:val="clear" w:color="auto" w:fill="F8DCE8"/>
            <w:tcMar>
              <w:top w:w="90" w:type="dxa"/>
              <w:left w:w="140" w:type="dxa"/>
              <w:bottom w:w="90" w:type="dxa"/>
              <w:right w:w="140" w:type="dxa"/>
            </w:tcMar>
          </w:tcPr>
          <w:p w14:paraId="772D6990" w14:textId="77777777" w:rsidR="00E254E2" w:rsidRDefault="00A51FDE">
            <w:pPr>
              <w:spacing w:line="250" w:lineRule="auto"/>
            </w:pPr>
            <w:r>
              <w:rPr>
                <w:rFonts w:ascii="Arial" w:eastAsia="Arial" w:hAnsi="Arial" w:cs="Arial"/>
                <w:sz w:val="22"/>
                <w:szCs w:val="22"/>
              </w:rPr>
              <w:t>No participants or primary data, so not required.</w:t>
            </w:r>
          </w:p>
        </w:tc>
      </w:tr>
    </w:tbl>
    <w:p w14:paraId="08703328" w14:textId="77777777" w:rsidR="00A51FDE" w:rsidRDefault="00A51FDE"/>
    <w:p w14:paraId="3E97A226" w14:textId="77777777" w:rsidR="006F40C0" w:rsidRDefault="006F40C0"/>
    <w:p w14:paraId="265D45ED" w14:textId="77777777" w:rsidR="006F40C0" w:rsidRDefault="006F40C0"/>
    <w:p w14:paraId="1E24913A" w14:textId="77777777" w:rsidR="006F40C0" w:rsidRDefault="006F40C0"/>
    <w:p w14:paraId="34E41455" w14:textId="77777777" w:rsidR="00E208C4" w:rsidRDefault="00E208C4" w:rsidP="006F40C0">
      <w:pPr>
        <w:pStyle w:val="Heading2"/>
        <w:spacing w:line="360" w:lineRule="auto"/>
        <w:rPr>
          <w:rFonts w:ascii="Arial" w:hAnsi="Arial" w:cs="Arial"/>
          <w:color w:val="000000"/>
          <w:sz w:val="22"/>
          <w:szCs w:val="22"/>
        </w:rPr>
      </w:pPr>
    </w:p>
    <w:p w14:paraId="13FA48C1" w14:textId="77777777" w:rsidR="00E208C4" w:rsidRDefault="00E208C4" w:rsidP="006F40C0">
      <w:pPr>
        <w:pStyle w:val="Heading2"/>
        <w:spacing w:line="360" w:lineRule="auto"/>
        <w:rPr>
          <w:rFonts w:ascii="Arial" w:hAnsi="Arial" w:cs="Arial"/>
          <w:color w:val="000000"/>
          <w:sz w:val="22"/>
          <w:szCs w:val="22"/>
        </w:rPr>
      </w:pPr>
    </w:p>
    <w:p w14:paraId="564D149A" w14:textId="77777777" w:rsidR="00E208C4" w:rsidRDefault="00E208C4" w:rsidP="006F40C0">
      <w:pPr>
        <w:pStyle w:val="Heading2"/>
        <w:spacing w:line="360" w:lineRule="auto"/>
        <w:rPr>
          <w:rFonts w:ascii="Arial" w:hAnsi="Arial" w:cs="Arial"/>
          <w:color w:val="000000"/>
          <w:sz w:val="22"/>
          <w:szCs w:val="22"/>
        </w:rPr>
      </w:pPr>
    </w:p>
    <w:p w14:paraId="7F579929" w14:textId="03C5CCC3" w:rsidR="006F40C0" w:rsidRPr="006F40C0" w:rsidRDefault="006F40C0" w:rsidP="006F40C0">
      <w:pPr>
        <w:pStyle w:val="Heading2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6F40C0">
        <w:rPr>
          <w:rFonts w:ascii="Arial" w:hAnsi="Arial" w:cs="Arial"/>
          <w:color w:val="000000"/>
          <w:sz w:val="22"/>
          <w:szCs w:val="22"/>
        </w:rPr>
        <w:t>References</w:t>
      </w:r>
    </w:p>
    <w:p w14:paraId="5E9BBFF1" w14:textId="77777777" w:rsidR="006F40C0" w:rsidRPr="006F40C0" w:rsidRDefault="006F40C0" w:rsidP="006F40C0">
      <w:pPr>
        <w:pStyle w:val="isselectedend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6F40C0">
        <w:rPr>
          <w:rFonts w:ascii="Arial" w:hAnsi="Arial" w:cs="Arial"/>
          <w:color w:val="000000"/>
          <w:sz w:val="22"/>
          <w:szCs w:val="22"/>
        </w:rPr>
        <w:t>Aveyard, H. (2023)</w:t>
      </w:r>
      <w:r w:rsidRPr="006F40C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6F40C0">
        <w:rPr>
          <w:rStyle w:val="Emphasis"/>
          <w:rFonts w:ascii="Arial" w:hAnsi="Arial" w:cs="Arial"/>
          <w:color w:val="000000"/>
          <w:sz w:val="22"/>
          <w:szCs w:val="22"/>
        </w:rPr>
        <w:t>Doing a literature review in health and social care: a practical guide</w:t>
      </w:r>
      <w:r w:rsidRPr="006F40C0">
        <w:rPr>
          <w:rFonts w:ascii="Arial" w:hAnsi="Arial" w:cs="Arial"/>
          <w:color w:val="000000"/>
          <w:sz w:val="22"/>
          <w:szCs w:val="22"/>
        </w:rPr>
        <w:t xml:space="preserve">. 5th </w:t>
      </w:r>
      <w:proofErr w:type="spellStart"/>
      <w:r w:rsidRPr="006F40C0">
        <w:rPr>
          <w:rFonts w:ascii="Arial" w:hAnsi="Arial" w:cs="Arial"/>
          <w:color w:val="000000"/>
          <w:sz w:val="22"/>
          <w:szCs w:val="22"/>
        </w:rPr>
        <w:t>edn</w:t>
      </w:r>
      <w:proofErr w:type="spellEnd"/>
      <w:r w:rsidRPr="006F40C0">
        <w:rPr>
          <w:rFonts w:ascii="Arial" w:hAnsi="Arial" w:cs="Arial"/>
          <w:color w:val="000000"/>
          <w:sz w:val="22"/>
          <w:szCs w:val="22"/>
        </w:rPr>
        <w:t>. Maidenhead: Open University Press.</w:t>
      </w:r>
    </w:p>
    <w:p w14:paraId="181F58BF" w14:textId="77777777" w:rsidR="006F40C0" w:rsidRPr="006F40C0" w:rsidRDefault="006F40C0" w:rsidP="006F40C0">
      <w:pPr>
        <w:pStyle w:val="isselectedend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6F40C0">
        <w:rPr>
          <w:rFonts w:ascii="Arial" w:hAnsi="Arial" w:cs="Arial"/>
          <w:color w:val="000000"/>
          <w:sz w:val="22"/>
          <w:szCs w:val="22"/>
        </w:rPr>
        <w:t>Blakeslee, S. (2004) ‘The CRAAP Test’,</w:t>
      </w:r>
      <w:r w:rsidRPr="006F40C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6F40C0">
        <w:rPr>
          <w:rStyle w:val="Emphasis"/>
          <w:rFonts w:ascii="Arial" w:hAnsi="Arial" w:cs="Arial"/>
          <w:color w:val="000000"/>
          <w:sz w:val="22"/>
          <w:szCs w:val="22"/>
        </w:rPr>
        <w:t>LOEX Quarterly</w:t>
      </w:r>
      <w:r w:rsidRPr="006F40C0">
        <w:rPr>
          <w:rFonts w:ascii="Arial" w:hAnsi="Arial" w:cs="Arial"/>
          <w:color w:val="000000"/>
          <w:sz w:val="22"/>
          <w:szCs w:val="22"/>
        </w:rPr>
        <w:t>, 31(3), Article 4. Available at:</w:t>
      </w:r>
      <w:r w:rsidRPr="006F40C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8" w:history="1">
        <w:r w:rsidRPr="006F40C0">
          <w:rPr>
            <w:rStyle w:val="Hyperlink"/>
            <w:rFonts w:ascii="Arial" w:hAnsi="Arial" w:cs="Arial"/>
            <w:sz w:val="22"/>
            <w:szCs w:val="22"/>
          </w:rPr>
          <w:t>https://commons.emich.edu/loexquarterly/vol31/iss3/4/</w:t>
        </w:r>
      </w:hyperlink>
      <w:r w:rsidRPr="006F40C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6F40C0">
        <w:rPr>
          <w:rFonts w:ascii="Arial" w:hAnsi="Arial" w:cs="Arial"/>
          <w:color w:val="000000"/>
          <w:sz w:val="22"/>
          <w:szCs w:val="22"/>
        </w:rPr>
        <w:t>(Accessed: 5 October 2026).</w:t>
      </w:r>
    </w:p>
    <w:p w14:paraId="059C42D9" w14:textId="77777777" w:rsidR="006F40C0" w:rsidRPr="006F40C0" w:rsidRDefault="006F40C0" w:rsidP="006F40C0">
      <w:pPr>
        <w:pStyle w:val="isselectedend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6F40C0">
        <w:rPr>
          <w:rFonts w:ascii="Arial" w:hAnsi="Arial" w:cs="Arial"/>
          <w:color w:val="000000"/>
          <w:sz w:val="22"/>
          <w:szCs w:val="22"/>
        </w:rPr>
        <w:t>Booth, A., Sutton, A. and Papaioannou, D. (2016)</w:t>
      </w:r>
      <w:r w:rsidRPr="006F40C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6F40C0">
        <w:rPr>
          <w:rStyle w:val="Emphasis"/>
          <w:rFonts w:ascii="Arial" w:hAnsi="Arial" w:cs="Arial"/>
          <w:color w:val="000000"/>
          <w:sz w:val="22"/>
          <w:szCs w:val="22"/>
        </w:rPr>
        <w:t>Systematic approaches to a successful literature review</w:t>
      </w:r>
      <w:r w:rsidRPr="006F40C0">
        <w:rPr>
          <w:rFonts w:ascii="Arial" w:hAnsi="Arial" w:cs="Arial"/>
          <w:color w:val="000000"/>
          <w:sz w:val="22"/>
          <w:szCs w:val="22"/>
        </w:rPr>
        <w:t xml:space="preserve">. 2nd </w:t>
      </w:r>
      <w:proofErr w:type="spellStart"/>
      <w:r w:rsidRPr="006F40C0">
        <w:rPr>
          <w:rFonts w:ascii="Arial" w:hAnsi="Arial" w:cs="Arial"/>
          <w:color w:val="000000"/>
          <w:sz w:val="22"/>
          <w:szCs w:val="22"/>
        </w:rPr>
        <w:t>edn</w:t>
      </w:r>
      <w:proofErr w:type="spellEnd"/>
      <w:r w:rsidRPr="006F40C0">
        <w:rPr>
          <w:rFonts w:ascii="Arial" w:hAnsi="Arial" w:cs="Arial"/>
          <w:color w:val="000000"/>
          <w:sz w:val="22"/>
          <w:szCs w:val="22"/>
        </w:rPr>
        <w:t>. London: SAGE.</w:t>
      </w:r>
    </w:p>
    <w:p w14:paraId="56BD3FCB" w14:textId="77777777" w:rsidR="006F40C0" w:rsidRPr="006F40C0" w:rsidRDefault="006F40C0" w:rsidP="006F40C0">
      <w:pPr>
        <w:pStyle w:val="isselectedend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6F40C0">
        <w:rPr>
          <w:rFonts w:ascii="Arial" w:hAnsi="Arial" w:cs="Arial"/>
          <w:color w:val="000000"/>
          <w:sz w:val="22"/>
          <w:szCs w:val="22"/>
        </w:rPr>
        <w:t xml:space="preserve">Bramer, W.M., de Jonge, G.B., </w:t>
      </w:r>
      <w:proofErr w:type="spellStart"/>
      <w:r w:rsidRPr="006F40C0">
        <w:rPr>
          <w:rFonts w:ascii="Arial" w:hAnsi="Arial" w:cs="Arial"/>
          <w:color w:val="000000"/>
          <w:sz w:val="22"/>
          <w:szCs w:val="22"/>
        </w:rPr>
        <w:t>Rethlefsen</w:t>
      </w:r>
      <w:proofErr w:type="spellEnd"/>
      <w:r w:rsidRPr="006F40C0">
        <w:rPr>
          <w:rFonts w:ascii="Arial" w:hAnsi="Arial" w:cs="Arial"/>
          <w:color w:val="000000"/>
          <w:sz w:val="22"/>
          <w:szCs w:val="22"/>
        </w:rPr>
        <w:t>, M.L., Mast, F. and Kleijnen, J. (2018) ‘A systematic approach to searching: an efficient and complete method to develop literature searches’,</w:t>
      </w:r>
      <w:r w:rsidRPr="006F40C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6F40C0">
        <w:rPr>
          <w:rStyle w:val="Emphasis"/>
          <w:rFonts w:ascii="Arial" w:hAnsi="Arial" w:cs="Arial"/>
          <w:color w:val="000000"/>
          <w:sz w:val="22"/>
          <w:szCs w:val="22"/>
        </w:rPr>
        <w:t>Journal of the Medical Library Association</w:t>
      </w:r>
      <w:r w:rsidRPr="006F40C0">
        <w:rPr>
          <w:rFonts w:ascii="Arial" w:hAnsi="Arial" w:cs="Arial"/>
          <w:color w:val="000000"/>
          <w:sz w:val="22"/>
          <w:szCs w:val="22"/>
        </w:rPr>
        <w:t>, 106(4), pp. 531–541.</w:t>
      </w:r>
      <w:r w:rsidRPr="006F40C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9" w:history="1">
        <w:r w:rsidRPr="006F40C0">
          <w:rPr>
            <w:rStyle w:val="Hyperlink"/>
            <w:rFonts w:ascii="Arial" w:hAnsi="Arial" w:cs="Arial"/>
            <w:sz w:val="22"/>
            <w:szCs w:val="22"/>
          </w:rPr>
          <w:t>https://doi.org/10.5195/jmla.2018.283</w:t>
        </w:r>
      </w:hyperlink>
      <w:r w:rsidRPr="006F40C0">
        <w:rPr>
          <w:rFonts w:ascii="Arial" w:hAnsi="Arial" w:cs="Arial"/>
          <w:color w:val="000000"/>
          <w:sz w:val="22"/>
          <w:szCs w:val="22"/>
        </w:rPr>
        <w:t>.</w:t>
      </w:r>
    </w:p>
    <w:p w14:paraId="35453B18" w14:textId="77777777" w:rsidR="006F40C0" w:rsidRPr="006F40C0" w:rsidRDefault="006F40C0" w:rsidP="006F40C0">
      <w:pPr>
        <w:pStyle w:val="isselectedend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6F40C0">
        <w:rPr>
          <w:rFonts w:ascii="Arial" w:hAnsi="Arial" w:cs="Arial"/>
          <w:color w:val="000000"/>
          <w:sz w:val="22"/>
          <w:szCs w:val="22"/>
        </w:rPr>
        <w:t>Braun, V. and Clarke, V. (2006) ‘Using thematic analysis in psychology’,</w:t>
      </w:r>
      <w:r w:rsidRPr="006F40C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6F40C0">
        <w:rPr>
          <w:rStyle w:val="Emphasis"/>
          <w:rFonts w:ascii="Arial" w:hAnsi="Arial" w:cs="Arial"/>
          <w:color w:val="000000"/>
          <w:sz w:val="22"/>
          <w:szCs w:val="22"/>
        </w:rPr>
        <w:t>Qualitative Research in Psychology</w:t>
      </w:r>
      <w:r w:rsidRPr="006F40C0">
        <w:rPr>
          <w:rFonts w:ascii="Arial" w:hAnsi="Arial" w:cs="Arial"/>
          <w:color w:val="000000"/>
          <w:sz w:val="22"/>
          <w:szCs w:val="22"/>
        </w:rPr>
        <w:t>, 3(2), pp. 77–101.</w:t>
      </w:r>
      <w:r w:rsidRPr="006F40C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10" w:history="1">
        <w:r w:rsidRPr="006F40C0">
          <w:rPr>
            <w:rStyle w:val="Hyperlink"/>
            <w:rFonts w:ascii="Arial" w:hAnsi="Arial" w:cs="Arial"/>
            <w:sz w:val="22"/>
            <w:szCs w:val="22"/>
          </w:rPr>
          <w:t>https://doi.org/10.1191/1478088706qp063oa</w:t>
        </w:r>
      </w:hyperlink>
      <w:r w:rsidRPr="006F40C0">
        <w:rPr>
          <w:rFonts w:ascii="Arial" w:hAnsi="Arial" w:cs="Arial"/>
          <w:color w:val="000000"/>
          <w:sz w:val="22"/>
          <w:szCs w:val="22"/>
        </w:rPr>
        <w:t>.</w:t>
      </w:r>
    </w:p>
    <w:p w14:paraId="3BF8D439" w14:textId="77777777" w:rsidR="006F40C0" w:rsidRPr="006F40C0" w:rsidRDefault="006F40C0" w:rsidP="006F40C0">
      <w:pPr>
        <w:pStyle w:val="isselectedend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6F40C0">
        <w:rPr>
          <w:rFonts w:ascii="Arial" w:hAnsi="Arial" w:cs="Arial"/>
          <w:color w:val="000000"/>
          <w:sz w:val="22"/>
          <w:szCs w:val="22"/>
        </w:rPr>
        <w:t>Crane, L., Chester, J.W., Goddard, L., Henry, L.A. and Hill, E.L. (2016) ‘Experiences of autism diagnosis: A survey of over 1000 parents in the United Kingdom’,</w:t>
      </w:r>
      <w:r w:rsidRPr="006F40C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6F40C0">
        <w:rPr>
          <w:rStyle w:val="Emphasis"/>
          <w:rFonts w:ascii="Arial" w:hAnsi="Arial" w:cs="Arial"/>
          <w:color w:val="000000"/>
          <w:sz w:val="22"/>
          <w:szCs w:val="22"/>
        </w:rPr>
        <w:t>Autism</w:t>
      </w:r>
      <w:r w:rsidRPr="006F40C0">
        <w:rPr>
          <w:rFonts w:ascii="Arial" w:hAnsi="Arial" w:cs="Arial"/>
          <w:color w:val="000000"/>
          <w:sz w:val="22"/>
          <w:szCs w:val="22"/>
        </w:rPr>
        <w:t>, 20(2), pp. 153–162.</w:t>
      </w:r>
      <w:r w:rsidRPr="006F40C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11" w:history="1">
        <w:r w:rsidRPr="006F40C0">
          <w:rPr>
            <w:rStyle w:val="Hyperlink"/>
            <w:rFonts w:ascii="Arial" w:hAnsi="Arial" w:cs="Arial"/>
            <w:sz w:val="22"/>
            <w:szCs w:val="22"/>
          </w:rPr>
          <w:t>https://doi.org/10.1177/1362361315573636</w:t>
        </w:r>
      </w:hyperlink>
      <w:r w:rsidRPr="006F40C0">
        <w:rPr>
          <w:rFonts w:ascii="Arial" w:hAnsi="Arial" w:cs="Arial"/>
          <w:color w:val="000000"/>
          <w:sz w:val="22"/>
          <w:szCs w:val="22"/>
        </w:rPr>
        <w:t>.</w:t>
      </w:r>
    </w:p>
    <w:p w14:paraId="53F253A4" w14:textId="77777777" w:rsidR="006F40C0" w:rsidRPr="006F40C0" w:rsidRDefault="006F40C0" w:rsidP="006F40C0">
      <w:pPr>
        <w:pStyle w:val="isselectedend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6F40C0">
        <w:rPr>
          <w:rFonts w:ascii="Arial" w:hAnsi="Arial" w:cs="Arial"/>
          <w:color w:val="000000"/>
          <w:sz w:val="22"/>
          <w:szCs w:val="22"/>
        </w:rPr>
        <w:t>National Institute for Health and Care Excellence (NICE) (2017)</w:t>
      </w:r>
      <w:r w:rsidRPr="006F40C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proofErr w:type="gramStart"/>
      <w:r w:rsidRPr="006F40C0">
        <w:rPr>
          <w:rStyle w:val="Emphasis"/>
          <w:rFonts w:ascii="Arial" w:hAnsi="Arial" w:cs="Arial"/>
          <w:color w:val="000000"/>
          <w:sz w:val="22"/>
          <w:szCs w:val="22"/>
        </w:rPr>
        <w:t>Autism spectrum disorder</w:t>
      </w:r>
      <w:proofErr w:type="gramEnd"/>
      <w:r w:rsidRPr="006F40C0">
        <w:rPr>
          <w:rStyle w:val="Emphasis"/>
          <w:rFonts w:ascii="Arial" w:hAnsi="Arial" w:cs="Arial"/>
          <w:color w:val="000000"/>
          <w:sz w:val="22"/>
          <w:szCs w:val="22"/>
        </w:rPr>
        <w:t xml:space="preserve"> in under 19s: recognition, referral and diagnosis (CG128)</w:t>
      </w:r>
      <w:r w:rsidRPr="006F40C0">
        <w:rPr>
          <w:rFonts w:ascii="Arial" w:hAnsi="Arial" w:cs="Arial"/>
          <w:color w:val="000000"/>
          <w:sz w:val="22"/>
          <w:szCs w:val="22"/>
        </w:rPr>
        <w:t>. Available at:</w:t>
      </w:r>
      <w:r w:rsidRPr="006F40C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12" w:history="1">
        <w:r w:rsidRPr="006F40C0">
          <w:rPr>
            <w:rStyle w:val="Hyperlink"/>
            <w:rFonts w:ascii="Arial" w:hAnsi="Arial" w:cs="Arial"/>
            <w:sz w:val="22"/>
            <w:szCs w:val="22"/>
          </w:rPr>
          <w:t>https://www.nice.org.uk/guidance/cg128</w:t>
        </w:r>
      </w:hyperlink>
      <w:r w:rsidRPr="006F40C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6F40C0">
        <w:rPr>
          <w:rFonts w:ascii="Arial" w:hAnsi="Arial" w:cs="Arial"/>
          <w:color w:val="000000"/>
          <w:sz w:val="22"/>
          <w:szCs w:val="22"/>
        </w:rPr>
        <w:t>(Accessed: 5 October 2026).</w:t>
      </w:r>
    </w:p>
    <w:p w14:paraId="127F989E" w14:textId="77777777" w:rsidR="006F40C0" w:rsidRPr="006F40C0" w:rsidRDefault="006F40C0" w:rsidP="006F40C0">
      <w:pPr>
        <w:pStyle w:val="isselectedend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6F40C0">
        <w:rPr>
          <w:rFonts w:ascii="Arial" w:hAnsi="Arial" w:cs="Arial"/>
          <w:color w:val="000000"/>
          <w:sz w:val="22"/>
          <w:szCs w:val="22"/>
        </w:rPr>
        <w:t>NHS England (2026)</w:t>
      </w:r>
      <w:r w:rsidRPr="006F40C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6F40C0">
        <w:rPr>
          <w:rStyle w:val="Emphasis"/>
          <w:rFonts w:ascii="Arial" w:hAnsi="Arial" w:cs="Arial"/>
          <w:color w:val="000000"/>
          <w:sz w:val="22"/>
          <w:szCs w:val="22"/>
        </w:rPr>
        <w:t>Autism statistics, July 2025 to June 2026</w:t>
      </w:r>
      <w:r w:rsidRPr="006F40C0">
        <w:rPr>
          <w:rFonts w:ascii="Arial" w:hAnsi="Arial" w:cs="Arial"/>
          <w:color w:val="000000"/>
          <w:sz w:val="22"/>
          <w:szCs w:val="22"/>
        </w:rPr>
        <w:t>. Available at:</w:t>
      </w:r>
      <w:r w:rsidRPr="006F40C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13" w:history="1">
        <w:r w:rsidRPr="006F40C0">
          <w:rPr>
            <w:rStyle w:val="Hyperlink"/>
            <w:rFonts w:ascii="Arial" w:hAnsi="Arial" w:cs="Arial"/>
            <w:sz w:val="22"/>
            <w:szCs w:val="22"/>
          </w:rPr>
          <w:t>https://digital.nhs.uk/data-and-information/publications/statistical/autism-statistics/july-2025-to-june-2026</w:t>
        </w:r>
      </w:hyperlink>
      <w:r w:rsidRPr="006F40C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6F40C0">
        <w:rPr>
          <w:rFonts w:ascii="Arial" w:hAnsi="Arial" w:cs="Arial"/>
          <w:color w:val="000000"/>
          <w:sz w:val="22"/>
          <w:szCs w:val="22"/>
        </w:rPr>
        <w:t>(Accessed: 5 October 2026).</w:t>
      </w:r>
    </w:p>
    <w:p w14:paraId="440E974D" w14:textId="77777777" w:rsidR="006F40C0" w:rsidRPr="006F40C0" w:rsidRDefault="006F40C0" w:rsidP="006F40C0">
      <w:pPr>
        <w:pStyle w:val="NormalWeb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6F40C0">
        <w:rPr>
          <w:rFonts w:ascii="Arial" w:hAnsi="Arial" w:cs="Arial"/>
          <w:color w:val="000000"/>
          <w:sz w:val="22"/>
          <w:szCs w:val="22"/>
        </w:rPr>
        <w:t>Ruggiano, N. and Perry, T.E. (2019) ‘Conducting secondary analysis of qualitative data: Should we, can we, and how?’,</w:t>
      </w:r>
      <w:r w:rsidRPr="006F40C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6F40C0">
        <w:rPr>
          <w:rStyle w:val="Emphasis"/>
          <w:rFonts w:ascii="Arial" w:hAnsi="Arial" w:cs="Arial"/>
          <w:color w:val="000000"/>
          <w:sz w:val="22"/>
          <w:szCs w:val="22"/>
        </w:rPr>
        <w:t>Qualitative Social Work</w:t>
      </w:r>
      <w:r w:rsidRPr="006F40C0">
        <w:rPr>
          <w:rFonts w:ascii="Arial" w:hAnsi="Arial" w:cs="Arial"/>
          <w:color w:val="000000"/>
          <w:sz w:val="22"/>
          <w:szCs w:val="22"/>
        </w:rPr>
        <w:t>, 18(1), pp. 81–97.</w:t>
      </w:r>
      <w:r w:rsidRPr="006F40C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hyperlink r:id="rId14" w:history="1">
        <w:r w:rsidRPr="006F40C0">
          <w:rPr>
            <w:rStyle w:val="Hyperlink"/>
            <w:rFonts w:ascii="Arial" w:hAnsi="Arial" w:cs="Arial"/>
            <w:sz w:val="22"/>
            <w:szCs w:val="22"/>
          </w:rPr>
          <w:t>https://doi.org/10.1177/1473325017700701</w:t>
        </w:r>
      </w:hyperlink>
      <w:r w:rsidRPr="006F40C0">
        <w:rPr>
          <w:rFonts w:ascii="Arial" w:hAnsi="Arial" w:cs="Arial"/>
          <w:color w:val="000000"/>
          <w:sz w:val="22"/>
          <w:szCs w:val="22"/>
        </w:rPr>
        <w:t>.</w:t>
      </w:r>
    </w:p>
    <w:p w14:paraId="78E6697E" w14:textId="77777777" w:rsidR="006F40C0" w:rsidRPr="006F40C0" w:rsidRDefault="006F40C0" w:rsidP="006F40C0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6F40C0" w:rsidRPr="006F40C0">
      <w:pgSz w:w="11906" w:h="16838"/>
      <w:pgMar w:top="500" w:right="720" w:bottom="500" w:left="720" w:header="708" w:footer="708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39B34C41"/>
    <w:multiLevelType w:val="hybridMultilevel"/>
    <w:tmpl w:val="42D8D244"/>
    <w:lvl w:ilvl="0" w:tplc="11844CA4">
      <w:start w:val="1"/>
      <w:numFmt w:val="bullet"/>
      <w:lvlText w:val="●"/>
      <w:lvlJc w:val="left"/>
      <w:pPr>
        <w:ind w:left="720" w:hanging="360"/>
      </w:pPr>
    </w:lvl>
    <w:lvl w:ilvl="1" w:tplc="BCD834D0">
      <w:start w:val="1"/>
      <w:numFmt w:val="bullet"/>
      <w:lvlText w:val="○"/>
      <w:lvlJc w:val="left"/>
      <w:pPr>
        <w:ind w:left="1440" w:hanging="360"/>
      </w:pPr>
    </w:lvl>
    <w:lvl w:ilvl="2" w:tplc="8BB4F1FA">
      <w:start w:val="1"/>
      <w:numFmt w:val="bullet"/>
      <w:lvlText w:val="■"/>
      <w:lvlJc w:val="left"/>
      <w:pPr>
        <w:ind w:left="2160" w:hanging="360"/>
      </w:pPr>
    </w:lvl>
    <w:lvl w:ilvl="3" w:tplc="A6FC9546">
      <w:start w:val="1"/>
      <w:numFmt w:val="bullet"/>
      <w:lvlText w:val="●"/>
      <w:lvlJc w:val="left"/>
      <w:pPr>
        <w:ind w:left="2880" w:hanging="360"/>
      </w:pPr>
    </w:lvl>
    <w:lvl w:ilvl="4" w:tplc="0254C74A">
      <w:start w:val="1"/>
      <w:numFmt w:val="bullet"/>
      <w:lvlText w:val="○"/>
      <w:lvlJc w:val="left"/>
      <w:pPr>
        <w:ind w:left="3600" w:hanging="360"/>
      </w:pPr>
    </w:lvl>
    <w:lvl w:ilvl="5" w:tplc="1E1EB27C">
      <w:start w:val="1"/>
      <w:numFmt w:val="bullet"/>
      <w:lvlText w:val="■"/>
      <w:lvlJc w:val="left"/>
      <w:pPr>
        <w:ind w:left="4320" w:hanging="360"/>
      </w:pPr>
    </w:lvl>
    <w:lvl w:ilvl="6" w:tplc="F30241DC">
      <w:start w:val="1"/>
      <w:numFmt w:val="bullet"/>
      <w:lvlText w:val="●"/>
      <w:lvlJc w:val="left"/>
      <w:pPr>
        <w:ind w:left="5040" w:hanging="360"/>
      </w:pPr>
    </w:lvl>
    <w:lvl w:ilvl="7" w:tplc="E806E258">
      <w:start w:val="1"/>
      <w:numFmt w:val="bullet"/>
      <w:lvlText w:val="●"/>
      <w:lvlJc w:val="left"/>
      <w:pPr>
        <w:ind w:left="5760" w:hanging="360"/>
      </w:pPr>
    </w:lvl>
    <w:lvl w:ilvl="8" w:tplc="107A67A8">
      <w:start w:val="1"/>
      <w:numFmt w:val="bullet"/>
      <w:lvlText w:val="●"/>
      <w:lvlJc w:val="left"/>
      <w:pPr>
        <w:ind w:left="6480" w:hanging="360"/>
      </w:pPr>
    </w:lvl>
  </w:abstractNum>
  <w:abstractNum w:abstractNumId="1" w15:restartNumberingAfterBreak="0">
    <w:nsid w:val="5A77455D"/>
    <w:multiLevelType w:val="hybridMultilevel"/>
    <w:tmpl w:val="7B4219E6"/>
    <w:lvl w:ilvl="0" w:tplc="E5E2A6EC">
      <w:start w:val="1"/>
      <w:numFmt w:val="bullet"/>
      <w:lvlText w:val="•"/>
      <w:lvlJc w:val="left"/>
      <w:pPr>
        <w:ind w:left="360" w:hanging="220"/>
      </w:pPr>
    </w:lvl>
    <w:lvl w:ilvl="1" w:tplc="2702F558">
      <w:numFmt w:val="decimal"/>
      <w:lvlText w:val=""/>
      <w:lvlJc w:val="left"/>
    </w:lvl>
    <w:lvl w:ilvl="2" w:tplc="F080EBAE">
      <w:numFmt w:val="decimal"/>
      <w:lvlText w:val=""/>
      <w:lvlJc w:val="left"/>
    </w:lvl>
    <w:lvl w:ilvl="3" w:tplc="021EA0CC">
      <w:numFmt w:val="decimal"/>
      <w:lvlText w:val=""/>
      <w:lvlJc w:val="left"/>
    </w:lvl>
    <w:lvl w:ilvl="4" w:tplc="1C2076AA">
      <w:numFmt w:val="decimal"/>
      <w:lvlText w:val=""/>
      <w:lvlJc w:val="left"/>
    </w:lvl>
    <w:lvl w:ilvl="5" w:tplc="F97A8710">
      <w:numFmt w:val="decimal"/>
      <w:lvlText w:val=""/>
      <w:lvlJc w:val="left"/>
    </w:lvl>
    <w:lvl w:ilvl="6" w:tplc="169E10B8">
      <w:numFmt w:val="decimal"/>
      <w:lvlText w:val=""/>
      <w:lvlJc w:val="left"/>
    </w:lvl>
    <w:lvl w:ilvl="7" w:tplc="D3FAC68A">
      <w:numFmt w:val="decimal"/>
      <w:lvlText w:val=""/>
      <w:lvlJc w:val="left"/>
    </w:lvl>
    <w:lvl w:ilvl="8" w:tplc="51E05DD8">
      <w:numFmt w:val="decimal"/>
      <w:lvlText w:val=""/>
      <w:lvlJc w:val="left"/>
    </w:lvl>
  </w:abstractNum>
  <w:num w:numId="1" w16cid:durableId="157891409">
    <w:abstractNumId w:val="0"/>
    <w:lvlOverride w:ilvl="0">
      <w:startOverride w:val="1"/>
    </w:lvlOverride>
  </w:num>
  <w:num w:numId="2" w16cid:durableId="345787072">
    <w:abstractNumId w:val="1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92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254E2"/>
    <w:rsid w:val="00276E57"/>
    <w:rsid w:val="0061273A"/>
    <w:rsid w:val="0067255D"/>
    <w:rsid w:val="006F40C0"/>
    <w:rsid w:val="00A44586"/>
    <w:rsid w:val="00CB39CC"/>
    <w:rsid w:val="00E208C4"/>
    <w:rsid w:val="00E254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C19557E"/>
  <w15:docId w15:val="{3D59CBE4-9C3C-0343-AF07-B7C46CC106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uiPriority w:val="9"/>
    <w:qFormat/>
    <w:pPr>
      <w:outlineLvl w:val="0"/>
    </w:pPr>
    <w:rPr>
      <w:color w:val="2E74B5"/>
      <w:sz w:val="32"/>
      <w:szCs w:val="32"/>
    </w:rPr>
  </w:style>
  <w:style w:type="paragraph" w:styleId="Heading2">
    <w:name w:val="heading 2"/>
    <w:uiPriority w:val="9"/>
    <w:semiHidden/>
    <w:unhideWhenUsed/>
    <w:qFormat/>
    <w:pPr>
      <w:outlineLvl w:val="1"/>
    </w:pPr>
    <w:rPr>
      <w:color w:val="2E74B5"/>
      <w:sz w:val="26"/>
      <w:szCs w:val="26"/>
    </w:rPr>
  </w:style>
  <w:style w:type="paragraph" w:styleId="Heading3">
    <w:name w:val="heading 3"/>
    <w:uiPriority w:val="9"/>
    <w:semiHidden/>
    <w:unhideWhenUsed/>
    <w:qFormat/>
    <w:pPr>
      <w:outlineLvl w:val="2"/>
    </w:pPr>
    <w:rPr>
      <w:color w:val="1F4D78"/>
      <w:sz w:val="24"/>
      <w:szCs w:val="24"/>
    </w:rPr>
  </w:style>
  <w:style w:type="paragraph" w:styleId="Heading4">
    <w:name w:val="heading 4"/>
    <w:uiPriority w:val="9"/>
    <w:semiHidden/>
    <w:unhideWhenUsed/>
    <w:qFormat/>
    <w:pPr>
      <w:outlineLvl w:val="3"/>
    </w:pPr>
    <w:rPr>
      <w:i/>
      <w:iCs/>
      <w:color w:val="2E74B5"/>
    </w:rPr>
  </w:style>
  <w:style w:type="paragraph" w:styleId="Heading5">
    <w:name w:val="heading 5"/>
    <w:uiPriority w:val="9"/>
    <w:semiHidden/>
    <w:unhideWhenUsed/>
    <w:qFormat/>
    <w:pPr>
      <w:outlineLvl w:val="4"/>
    </w:pPr>
    <w:rPr>
      <w:color w:val="2E74B5"/>
    </w:rPr>
  </w:style>
  <w:style w:type="paragraph" w:styleId="Heading6">
    <w:name w:val="heading 6"/>
    <w:uiPriority w:val="9"/>
    <w:semiHidden/>
    <w:unhideWhenUsed/>
    <w:qFormat/>
    <w:pPr>
      <w:outlineLvl w:val="5"/>
    </w:pPr>
    <w:rPr>
      <w:color w:val="1F4D7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uiPriority w:val="10"/>
    <w:qFormat/>
    <w:rPr>
      <w:sz w:val="56"/>
      <w:szCs w:val="56"/>
    </w:rPr>
  </w:style>
  <w:style w:type="paragraph" w:customStyle="1" w:styleId="Strong1">
    <w:name w:val="Strong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</w:style>
  <w:style w:type="character" w:customStyle="1" w:styleId="FootnoteTextChar">
    <w:name w:val="Footnote Text Char"/>
    <w:link w:val="FootnoteText"/>
    <w:uiPriority w:val="99"/>
    <w:semiHidden/>
    <w:unhideWhenUsed/>
    <w:rPr>
      <w:sz w:val="20"/>
      <w:szCs w:val="20"/>
    </w:rPr>
  </w:style>
  <w:style w:type="character" w:styleId="EndnoteReference">
    <w:name w:val="endnote reference"/>
    <w:uiPriority w:val="99"/>
    <w:semiHidden/>
    <w:unhideWhenUsed/>
    <w:rPr>
      <w:vertAlign w:val="superscript"/>
    </w:rPr>
  </w:style>
  <w:style w:type="paragraph" w:styleId="EndnoteText">
    <w:name w:val="endnote text"/>
    <w:link w:val="EndnoteTextChar"/>
    <w:uiPriority w:val="99"/>
    <w:semiHidden/>
    <w:unhideWhenUsed/>
  </w:style>
  <w:style w:type="character" w:customStyle="1" w:styleId="EndnoteTextChar">
    <w:name w:val="Endnote Text Char"/>
    <w:link w:val="EndnoteText"/>
    <w:uiPriority w:val="99"/>
    <w:semiHidden/>
    <w:unhideWhenUsed/>
    <w:rPr>
      <w:sz w:val="20"/>
      <w:szCs w:val="20"/>
    </w:rPr>
  </w:style>
  <w:style w:type="paragraph" w:customStyle="1" w:styleId="isselectedend">
    <w:name w:val="isselectedend"/>
    <w:basedOn w:val="Normal"/>
    <w:rsid w:val="006F40C0"/>
    <w:pPr>
      <w:spacing w:before="100" w:beforeAutospacing="1" w:after="100" w:afterAutospacing="1"/>
    </w:pPr>
    <w:rPr>
      <w:sz w:val="24"/>
      <w:szCs w:val="24"/>
    </w:rPr>
  </w:style>
  <w:style w:type="character" w:customStyle="1" w:styleId="apple-converted-space">
    <w:name w:val="apple-converted-space"/>
    <w:basedOn w:val="DefaultParagraphFont"/>
    <w:rsid w:val="006F40C0"/>
  </w:style>
  <w:style w:type="character" w:styleId="Emphasis">
    <w:name w:val="Emphasis"/>
    <w:basedOn w:val="DefaultParagraphFont"/>
    <w:uiPriority w:val="20"/>
    <w:qFormat/>
    <w:rsid w:val="006F40C0"/>
    <w:rPr>
      <w:i/>
      <w:iCs/>
    </w:rPr>
  </w:style>
  <w:style w:type="paragraph" w:styleId="NormalWeb">
    <w:name w:val="Normal (Web)"/>
    <w:basedOn w:val="Normal"/>
    <w:uiPriority w:val="99"/>
    <w:semiHidden/>
    <w:unhideWhenUsed/>
    <w:rsid w:val="006F40C0"/>
    <w:pPr>
      <w:spacing w:before="100" w:beforeAutospacing="1" w:after="100" w:afterAutospacing="1"/>
    </w:pPr>
    <w:rPr>
      <w:sz w:val="24"/>
      <w:szCs w:val="24"/>
    </w:rPr>
  </w:style>
  <w:style w:type="character" w:styleId="Strong">
    <w:name w:val="Strong"/>
    <w:basedOn w:val="DefaultParagraphFont"/>
    <w:uiPriority w:val="22"/>
    <w:qFormat/>
    <w:rsid w:val="006F40C0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ommons.emich.edu/loexquarterly/vol31/iss3/4/" TargetMode="External"/><Relationship Id="rId13" Type="http://schemas.openxmlformats.org/officeDocument/2006/relationships/hyperlink" Target="https://digital.nhs.uk/data-and-information/publications/statistical/autism-statistics/july-2025-to-june-2026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hyperlink" Target="https://www.nice.org.uk/guidance/cg128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hyperlink" Target="https://doi.org/10.1177/1362361315573636" TargetMode="External"/><Relationship Id="rId5" Type="http://schemas.openxmlformats.org/officeDocument/2006/relationships/image" Target="media/image1.png"/><Relationship Id="rId15" Type="http://schemas.openxmlformats.org/officeDocument/2006/relationships/fontTable" Target="fontTable.xml"/><Relationship Id="rId10" Type="http://schemas.openxmlformats.org/officeDocument/2006/relationships/hyperlink" Target="https://doi.org/10.1191/1478088706qp063oa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5195/jmla.2018.283" TargetMode="External"/><Relationship Id="rId14" Type="http://schemas.openxmlformats.org/officeDocument/2006/relationships/hyperlink" Target="https://doi.org/10.1177/147332501770070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4</Pages>
  <Words>821</Words>
  <Characters>5014</Characters>
  <Application>Microsoft Office Word</Application>
  <DocSecurity>0</DocSecurity>
  <Lines>139</Lines>
  <Paragraphs>71</Paragraphs>
  <ScaleCrop>false</ScaleCrop>
  <Company/>
  <LinksUpToDate>false</LinksUpToDate>
  <CharactersWithSpaces>5764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Un-named</dc:creator>
  <cp:lastModifiedBy>Sameena Shahban (2325941)</cp:lastModifiedBy>
  <cp:revision>7</cp:revision>
  <dcterms:created xsi:type="dcterms:W3CDTF">2026-10-05T05:20:00Z</dcterms:created>
  <dcterms:modified xsi:type="dcterms:W3CDTF">2026-10-06T10:35:00Z</dcterms:modified>
</cp:coreProperties>
</file>